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华文新魏" w:eastAsia="华文新魏" w:cs="Times New Roman"/>
          <w:b/>
          <w:bCs/>
          <w:color w:val="000000"/>
          <w:sz w:val="28"/>
          <w:szCs w:val="28"/>
          <w:highlight w:val="none"/>
        </w:rPr>
      </w:pPr>
      <w:r>
        <w:rPr>
          <w:rFonts w:ascii="华文新魏" w:eastAsia="华文新魏" w:cs="Times New Roman"/>
          <w:b/>
          <w:bCs/>
          <w:color w:val="000000"/>
          <w:sz w:val="28"/>
          <w:szCs w:val="28"/>
          <w:highlight w:val="none"/>
        </w:rPr>
      </w:r>
      <w:r/>
    </w:p>
    <w:p>
      <w:pPr>
        <w:jc w:val="center"/>
        <w:rPr>
          <w:rFonts w:hint="eastAsia" w:ascii="华文新魏" w:eastAsia="华文新魏" w:cs="华文新魏"/>
          <w:b/>
          <w:bCs/>
          <w:color w:val="000000"/>
          <w:sz w:val="108"/>
          <w:szCs w:val="108"/>
          <w:highlight w:val="none"/>
        </w:rPr>
      </w:pPr>
      <w:r>
        <w:rPr>
          <w:rFonts w:hint="eastAsia" w:ascii="华文新魏" w:eastAsia="华文新魏" w:cs="华文新魏"/>
          <w:b/>
          <w:bCs/>
          <w:color w:val="000000"/>
          <w:sz w:val="108"/>
          <w:szCs w:val="108"/>
          <w:highlight w:val="none"/>
        </w:rPr>
        <w:t xml:space="preserve">苏州市吴江区</w:t>
      </w:r>
      <w:r/>
    </w:p>
    <w:p>
      <w:pPr>
        <w:jc w:val="center"/>
        <w:rPr>
          <w:rFonts w:ascii="华文新魏" w:eastAsia="华文新魏" w:cs="Times New Roman"/>
          <w:b/>
          <w:bCs/>
          <w:color w:val="000000"/>
          <w:sz w:val="108"/>
          <w:szCs w:val="108"/>
          <w:highlight w:val="none"/>
        </w:rPr>
      </w:pPr>
      <w:r>
        <w:rPr>
          <w:rFonts w:hint="eastAsia" w:ascii="华文新魏" w:eastAsia="华文新魏" w:cs="华文新魏"/>
          <w:b/>
          <w:bCs/>
          <w:color w:val="000000"/>
          <w:sz w:val="108"/>
          <w:szCs w:val="108"/>
          <w:highlight w:val="none"/>
        </w:rPr>
        <w:t xml:space="preserve">政府采购招标文件</w:t>
      </w:r>
      <w:r/>
    </w:p>
    <w:p>
      <w:pPr>
        <w:rPr>
          <w:rFonts w:cs="Times New Roman"/>
          <w:color w:val="000000"/>
          <w:highlight w:val="none"/>
        </w:rPr>
      </w:pPr>
      <w:r>
        <w:rPr>
          <w:rFonts w:cs="Times New Roman"/>
          <w:color w:val="000000"/>
          <w:highlight w:val="none"/>
        </w:rPr>
      </w:r>
      <w:r/>
    </w:p>
    <w:p>
      <w:pPr>
        <w:ind w:firstLine="2249"/>
        <w:rPr>
          <w:rFonts w:cs="Times New Roman"/>
          <w:b/>
          <w:bCs/>
          <w:color w:val="000000"/>
          <w:sz w:val="32"/>
          <w:szCs w:val="32"/>
          <w:highlight w:val="none"/>
        </w:rPr>
      </w:pPr>
      <w:r>
        <w:rPr>
          <w:rFonts w:cs="Times New Roman"/>
          <w:b/>
          <w:bCs/>
          <w:color w:val="000000"/>
          <w:sz w:val="32"/>
          <w:szCs w:val="32"/>
          <w:highlight w:val="none"/>
        </w:rPr>
      </w:r>
      <w:r/>
    </w:p>
    <w:p>
      <w:pPr>
        <w:rPr>
          <w:rFonts w:hint="eastAsia"/>
          <w:b/>
          <w:bCs/>
          <w:color w:val="000000"/>
          <w:sz w:val="32"/>
          <w:szCs w:val="32"/>
          <w:highlight w:val="none"/>
        </w:rPr>
      </w:pPr>
      <w:r>
        <w:rPr>
          <w:rFonts w:hint="eastAsia"/>
          <w:b/>
          <w:bCs/>
          <w:color w:val="000000"/>
          <w:sz w:val="32"/>
          <w:szCs w:val="32"/>
          <w:highlight w:val="none"/>
        </w:rPr>
      </w:r>
      <w:r/>
    </w:p>
    <w:p>
      <w:pPr>
        <w:ind w:firstLine="1928"/>
        <w:rPr>
          <w:rFonts w:hint="eastAsia"/>
          <w:b/>
          <w:bCs/>
          <w:color w:val="000000"/>
          <w:sz w:val="32"/>
          <w:szCs w:val="32"/>
          <w:highlight w:val="none"/>
        </w:rPr>
      </w:pPr>
      <w:r>
        <w:rPr>
          <w:rFonts w:hint="eastAsia"/>
          <w:b/>
          <w:bCs/>
          <w:color w:val="000000"/>
          <w:sz w:val="32"/>
          <w:szCs w:val="32"/>
          <w:highlight w:val="none"/>
        </w:rPr>
      </w:r>
      <w:r/>
    </w:p>
    <w:p>
      <w:pPr>
        <w:ind w:firstLine="1928"/>
        <w:rPr>
          <w:b/>
          <w:bCs/>
          <w:color w:val="000000"/>
          <w:sz w:val="32"/>
          <w:szCs w:val="32"/>
          <w:highlight w:val="none"/>
        </w:rPr>
      </w:pPr>
      <w:r>
        <w:rPr>
          <w:rFonts w:hint="eastAsia"/>
          <w:b/>
          <w:bCs/>
          <w:color w:val="000000"/>
          <w:sz w:val="32"/>
          <w:szCs w:val="32"/>
          <w:highlight w:val="none"/>
        </w:rPr>
        <w:t xml:space="preserve">招标编号：</w:t>
      </w:r>
      <w:r>
        <w:rPr>
          <w:rFonts w:hint="eastAsia" w:ascii="宋体" w:hAnsi="宋体" w:eastAsia="宋体" w:cs="宋体"/>
          <w:b/>
          <w:bCs/>
          <w:i w:val="0"/>
          <w:iCs w:val="0"/>
          <w:caps w:val="0"/>
          <w:color w:val="000000"/>
          <w:spacing w:val="0"/>
          <w:sz w:val="32"/>
          <w:szCs w:val="32"/>
          <w:highlight w:val="none"/>
          <w:shd w:val="clear" w:color="auto" w:fill="auto"/>
        </w:rPr>
        <w:t xml:space="preserve">JSZC-320509-YCXM-G2026-0001</w:t>
      </w:r>
      <w:r/>
    </w:p>
    <w:p>
      <w:pPr>
        <w:ind w:firstLine="1928"/>
        <w:rPr>
          <w:rFonts w:hint="eastAsia"/>
          <w:b/>
          <w:bCs/>
          <w:color w:val="000000"/>
          <w:sz w:val="32"/>
          <w:szCs w:val="32"/>
          <w:highlight w:val="none"/>
        </w:rPr>
      </w:pPr>
      <w:r>
        <w:rPr>
          <w:rFonts w:hint="eastAsia"/>
          <w:b/>
          <w:bCs/>
          <w:color w:val="000000"/>
          <w:sz w:val="32"/>
          <w:szCs w:val="32"/>
          <w:highlight w:val="none"/>
        </w:rPr>
        <w:t xml:space="preserve">项目名称：吴江四院扩建工程-医用气体设备采购</w:t>
      </w:r>
      <w:r/>
    </w:p>
    <w:p>
      <w:pPr>
        <w:ind w:firstLine="1928"/>
        <w:rPr>
          <w:rFonts w:hint="eastAsia"/>
          <w:b/>
          <w:bCs/>
          <w:color w:val="000000"/>
          <w:sz w:val="32"/>
          <w:szCs w:val="32"/>
          <w:highlight w:val="none"/>
        </w:rPr>
      </w:pPr>
      <w:r>
        <w:rPr>
          <w:rFonts w:hint="eastAsia"/>
          <w:b/>
          <w:bCs/>
          <w:color w:val="000000"/>
          <w:sz w:val="32"/>
          <w:szCs w:val="32"/>
          <w:highlight w:val="none"/>
        </w:rPr>
        <w:t xml:space="preserve">采购单位：苏州市吴江区第四人民医院</w:t>
      </w:r>
      <w:r/>
    </w:p>
    <w:p>
      <w:pPr>
        <w:ind w:firstLine="1928"/>
        <w:rPr>
          <w:rFonts w:hint="eastAsia"/>
          <w:b/>
          <w:bCs/>
          <w:color w:val="000000"/>
          <w:sz w:val="32"/>
          <w:szCs w:val="32"/>
          <w:highlight w:val="none"/>
        </w:rPr>
      </w:pPr>
      <w:r>
        <w:rPr>
          <w:rFonts w:hint="eastAsia"/>
          <w:b/>
          <w:bCs/>
          <w:color w:val="000000"/>
          <w:sz w:val="32"/>
          <w:szCs w:val="32"/>
          <w:highlight w:val="none"/>
        </w:rPr>
        <w:t xml:space="preserve">项目类别：货物类</w:t>
      </w:r>
      <w:r/>
    </w:p>
    <w:p>
      <w:pPr>
        <w:rPr>
          <w:rFonts w:hint="eastAsia" w:cs="Times New Roman"/>
          <w:color w:val="000000"/>
          <w:highlight w:val="none"/>
        </w:rPr>
      </w:pPr>
      <w:r>
        <w:rPr>
          <w:rFonts w:hint="eastAsia" w:cs="Times New Roman"/>
          <w:color w:val="000000"/>
          <w:highlight w:val="none"/>
        </w:rPr>
      </w:r>
      <w:r/>
    </w:p>
    <w:p>
      <w:pPr>
        <w:pStyle w:val="1035"/>
        <w:rPr>
          <w:rFonts w:ascii="Calibri" w:hAnsi="Calibri" w:cs="Times New Roman"/>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2099310</wp:posOffset>
                </wp:positionH>
                <wp:positionV relativeFrom="paragraph">
                  <wp:posOffset>106680</wp:posOffset>
                </wp:positionV>
                <wp:extent cx="1623060" cy="177228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1623060" cy="1772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5.3pt;mso-position-horizontal:absolute;mso-position-vertical-relative:text;margin-top:8.4pt;mso-position-vertical:absolute;width:127.8pt;height:139.5pt;mso-wrap-distance-left:9.0pt;mso-wrap-distance-top:0.0pt;mso-wrap-distance-right:9.0pt;mso-wrap-distance-bottom:0.0pt;" wrapcoords="99963 -8 0 0 0 100000 99963 100009 37 100009 100000 100000 100000 0 37 -8 99963 -8" stroked="f">
                <v:path textboxrect="0,0,0,0"/>
                <w10:wrap type="tight"/>
                <v:imagedata r:id="rId11" o:title=""/>
              </v:shape>
            </w:pict>
          </mc:Fallback>
        </mc:AlternateContent>
      </w:r>
      <w:r/>
    </w:p>
    <w:p>
      <w:pPr>
        <w:pStyle w:val="1035"/>
        <w:rPr>
          <w:color w:val="000000"/>
          <w:highlight w:val="none"/>
        </w:rPr>
      </w:pPr>
      <w:r>
        <w:rPr>
          <w:color w:val="000000"/>
          <w:highlight w:val="none"/>
        </w:rPr>
      </w:r>
      <w:r/>
    </w:p>
    <w:p>
      <w:pPr>
        <w:pStyle w:val="1035"/>
        <w:rPr>
          <w:rFonts w:hint="eastAsia" w:ascii="Calibri" w:hAnsi="Calibri" w:cs="Times New Roman"/>
          <w:color w:val="000000"/>
          <w:highlight w:val="none"/>
        </w:rPr>
      </w:pPr>
      <w:r>
        <w:rPr>
          <w:rFonts w:hint="eastAsia" w:ascii="Calibri" w:hAnsi="Calibri" w:cs="Times New Roman"/>
          <w:color w:val="000000"/>
          <w:highlight w:val="none"/>
        </w:rPr>
      </w:r>
      <w:r/>
    </w:p>
    <w:p>
      <w:pPr>
        <w:jc w:val="center"/>
        <w:rPr>
          <w:rFonts w:hint="eastAsia"/>
          <w:b/>
          <w:bCs/>
          <w:color w:val="000000"/>
          <w:sz w:val="32"/>
          <w:szCs w:val="32"/>
          <w:highlight w:val="none"/>
        </w:rPr>
      </w:pPr>
      <w:r>
        <w:rPr>
          <w:rFonts w:hint="eastAsia"/>
          <w:b/>
          <w:bCs/>
          <w:color w:val="000000"/>
          <w:sz w:val="32"/>
          <w:szCs w:val="32"/>
          <w:highlight w:val="none"/>
        </w:rPr>
        <w:t xml:space="preserve"> </w:t>
      </w:r>
      <w:r/>
    </w:p>
    <w:p>
      <w:pPr>
        <w:jc w:val="center"/>
        <w:rPr>
          <w:rFonts w:hint="eastAsia"/>
          <w:b/>
          <w:bCs/>
          <w:color w:val="000000"/>
          <w:sz w:val="32"/>
          <w:szCs w:val="32"/>
          <w:highlight w:val="none"/>
        </w:rPr>
      </w:pPr>
      <w:r>
        <w:rPr>
          <w:rFonts w:hint="eastAsia"/>
          <w:b/>
          <w:bCs/>
          <w:color w:val="000000"/>
          <w:sz w:val="32"/>
          <w:szCs w:val="32"/>
          <w:highlight w:val="none"/>
        </w:rPr>
      </w:r>
      <w:r/>
    </w:p>
    <w:p>
      <w:pPr>
        <w:jc w:val="center"/>
        <w:rPr>
          <w:rFonts w:hint="eastAsia" w:cs="Times New Roman"/>
          <w:b/>
          <w:bCs/>
          <w:color w:val="000000"/>
          <w:sz w:val="32"/>
          <w:szCs w:val="32"/>
          <w:highlight w:val="none"/>
        </w:rPr>
      </w:pPr>
      <w:r>
        <w:rPr>
          <w:rFonts w:hint="eastAsia" w:cs="Times New Roman"/>
          <w:b/>
          <w:bCs/>
          <w:color w:val="000000"/>
          <w:sz w:val="32"/>
          <w:szCs w:val="32"/>
          <w:highlight w:val="none"/>
        </w:rPr>
      </w:r>
      <w:r/>
    </w:p>
    <w:p>
      <w:pPr>
        <w:jc w:val="center"/>
        <w:rPr>
          <w:rFonts w:hint="eastAsia"/>
          <w:b/>
          <w:bCs/>
          <w:color w:val="000000"/>
          <w:sz w:val="32"/>
          <w:szCs w:val="32"/>
          <w:highlight w:val="none"/>
        </w:rPr>
      </w:pPr>
      <w:r>
        <w:rPr>
          <w:rFonts w:hint="eastAsia"/>
          <w:b/>
          <w:bCs/>
          <w:color w:val="000000"/>
          <w:sz w:val="32"/>
          <w:szCs w:val="32"/>
          <w:highlight w:val="none"/>
        </w:rPr>
      </w:r>
      <w:r/>
    </w:p>
    <w:p>
      <w:pPr>
        <w:jc w:val="center"/>
        <w:rPr>
          <w:rFonts w:hint="eastAsia"/>
          <w:b/>
          <w:bCs/>
          <w:color w:val="000000"/>
          <w:sz w:val="32"/>
          <w:szCs w:val="32"/>
          <w:highlight w:val="none"/>
        </w:rPr>
      </w:pPr>
      <w:r>
        <w:rPr>
          <w:rFonts w:hint="eastAsia"/>
          <w:b/>
          <w:bCs/>
          <w:color w:val="000000"/>
          <w:sz w:val="32"/>
          <w:szCs w:val="32"/>
          <w:highlight w:val="none"/>
        </w:rPr>
        <w:t xml:space="preserve">苏州韵诚项目管理咨询有限公司</w:t>
      </w:r>
      <w:r/>
    </w:p>
    <w:p>
      <w:pPr>
        <w:jc w:val="center"/>
        <w:rPr>
          <w:rFonts w:hint="eastAsia"/>
          <w:color w:val="000000"/>
          <w:sz w:val="48"/>
          <w:szCs w:val="48"/>
          <w:highlight w:val="none"/>
        </w:rPr>
      </w:pPr>
      <w:r>
        <w:rPr>
          <w:rFonts w:hint="eastAsia"/>
          <w:b/>
          <w:bCs/>
          <w:color w:val="000000"/>
          <w:sz w:val="32"/>
          <w:szCs w:val="32"/>
          <w:highlight w:val="none"/>
        </w:rPr>
        <w:t xml:space="preserve">二〇二六年四月</w:t>
      </w:r>
      <w:r/>
    </w:p>
    <w:p>
      <w:pPr>
        <w:jc w:val="center"/>
        <w:pageBreakBefore/>
        <w:spacing w:line="360" w:lineRule="auto"/>
        <w:tabs>
          <w:tab w:val="left" w:pos="315" w:leader="none"/>
          <w:tab w:val="center" w:pos="4153" w:leader="none"/>
        </w:tabs>
        <w:rPr>
          <w:rFonts w:hint="eastAsia"/>
          <w:b/>
          <w:sz w:val="52"/>
          <w:szCs w:val="52"/>
          <w:highlight w:val="none"/>
        </w:rPr>
      </w:pPr>
      <w:r>
        <w:rPr>
          <w:rFonts w:hint="eastAsia"/>
          <w:b/>
          <w:sz w:val="52"/>
          <w:szCs w:val="52"/>
          <w:highlight w:val="none"/>
        </w:rPr>
        <w:t xml:space="preserve">目    录</w:t>
      </w:r>
      <w:r/>
    </w:p>
    <w:p>
      <w:pPr>
        <w:ind w:firstLine="720"/>
        <w:jc w:val="center"/>
        <w:spacing w:line="360" w:lineRule="auto"/>
        <w:tabs>
          <w:tab w:val="left" w:pos="315" w:leader="none"/>
          <w:tab w:val="center" w:pos="4153" w:leader="none"/>
        </w:tabs>
        <w:rPr>
          <w:rFonts w:hint="eastAsia"/>
          <w:b/>
          <w:sz w:val="36"/>
          <w:szCs w:val="36"/>
          <w:highlight w:val="none"/>
        </w:rPr>
      </w:pPr>
      <w:r>
        <w:rPr>
          <w:rFonts w:hint="eastAsia"/>
          <w:b/>
          <w:sz w:val="36"/>
          <w:szCs w:val="36"/>
          <w:highlight w:val="none"/>
        </w:rPr>
      </w:r>
      <w:r/>
    </w:p>
    <w:p>
      <w:pPr>
        <w:ind w:firstLine="723"/>
        <w:jc w:val="left"/>
        <w:spacing w:line="360" w:lineRule="auto"/>
        <w:tabs>
          <w:tab w:val="right" w:pos="8302" w:leader="dot"/>
        </w:tabs>
        <w:rPr>
          <w:rFonts w:hint="eastAsia"/>
          <w:sz w:val="36"/>
          <w:highlight w:val="none"/>
        </w:rPr>
      </w:pPr>
      <w:r>
        <w:rPr>
          <w:rFonts w:hint="eastAsia"/>
          <w:sz w:val="36"/>
          <w:highlight w:val="none"/>
        </w:rPr>
        <w:t xml:space="preserve">第一章  投标邀请函</w:t>
      </w:r>
      <w:r/>
    </w:p>
    <w:p>
      <w:pPr>
        <w:ind w:firstLine="723"/>
        <w:jc w:val="left"/>
        <w:spacing w:line="360" w:lineRule="auto"/>
        <w:tabs>
          <w:tab w:val="right" w:pos="8302" w:leader="dot"/>
        </w:tabs>
        <w:rPr>
          <w:rFonts w:hint="eastAsia"/>
          <w:sz w:val="36"/>
          <w:highlight w:val="none"/>
        </w:rPr>
      </w:pPr>
      <w:r>
        <w:rPr>
          <w:rFonts w:hint="eastAsia"/>
          <w:sz w:val="36"/>
          <w:highlight w:val="none"/>
        </w:rPr>
        <w:t xml:space="preserve">第二章  投标人须知</w:t>
      </w:r>
      <w:r/>
    </w:p>
    <w:p>
      <w:pPr>
        <w:ind w:firstLine="723"/>
        <w:jc w:val="left"/>
        <w:spacing w:line="360" w:lineRule="auto"/>
        <w:tabs>
          <w:tab w:val="right" w:pos="8302" w:leader="dot"/>
        </w:tabs>
        <w:rPr>
          <w:rFonts w:hint="eastAsia"/>
          <w:sz w:val="36"/>
          <w:highlight w:val="none"/>
        </w:rPr>
      </w:pPr>
      <w:r>
        <w:rPr>
          <w:rFonts w:hint="eastAsia"/>
          <w:sz w:val="36"/>
          <w:highlight w:val="none"/>
        </w:rPr>
        <w:t xml:space="preserve">第三章  投标文件格式</w:t>
      </w:r>
      <w:r/>
    </w:p>
    <w:p>
      <w:pPr>
        <w:ind w:firstLine="723"/>
        <w:jc w:val="left"/>
        <w:spacing w:line="360" w:lineRule="auto"/>
        <w:tabs>
          <w:tab w:val="right" w:pos="8302" w:leader="dot"/>
        </w:tabs>
        <w:rPr>
          <w:rFonts w:hint="eastAsia"/>
          <w:sz w:val="36"/>
          <w:highlight w:val="none"/>
        </w:rPr>
      </w:pPr>
      <w:r>
        <w:rPr>
          <w:rFonts w:hint="eastAsia"/>
          <w:sz w:val="36"/>
          <w:highlight w:val="none"/>
        </w:rPr>
        <w:t xml:space="preserve">第四章  招标书</w:t>
      </w:r>
      <w:r/>
    </w:p>
    <w:p>
      <w:pPr>
        <w:ind w:firstLine="723"/>
        <w:jc w:val="left"/>
        <w:spacing w:line="360" w:lineRule="auto"/>
        <w:tabs>
          <w:tab w:val="right" w:pos="8302" w:leader="dot"/>
        </w:tabs>
        <w:rPr>
          <w:rFonts w:hint="eastAsia"/>
          <w:sz w:val="36"/>
          <w:highlight w:val="none"/>
        </w:rPr>
      </w:pPr>
      <w:r>
        <w:rPr>
          <w:rFonts w:hint="eastAsia"/>
          <w:sz w:val="36"/>
          <w:highlight w:val="none"/>
        </w:rPr>
        <w:t xml:space="preserve">第五章  合同一般条款</w:t>
      </w:r>
      <w:r/>
    </w:p>
    <w:p>
      <w:pPr>
        <w:ind w:firstLine="723"/>
        <w:rPr>
          <w:rFonts w:hint="eastAsia"/>
          <w:sz w:val="36"/>
          <w:highlight w:val="none"/>
        </w:rPr>
      </w:pPr>
      <w:r>
        <w:rPr>
          <w:rFonts w:hint="eastAsia"/>
          <w:sz w:val="36"/>
          <w:highlight w:val="none"/>
        </w:rPr>
        <w:t xml:space="preserve">第六章  合同主要条款</w:t>
      </w:r>
      <w:r/>
    </w:p>
    <w:p>
      <w:pPr>
        <w:ind w:firstLine="720"/>
        <w:rPr>
          <w:rFonts w:cs="Times New Roman"/>
          <w:color w:val="000000"/>
          <w:highlight w:val="none"/>
        </w:rPr>
      </w:pPr>
      <w:r>
        <w:rPr>
          <w:rFonts w:hint="eastAsia"/>
          <w:sz w:val="36"/>
          <w:highlight w:val="none"/>
        </w:rPr>
        <w:t xml:space="preserve">第七章  评标办法及评分标准</w:t>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cs="Times New Roman"/>
          <w:color w:val="000000"/>
          <w:highlight w:val="none"/>
        </w:rPr>
      </w:pPr>
      <w:r>
        <w:rPr>
          <w:rFonts w:cs="Times New Roman"/>
          <w:color w:val="000000"/>
          <w:highlight w:val="none"/>
        </w:rPr>
      </w:r>
      <w:r/>
    </w:p>
    <w:p>
      <w:pPr>
        <w:rPr>
          <w:rFonts w:hint="eastAsia" w:cs="Times New Roman"/>
          <w:color w:val="000000"/>
          <w:highlight w:val="none"/>
        </w:rPr>
      </w:pPr>
      <w:r>
        <w:rPr>
          <w:rFonts w:hint="eastAsia" w:cs="Times New Roman"/>
          <w:color w:val="000000"/>
          <w:highlight w:val="none"/>
        </w:rPr>
      </w:r>
      <w:r/>
    </w:p>
    <w:p>
      <w:pPr>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jc w:val="center"/>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855"/>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1035"/>
        <w:ind w:left="0" w:firstLine="0"/>
        <w:rPr>
          <w:rFonts w:ascii="Calibri" w:hAnsi="Calibri" w:cs="Times New Roman"/>
          <w:color w:val="000000"/>
          <w:highlight w:val="none"/>
        </w:rPr>
      </w:pPr>
      <w:r>
        <w:rPr>
          <w:rFonts w:ascii="Calibri" w:hAnsi="Calibri" w:cs="Times New Roman"/>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t xml:space="preserve"> </w:t>
      </w:r>
      <w:r>
        <w:rPr>
          <w:rFonts w:hint="eastAsia" w:ascii="Arial" w:hAnsi="Arial"/>
          <w:b/>
          <w:bCs/>
          <w:color w:val="000000"/>
          <w:spacing w:val="20"/>
          <w:sz w:val="30"/>
          <w:szCs w:val="30"/>
          <w:highlight w:val="none"/>
        </w:rPr>
        <w:t xml:space="preserve">前</w:t>
      </w:r>
      <w:r>
        <w:rPr>
          <w:rFonts w:ascii="Arial" w:hAnsi="Arial" w:cs="Arial"/>
          <w:b/>
          <w:bCs/>
          <w:color w:val="000000"/>
          <w:spacing w:val="20"/>
          <w:sz w:val="30"/>
          <w:szCs w:val="30"/>
          <w:highlight w:val="none"/>
        </w:rPr>
        <w:t xml:space="preserve"> </w:t>
      </w:r>
      <w:r>
        <w:rPr>
          <w:rFonts w:hint="eastAsia" w:ascii="Arial" w:hAnsi="Arial"/>
          <w:b/>
          <w:bCs/>
          <w:color w:val="000000"/>
          <w:spacing w:val="20"/>
          <w:sz w:val="30"/>
          <w:szCs w:val="30"/>
          <w:highlight w:val="none"/>
        </w:rPr>
        <w:t xml:space="preserve">附</w:t>
      </w:r>
      <w:r>
        <w:rPr>
          <w:rFonts w:ascii="Arial" w:hAnsi="Arial" w:cs="Arial"/>
          <w:b/>
          <w:bCs/>
          <w:color w:val="000000"/>
          <w:spacing w:val="20"/>
          <w:sz w:val="30"/>
          <w:szCs w:val="30"/>
          <w:highlight w:val="none"/>
        </w:rPr>
        <w:t xml:space="preserve"> </w:t>
      </w:r>
      <w:r>
        <w:rPr>
          <w:rFonts w:hint="eastAsia" w:ascii="Arial" w:hAnsi="Arial"/>
          <w:b/>
          <w:bCs/>
          <w:color w:val="000000"/>
          <w:spacing w:val="20"/>
          <w:sz w:val="30"/>
          <w:szCs w:val="30"/>
          <w:highlight w:val="none"/>
        </w:rPr>
        <w:t xml:space="preserve">表</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下述关于要采购的吴江四院扩建工程-医用气体设备采购项目的具体资料是对招标文件第一部分投标邀请函的具体补充和修改，如果有矛盾的话，应以本附表为准。</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jc w:val="center"/>
          <w:trHeight w:val="624"/>
        </w:trPr>
        <w:tc>
          <w:tcPr>
            <w:tcW w:w="94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序号</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项目名称</w:t>
            </w:r>
            <w:r/>
          </w:p>
        </w:tc>
        <w:tc>
          <w:tcPr>
            <w:tcW w:w="7002"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内               容</w:t>
            </w:r>
            <w:r/>
          </w:p>
        </w:tc>
      </w:tr>
      <w:tr>
        <w:trPr>
          <w:cantSplit/>
          <w:jc w:val="center"/>
          <w:trHeight w:val="624"/>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项目编号</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ascii="宋体" w:hAnsi="宋体" w:eastAsia="宋体" w:cs="宋体"/>
                <w:i w:val="0"/>
                <w:iCs w:val="0"/>
                <w:caps w:val="0"/>
                <w:spacing w:val="0"/>
                <w:sz w:val="21"/>
                <w:szCs w:val="16"/>
                <w:highlight w:val="none"/>
                <w:shd w:val="clear" w:color="auto" w:fill="auto"/>
              </w:rPr>
              <w:t xml:space="preserve">JSZC-320509-YCXM-G2026-0001</w:t>
            </w:r>
            <w:r/>
          </w:p>
        </w:tc>
      </w:tr>
      <w:tr>
        <w:trPr>
          <w:cantSplit/>
          <w:jc w:val="center"/>
          <w:trHeight w:val="624"/>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2</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项目名称</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吴江四院扩建工程-医用气体设备采购</w:t>
            </w:r>
            <w:r/>
          </w:p>
        </w:tc>
      </w:tr>
      <w:tr>
        <w:trPr>
          <w:cantSplit/>
          <w:jc w:val="center"/>
          <w:trHeight w:val="194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3</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招标代理机构</w:t>
            </w:r>
            <w:r/>
          </w:p>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名称及地址</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名称：苏州韵诚项目管理咨询有限公司</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地址：</w:t>
            </w:r>
            <w:r>
              <w:rPr>
                <w:rFonts w:cs="宋体"/>
                <w:sz w:val="21"/>
                <w:highlight w:val="none"/>
              </w:rPr>
              <w:t xml:space="preserve">吴江区庞南路998号MAX科技园9-102号楼</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邮编：215200</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电话：</w:t>
            </w:r>
            <w:r>
              <w:rPr>
                <w:rFonts w:cs="宋体"/>
                <w:sz w:val="21"/>
                <w:highlight w:val="none"/>
              </w:rPr>
              <w:t xml:space="preserve">0512-62310590</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联系人：冼星芮、周锦芳</w:t>
            </w:r>
            <w:r/>
          </w:p>
        </w:tc>
      </w:tr>
      <w:tr>
        <w:trPr>
          <w:cantSplit/>
          <w:jc w:val="center"/>
          <w:trHeight w:val="1417"/>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4</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采购单位</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名称：苏州市吴江区第四人民医院</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联系人：黄健、戴剑虹    联系电话：0512-63751035、0512-63192201-8000</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地址：苏州市吴江区震泽镇镇南一路1333号</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5</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标书组成</w:t>
            </w:r>
            <w:r/>
          </w:p>
        </w:tc>
        <w:tc>
          <w:tcPr>
            <w:tcW w:w="7002" w:type="dxa"/>
            <w:vAlign w:val="center"/>
            <w:textDirection w:val="lrTb"/>
            <w:noWrap w:val="false"/>
          </w:tcPr>
          <w:p>
            <w:pPr>
              <w:jc w:val="left"/>
              <w:spacing w:line="440" w:lineRule="exact"/>
              <w:rPr>
                <w:rFonts w:hint="eastAsia"/>
                <w:color w:val="000000"/>
                <w:sz w:val="21"/>
                <w:szCs w:val="21"/>
                <w:highlight w:val="none"/>
              </w:rPr>
            </w:pPr>
            <w:r>
              <w:rPr>
                <w:rFonts w:hint="eastAsia"/>
                <w:color w:val="000000"/>
                <w:sz w:val="21"/>
                <w:szCs w:val="21"/>
                <w:highlight w:val="none"/>
              </w:rPr>
              <w:t xml:space="preserve">详见招标文件第二章</w:t>
            </w:r>
            <w:r/>
          </w:p>
        </w:tc>
      </w:tr>
      <w:tr>
        <w:trPr>
          <w:cantSplit/>
          <w:jc w:val="center"/>
          <w:trHeight w:val="684"/>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6</w:t>
            </w:r>
            <w:r/>
          </w:p>
        </w:tc>
        <w:tc>
          <w:tcPr>
            <w:tcW w:w="2173" w:type="dxa"/>
            <w:vAlign w:val="center"/>
            <w:textDirection w:val="lrTb"/>
            <w:noWrap w:val="false"/>
          </w:tcPr>
          <w:p>
            <w:pPr>
              <w:pStyle w:val="878"/>
              <w:ind w:firstLine="420"/>
              <w:spacing w:line="440" w:lineRule="exact"/>
              <w:rPr>
                <w:rFonts w:cs="宋体"/>
                <w:color w:val="000000"/>
                <w:sz w:val="21"/>
                <w:szCs w:val="21"/>
                <w:highlight w:val="none"/>
              </w:rPr>
            </w:pPr>
            <w:r>
              <w:rPr>
                <w:rFonts w:cs="宋体"/>
                <w:color w:val="000000"/>
                <w:sz w:val="21"/>
                <w:szCs w:val="21"/>
                <w:highlight w:val="none"/>
              </w:rPr>
              <w:t xml:space="preserve">投标保证金</w:t>
            </w:r>
            <w:r/>
          </w:p>
        </w:tc>
        <w:tc>
          <w:tcPr>
            <w:tcW w:w="7002" w:type="dxa"/>
            <w:vAlign w:val="center"/>
            <w:textDirection w:val="lrTb"/>
            <w:noWrap w:val="false"/>
          </w:tcPr>
          <w:p>
            <w:pPr>
              <w:jc w:val="left"/>
              <w:spacing w:line="440" w:lineRule="exact"/>
              <w:rPr>
                <w:rFonts w:hint="eastAsia"/>
                <w:color w:val="000000"/>
                <w:sz w:val="21"/>
                <w:szCs w:val="21"/>
                <w:highlight w:val="none"/>
              </w:rPr>
            </w:pPr>
            <w:r>
              <w:rPr>
                <w:rFonts w:hint="eastAsia"/>
                <w:color w:val="000000"/>
                <w:sz w:val="21"/>
                <w:szCs w:val="21"/>
                <w:highlight w:val="none"/>
              </w:rPr>
              <w:t xml:space="preserve">本项目无须缴纳投标保证金，须提供《投标（响应）保证承诺书》（格式见第三章投标文件格式）。</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7</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投标有效期</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提交投标文件的截止之日起九十日内。</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8</w:t>
            </w:r>
            <w:r/>
          </w:p>
        </w:tc>
        <w:tc>
          <w:tcPr>
            <w:tcW w:w="2173"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获取招标文件时间</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自招标公告发布之日起5个工作日。</w:t>
            </w:r>
            <w:r/>
          </w:p>
        </w:tc>
      </w:tr>
      <w:tr>
        <w:trPr>
          <w:cantSplit/>
          <w:jc w:val="center"/>
          <w:trHeight w:val="1417"/>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9</w:t>
            </w:r>
            <w:r/>
          </w:p>
        </w:tc>
        <w:tc>
          <w:tcPr>
            <w:tcW w:w="2173"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投标文件网上</w:t>
            </w:r>
            <w:r/>
          </w:p>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提交截止时间</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2026年0</w:t>
            </w:r>
            <w:r>
              <w:rPr>
                <w:rFonts w:hint="eastAsia" w:cs="宋体"/>
                <w:color w:val="000000"/>
                <w:sz w:val="21"/>
                <w:szCs w:val="21"/>
                <w:highlight w:val="none"/>
                <w:lang w:val="en-US" w:eastAsia="zh-CN"/>
              </w:rPr>
              <w:t xml:space="preserve">5</w:t>
            </w:r>
            <w:r>
              <w:rPr>
                <w:rFonts w:cs="宋体"/>
                <w:color w:val="000000"/>
                <w:sz w:val="21"/>
                <w:szCs w:val="21"/>
                <w:highlight w:val="none"/>
              </w:rPr>
              <w:t xml:space="preserve">月</w:t>
            </w:r>
            <w:r>
              <w:rPr>
                <w:rFonts w:hint="eastAsia" w:cs="宋体"/>
                <w:color w:val="000000"/>
                <w:sz w:val="21"/>
                <w:szCs w:val="21"/>
                <w:highlight w:val="none"/>
                <w:lang w:val="en-US" w:eastAsia="zh-CN"/>
              </w:rPr>
              <w:t xml:space="preserve">14</w:t>
            </w:r>
            <w:r>
              <w:rPr>
                <w:rFonts w:cs="宋体"/>
                <w:color w:val="000000"/>
                <w:sz w:val="21"/>
                <w:szCs w:val="21"/>
                <w:highlight w:val="none"/>
              </w:rPr>
              <w:t xml:space="preserve">日13：30</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投标文件必须在截止时间前完成提交（上传），逾期提交（上传）的投标文件恕不接受。</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10</w:t>
            </w:r>
            <w:r/>
          </w:p>
        </w:tc>
        <w:tc>
          <w:tcPr>
            <w:tcW w:w="2173"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开标时间</w:t>
            </w:r>
            <w:r/>
          </w:p>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开标地点</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2026年0</w:t>
            </w:r>
            <w:r>
              <w:rPr>
                <w:rFonts w:hint="eastAsia" w:cs="宋体"/>
                <w:color w:val="000000"/>
                <w:sz w:val="21"/>
                <w:szCs w:val="21"/>
                <w:highlight w:val="none"/>
                <w:lang w:val="en-US" w:eastAsia="zh-CN"/>
              </w:rPr>
              <w:t xml:space="preserve">5</w:t>
            </w:r>
            <w:r>
              <w:rPr>
                <w:rFonts w:cs="宋体"/>
                <w:color w:val="000000"/>
                <w:sz w:val="21"/>
                <w:szCs w:val="21"/>
                <w:highlight w:val="none"/>
              </w:rPr>
              <w:t xml:space="preserve">月</w:t>
            </w:r>
            <w:r>
              <w:rPr>
                <w:rFonts w:hint="eastAsia" w:cs="宋体"/>
                <w:color w:val="000000"/>
                <w:sz w:val="21"/>
                <w:szCs w:val="21"/>
                <w:highlight w:val="none"/>
                <w:lang w:val="en-US" w:eastAsia="zh-CN"/>
              </w:rPr>
              <w:t xml:space="preserve">14</w:t>
            </w:r>
            <w:r>
              <w:rPr>
                <w:rFonts w:cs="宋体"/>
                <w:color w:val="000000"/>
                <w:sz w:val="21"/>
                <w:szCs w:val="21"/>
                <w:highlight w:val="none"/>
              </w:rPr>
              <w:t xml:space="preserve">日13：30</w:t>
            </w:r>
            <w:r/>
          </w:p>
          <w:p>
            <w:pPr>
              <w:pStyle w:val="878"/>
              <w:ind w:firstLine="0"/>
              <w:spacing w:line="440" w:lineRule="exact"/>
              <w:rPr>
                <w:rFonts w:cs="宋体"/>
                <w:color w:val="000000"/>
                <w:sz w:val="21"/>
                <w:szCs w:val="21"/>
                <w:highlight w:val="none"/>
              </w:rPr>
            </w:pPr>
            <w:r>
              <w:rPr>
                <w:rFonts w:cs="宋体"/>
                <w:b/>
                <w:bCs/>
                <w:color w:val="000000"/>
                <w:sz w:val="21"/>
                <w:szCs w:val="21"/>
                <w:highlight w:val="none"/>
              </w:rPr>
              <w:t xml:space="preserve">“苏采云政府采购一体化平台”系统（网址：</w:t>
            </w:r>
            <w:r>
              <w:rPr>
                <w:rFonts w:cs="宋体"/>
                <w:b/>
                <w:bCs/>
                <w:color w:val="000000"/>
                <w:sz w:val="21"/>
                <w:szCs w:val="21"/>
                <w:highlight w:val="none"/>
              </w:rPr>
              <w:fldChar w:fldCharType="begin"/>
            </w:r>
            <w:r>
              <w:rPr>
                <w:rFonts w:cs="宋体"/>
                <w:b/>
                <w:bCs/>
                <w:color w:val="000000"/>
                <w:sz w:val="21"/>
                <w:szCs w:val="21"/>
                <w:highlight w:val="none"/>
              </w:rPr>
              <w:instrText xml:space="preserve"> HYPERLINK "http://jszfcg.jsczt.cn/）" </w:instrText>
            </w:r>
            <w:r>
              <w:rPr>
                <w:rFonts w:cs="宋体"/>
                <w:b/>
                <w:bCs/>
                <w:color w:val="000000"/>
                <w:sz w:val="21"/>
                <w:szCs w:val="21"/>
                <w:highlight w:val="none"/>
              </w:rPr>
              <w:fldChar w:fldCharType="separate"/>
            </w:r>
            <w:r>
              <w:rPr>
                <w:rFonts w:cs="宋体"/>
                <w:b/>
                <w:bCs/>
                <w:color w:val="000000"/>
                <w:sz w:val="21"/>
                <w:szCs w:val="21"/>
                <w:highlight w:val="none"/>
              </w:rPr>
              <w:t xml:space="preserve">http：//jszfcg.jsczt.cn/）</w:t>
            </w:r>
            <w:r>
              <w:rPr>
                <w:rFonts w:cs="宋体"/>
                <w:b/>
                <w:bCs/>
                <w:color w:val="000000"/>
                <w:sz w:val="21"/>
                <w:szCs w:val="21"/>
                <w:highlight w:val="none"/>
              </w:rPr>
              <w:fldChar w:fldCharType="end"/>
            </w:r>
            <w:r>
              <w:rPr>
                <w:rFonts w:cs="宋体"/>
                <w:b/>
                <w:bCs/>
                <w:color w:val="000000"/>
                <w:sz w:val="21"/>
                <w:szCs w:val="21"/>
                <w:highlight w:val="none"/>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p>
        </w:tc>
      </w:tr>
      <w:tr>
        <w:trPr>
          <w:cantSplit/>
          <w:jc w:val="center"/>
          <w:trHeight w:val="1417"/>
        </w:trPr>
        <w:tc>
          <w:tcPr>
            <w:tcW w:w="943"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11</w:t>
            </w:r>
            <w:r/>
          </w:p>
        </w:tc>
        <w:tc>
          <w:tcPr>
            <w:tcW w:w="2173"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评标时间</w:t>
            </w:r>
            <w:r/>
          </w:p>
          <w:p>
            <w:pPr>
              <w:jc w:val="center"/>
              <w:spacing w:line="440" w:lineRule="exact"/>
              <w:rPr>
                <w:rFonts w:hint="eastAsia"/>
                <w:color w:val="000000"/>
                <w:sz w:val="21"/>
                <w:szCs w:val="21"/>
                <w:highlight w:val="none"/>
              </w:rPr>
            </w:pPr>
            <w:r>
              <w:rPr>
                <w:rFonts w:hint="eastAsia"/>
                <w:color w:val="000000"/>
                <w:sz w:val="21"/>
                <w:szCs w:val="21"/>
                <w:highlight w:val="none"/>
              </w:rPr>
              <w:t xml:space="preserve">评标地点</w:t>
            </w:r>
            <w:r/>
          </w:p>
        </w:tc>
        <w:tc>
          <w:tcPr>
            <w:tcW w:w="7002" w:type="dxa"/>
            <w:vAlign w:val="center"/>
            <w:textDirection w:val="lrTb"/>
            <w:noWrap w:val="false"/>
          </w:tcPr>
          <w:p>
            <w:pPr>
              <w:jc w:val="left"/>
              <w:spacing w:line="440" w:lineRule="exact"/>
              <w:rPr>
                <w:rFonts w:hint="eastAsia"/>
                <w:color w:val="000000"/>
                <w:sz w:val="21"/>
                <w:szCs w:val="21"/>
                <w:highlight w:val="none"/>
              </w:rPr>
            </w:pPr>
            <w:r>
              <w:rPr>
                <w:rFonts w:hint="eastAsia"/>
                <w:color w:val="000000"/>
                <w:sz w:val="21"/>
                <w:szCs w:val="21"/>
                <w:highlight w:val="none"/>
              </w:rPr>
              <w:t xml:space="preserve">2026年0</w:t>
            </w:r>
            <w:r>
              <w:rPr>
                <w:rFonts w:hint="eastAsia"/>
                <w:color w:val="000000"/>
                <w:sz w:val="21"/>
                <w:szCs w:val="21"/>
                <w:highlight w:val="none"/>
                <w:lang w:val="en-US" w:eastAsia="zh-CN"/>
              </w:rPr>
              <w:t xml:space="preserve">5</w:t>
            </w:r>
            <w:r>
              <w:rPr>
                <w:rFonts w:hint="eastAsia"/>
                <w:color w:val="000000"/>
                <w:sz w:val="21"/>
                <w:szCs w:val="21"/>
                <w:highlight w:val="none"/>
              </w:rPr>
              <w:t xml:space="preserve">月</w:t>
            </w:r>
            <w:r>
              <w:rPr>
                <w:rFonts w:hint="eastAsia"/>
                <w:color w:val="000000"/>
                <w:sz w:val="21"/>
                <w:szCs w:val="21"/>
                <w:highlight w:val="none"/>
                <w:lang w:val="en-US" w:eastAsia="zh-CN"/>
              </w:rPr>
              <w:t xml:space="preserve">14</w:t>
            </w:r>
            <w:r>
              <w:rPr>
                <w:rFonts w:hint="eastAsia"/>
                <w:color w:val="000000"/>
                <w:sz w:val="21"/>
                <w:szCs w:val="21"/>
                <w:highlight w:val="none"/>
              </w:rPr>
              <w:t xml:space="preserve">日13：30</w:t>
            </w:r>
            <w:r/>
          </w:p>
          <w:p>
            <w:pPr>
              <w:jc w:val="left"/>
              <w:spacing w:line="440" w:lineRule="exact"/>
              <w:rPr>
                <w:rFonts w:hint="eastAsia"/>
                <w:b/>
                <w:bCs/>
                <w:color w:val="000000"/>
                <w:sz w:val="21"/>
                <w:szCs w:val="21"/>
                <w:highlight w:val="none"/>
              </w:rPr>
            </w:pPr>
            <w:r>
              <w:rPr>
                <w:rFonts w:hint="eastAsia"/>
                <w:color w:val="000000"/>
                <w:sz w:val="21"/>
                <w:szCs w:val="21"/>
                <w:highlight w:val="none"/>
              </w:rPr>
              <w:t xml:space="preserve">苏州市吴江区开平路998号行政服务大楼3楼开标室（苏州市公共资源交易中心吴江分中心）</w:t>
            </w:r>
            <w:r/>
          </w:p>
        </w:tc>
      </w:tr>
      <w:tr>
        <w:trPr>
          <w:cantSplit/>
          <w:jc w:val="center"/>
          <w:trHeight w:val="1814"/>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12</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投标文件份数</w:t>
            </w:r>
            <w:r/>
          </w:p>
        </w:tc>
        <w:tc>
          <w:tcPr>
            <w:tcW w:w="7002" w:type="dxa"/>
            <w:vAlign w:val="center"/>
            <w:textDirection w:val="lrTb"/>
            <w:noWrap w:val="false"/>
          </w:tcPr>
          <w:p>
            <w:pPr>
              <w:jc w:val="left"/>
              <w:spacing w:line="440" w:lineRule="exact"/>
              <w:rPr>
                <w:rFonts w:hint="eastAsia"/>
                <w:color w:val="000000"/>
                <w:sz w:val="21"/>
                <w:szCs w:val="21"/>
                <w:highlight w:val="none"/>
              </w:rPr>
            </w:pPr>
            <w:r>
              <w:rPr>
                <w:rFonts w:hint="eastAsia"/>
                <w:color w:val="000000"/>
                <w:sz w:val="21"/>
                <w:szCs w:val="21"/>
                <w:highlight w:val="none"/>
              </w:rPr>
              <w:t xml:space="preserve">本项目采用电子投标文件，投标人按照招标文件要求制作上传电子投标文件，投标人无需提供纸质投标文件。</w:t>
            </w:r>
            <w:r/>
          </w:p>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中标后5个工作日内，中标单位向招标代理机构提供与电子投标文件内容一致的纸质投标文件两份。</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13</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投标报价本位币</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人民币  </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14</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评标标准</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根据质量、技术与价格的比较</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15</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评标方法</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用综合评分法得分最高的合格投标人为预中标人</w:t>
            </w:r>
            <w:r/>
          </w:p>
        </w:tc>
      </w:tr>
      <w:tr>
        <w:trPr>
          <w:cantSplit/>
          <w:jc w:val="center"/>
          <w:trHeight w:val="680"/>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16</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履约保证金</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按合同约定，未做说明的则为无。</w:t>
            </w:r>
            <w:r/>
          </w:p>
        </w:tc>
      </w:tr>
      <w:tr>
        <w:trPr>
          <w:cantSplit/>
          <w:jc w:val="center"/>
          <w:trHeight w:val="339"/>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17</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中标服务费</w:t>
            </w:r>
            <w:r/>
          </w:p>
        </w:tc>
        <w:tc>
          <w:tcPr>
            <w:tcW w:w="7002" w:type="dxa"/>
            <w:vAlign w:val="center"/>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t xml:space="preserve">中标服务费：按苏财购告〔2016〕31号规定的收费标准收取，领取中标通知书时中标人向招标代理机构一次性付清。中标服务费的收取按差额定率累进法计算。</w:t>
            </w:r>
            <w:r/>
          </w:p>
          <w:p>
            <w:pPr>
              <w:spacing w:line="440" w:lineRule="exact"/>
              <w:rPr>
                <w:rFonts w:hint="eastAsia"/>
                <w:color w:val="000000"/>
                <w:sz w:val="21"/>
                <w:szCs w:val="21"/>
                <w:highlight w:val="none"/>
              </w:rPr>
            </w:pPr>
            <w:r>
              <w:rPr>
                <w:rFonts w:hint="eastAsia"/>
                <w:color w:val="000000"/>
                <w:sz w:val="21"/>
                <w:szCs w:val="21"/>
                <w:highlight w:val="none"/>
              </w:rPr>
              <w:t xml:space="preserve">收费标准：预算金额100万以下费率为预算金额1.5%；</w:t>
            </w:r>
            <w:r/>
          </w:p>
          <w:p>
            <w:pPr>
              <w:spacing w:line="440" w:lineRule="exact"/>
              <w:rPr>
                <w:rFonts w:hint="eastAsia"/>
                <w:color w:val="000000"/>
                <w:sz w:val="21"/>
                <w:szCs w:val="21"/>
                <w:highlight w:val="none"/>
              </w:rPr>
            </w:pPr>
            <w:r>
              <w:rPr>
                <w:rFonts w:hint="eastAsia"/>
                <w:color w:val="000000"/>
                <w:sz w:val="21"/>
                <w:szCs w:val="21"/>
                <w:highlight w:val="none"/>
              </w:rPr>
              <w:t xml:space="preserve">          预算金额100-500万费率为预算金额的1.1%。</w:t>
            </w:r>
            <w:r/>
          </w:p>
          <w:p>
            <w:pPr>
              <w:spacing w:line="440" w:lineRule="exact"/>
              <w:rPr>
                <w:rFonts w:hint="eastAsia"/>
                <w:color w:val="000000"/>
                <w:sz w:val="21"/>
                <w:szCs w:val="21"/>
                <w:highlight w:val="none"/>
              </w:rPr>
            </w:pPr>
            <w:r>
              <w:rPr>
                <w:rFonts w:hint="eastAsia"/>
                <w:color w:val="000000"/>
                <w:sz w:val="21"/>
                <w:szCs w:val="21"/>
                <w:highlight w:val="none"/>
              </w:rPr>
              <w:t xml:space="preserve">          交纳帐户：苏州韵诚项目管理咨询有限公司</w:t>
            </w:r>
            <w:r/>
          </w:p>
          <w:p>
            <w:pPr>
              <w:spacing w:line="440" w:lineRule="exact"/>
              <w:rPr>
                <w:rFonts w:hint="eastAsia"/>
                <w:color w:val="000000"/>
                <w:sz w:val="21"/>
                <w:szCs w:val="21"/>
                <w:highlight w:val="none"/>
              </w:rPr>
            </w:pPr>
            <w:r>
              <w:rPr>
                <w:rFonts w:hint="eastAsia"/>
                <w:color w:val="000000"/>
                <w:sz w:val="21"/>
                <w:szCs w:val="21"/>
                <w:highlight w:val="none"/>
              </w:rPr>
              <w:t xml:space="preserve">          账    号：475476081666</w:t>
            </w:r>
            <w:r/>
          </w:p>
          <w:p>
            <w:pPr>
              <w:spacing w:line="440" w:lineRule="exact"/>
              <w:rPr>
                <w:rFonts w:hint="eastAsia"/>
                <w:color w:val="000000"/>
                <w:sz w:val="21"/>
                <w:szCs w:val="21"/>
                <w:highlight w:val="none"/>
              </w:rPr>
            </w:pPr>
            <w:r>
              <w:rPr>
                <w:rFonts w:hint="eastAsia"/>
                <w:color w:val="000000"/>
                <w:sz w:val="21"/>
                <w:szCs w:val="21"/>
                <w:highlight w:val="none"/>
              </w:rPr>
              <w:t xml:space="preserve">          开户银行：</w:t>
            </w:r>
            <w:r>
              <w:rPr>
                <w:rFonts w:hint="eastAsia"/>
                <w:sz w:val="21"/>
                <w:szCs w:val="22"/>
                <w:highlight w:val="none"/>
              </w:rPr>
              <w:t xml:space="preserve">中国银行股份有限公司吴江中山支行</w:t>
            </w:r>
            <w:r/>
          </w:p>
        </w:tc>
      </w:tr>
      <w:tr>
        <w:trPr>
          <w:cantSplit/>
          <w:jc w:val="center"/>
          <w:trHeight w:val="1814"/>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18</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中标通知书</w:t>
            </w:r>
            <w:r/>
          </w:p>
        </w:tc>
        <w:tc>
          <w:tcPr>
            <w:tcW w:w="7002" w:type="dxa"/>
            <w:vAlign w:val="center"/>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t xml:space="preserve">确定出中标人后，招标代理机构在法定时间内向中标人发出中标通知书。中标通知书将成为合同的组成部分。</w:t>
            </w:r>
            <w:r/>
          </w:p>
          <w:p>
            <w:pPr>
              <w:spacing w:line="440" w:lineRule="exact"/>
              <w:rPr>
                <w:rFonts w:hint="eastAsia"/>
                <w:color w:val="000000"/>
                <w:sz w:val="21"/>
                <w:szCs w:val="21"/>
                <w:highlight w:val="none"/>
              </w:rPr>
            </w:pPr>
            <w:r>
              <w:rPr>
                <w:rFonts w:hint="eastAsia"/>
                <w:b/>
                <w:bCs/>
                <w:color w:val="000000"/>
                <w:sz w:val="21"/>
                <w:szCs w:val="21"/>
                <w:highlight w:val="none"/>
              </w:rPr>
              <w:t xml:space="preserve">请中标人在中标结果公告届满之日起30日内，使用CA证书登录“苏采云政府采购一体化平台”系统及时下载中标通知书。</w:t>
            </w:r>
            <w:r/>
          </w:p>
        </w:tc>
      </w:tr>
      <w:tr>
        <w:trPr>
          <w:cantSplit/>
          <w:jc w:val="center"/>
          <w:trHeight w:val="4876"/>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19</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rPr>
              <w:t xml:space="preserve">导致无效标因素</w:t>
            </w:r>
            <w:r/>
          </w:p>
        </w:tc>
        <w:tc>
          <w:tcPr>
            <w:tcW w:w="7002" w:type="dxa"/>
            <w:vAlign w:val="center"/>
            <w:textDirection w:val="lrTb"/>
            <w:noWrap w:val="false"/>
          </w:tcPr>
          <w:p>
            <w:pPr>
              <w:pStyle w:val="878"/>
              <w:ind w:firstLine="0"/>
              <w:spacing w:line="440" w:lineRule="exact"/>
              <w:rPr>
                <w:rFonts w:cs="宋体"/>
                <w:color w:val="000000"/>
                <w:sz w:val="21"/>
                <w:szCs w:val="21"/>
                <w:highlight w:val="none"/>
              </w:rPr>
            </w:pPr>
            <w:r>
              <w:rPr>
                <w:rFonts w:cs="宋体"/>
                <w:color w:val="000000"/>
                <w:sz w:val="21"/>
                <w:szCs w:val="21"/>
                <w:highlight w:val="none"/>
              </w:rPr>
              <w:t xml:space="preserve">投标文件属下列情况之一的，在资格性、符合性检查时按照无效投标处理：</w:t>
            </w:r>
            <w:r/>
          </w:p>
          <w:p>
            <w:pPr>
              <w:pStyle w:val="878"/>
              <w:numPr>
                <w:ilvl w:val="0"/>
                <w:numId w:val="1"/>
              </w:numPr>
              <w:spacing w:line="440" w:lineRule="exact"/>
              <w:rPr>
                <w:rFonts w:cs="宋体"/>
                <w:color w:val="000000"/>
                <w:sz w:val="21"/>
                <w:szCs w:val="21"/>
                <w:highlight w:val="none"/>
              </w:rPr>
            </w:pPr>
            <w:r>
              <w:rPr>
                <w:rFonts w:cs="宋体"/>
                <w:color w:val="000000"/>
                <w:sz w:val="21"/>
                <w:szCs w:val="21"/>
                <w:highlight w:val="none"/>
              </w:rPr>
              <w:t xml:space="preserve">未按照招标文件规定要求签署、盖章的；</w:t>
            </w:r>
            <w:r/>
          </w:p>
          <w:p>
            <w:pPr>
              <w:pStyle w:val="878"/>
              <w:numPr>
                <w:ilvl w:val="0"/>
                <w:numId w:val="1"/>
              </w:numPr>
              <w:spacing w:line="440" w:lineRule="exact"/>
              <w:rPr>
                <w:rFonts w:cs="宋体"/>
                <w:color w:val="000000"/>
                <w:sz w:val="21"/>
                <w:szCs w:val="21"/>
                <w:highlight w:val="none"/>
              </w:rPr>
            </w:pPr>
            <w:r>
              <w:rPr>
                <w:rFonts w:cs="宋体"/>
                <w:color w:val="000000"/>
                <w:sz w:val="21"/>
                <w:szCs w:val="21"/>
                <w:highlight w:val="none"/>
              </w:rPr>
              <w:t xml:space="preserve">不具备招标文件中规定资格要求的；</w:t>
            </w:r>
            <w:r/>
          </w:p>
          <w:p>
            <w:pPr>
              <w:pStyle w:val="878"/>
              <w:numPr>
                <w:ilvl w:val="0"/>
                <w:numId w:val="1"/>
              </w:numPr>
              <w:spacing w:line="440" w:lineRule="exact"/>
              <w:rPr>
                <w:rFonts w:cs="宋体"/>
                <w:color w:val="000000"/>
                <w:sz w:val="21"/>
                <w:szCs w:val="21"/>
                <w:highlight w:val="none"/>
              </w:rPr>
            </w:pPr>
            <w:r>
              <w:rPr>
                <w:rFonts w:cs="宋体"/>
                <w:color w:val="000000"/>
                <w:sz w:val="21"/>
                <w:szCs w:val="21"/>
                <w:highlight w:val="none"/>
                <w:lang w:val="zh-CN"/>
              </w:rPr>
              <w:t xml:space="preserve">报价超过招标文件中规定的预算金额（总预算和单项预算）或者最高限价的；</w:t>
            </w:r>
            <w:r/>
          </w:p>
          <w:p>
            <w:pPr>
              <w:pStyle w:val="878"/>
              <w:numPr>
                <w:ilvl w:val="0"/>
                <w:numId w:val="1"/>
              </w:numPr>
              <w:spacing w:line="440" w:lineRule="exact"/>
              <w:rPr>
                <w:rFonts w:cs="宋体"/>
                <w:color w:val="000000"/>
                <w:sz w:val="21"/>
                <w:szCs w:val="21"/>
                <w:highlight w:val="none"/>
                <w:lang w:val="zh-CN"/>
              </w:rPr>
            </w:pPr>
            <w:r>
              <w:rPr>
                <w:rFonts w:cs="宋体"/>
                <w:color w:val="000000"/>
                <w:sz w:val="21"/>
                <w:szCs w:val="21"/>
                <w:highlight w:val="none"/>
                <w:lang w:val="zh-CN"/>
              </w:rPr>
              <w:t xml:space="preserve">投标文件含有采购人不能接受的附加条件的；</w:t>
            </w:r>
            <w:r/>
          </w:p>
          <w:p>
            <w:pPr>
              <w:pStyle w:val="878"/>
              <w:numPr>
                <w:ilvl w:val="0"/>
                <w:numId w:val="1"/>
              </w:numPr>
              <w:spacing w:line="440" w:lineRule="exact"/>
              <w:rPr>
                <w:rFonts w:cs="宋体"/>
                <w:color w:val="000000"/>
                <w:sz w:val="21"/>
                <w:szCs w:val="21"/>
                <w:highlight w:val="none"/>
              </w:rPr>
            </w:pPr>
            <w:r>
              <w:rPr>
                <w:rFonts w:cs="宋体"/>
                <w:color w:val="000000"/>
                <w:sz w:val="21"/>
                <w:szCs w:val="21"/>
                <w:highlight w:val="none"/>
              </w:rPr>
              <w:t xml:space="preserve">平台报名系统内投标单位（投标单位）的报名名称（CA用户名）与投标文件中投标单位（投标单位）名称不一致的；</w:t>
            </w:r>
            <w:r/>
          </w:p>
          <w:p>
            <w:pPr>
              <w:pStyle w:val="878"/>
              <w:numPr>
                <w:ilvl w:val="0"/>
                <w:numId w:val="1"/>
              </w:numPr>
              <w:spacing w:line="440" w:lineRule="exact"/>
              <w:rPr>
                <w:rFonts w:cs="宋体"/>
                <w:color w:val="000000"/>
                <w:sz w:val="21"/>
                <w:szCs w:val="21"/>
                <w:highlight w:val="none"/>
              </w:rPr>
            </w:pPr>
            <w:r>
              <w:rPr>
                <w:rFonts w:cs="宋体"/>
                <w:color w:val="000000"/>
                <w:sz w:val="21"/>
                <w:szCs w:val="21"/>
                <w:highlight w:val="none"/>
              </w:rPr>
              <w:t xml:space="preserve">因投标单位自身原因导致网上投标文件无法递交的其他情况；</w:t>
            </w:r>
            <w:r/>
          </w:p>
          <w:p>
            <w:pPr>
              <w:pStyle w:val="878"/>
              <w:numPr>
                <w:ilvl w:val="0"/>
                <w:numId w:val="1"/>
              </w:numPr>
              <w:spacing w:line="440" w:lineRule="exact"/>
              <w:rPr>
                <w:rFonts w:cs="宋体"/>
                <w:color w:val="000000"/>
                <w:sz w:val="21"/>
                <w:szCs w:val="21"/>
                <w:highlight w:val="none"/>
              </w:rPr>
            </w:pPr>
            <w:r>
              <w:rPr>
                <w:rFonts w:cs="宋体"/>
                <w:color w:val="000000"/>
                <w:sz w:val="21"/>
                <w:szCs w:val="21"/>
                <w:highlight w:val="none"/>
              </w:rPr>
              <w:t xml:space="preserve">不同投标（响应）文件制作机器码一致的；</w:t>
            </w:r>
            <w:r/>
          </w:p>
          <w:p>
            <w:pPr>
              <w:pStyle w:val="878"/>
              <w:numPr>
                <w:ilvl w:val="0"/>
                <w:numId w:val="1"/>
              </w:numPr>
              <w:spacing w:line="440" w:lineRule="exact"/>
              <w:rPr>
                <w:rFonts w:cs="宋体"/>
                <w:color w:val="000000"/>
                <w:sz w:val="21"/>
                <w:szCs w:val="21"/>
                <w:highlight w:val="none"/>
              </w:rPr>
            </w:pPr>
            <w:r>
              <w:rPr>
                <w:rFonts w:cs="宋体"/>
                <w:color w:val="000000"/>
                <w:sz w:val="21"/>
                <w:szCs w:val="21"/>
                <w:highlight w:val="none"/>
                <w:lang w:val="zh-CN"/>
              </w:rPr>
              <w:t xml:space="preserve">法律、法规和招标文件规定的其他无效情形。</w:t>
            </w:r>
            <w:r/>
          </w:p>
        </w:tc>
      </w:tr>
      <w:tr>
        <w:trPr>
          <w:cantSplit/>
          <w:jc w:val="center"/>
          <w:trHeight w:val="3118"/>
        </w:trPr>
        <w:tc>
          <w:tcPr>
            <w:tcW w:w="943" w:type="dxa"/>
            <w:vAlign w:val="center"/>
            <w:textDirection w:val="lrTb"/>
            <w:noWrap w:val="false"/>
          </w:tcPr>
          <w:p>
            <w:pPr>
              <w:pStyle w:val="878"/>
              <w:ind w:firstLine="0"/>
              <w:jc w:val="center"/>
              <w:spacing w:line="440" w:lineRule="exact"/>
              <w:tabs>
                <w:tab w:val="left" w:pos="252" w:leader="none"/>
              </w:tabs>
              <w:rPr>
                <w:rFonts w:cs="宋体"/>
                <w:color w:val="000000"/>
                <w:sz w:val="21"/>
                <w:szCs w:val="21"/>
                <w:highlight w:val="none"/>
              </w:rPr>
            </w:pPr>
            <w:r>
              <w:rPr>
                <w:rFonts w:cs="宋体"/>
                <w:color w:val="000000"/>
                <w:sz w:val="21"/>
                <w:szCs w:val="21"/>
                <w:highlight w:val="none"/>
              </w:rPr>
              <w:t xml:space="preserve">20</w:t>
            </w:r>
            <w:r/>
          </w:p>
        </w:tc>
        <w:tc>
          <w:tcPr>
            <w:tcW w:w="2173" w:type="dxa"/>
            <w:vAlign w:val="center"/>
            <w:textDirection w:val="lrTb"/>
            <w:noWrap w:val="false"/>
          </w:tcPr>
          <w:p>
            <w:pPr>
              <w:pStyle w:val="878"/>
              <w:ind w:firstLine="0"/>
              <w:jc w:val="center"/>
              <w:spacing w:line="440" w:lineRule="exact"/>
              <w:rPr>
                <w:rFonts w:cs="宋体"/>
                <w:color w:val="000000"/>
                <w:sz w:val="21"/>
                <w:szCs w:val="21"/>
                <w:highlight w:val="none"/>
              </w:rPr>
            </w:pPr>
            <w:r>
              <w:rPr>
                <w:rFonts w:cs="宋体"/>
                <w:color w:val="000000"/>
                <w:sz w:val="21"/>
                <w:szCs w:val="21"/>
                <w:highlight w:val="none"/>
                <w:lang w:val="zh-CN"/>
              </w:rPr>
              <w:t xml:space="preserve">导致废标因素</w:t>
            </w:r>
            <w:r/>
          </w:p>
        </w:tc>
        <w:tc>
          <w:tcPr>
            <w:tcW w:w="7002" w:type="dxa"/>
            <w:vAlign w:val="center"/>
            <w:textDirection w:val="lrTb"/>
            <w:noWrap w:val="false"/>
          </w:tcPr>
          <w:p>
            <w:pPr>
              <w:pStyle w:val="878"/>
              <w:ind w:firstLine="0"/>
              <w:spacing w:line="440" w:lineRule="exact"/>
              <w:rPr>
                <w:rFonts w:cs="宋体"/>
                <w:color w:val="000000"/>
                <w:sz w:val="21"/>
                <w:szCs w:val="21"/>
                <w:highlight w:val="none"/>
                <w:lang w:val="zh-CN"/>
              </w:rPr>
            </w:pPr>
            <w:r>
              <w:rPr>
                <w:rFonts w:cs="宋体"/>
                <w:color w:val="000000"/>
                <w:sz w:val="21"/>
                <w:szCs w:val="21"/>
                <w:highlight w:val="none"/>
                <w:lang w:val="zh-CN"/>
              </w:rPr>
              <w:t xml:space="preserve">出现下列情形之一的，为废标：</w:t>
            </w:r>
            <w:r/>
          </w:p>
          <w:p>
            <w:pPr>
              <w:pStyle w:val="878"/>
              <w:numPr>
                <w:ilvl w:val="0"/>
                <w:numId w:val="2"/>
              </w:numPr>
              <w:spacing w:line="440" w:lineRule="exact"/>
              <w:tabs>
                <w:tab w:val="left" w:pos="420" w:leader="none"/>
              </w:tabs>
              <w:rPr>
                <w:rFonts w:cs="宋体"/>
                <w:color w:val="000000"/>
                <w:sz w:val="21"/>
                <w:szCs w:val="21"/>
                <w:highlight w:val="none"/>
                <w:lang w:val="zh-CN"/>
              </w:rPr>
            </w:pPr>
            <w:r>
              <w:rPr>
                <w:rFonts w:cs="宋体"/>
                <w:color w:val="000000"/>
                <w:sz w:val="21"/>
                <w:szCs w:val="21"/>
                <w:highlight w:val="none"/>
                <w:lang w:val="zh-CN"/>
              </w:rPr>
              <w:t xml:space="preserve">符合专业条件的供应商或者对招标文件作实质响应的供应商不足三家的；</w:t>
            </w:r>
            <w:r/>
          </w:p>
          <w:p>
            <w:pPr>
              <w:pStyle w:val="878"/>
              <w:numPr>
                <w:ilvl w:val="0"/>
                <w:numId w:val="2"/>
              </w:numPr>
              <w:spacing w:line="440" w:lineRule="exact"/>
              <w:tabs>
                <w:tab w:val="left" w:pos="420" w:leader="none"/>
              </w:tabs>
              <w:rPr>
                <w:rFonts w:cs="宋体"/>
                <w:color w:val="000000"/>
                <w:sz w:val="21"/>
                <w:szCs w:val="21"/>
                <w:highlight w:val="none"/>
                <w:lang w:val="zh-CN"/>
              </w:rPr>
            </w:pPr>
            <w:r>
              <w:rPr>
                <w:rFonts w:cs="宋体"/>
                <w:color w:val="000000"/>
                <w:sz w:val="21"/>
                <w:szCs w:val="21"/>
                <w:highlight w:val="none"/>
                <w:lang w:val="zh-CN"/>
              </w:rPr>
              <w:t xml:space="preserve">出现影响采购公正的违法、违规行为的；</w:t>
            </w:r>
            <w:r/>
          </w:p>
          <w:p>
            <w:pPr>
              <w:pStyle w:val="878"/>
              <w:numPr>
                <w:ilvl w:val="0"/>
                <w:numId w:val="2"/>
              </w:numPr>
              <w:spacing w:line="440" w:lineRule="exact"/>
              <w:tabs>
                <w:tab w:val="left" w:pos="420" w:leader="none"/>
              </w:tabs>
              <w:rPr>
                <w:rFonts w:cs="宋体"/>
                <w:color w:val="000000"/>
                <w:sz w:val="21"/>
                <w:szCs w:val="21"/>
                <w:highlight w:val="none"/>
                <w:lang w:val="zh-CN"/>
              </w:rPr>
            </w:pPr>
            <w:r>
              <w:rPr>
                <w:rFonts w:cs="宋体"/>
                <w:color w:val="000000"/>
                <w:sz w:val="21"/>
                <w:szCs w:val="21"/>
                <w:highlight w:val="none"/>
                <w:lang w:val="zh-CN"/>
              </w:rPr>
              <w:t xml:space="preserve">投标人的报价均超过了采购预算（总预算和单项预算）或者最高限价的，采购人不能支付的； </w:t>
            </w:r>
            <w:r/>
          </w:p>
          <w:p>
            <w:pPr>
              <w:pStyle w:val="878"/>
              <w:numPr>
                <w:ilvl w:val="0"/>
                <w:numId w:val="2"/>
              </w:numPr>
              <w:spacing w:line="440" w:lineRule="exact"/>
              <w:tabs>
                <w:tab w:val="left" w:pos="420" w:leader="none"/>
              </w:tabs>
              <w:rPr>
                <w:rFonts w:cs="宋体"/>
                <w:color w:val="000000"/>
                <w:sz w:val="21"/>
                <w:szCs w:val="21"/>
                <w:highlight w:val="none"/>
                <w:lang w:val="zh-CN"/>
              </w:rPr>
            </w:pPr>
            <w:r>
              <w:rPr>
                <w:rFonts w:cs="宋体"/>
                <w:color w:val="000000"/>
                <w:sz w:val="21"/>
                <w:szCs w:val="21"/>
                <w:highlight w:val="none"/>
                <w:lang w:val="zh-CN"/>
              </w:rPr>
              <w:t xml:space="preserve">因重大变故，采购任务取消的。</w:t>
            </w:r>
            <w:r/>
          </w:p>
        </w:tc>
      </w:tr>
    </w:tbl>
    <w:p>
      <w:pPr>
        <w:jc w:val="center"/>
        <w:rPr>
          <w:rFonts w:hint="eastAsia"/>
          <w:b/>
          <w:bCs/>
          <w:color w:val="000000"/>
          <w:sz w:val="36"/>
          <w:szCs w:val="36"/>
          <w:highlight w:val="none"/>
        </w:rPr>
      </w:pPr>
      <w:r>
        <w:rPr>
          <w:rFonts w:hint="eastAsia"/>
          <w:b/>
          <w:bCs/>
          <w:color w:val="000000"/>
          <w:sz w:val="36"/>
          <w:szCs w:val="36"/>
          <w:highlight w:val="none"/>
        </w:rPr>
      </w:r>
      <w:r/>
    </w:p>
    <w:p>
      <w:pPr>
        <w:jc w:val="center"/>
        <w:rPr>
          <w:rFonts w:hint="eastAsia"/>
          <w:b/>
          <w:bCs/>
          <w:color w:val="000000"/>
          <w:sz w:val="36"/>
          <w:szCs w:val="36"/>
          <w:highlight w:val="none"/>
        </w:rPr>
      </w:pPr>
      <w:r>
        <w:rPr>
          <w:rFonts w:hint="eastAsia"/>
          <w:b/>
          <w:bCs/>
          <w:color w:val="000000"/>
          <w:sz w:val="36"/>
          <w:szCs w:val="36"/>
          <w:highlight w:val="none"/>
        </w:rPr>
      </w:r>
      <w:r/>
    </w:p>
    <w:p>
      <w:pPr>
        <w:pStyle w:val="1035"/>
        <w:rPr>
          <w:rFonts w:hint="eastAsia" w:ascii="Calibri" w:hAnsi="Calibri" w:cs="Times New Roman"/>
          <w:color w:val="000000"/>
          <w:highlight w:val="none"/>
        </w:rPr>
      </w:pPr>
      <w:r>
        <w:rPr>
          <w:rFonts w:hint="eastAsia" w:ascii="Calibri" w:hAnsi="Calibri" w:cs="Times New Roman"/>
          <w:color w:val="000000"/>
          <w:highlight w:val="none"/>
        </w:rPr>
      </w:r>
      <w:r/>
    </w:p>
    <w:p>
      <w:pPr>
        <w:rPr>
          <w:rFonts w:hint="eastAsia" w:ascii="Calibri" w:hAnsi="Calibri" w:cs="Times New Roman"/>
          <w:color w:val="000000"/>
          <w:highlight w:val="none"/>
        </w:rPr>
      </w:pPr>
      <w:r>
        <w:rPr>
          <w:rFonts w:hint="eastAsia" w:ascii="Calibri" w:hAnsi="Calibri" w:cs="Times New Roman"/>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rPr>
          <w:rFonts w:hint="eastAsia" w:ascii="Calibri" w:hAnsi="Calibri" w:cs="Times New Roman"/>
          <w:color w:val="000000"/>
          <w:highlight w:val="none"/>
        </w:rPr>
      </w:pPr>
      <w:r>
        <w:rPr>
          <w:rFonts w:hint="eastAsia" w:ascii="Calibri" w:hAnsi="Calibri" w:cs="Times New Roman"/>
          <w:color w:val="000000"/>
          <w:highlight w:val="none"/>
        </w:rPr>
      </w:r>
      <w:r>
        <w:rPr>
          <w:rFonts w:hint="eastAsia" w:ascii="Calibri" w:hAnsi="Calibri" w:cs="Times New Roman"/>
          <w:color w:val="000000"/>
          <w:highlight w:val="none"/>
        </w:rPr>
      </w:r>
    </w:p>
    <w:p>
      <w:pPr>
        <w:rPr>
          <w:rFonts w:hint="eastAsia" w:ascii="Calibri" w:hAnsi="Calibri" w:cs="Times New Roman"/>
          <w:color w:val="000000"/>
          <w:highlight w:val="none"/>
        </w:rPr>
      </w:pPr>
      <w:r>
        <w:rPr>
          <w:rFonts w:hint="eastAsia" w:ascii="Calibri" w:hAnsi="Calibri" w:cs="Times New Roman"/>
          <w:color w:val="000000"/>
          <w:highlight w:val="none"/>
        </w:rPr>
      </w:r>
      <w:r>
        <w:rPr>
          <w:rFonts w:hint="eastAsia" w:ascii="Calibri" w:hAnsi="Calibri" w:cs="Times New Roman"/>
          <w:color w:val="000000"/>
          <w:highlight w:val="none"/>
        </w:rPr>
      </w:r>
    </w:p>
    <w:p>
      <w:pPr>
        <w:rPr>
          <w:rFonts w:hint="eastAsia" w:ascii="Calibri" w:hAnsi="Calibri" w:cs="Times New Roman"/>
          <w:color w:val="000000"/>
          <w:highlight w:val="none"/>
        </w:rPr>
      </w:pPr>
      <w:r>
        <w:rPr>
          <w:rFonts w:hint="eastAsia" w:ascii="Calibri" w:hAnsi="Calibri" w:cs="Times New Roman"/>
          <w:color w:val="000000"/>
          <w:highlight w:val="none"/>
        </w:rPr>
      </w:r>
      <w:r>
        <w:rPr>
          <w:rFonts w:hint="eastAsia" w:ascii="Calibri" w:hAnsi="Calibri" w:cs="Times New Roman"/>
          <w:color w:val="000000"/>
          <w:highlight w:val="none"/>
        </w:rPr>
      </w:r>
    </w:p>
    <w:p>
      <w:pPr>
        <w:rPr>
          <w:rFonts w:hint="eastAsia" w:ascii="Calibri" w:hAnsi="Calibri" w:cs="Times New Roman"/>
          <w:color w:val="000000"/>
          <w:highlight w:val="none"/>
        </w:rPr>
      </w:pPr>
      <w:r>
        <w:rPr>
          <w:rFonts w:hint="eastAsia" w:ascii="Calibri" w:hAnsi="Calibri" w:cs="Times New Roman"/>
          <w:color w:val="000000"/>
          <w:highlight w:val="none"/>
        </w:rPr>
      </w:r>
      <w:r>
        <w:rPr>
          <w:rFonts w:hint="eastAsia" w:ascii="Calibri" w:hAnsi="Calibri" w:cs="Times New Roman"/>
          <w:color w:val="000000"/>
          <w:highlight w:val="none"/>
        </w:rPr>
      </w:r>
    </w:p>
    <w:p>
      <w:pPr>
        <w:rPr>
          <w:rFonts w:hint="eastAsia" w:ascii="Calibri" w:hAnsi="Calibri" w:cs="Times New Roman"/>
          <w:color w:val="000000"/>
          <w:highlight w:val="none"/>
        </w:rPr>
      </w:pPr>
      <w:r>
        <w:rPr>
          <w:rFonts w:hint="eastAsia" w:ascii="Calibri" w:hAnsi="Calibri" w:cs="Times New Roman"/>
          <w:color w:val="000000"/>
          <w:highlight w:val="none"/>
        </w:rPr>
      </w:r>
      <w:r>
        <w:rPr>
          <w:rFonts w:hint="eastAsia" w:ascii="Calibri" w:hAnsi="Calibri" w:cs="Times New Roman"/>
          <w:color w:val="000000"/>
          <w:highlight w:val="none"/>
        </w:rPr>
      </w:r>
    </w:p>
    <w:p>
      <w:pPr>
        <w:rPr>
          <w:rFonts w:hint="eastAsia" w:ascii="Calibri" w:hAnsi="Calibri" w:cs="Times New Roman"/>
          <w:color w:val="000000"/>
          <w:highlight w:val="none"/>
        </w:rPr>
      </w:pPr>
      <w:r>
        <w:rPr>
          <w:rFonts w:hint="eastAsia" w:ascii="Calibri" w:hAnsi="Calibri" w:cs="Times New Roman"/>
          <w:color w:val="000000"/>
          <w:highlight w:val="none"/>
        </w:rPr>
      </w:r>
      <w:r>
        <w:rPr>
          <w:rFonts w:hint="eastAsia" w:ascii="Calibri" w:hAnsi="Calibri" w:cs="Times New Roman"/>
          <w:color w:val="000000"/>
          <w:highlight w:val="none"/>
        </w:rPr>
      </w:r>
    </w:p>
    <w:p>
      <w:pPr>
        <w:rPr>
          <w:rFonts w:hint="eastAsia" w:ascii="Calibri" w:hAnsi="Calibri" w:cs="Times New Roman"/>
          <w:color w:val="000000"/>
          <w:highlight w:val="none"/>
        </w:rPr>
      </w:pPr>
      <w:r>
        <w:rPr>
          <w:rFonts w:hint="eastAsia" w:ascii="Calibri" w:hAnsi="Calibri" w:cs="Times New Roman"/>
          <w:color w:val="000000"/>
          <w:highlight w:val="none"/>
        </w:rPr>
      </w:r>
      <w:r/>
    </w:p>
    <w:p>
      <w:pPr>
        <w:jc w:val="center"/>
        <w:rPr>
          <w:rFonts w:cs="Times New Roman"/>
          <w:b/>
          <w:bCs/>
          <w:color w:val="000000"/>
          <w:sz w:val="36"/>
          <w:szCs w:val="36"/>
          <w:highlight w:val="none"/>
        </w:rPr>
      </w:pPr>
      <w:r>
        <w:rPr>
          <w:rFonts w:hint="eastAsia"/>
          <w:b/>
          <w:bCs/>
          <w:color w:val="000000"/>
          <w:sz w:val="36"/>
          <w:szCs w:val="36"/>
          <w:highlight w:val="none"/>
        </w:rPr>
        <w:t xml:space="preserve">第一章</w:t>
      </w:r>
      <w:r>
        <w:rPr>
          <w:b/>
          <w:bCs/>
          <w:color w:val="000000"/>
          <w:sz w:val="36"/>
          <w:szCs w:val="36"/>
          <w:highlight w:val="none"/>
        </w:rPr>
        <w:t xml:space="preserve">  </w:t>
      </w:r>
      <w:r>
        <w:rPr>
          <w:rFonts w:hint="eastAsia"/>
          <w:b/>
          <w:bCs/>
          <w:color w:val="000000"/>
          <w:sz w:val="36"/>
          <w:szCs w:val="36"/>
          <w:highlight w:val="none"/>
        </w:rPr>
        <w:t xml:space="preserve">投标邀请函</w:t>
      </w:r>
      <w:r/>
    </w:p>
    <w:p>
      <w:pPr>
        <w:ind w:firstLine="420"/>
        <w:spacing w:line="440" w:lineRule="exact"/>
        <w:rPr>
          <w:rFonts w:hint="eastAsia"/>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color w:val="000000"/>
          <w:sz w:val="21"/>
          <w:szCs w:val="21"/>
          <w:highlight w:val="none"/>
        </w:rPr>
        <w:t xml:space="preserve">项目概况</w:t>
      </w:r>
      <w:r/>
    </w:p>
    <w:p>
      <w:pPr>
        <w:ind w:firstLine="420"/>
        <w:spacing w:line="440" w:lineRule="exact"/>
        <w:rPr>
          <w:rFonts w:hint="eastAsia"/>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color w:val="000000"/>
          <w:sz w:val="21"/>
          <w:szCs w:val="21"/>
          <w:highlight w:val="none"/>
          <w:u w:val="single"/>
        </w:rPr>
        <w:t xml:space="preserve">吴江四院扩建工程-医用气体设备采购</w:t>
      </w:r>
      <w:r>
        <w:rPr>
          <w:rFonts w:hint="eastAsia"/>
          <w:color w:val="000000"/>
          <w:sz w:val="21"/>
          <w:szCs w:val="21"/>
          <w:highlight w:val="none"/>
        </w:rPr>
        <w:t xml:space="preserve">的潜在投标人应在</w:t>
      </w:r>
      <w:r>
        <w:rPr>
          <w:rFonts w:hint="eastAsia"/>
          <w:color w:val="000000"/>
          <w:sz w:val="21"/>
          <w:szCs w:val="21"/>
          <w:highlight w:val="none"/>
          <w:u w:val="single"/>
        </w:rPr>
        <w:t xml:space="preserve">苏采云政府采购一体化平台</w:t>
      </w:r>
      <w:r>
        <w:rPr>
          <w:rFonts w:hint="eastAsia"/>
          <w:color w:val="000000"/>
          <w:sz w:val="21"/>
          <w:szCs w:val="21"/>
          <w:highlight w:val="none"/>
        </w:rPr>
        <w:t xml:space="preserve">获取招标文件，并于</w:t>
      </w:r>
      <w:r>
        <w:rPr>
          <w:rFonts w:hint="eastAsia"/>
          <w:color w:val="000000"/>
          <w:sz w:val="21"/>
          <w:szCs w:val="21"/>
          <w:highlight w:val="none"/>
          <w:u w:val="single"/>
        </w:rPr>
        <w:t xml:space="preserve">2026年05月14日13点30分（北京时间）</w:t>
      </w:r>
      <w:r>
        <w:rPr>
          <w:rFonts w:hint="eastAsia"/>
          <w:color w:val="000000"/>
          <w:sz w:val="21"/>
          <w:szCs w:val="21"/>
          <w:highlight w:val="none"/>
        </w:rPr>
        <w:t xml:space="preserve">前提交投标文件。</w:t>
      </w:r>
      <w:r/>
    </w:p>
    <w:p>
      <w:pPr>
        <w:pStyle w:val="822"/>
        <w:ind w:left="0" w:firstLine="422"/>
        <w:spacing w:before="0" w:after="0" w:line="440" w:lineRule="exact"/>
        <w:rPr>
          <w:rFonts w:hint="eastAsia" w:ascii="宋体" w:hAnsi="宋体" w:eastAsia="宋体" w:cs="宋体"/>
          <w:color w:val="000000"/>
          <w:sz w:val="21"/>
          <w:szCs w:val="21"/>
          <w:highlight w:val="none"/>
        </w:rPr>
      </w:pPr>
      <w:r/>
      <w:bookmarkStart w:id="0" w:name="_Toc28359012"/>
      <w:r/>
      <w:bookmarkStart w:id="1" w:name="_Toc35393798"/>
      <w:r/>
      <w:bookmarkStart w:id="2" w:name="_Toc28359089"/>
      <w:r/>
      <w:bookmarkStart w:id="3" w:name="_Toc35393629"/>
      <w:r>
        <w:rPr>
          <w:rFonts w:hint="eastAsia" w:ascii="宋体" w:hAnsi="宋体" w:eastAsia="宋体" w:cs="宋体"/>
          <w:color w:val="000000"/>
          <w:sz w:val="21"/>
          <w:szCs w:val="21"/>
          <w:highlight w:val="none"/>
        </w:rPr>
        <w:t xml:space="preserve">一、项目基本情况</w:t>
      </w:r>
      <w:bookmarkEnd w:id="0"/>
      <w:r/>
      <w:bookmarkEnd w:id="1"/>
      <w:r/>
      <w:bookmarkEnd w:id="2"/>
      <w:r/>
      <w:bookmarkEnd w:id="3"/>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项目编号：</w:t>
      </w:r>
      <w:r>
        <w:rPr>
          <w:rFonts w:hint="eastAsia" w:ascii="宋体" w:hAnsi="宋体" w:eastAsia="宋体" w:cs="宋体"/>
          <w:i w:val="0"/>
          <w:iCs w:val="0"/>
          <w:caps w:val="0"/>
          <w:color w:val="000000"/>
          <w:spacing w:val="0"/>
          <w:sz w:val="21"/>
          <w:szCs w:val="21"/>
          <w:highlight w:val="none"/>
          <w:shd w:val="clear" w:color="auto" w:fill="auto"/>
        </w:rPr>
        <w:t xml:space="preserve">JSZC-320509-YCXM-G2026-0001</w:t>
      </w:r>
      <w:r>
        <w:rPr>
          <w:rFonts w:hint="eastAsia" w:ascii="宋体" w:hAnsi="宋体" w:eastAsia="宋体" w:cs="宋体"/>
          <w:color w:val="000000"/>
          <w:sz w:val="21"/>
          <w:szCs w:val="21"/>
          <w:highlight w:val="none"/>
        </w:rPr>
        <w:t xml:space="preserve"> </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项目名称：吴江四院扩建工程-医用气体设备采购 </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采购方式：公开招标</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预算金额：人民币肆佰柒拾万零陆佰叁拾捌元整（¥4700638.00元）</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最高限价：人民币肆佰柒拾万零陆佰叁拾捌元整（¥4700638.00元）</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采购需求：</w:t>
      </w:r>
      <w:r>
        <w:rPr>
          <w:rFonts w:hint="eastAsia"/>
          <w:sz w:val="21"/>
          <w:szCs w:val="21"/>
          <w:highlight w:val="none"/>
        </w:rPr>
        <w:t xml:space="preserve">吴江四院扩建工程-医用气体设备采购(具体清单见招标文件)，不接受进口产品投标。</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合同履行期限：接到甲方通知后100天内送至指定地点并安装调试完成。</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只有在设备完全正常运转和采购方确认后，设备的安装工作才能认为已全部完成。</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本项目不接受联合体投标。</w:t>
      </w:r>
      <w:r/>
    </w:p>
    <w:p>
      <w:pPr>
        <w:pStyle w:val="822"/>
        <w:ind w:left="0" w:firstLine="422"/>
        <w:spacing w:before="0" w:after="0" w:line="440" w:lineRule="exact"/>
        <w:rPr>
          <w:rFonts w:hint="eastAsia" w:ascii="宋体" w:hAnsi="宋体" w:eastAsia="宋体" w:cs="宋体"/>
          <w:color w:val="000000"/>
          <w:sz w:val="21"/>
          <w:szCs w:val="21"/>
          <w:highlight w:val="none"/>
        </w:rPr>
      </w:pPr>
      <w:r/>
      <w:bookmarkStart w:id="4" w:name="_Toc28359013"/>
      <w:r/>
      <w:bookmarkStart w:id="5" w:name="_Toc35393799"/>
      <w:r/>
      <w:bookmarkStart w:id="6" w:name="_Toc28359090"/>
      <w:r/>
      <w:bookmarkStart w:id="7" w:name="_Toc35393630"/>
      <w:r>
        <w:rPr>
          <w:rFonts w:hint="eastAsia" w:ascii="宋体" w:hAnsi="宋体" w:eastAsia="宋体" w:cs="宋体"/>
          <w:color w:val="000000"/>
          <w:sz w:val="21"/>
          <w:szCs w:val="21"/>
          <w:highlight w:val="none"/>
        </w:rPr>
        <w:t xml:space="preserve">二、申请人的资格要求：</w:t>
      </w:r>
      <w:bookmarkEnd w:id="4"/>
      <w:r/>
      <w:bookmarkEnd w:id="5"/>
      <w:r/>
      <w:bookmarkEnd w:id="6"/>
      <w:r/>
      <w:bookmarkEnd w:id="7"/>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1.满足《中华人民共和国政府采购法》第二十二条规定；</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（1）具有独立承担民事责任的能力；</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（2）具有良好的商业信誉和健全的财务会计制度；</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（3）具有履行合同所必需的设备和专业技术能力；</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（4）有依法缴纳税收和社会保障资金的良好记录；</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（6）法律、行政法规规定的其他条件。 </w:t>
      </w:r>
      <w:r/>
    </w:p>
    <w:p>
      <w:pPr>
        <w:ind w:firstLine="422"/>
        <w:spacing w:line="440" w:lineRule="exact"/>
        <w:rPr>
          <w:rFonts w:hint="eastAsia"/>
          <w:b/>
          <w:bCs/>
          <w:color w:val="000000"/>
          <w:sz w:val="21"/>
          <w:szCs w:val="21"/>
          <w:highlight w:val="none"/>
        </w:rPr>
      </w:pPr>
      <w:r/>
      <w:bookmarkStart w:id="8" w:name="_Toc28359014"/>
      <w:r/>
      <w:bookmarkStart w:id="9" w:name="_Toc28359091"/>
      <w:r>
        <w:rPr>
          <w:rFonts w:hint="eastAsia"/>
          <w:b/>
          <w:bCs/>
          <w:color w:val="000000"/>
          <w:sz w:val="21"/>
          <w:szCs w:val="21"/>
          <w:highlight w:val="none"/>
        </w:rPr>
        <w:t xml:space="preserve">2.落实政府采购政策需满足的资格要求：根据《政府采购促进中小企业发展管理办法》的相关规定，本项目非专门面向中小企业采购，本项目所属行业为工业。</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3.未被“信用中国”网站（www.creditchina.gov.cn）或“中国政府采购网”网站（www.ccgp.gov.cn）列入失信被执行人、重大税收违法案件当事人名单、政府采购严重失信行为记录名单；</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5.法人的分支机构不得参加政府采购活动（除银行、保险、石油石化、电力、电信等行业特殊情况外）。</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6.为采购项目提供整体设计、规范编制或者项目管理、监理、检测等服务的供应商，不得再参加该采购项目的其他采购活动。 </w:t>
      </w:r>
      <w:bookmarkStart w:id="10" w:name="_Toc35393800"/>
      <w:r/>
      <w:bookmarkStart w:id="11" w:name="_Toc35393631"/>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7.本项目的特定资格要求：</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7.1</w:t>
      </w:r>
      <w:r>
        <w:rPr>
          <w:rFonts w:hint="eastAsia"/>
          <w:color w:val="000000"/>
          <w:sz w:val="21"/>
          <w:szCs w:val="21"/>
          <w:highlight w:val="none"/>
          <w:lang w:val="en-US" w:eastAsia="zh-CN"/>
        </w:rPr>
        <w:t xml:space="preserve">投标人</w:t>
      </w:r>
      <w:r>
        <w:rPr>
          <w:rFonts w:hint="eastAsia"/>
          <w:color w:val="000000"/>
          <w:sz w:val="21"/>
          <w:szCs w:val="21"/>
          <w:highlight w:val="none"/>
        </w:rPr>
        <w:t xml:space="preserve">须具备建筑机电安装工程专业承包贰级及以上资质，并具备有效的安全生产许可证；</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7.2</w:t>
      </w:r>
      <w:r>
        <w:rPr>
          <w:rFonts w:hint="eastAsia"/>
          <w:color w:val="000000"/>
          <w:sz w:val="21"/>
          <w:szCs w:val="21"/>
          <w:highlight w:val="none"/>
          <w:lang w:val="en-US" w:eastAsia="zh-CN"/>
        </w:rPr>
        <w:t xml:space="preserve">投标人</w:t>
      </w:r>
      <w:r>
        <w:rPr>
          <w:rFonts w:hint="eastAsia"/>
          <w:color w:val="000000"/>
          <w:sz w:val="21"/>
          <w:szCs w:val="21"/>
          <w:highlight w:val="none"/>
        </w:rPr>
        <w:t xml:space="preserve">须具备特种设备安装改造维修（修理）许可证（压力管道GC2级）或特种设备生产许可证（承压类特种设备安装、修理、改造--工业管道安装GC2级）；</w:t>
      </w:r>
      <w:r/>
    </w:p>
    <w:p>
      <w:pPr>
        <w:ind w:firstLine="420"/>
        <w:spacing w:line="440" w:lineRule="exact"/>
        <w:rPr>
          <w:color w:val="000000"/>
          <w:sz w:val="21"/>
          <w:szCs w:val="21"/>
          <w:highlight w:val="none"/>
          <w:lang w:val="en-US"/>
        </w:rPr>
      </w:pPr>
      <w:r>
        <w:rPr>
          <w:rFonts w:hint="eastAsia"/>
          <w:color w:val="000000"/>
          <w:sz w:val="21"/>
          <w:szCs w:val="21"/>
          <w:highlight w:val="none"/>
          <w:lang w:val="en-US" w:eastAsia="zh-CN"/>
        </w:rPr>
        <w:t xml:space="preserve">7.3投标人</w:t>
      </w:r>
      <w:r>
        <w:rPr>
          <w:rFonts w:hint="eastAsia"/>
          <w:color w:val="000000"/>
          <w:sz w:val="21"/>
          <w:szCs w:val="21"/>
          <w:highlight w:val="none"/>
        </w:rPr>
        <w:t xml:space="preserve">须具备</w:t>
      </w:r>
      <w:r>
        <w:rPr>
          <w:rFonts w:hint="eastAsia"/>
          <w:color w:val="000000"/>
          <w:sz w:val="21"/>
          <w:szCs w:val="21"/>
          <w:highlight w:val="none"/>
          <w:lang w:val="en-US" w:eastAsia="zh-CN"/>
        </w:rPr>
        <w:t xml:space="preserve">医用中心供氧系统、医用中心吸引系统</w:t>
      </w:r>
      <w:r>
        <w:rPr>
          <w:rFonts w:hint="eastAsia"/>
          <w:color w:val="000000"/>
          <w:sz w:val="21"/>
          <w:szCs w:val="21"/>
          <w:highlight w:val="none"/>
        </w:rPr>
        <w:t xml:space="preserve">中华人民共和国</w:t>
      </w:r>
      <w:r>
        <w:rPr>
          <w:rFonts w:hint="eastAsia"/>
          <w:color w:val="000000"/>
          <w:sz w:val="21"/>
          <w:szCs w:val="21"/>
          <w:highlight w:val="none"/>
          <w:lang w:val="en-US" w:eastAsia="zh-CN"/>
        </w:rPr>
        <w:t xml:space="preserve">二类</w:t>
      </w:r>
      <w:r>
        <w:rPr>
          <w:rFonts w:hint="eastAsia"/>
          <w:color w:val="000000"/>
          <w:sz w:val="21"/>
          <w:szCs w:val="21"/>
          <w:highlight w:val="none"/>
        </w:rPr>
        <w:t xml:space="preserve">医疗器械</w:t>
      </w:r>
      <w:r>
        <w:rPr>
          <w:rFonts w:hint="eastAsia"/>
          <w:color w:val="000000"/>
          <w:sz w:val="21"/>
          <w:szCs w:val="21"/>
          <w:highlight w:val="none"/>
          <w:lang w:val="en-US" w:eastAsia="zh-CN"/>
        </w:rPr>
        <w:t xml:space="preserve">注册证；</w:t>
      </w:r>
      <w:r/>
    </w:p>
    <w:p>
      <w:pPr>
        <w:ind w:firstLine="420"/>
        <w:spacing w:line="440" w:lineRule="exact"/>
        <w:rPr>
          <w:rFonts w:hint="eastAsia" w:eastAsia="宋体"/>
          <w:color w:val="000000"/>
          <w:sz w:val="21"/>
          <w:szCs w:val="21"/>
          <w:highlight w:val="none"/>
          <w:lang w:eastAsia="zh-CN"/>
        </w:rPr>
      </w:pPr>
      <w:r>
        <w:rPr>
          <w:rFonts w:hint="eastAsia"/>
          <w:color w:val="000000"/>
          <w:sz w:val="21"/>
          <w:szCs w:val="21"/>
          <w:highlight w:val="none"/>
        </w:rPr>
        <w:t xml:space="preserve">7.</w:t>
      </w:r>
      <w:r>
        <w:rPr>
          <w:rFonts w:hint="eastAsia"/>
          <w:color w:val="000000"/>
          <w:sz w:val="21"/>
          <w:szCs w:val="21"/>
          <w:highlight w:val="none"/>
          <w:lang w:val="en-US" w:eastAsia="zh-CN"/>
        </w:rPr>
        <w:t xml:space="preserve">4</w:t>
      </w:r>
      <w:r>
        <w:rPr>
          <w:rFonts w:hint="eastAsia"/>
          <w:color w:val="000000"/>
          <w:sz w:val="21"/>
          <w:szCs w:val="21"/>
          <w:highlight w:val="none"/>
        </w:rPr>
        <w:t xml:space="preserve">所投产品（</w:t>
      </w:r>
      <w:r>
        <w:rPr>
          <w:rFonts w:hint="eastAsia"/>
          <w:color w:val="000000"/>
          <w:sz w:val="21"/>
          <w:szCs w:val="21"/>
          <w:highlight w:val="none"/>
          <w:lang w:val="en-US" w:eastAsia="zh-CN"/>
        </w:rPr>
        <w:t xml:space="preserve">医用真空负压机组、医用气体汇流排、医用空气压缩机组</w:t>
      </w:r>
      <w:r>
        <w:rPr>
          <w:rFonts w:hint="eastAsia"/>
          <w:color w:val="000000"/>
          <w:sz w:val="21"/>
          <w:szCs w:val="21"/>
          <w:highlight w:val="none"/>
        </w:rPr>
        <w:t xml:space="preserve">）须具有中华人民共和国</w:t>
      </w:r>
      <w:r>
        <w:rPr>
          <w:rFonts w:hint="eastAsia"/>
          <w:color w:val="000000"/>
          <w:sz w:val="21"/>
          <w:szCs w:val="21"/>
          <w:highlight w:val="none"/>
          <w:lang w:val="en-US" w:eastAsia="zh-CN"/>
        </w:rPr>
        <w:t xml:space="preserve">二类</w:t>
      </w:r>
      <w:r>
        <w:rPr>
          <w:rFonts w:hint="eastAsia"/>
          <w:color w:val="000000"/>
          <w:sz w:val="21"/>
          <w:szCs w:val="21"/>
          <w:highlight w:val="none"/>
        </w:rPr>
        <w:t xml:space="preserve">医疗器械注册证</w:t>
      </w:r>
      <w:r>
        <w:rPr>
          <w:rFonts w:hint="eastAsia"/>
          <w:color w:val="000000"/>
          <w:sz w:val="21"/>
          <w:szCs w:val="21"/>
          <w:highlight w:val="none"/>
          <w:lang w:eastAsia="zh-CN"/>
        </w:rPr>
        <w:t xml:space="preserve">；</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lang w:val="en-US" w:eastAsia="zh-CN"/>
        </w:rPr>
        <w:t xml:space="preserve">5投标人</w:t>
      </w:r>
      <w:r>
        <w:rPr>
          <w:rFonts w:hint="eastAsia"/>
          <w:color w:val="000000"/>
          <w:sz w:val="21"/>
          <w:szCs w:val="21"/>
          <w:highlight w:val="none"/>
        </w:rPr>
        <w:t xml:space="preserve">须具备二类医疗器械生产许可证和第二类医疗器械经营备案凭证；</w:t>
      </w:r>
      <w:r/>
    </w:p>
    <w:p>
      <w:pPr>
        <w:pStyle w:val="822"/>
        <w:ind w:left="0" w:firstLine="422"/>
        <w:spacing w:before="0"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三、获取招标文件</w:t>
      </w:r>
      <w:bookmarkEnd w:id="8"/>
      <w:r/>
      <w:bookmarkEnd w:id="9"/>
      <w:r/>
      <w:bookmarkEnd w:id="10"/>
      <w:r/>
      <w:bookmarkEnd w:id="11"/>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1.时间：自招标公告发布之日起5个工作日。</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2.地点：苏采云系统自行下载</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3.方式：</w:t>
      </w:r>
      <w:r/>
    </w:p>
    <w:p>
      <w:pPr>
        <w:ind w:firstLine="420"/>
        <w:jc w:val="left"/>
        <w:spacing w:line="440" w:lineRule="exact"/>
        <w:widowControl/>
        <w:rPr>
          <w:rFonts w:hint="eastAsia"/>
          <w:color w:val="000000"/>
          <w:sz w:val="21"/>
          <w:szCs w:val="21"/>
          <w:highlight w:val="none"/>
          <w:lang w:val="zh-CN"/>
        </w:rPr>
      </w:pPr>
      <w:r>
        <w:rPr>
          <w:rFonts w:hint="eastAsia"/>
          <w:color w:val="000000"/>
          <w:sz w:val="21"/>
          <w:szCs w:val="21"/>
          <w:highlight w:val="none"/>
          <w:lang w:val="zh-CN"/>
        </w:rPr>
        <w:t xml:space="preserve">（1）CA证书办理 </w:t>
      </w:r>
      <w:r/>
    </w:p>
    <w:p>
      <w:pPr>
        <w:ind w:firstLine="420"/>
        <w:jc w:val="left"/>
        <w:spacing w:line="440" w:lineRule="exact"/>
        <w:widowControl/>
        <w:rPr>
          <w:rFonts w:hint="eastAsia"/>
          <w:color w:val="000000"/>
          <w:sz w:val="21"/>
          <w:szCs w:val="21"/>
          <w:highlight w:val="none"/>
          <w:lang w:val="zh-CN"/>
        </w:rPr>
      </w:pPr>
      <w:r>
        <w:rPr>
          <w:rFonts w:hint="eastAsia"/>
          <w:sz w:val="2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b/>
          <w:bCs/>
          <w:sz w:val="21"/>
          <w:szCs w:val="21"/>
          <w:highlight w:val="none"/>
          <w:shd w:val="clear" w:color="auto" w:fill="ffffff"/>
        </w:rPr>
        <w:t xml:space="preserve">“苏采云”系统目前仅支持“苏采云”系统下的政务CA证书，江苏省内各地区办理的“苏采云”系统下的政务CA证书全省通用。</w:t>
      </w:r>
      <w:r>
        <w:rPr>
          <w:rFonts w:hint="eastAsia"/>
          <w:sz w:val="21"/>
          <w:szCs w:val="21"/>
          <w:highlight w:val="none"/>
          <w:shd w:val="clear" w:color="auto" w:fill="ffffff"/>
        </w:rPr>
        <w:t xml:space="preserve">苏州现场办理地址：苏州市高新区邓蔚路105号狮山科技馆一楼服务大厅，咨询电话：0512-65737699。</w:t>
      </w:r>
      <w:r>
        <w:rPr>
          <w:rFonts w:hint="eastAsia"/>
          <w:sz w:val="21"/>
          <w:szCs w:val="21"/>
          <w:highlight w:val="none"/>
          <w:shd w:val="clear" w:color="auto" w:fill="ffffff"/>
          <w:lang w:val="zh-CN"/>
        </w:rPr>
        <w:t xml:space="preserve"> </w:t>
      </w:r>
      <w:r/>
    </w:p>
    <w:p>
      <w:pPr>
        <w:ind w:firstLine="420"/>
        <w:jc w:val="left"/>
        <w:spacing w:line="440" w:lineRule="exact"/>
        <w:widowControl/>
        <w:rPr>
          <w:rFonts w:hint="eastAsia"/>
          <w:color w:val="000000"/>
          <w:sz w:val="21"/>
          <w:szCs w:val="21"/>
          <w:highlight w:val="none"/>
          <w:lang w:val="zh-CN"/>
        </w:rPr>
      </w:pPr>
      <w:r>
        <w:rPr>
          <w:rFonts w:hint="eastAsia"/>
          <w:color w:val="000000"/>
          <w:sz w:val="21"/>
          <w:szCs w:val="21"/>
          <w:highlight w:val="none"/>
          <w:lang w:val="zh-CN"/>
        </w:rPr>
        <w:t xml:space="preserve">（2）参与采购活动 </w:t>
      </w:r>
      <w:r/>
    </w:p>
    <w:p>
      <w:pPr>
        <w:ind w:firstLine="420"/>
        <w:jc w:val="left"/>
        <w:spacing w:line="440" w:lineRule="exact"/>
        <w:widowControl/>
        <w:rPr>
          <w:rFonts w:hint="eastAsia"/>
          <w:color w:val="000000"/>
          <w:sz w:val="21"/>
          <w:szCs w:val="21"/>
          <w:highlight w:val="none"/>
          <w:lang w:val="zh-CN"/>
        </w:rPr>
      </w:pPr>
      <w:r>
        <w:rPr>
          <w:rFonts w:hint="eastAsia"/>
          <w:color w:val="000000"/>
          <w:sz w:val="2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440" w:lineRule="exact"/>
        <w:widowControl/>
        <w:rPr>
          <w:rFonts w:hint="eastAsia"/>
          <w:color w:val="000000"/>
          <w:sz w:val="21"/>
          <w:szCs w:val="21"/>
          <w:highlight w:val="none"/>
          <w:lang w:val="zh-CN"/>
        </w:rPr>
      </w:pPr>
      <w:r>
        <w:rPr>
          <w:rFonts w:hint="eastAsia"/>
          <w:color w:val="000000"/>
          <w:sz w:val="21"/>
          <w:szCs w:val="21"/>
          <w:highlight w:val="none"/>
          <w:lang w:val="zh-CN"/>
        </w:rPr>
        <w:t xml:space="preserve">（3）电子投标准备 </w:t>
      </w:r>
      <w:r/>
    </w:p>
    <w:p>
      <w:pPr>
        <w:ind w:firstLine="420"/>
        <w:jc w:val="left"/>
        <w:spacing w:line="440" w:lineRule="exact"/>
        <w:widowControl/>
        <w:rPr>
          <w:rFonts w:hint="eastAsia"/>
          <w:color w:val="000000"/>
          <w:sz w:val="21"/>
          <w:szCs w:val="21"/>
          <w:highlight w:val="none"/>
          <w:lang w:val="zh-CN"/>
        </w:rPr>
      </w:pPr>
      <w:r>
        <w:rPr>
          <w:rFonts w:hint="eastAsia"/>
          <w:color w:val="000000"/>
          <w:sz w:val="21"/>
          <w:szCs w:val="21"/>
          <w:highlight w:val="none"/>
          <w:lang w:val="zh-CN"/>
        </w:rPr>
        <w:t xml:space="preserve">供应商在“苏采云”系统中操作参与项目后，必须在“已参与项目”界面中下载电子采购文件（后缀名为“.kedt”）并导入政府采购客户端工具后方可进行投标文件制作和提交</w:t>
      </w:r>
      <w:r>
        <w:rPr>
          <w:rFonts w:hint="eastAsia"/>
          <w:b/>
          <w:bCs/>
          <w:color w:val="000000"/>
          <w:sz w:val="21"/>
          <w:szCs w:val="21"/>
          <w:highlight w:val="none"/>
          <w:lang w:val="zh-CN"/>
        </w:rPr>
        <w:t xml:space="preserve">（具体详见《苏采云系统供应商操作手册》，网址链接https：//czju.suzhou.gov.cn/zfcg/html/content/20231220161910031.shtml）。 </w:t>
      </w:r>
      <w:r>
        <w:rPr>
          <w:rFonts w:hint="eastAsia"/>
          <w:color w:val="000000"/>
          <w:sz w:val="21"/>
          <w:szCs w:val="21"/>
          <w:highlight w:val="none"/>
          <w:lang w:val="zh-CN"/>
        </w:rPr>
        <w:t xml:space="preserve">在系统操作过程中如有疑问，请按以下方式联系：</w:t>
      </w:r>
      <w:r/>
    </w:p>
    <w:p>
      <w:pPr>
        <w:ind w:firstLine="420"/>
        <w:spacing w:line="360" w:lineRule="auto"/>
        <w:rPr>
          <w:sz w:val="21"/>
          <w:szCs w:val="21"/>
          <w:highlight w:val="none"/>
          <w:shd w:val="clear" w:color="auto" w:fill="ffffff"/>
        </w:rPr>
      </w:pPr>
      <w:r>
        <w:rPr>
          <w:rFonts w:hint="eastAsia"/>
          <w:sz w:val="21"/>
          <w:szCs w:val="21"/>
          <w:highlight w:val="none"/>
          <w:shd w:val="clear" w:color="auto" w:fill="ffffff"/>
        </w:rPr>
        <w:t xml:space="preserve">注册咨询：18261002950；</w:t>
      </w:r>
      <w:r/>
    </w:p>
    <w:p>
      <w:pPr>
        <w:ind w:firstLine="420"/>
        <w:spacing w:line="360" w:lineRule="auto"/>
        <w:rPr>
          <w:sz w:val="21"/>
          <w:szCs w:val="21"/>
          <w:highlight w:val="none"/>
          <w:shd w:val="clear" w:color="auto" w:fill="ffffff"/>
        </w:rPr>
      </w:pPr>
      <w:r>
        <w:rPr>
          <w:rFonts w:hint="eastAsia"/>
          <w:sz w:val="21"/>
          <w:szCs w:val="21"/>
          <w:highlight w:val="none"/>
          <w:shd w:val="clear" w:color="auto" w:fill="ffffff"/>
        </w:rPr>
        <w:t xml:space="preserve">CA技术咨询电话：400-608-6099；</w:t>
      </w:r>
      <w:r/>
    </w:p>
    <w:p>
      <w:pPr>
        <w:ind w:firstLine="420"/>
        <w:spacing w:line="360" w:lineRule="auto"/>
        <w:rPr>
          <w:sz w:val="21"/>
          <w:szCs w:val="21"/>
          <w:highlight w:val="none"/>
          <w:shd w:val="clear" w:color="auto" w:fill="ffffff"/>
        </w:rPr>
      </w:pPr>
      <w:r>
        <w:rPr>
          <w:rFonts w:hint="eastAsia"/>
          <w:sz w:val="21"/>
          <w:szCs w:val="21"/>
          <w:highlight w:val="none"/>
          <w:shd w:val="clear" w:color="auto" w:fill="ffffff"/>
        </w:rPr>
        <w:t xml:space="preserve">签章使用问题：025-83633811、025-83633812、15380932027、15371015030；</w:t>
      </w:r>
      <w:r/>
    </w:p>
    <w:p>
      <w:pPr>
        <w:ind w:firstLine="420"/>
        <w:spacing w:line="360" w:lineRule="auto"/>
        <w:rPr>
          <w:sz w:val="21"/>
          <w:szCs w:val="21"/>
          <w:highlight w:val="none"/>
          <w:shd w:val="clear" w:color="auto" w:fill="ffffff"/>
        </w:rPr>
      </w:pPr>
      <w:r>
        <w:rPr>
          <w:rFonts w:hint="eastAsia"/>
          <w:sz w:val="21"/>
          <w:szCs w:val="21"/>
          <w:highlight w:val="none"/>
          <w:shd w:val="clear" w:color="auto" w:fill="ffffff"/>
        </w:rPr>
        <w:t xml:space="preserve">系统使用指导与咨询：联系电话：18261002950；QQ：3048755361、1315179389、895706745。</w:t>
      </w:r>
      <w:r/>
    </w:p>
    <w:p>
      <w:pPr>
        <w:ind w:firstLine="420"/>
        <w:spacing w:line="360" w:lineRule="auto"/>
        <w:rPr>
          <w:sz w:val="21"/>
          <w:szCs w:val="21"/>
          <w:highlight w:val="none"/>
          <w:shd w:val="clear" w:color="auto" w:fill="ffffff"/>
        </w:rPr>
      </w:pPr>
      <w:r>
        <w:rPr>
          <w:rFonts w:hint="eastAsia"/>
          <w:sz w:val="21"/>
          <w:szCs w:val="21"/>
          <w:highlight w:val="none"/>
          <w:shd w:val="clear" w:color="auto" w:fill="ffffff"/>
        </w:rPr>
        <w:t xml:space="preserve">4.售价：免费。</w:t>
      </w:r>
      <w:r/>
    </w:p>
    <w:p>
      <w:pPr>
        <w:pStyle w:val="822"/>
        <w:ind w:left="0" w:firstLine="422"/>
        <w:spacing w:before="0" w:after="0" w:line="440" w:lineRule="exact"/>
        <w:rPr>
          <w:rFonts w:hint="eastAsia" w:ascii="宋体" w:hAnsi="宋体" w:eastAsia="宋体" w:cs="宋体"/>
          <w:color w:val="000000"/>
          <w:sz w:val="21"/>
          <w:szCs w:val="21"/>
          <w:highlight w:val="none"/>
        </w:rPr>
      </w:pPr>
      <w:r/>
      <w:bookmarkStart w:id="12" w:name="_Toc28359092"/>
      <w:r/>
      <w:bookmarkStart w:id="13" w:name="_Toc35393632"/>
      <w:r/>
      <w:bookmarkStart w:id="14" w:name="_Toc28359015"/>
      <w:r/>
      <w:bookmarkStart w:id="15" w:name="_Toc35393801"/>
      <w:r>
        <w:rPr>
          <w:rFonts w:hint="eastAsia" w:ascii="宋体" w:hAnsi="宋体" w:eastAsia="宋体" w:cs="宋体"/>
          <w:color w:val="000000"/>
          <w:sz w:val="21"/>
          <w:szCs w:val="21"/>
          <w:highlight w:val="none"/>
        </w:rPr>
        <w:t xml:space="preserve">四、</w:t>
      </w:r>
      <w:bookmarkEnd w:id="12"/>
      <w:r/>
      <w:bookmarkEnd w:id="13"/>
      <w:r/>
      <w:bookmarkEnd w:id="14"/>
      <w:r/>
      <w:bookmarkEnd w:id="15"/>
      <w:r>
        <w:rPr>
          <w:rFonts w:hint="eastAsia" w:ascii="宋体" w:hAnsi="宋体" w:eastAsia="宋体" w:cs="宋体"/>
          <w:color w:val="000000"/>
          <w:sz w:val="21"/>
          <w:szCs w:val="21"/>
          <w:highlight w:val="none"/>
          <w:lang w:bidi="ar"/>
        </w:rPr>
        <w:t xml:space="preserve">提交电子投标文件截止时间、开标时间和地点</w:t>
      </w:r>
      <w:r/>
    </w:p>
    <w:p>
      <w:pPr>
        <w:ind w:firstLine="420"/>
        <w:jc w:val="left"/>
        <w:spacing w:line="440" w:lineRule="exact"/>
        <w:rPr>
          <w:rFonts w:hint="eastAsia"/>
          <w:color w:val="000000"/>
          <w:sz w:val="21"/>
          <w:szCs w:val="21"/>
          <w:highlight w:val="none"/>
        </w:rPr>
      </w:pPr>
      <w:r/>
      <w:bookmarkStart w:id="16" w:name="_Hlk61337266"/>
      <w:r>
        <w:rPr>
          <w:rFonts w:hint="eastAsia"/>
          <w:color w:val="000000"/>
          <w:sz w:val="21"/>
          <w:szCs w:val="21"/>
          <w:highlight w:val="none"/>
        </w:rPr>
        <w:t xml:space="preserve">1.提交投标文件截止时间：2026年0</w:t>
      </w:r>
      <w:r>
        <w:rPr>
          <w:rFonts w:hint="eastAsia"/>
          <w:color w:val="000000"/>
          <w:sz w:val="21"/>
          <w:szCs w:val="21"/>
          <w:highlight w:val="none"/>
          <w:lang w:val="en-US" w:eastAsia="zh-CN"/>
        </w:rPr>
        <w:t xml:space="preserve">5</w:t>
      </w:r>
      <w:r>
        <w:rPr>
          <w:rFonts w:hint="eastAsia"/>
          <w:color w:val="000000"/>
          <w:sz w:val="21"/>
          <w:szCs w:val="21"/>
          <w:highlight w:val="none"/>
        </w:rPr>
        <w:t xml:space="preserve">月</w:t>
      </w:r>
      <w:r>
        <w:rPr>
          <w:rFonts w:hint="eastAsia"/>
          <w:color w:val="000000"/>
          <w:sz w:val="21"/>
          <w:szCs w:val="21"/>
          <w:highlight w:val="none"/>
          <w:lang w:val="en-US" w:eastAsia="zh-CN"/>
        </w:rPr>
        <w:t xml:space="preserve">14</w:t>
      </w:r>
      <w:r>
        <w:rPr>
          <w:rFonts w:hint="eastAsia"/>
          <w:color w:val="000000"/>
          <w:sz w:val="21"/>
          <w:szCs w:val="21"/>
          <w:highlight w:val="none"/>
        </w:rPr>
        <w:t xml:space="preserve">日13：30（北京时间）； </w:t>
      </w:r>
      <w:r/>
    </w:p>
    <w:p>
      <w:pPr>
        <w:ind w:firstLine="420"/>
        <w:jc w:val="left"/>
        <w:spacing w:line="440" w:lineRule="exact"/>
        <w:rPr>
          <w:rFonts w:hint="eastAsia"/>
          <w:color w:val="000000"/>
          <w:sz w:val="21"/>
          <w:szCs w:val="21"/>
          <w:highlight w:val="none"/>
        </w:rPr>
      </w:pPr>
      <w:r>
        <w:rPr>
          <w:rFonts w:hint="eastAsia"/>
          <w:color w:val="000000"/>
          <w:sz w:val="21"/>
          <w:szCs w:val="21"/>
          <w:highlight w:val="none"/>
        </w:rPr>
        <w:t xml:space="preserve">2.开标时间：2026年0</w:t>
      </w:r>
      <w:r>
        <w:rPr>
          <w:rFonts w:hint="eastAsia"/>
          <w:color w:val="000000"/>
          <w:sz w:val="21"/>
          <w:szCs w:val="21"/>
          <w:highlight w:val="none"/>
          <w:lang w:val="en-US" w:eastAsia="zh-CN"/>
        </w:rPr>
        <w:t xml:space="preserve">5</w:t>
      </w:r>
      <w:r>
        <w:rPr>
          <w:rFonts w:hint="eastAsia"/>
          <w:color w:val="000000"/>
          <w:sz w:val="21"/>
          <w:szCs w:val="21"/>
          <w:highlight w:val="none"/>
        </w:rPr>
        <w:t xml:space="preserve">月</w:t>
      </w:r>
      <w:r>
        <w:rPr>
          <w:rFonts w:hint="eastAsia"/>
          <w:color w:val="000000"/>
          <w:sz w:val="21"/>
          <w:szCs w:val="21"/>
          <w:highlight w:val="none"/>
          <w:lang w:val="en-US" w:eastAsia="zh-CN"/>
        </w:rPr>
        <w:t xml:space="preserve">14</w:t>
      </w:r>
      <w:r>
        <w:rPr>
          <w:rFonts w:hint="eastAsia"/>
          <w:color w:val="000000"/>
          <w:sz w:val="21"/>
          <w:szCs w:val="21"/>
          <w:highlight w:val="none"/>
        </w:rPr>
        <w:t xml:space="preserve">日13：30（北京时间）；</w:t>
      </w:r>
      <w:r/>
    </w:p>
    <w:p>
      <w:pPr>
        <w:ind w:firstLine="420"/>
        <w:jc w:val="left"/>
        <w:spacing w:line="440" w:lineRule="exact"/>
        <w:rPr>
          <w:rFonts w:hint="eastAsia"/>
          <w:color w:val="000000"/>
          <w:sz w:val="21"/>
          <w:szCs w:val="21"/>
          <w:highlight w:val="none"/>
        </w:rPr>
      </w:pPr>
      <w:r>
        <w:rPr>
          <w:rFonts w:hint="eastAsia"/>
          <w:color w:val="000000"/>
          <w:sz w:val="21"/>
          <w:szCs w:val="21"/>
          <w:highlight w:val="none"/>
        </w:rPr>
        <w:t xml:space="preserve">3.开标地点：“苏采云”系统（网址：http：//jszfcg.jsczt.cn/）。响应文件网上递交，不需要现场参加采购活动。</w:t>
      </w:r>
      <w:r/>
    </w:p>
    <w:p>
      <w:pPr>
        <w:ind w:firstLine="420"/>
        <w:jc w:val="left"/>
        <w:spacing w:line="440" w:lineRule="exact"/>
        <w:rPr>
          <w:rFonts w:hint="eastAsia"/>
          <w:color w:val="000000"/>
          <w:sz w:val="21"/>
          <w:szCs w:val="21"/>
          <w:highlight w:val="none"/>
        </w:rPr>
      </w:pPr>
      <w:r>
        <w:rPr>
          <w:rFonts w:hint="eastAsia"/>
          <w:color w:val="000000"/>
          <w:sz w:val="21"/>
          <w:szCs w:val="21"/>
          <w:highlight w:val="none"/>
        </w:rPr>
        <w:t xml:space="preserve">4.</w:t>
      </w:r>
      <w:r>
        <w:rPr>
          <w:rFonts w:hint="eastAsia"/>
          <w:b/>
          <w:bCs/>
          <w:color w:val="000000"/>
          <w:sz w:val="21"/>
          <w:szCs w:val="21"/>
          <w:highlight w:val="none"/>
        </w:rPr>
        <w:t xml:space="preserve">本项目采用电子招投标形式，请供应商按照《苏采云系统供应商操作手册》进行制作、上传电子投标文件。</w:t>
      </w:r>
      <w:r>
        <w:rPr>
          <w:rFonts w:hint="eastAsia"/>
          <w:color w:val="000000"/>
          <w:sz w:val="21"/>
          <w:szCs w:val="21"/>
          <w:highlight w:val="none"/>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40" w:lineRule="exact"/>
        <w:rPr>
          <w:rFonts w:hint="eastAsia"/>
          <w:b/>
          <w:bCs/>
          <w:color w:val="000000"/>
          <w:sz w:val="21"/>
          <w:szCs w:val="21"/>
          <w:highlight w:val="none"/>
        </w:rPr>
      </w:pPr>
      <w:r>
        <w:rPr>
          <w:rFonts w:hint="eastAsia"/>
          <w:color w:val="000000"/>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b/>
          <w:bCs/>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firstLine="422"/>
        <w:jc w:val="left"/>
        <w:spacing w:line="440" w:lineRule="exact"/>
        <w:rPr>
          <w:rFonts w:hint="eastAsia"/>
          <w:b/>
          <w:bCs/>
          <w:color w:val="000000"/>
          <w:sz w:val="21"/>
          <w:szCs w:val="21"/>
          <w:highlight w:val="none"/>
        </w:rPr>
      </w:pPr>
      <w:r>
        <w:rPr>
          <w:rFonts w:hint="eastAsia"/>
          <w:b/>
          <w:bCs/>
          <w:color w:val="000000"/>
          <w:sz w:val="21"/>
          <w:szCs w:val="21"/>
          <w:highlight w:val="none"/>
        </w:rPr>
        <w:t xml:space="preserve">请供应商确保电脑、系统及其他设备（视频输入输出设备等）无误，且开标直至项目结束始终保持系统在线状态。</w:t>
      </w:r>
      <w:bookmarkEnd w:id="16"/>
      <w:r/>
    </w:p>
    <w:p>
      <w:pPr>
        <w:ind w:firstLine="422"/>
        <w:spacing w:line="440" w:lineRule="exact"/>
        <w:rPr>
          <w:rFonts w:hint="eastAsia"/>
          <w:b/>
          <w:bCs/>
          <w:color w:val="000000"/>
          <w:sz w:val="21"/>
          <w:szCs w:val="21"/>
          <w:highlight w:val="none"/>
        </w:rPr>
      </w:pPr>
      <w:r/>
      <w:bookmarkStart w:id="17" w:name="_Toc28359094"/>
      <w:r/>
      <w:bookmarkStart w:id="18" w:name="_Toc35393803"/>
      <w:r/>
      <w:bookmarkStart w:id="19" w:name="_Toc28359017"/>
      <w:r/>
      <w:bookmarkStart w:id="20" w:name="_Toc35393634"/>
      <w:r>
        <w:rPr>
          <w:rFonts w:hint="eastAsia"/>
          <w:b/>
          <w:bCs/>
          <w:color w:val="000000"/>
          <w:sz w:val="21"/>
          <w:szCs w:val="21"/>
          <w:highlight w:val="none"/>
        </w:rPr>
        <w:t xml:space="preserve">五、公告期限</w:t>
      </w:r>
      <w:bookmarkEnd w:id="17"/>
      <w:r/>
      <w:bookmarkEnd w:id="18"/>
      <w:r/>
      <w:bookmarkEnd w:id="19"/>
      <w:r/>
      <w:bookmarkEnd w:id="20"/>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自本公告发布之日起5个工作日。</w:t>
      </w:r>
      <w:r/>
    </w:p>
    <w:p>
      <w:pPr>
        <w:pStyle w:val="822"/>
        <w:ind w:left="0" w:firstLine="422"/>
        <w:spacing w:before="0" w:after="0" w:line="440" w:lineRule="exact"/>
        <w:rPr>
          <w:rFonts w:hint="eastAsia" w:ascii="宋体" w:hAnsi="宋体" w:eastAsia="宋体" w:cs="宋体"/>
          <w:color w:val="000000"/>
          <w:sz w:val="21"/>
          <w:szCs w:val="21"/>
          <w:highlight w:val="none"/>
        </w:rPr>
      </w:pPr>
      <w:r/>
      <w:bookmarkStart w:id="21" w:name="_Toc35393635"/>
      <w:r/>
      <w:bookmarkStart w:id="22" w:name="_Toc35393804"/>
      <w:r>
        <w:rPr>
          <w:rFonts w:hint="eastAsia" w:ascii="宋体" w:hAnsi="宋体" w:eastAsia="宋体" w:cs="宋体"/>
          <w:color w:val="000000"/>
          <w:sz w:val="21"/>
          <w:szCs w:val="21"/>
          <w:highlight w:val="none"/>
        </w:rPr>
        <w:t xml:space="preserve">六、其他补充事宜</w:t>
      </w:r>
      <w:bookmarkEnd w:id="21"/>
      <w:r/>
      <w:bookmarkEnd w:id="22"/>
      <w:r/>
      <w:r/>
    </w:p>
    <w:p>
      <w:pPr>
        <w:ind w:firstLine="420"/>
        <w:jc w:val="left"/>
        <w:spacing w:line="440" w:lineRule="exact"/>
        <w:rPr>
          <w:rFonts w:hint="eastAsia"/>
          <w:color w:val="000000"/>
          <w:sz w:val="21"/>
          <w:szCs w:val="21"/>
          <w:highlight w:val="none"/>
        </w:rPr>
      </w:pPr>
      <w:r/>
      <w:bookmarkStart w:id="23" w:name="OLE_LINK4"/>
      <w:r>
        <w:rPr>
          <w:rFonts w:hint="eastAsia"/>
          <w:color w:val="000000"/>
          <w:sz w:val="21"/>
          <w:szCs w:val="21"/>
          <w:highlight w:val="none"/>
        </w:rPr>
        <w:t xml:space="preserve">1.“苏采云”系统网址：http：//jszfcg.jsczt.cn/。</w:t>
      </w:r>
      <w:bookmarkEnd w:id="23"/>
      <w:r/>
    </w:p>
    <w:p>
      <w:pPr>
        <w:ind w:firstLine="420"/>
        <w:jc w:val="left"/>
        <w:spacing w:line="440" w:lineRule="exact"/>
        <w:rPr>
          <w:rFonts w:hint="eastAsia"/>
          <w:color w:val="000000"/>
          <w:sz w:val="21"/>
          <w:szCs w:val="21"/>
          <w:highlight w:val="none"/>
        </w:rPr>
      </w:pPr>
      <w:r>
        <w:rPr>
          <w:rFonts w:hint="eastAsia"/>
          <w:color w:val="000000"/>
          <w:sz w:val="21"/>
          <w:szCs w:val="21"/>
          <w:highlight w:val="none"/>
        </w:rPr>
        <w:t xml:space="preserve">2.本项目获取采购文件截止日期之后仍可以下载采购文件，但截止日期之后下载的采购文件，视为非有效方式且不作为供应商权益受到损害的证明材料和依据。</w:t>
      </w:r>
      <w:r/>
    </w:p>
    <w:p>
      <w:pPr>
        <w:ind w:firstLine="420"/>
        <w:jc w:val="left"/>
        <w:spacing w:line="440" w:lineRule="exact"/>
        <w:rPr>
          <w:rFonts w:hint="eastAsia"/>
          <w:color w:val="000000"/>
          <w:sz w:val="21"/>
          <w:szCs w:val="21"/>
          <w:highlight w:val="none"/>
        </w:rPr>
      </w:pPr>
      <w:r/>
      <w:bookmarkStart w:id="24" w:name="_Toc35393636"/>
      <w:r/>
      <w:bookmarkStart w:id="25" w:name="_Toc35393805"/>
      <w:r/>
      <w:bookmarkStart w:id="26" w:name="_Toc28359018"/>
      <w:r/>
      <w:bookmarkStart w:id="27" w:name="_Toc28359095"/>
      <w:r>
        <w:rPr>
          <w:rFonts w:hint="eastAsia"/>
          <w:color w:val="000000"/>
          <w:sz w:val="21"/>
          <w:szCs w:val="21"/>
          <w:highlight w:val="none"/>
        </w:rPr>
        <w:t xml:space="preserve">3.苏州吴江区政府采购办公室监督电话：0512-63982393。</w:t>
      </w:r>
      <w:r/>
    </w:p>
    <w:p>
      <w:pPr>
        <w:ind w:firstLine="420"/>
        <w:jc w:val="left"/>
        <w:spacing w:line="440" w:lineRule="exact"/>
        <w:rPr>
          <w:rFonts w:hint="eastAsia"/>
          <w:color w:val="000000"/>
          <w:sz w:val="21"/>
          <w:szCs w:val="21"/>
          <w:highlight w:val="none"/>
        </w:rPr>
      </w:pPr>
      <w:r>
        <w:rPr>
          <w:rFonts w:hint="eastAsia"/>
          <w:color w:val="000000"/>
          <w:sz w:val="21"/>
          <w:szCs w:val="21"/>
          <w:highlight w:val="none"/>
        </w:rPr>
        <w:t xml:space="preserve">4.根据苏州市财政局《关于深入开展苏州市政府采购合同信用融资业务的通知》相关要求，本项目支持政府采购合同信用融资。</w:t>
      </w:r>
      <w:r/>
    </w:p>
    <w:p>
      <w:pPr>
        <w:ind w:firstLine="420"/>
        <w:jc w:val="left"/>
        <w:spacing w:line="440" w:lineRule="exact"/>
        <w:rPr>
          <w:rFonts w:hint="eastAsia"/>
          <w:color w:val="000000"/>
          <w:sz w:val="21"/>
          <w:szCs w:val="21"/>
          <w:highlight w:val="none"/>
        </w:rPr>
      </w:pPr>
      <w:r>
        <w:rPr>
          <w:rFonts w:hint="eastAsia"/>
          <w:color w:val="000000"/>
          <w:sz w:val="21"/>
          <w:szCs w:val="21"/>
          <w:highlight w:val="none"/>
        </w:rPr>
        <w:t xml:space="preserve">5.本次采购的相关信息刊登在江苏政府采购网、苏州政府采购网。</w:t>
      </w:r>
      <w:r/>
    </w:p>
    <w:p>
      <w:pPr>
        <w:ind w:firstLine="420"/>
        <w:jc w:val="left"/>
        <w:spacing w:line="440" w:lineRule="exact"/>
        <w:rPr>
          <w:rFonts w:hint="eastAsia"/>
          <w:color w:val="000000"/>
          <w:sz w:val="21"/>
          <w:szCs w:val="21"/>
          <w:highlight w:val="none"/>
        </w:rPr>
      </w:pPr>
      <w:r>
        <w:rPr>
          <w:rFonts w:hint="eastAsia"/>
          <w:color w:val="000000"/>
          <w:sz w:val="21"/>
          <w:szCs w:val="21"/>
          <w:highlight w:val="none"/>
        </w:rPr>
        <w:t xml:space="preserve">6.现场踏勘：为便于各投标供应商充分了解项目现场实际情况，可自行前往现场进行踏勘，以获取可能影响投标决策的所有直接资料。未进行现场踏勘的供应商，在中标后不得以“对现场情况了解不充分”为由，向招标采购单位提出任何索赔或加价诉求。对于此类诉求，招标采购单位不承担任何责任，且将不作答复与考虑。如需前往现场踏勘，请提前联系。</w:t>
      </w:r>
      <w:r/>
    </w:p>
    <w:p>
      <w:pPr>
        <w:ind w:firstLine="422"/>
        <w:jc w:val="left"/>
        <w:spacing w:line="440" w:lineRule="exact"/>
        <w:rPr>
          <w:rFonts w:hint="eastAsia"/>
          <w:b/>
          <w:bCs/>
          <w:color w:val="000000"/>
          <w:sz w:val="21"/>
          <w:szCs w:val="21"/>
          <w:highlight w:val="none"/>
        </w:rPr>
      </w:pPr>
      <w:r>
        <w:rPr>
          <w:rFonts w:hint="eastAsia"/>
          <w:b/>
          <w:bCs/>
          <w:color w:val="000000"/>
          <w:sz w:val="21"/>
          <w:szCs w:val="21"/>
          <w:highlight w:val="none"/>
        </w:rPr>
        <w:t xml:space="preserve">七、凡对本次招标提出询问，请按以下方式联系</w:t>
      </w:r>
      <w:bookmarkEnd w:id="24"/>
      <w:r/>
      <w:bookmarkEnd w:id="25"/>
      <w:r/>
      <w:bookmarkEnd w:id="26"/>
      <w:r/>
      <w:bookmarkEnd w:id="27"/>
      <w:r/>
      <w:r/>
    </w:p>
    <w:p>
      <w:pPr>
        <w:ind w:firstLine="420"/>
        <w:jc w:val="left"/>
        <w:spacing w:line="440" w:lineRule="exact"/>
        <w:widowControl/>
        <w:rPr>
          <w:rFonts w:hint="eastAsia"/>
          <w:color w:val="000000"/>
          <w:sz w:val="21"/>
          <w:szCs w:val="21"/>
          <w:highlight w:val="none"/>
        </w:rPr>
      </w:pPr>
      <w:r/>
      <w:bookmarkStart w:id="28" w:name="_Toc35393617"/>
      <w:r/>
      <w:bookmarkStart w:id="29" w:name="_Toc35393786"/>
      <w:r/>
      <w:bookmarkStart w:id="30" w:name="_Toc28359075"/>
      <w:r/>
      <w:bookmarkStart w:id="31" w:name="_Toc28358998"/>
      <w:r>
        <w:rPr>
          <w:rFonts w:hint="eastAsia"/>
          <w:color w:val="000000"/>
          <w:sz w:val="21"/>
          <w:szCs w:val="21"/>
          <w:highlight w:val="none"/>
        </w:rPr>
        <w:t xml:space="preserve">1.采购人信息</w:t>
      </w:r>
      <w:bookmarkEnd w:id="28"/>
      <w:r/>
      <w:bookmarkEnd w:id="29"/>
      <w:r/>
      <w:bookmarkEnd w:id="30"/>
      <w:r/>
      <w:bookmarkEnd w:id="31"/>
      <w:r/>
      <w:r/>
    </w:p>
    <w:p>
      <w:pPr>
        <w:ind w:firstLine="420"/>
        <w:jc w:val="left"/>
        <w:spacing w:line="440" w:lineRule="exact"/>
        <w:widowControl/>
        <w:rPr>
          <w:rFonts w:hint="eastAsia"/>
          <w:color w:val="000000"/>
          <w:sz w:val="21"/>
          <w:szCs w:val="21"/>
          <w:highlight w:val="none"/>
          <w:lang w:val="zh-CN"/>
        </w:rPr>
      </w:pPr>
      <w:r>
        <w:rPr>
          <w:rFonts w:hint="eastAsia"/>
          <w:color w:val="000000"/>
          <w:sz w:val="21"/>
          <w:szCs w:val="21"/>
          <w:highlight w:val="none"/>
          <w:lang w:val="zh-CN"/>
        </w:rPr>
        <w:t xml:space="preserve">名  称：苏州市吴江区第四人民医院</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lang w:val="zh-CN"/>
        </w:rPr>
        <w:t xml:space="preserve">地 </w:t>
      </w:r>
      <w:r>
        <w:rPr>
          <w:rFonts w:hint="eastAsia"/>
          <w:color w:val="000000"/>
          <w:sz w:val="21"/>
          <w:szCs w:val="21"/>
          <w:highlight w:val="none"/>
        </w:rPr>
        <w:t xml:space="preserve"> </w:t>
      </w:r>
      <w:r>
        <w:rPr>
          <w:rFonts w:hint="eastAsia"/>
          <w:color w:val="000000"/>
          <w:sz w:val="21"/>
          <w:szCs w:val="21"/>
          <w:highlight w:val="none"/>
          <w:lang w:val="zh-CN"/>
        </w:rPr>
        <w:t xml:space="preserve">址：</w:t>
      </w:r>
      <w:bookmarkStart w:id="32" w:name="_Toc28359000"/>
      <w:r/>
      <w:bookmarkStart w:id="33" w:name="_Toc35393788"/>
      <w:r/>
      <w:bookmarkStart w:id="34" w:name="_Toc28359077"/>
      <w:r/>
      <w:bookmarkStart w:id="35" w:name="_Toc35393619"/>
      <w:r>
        <w:rPr>
          <w:rFonts w:hint="eastAsia"/>
          <w:color w:val="000000"/>
          <w:sz w:val="21"/>
          <w:szCs w:val="21"/>
          <w:highlight w:val="none"/>
          <w:lang w:val="zh-CN"/>
        </w:rPr>
        <w:t xml:space="preserve">苏州市吴江区震泽镇镇南一路1333号</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联系人：黄健、戴剑虹</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联系电话：0512-63751035、0512-63192201-8000</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2.代理机构联系方式</w:t>
      </w:r>
      <w:bookmarkEnd w:id="32"/>
      <w:r/>
      <w:bookmarkEnd w:id="33"/>
      <w:r/>
      <w:bookmarkEnd w:id="34"/>
      <w:r/>
      <w:bookmarkEnd w:id="35"/>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名  称</w:t>
      </w:r>
      <w:bookmarkStart w:id="36" w:name="XTDLJG_2"/>
      <w:r>
        <w:rPr>
          <w:rFonts w:hint="eastAsia"/>
          <w:color w:val="000000"/>
          <w:sz w:val="21"/>
          <w:szCs w:val="21"/>
          <w:highlight w:val="none"/>
        </w:rPr>
        <w:t xml:space="preserve">：</w:t>
      </w:r>
      <w:bookmarkEnd w:id="36"/>
      <w:r>
        <w:rPr>
          <w:rFonts w:hint="eastAsia"/>
          <w:color w:val="000000"/>
          <w:sz w:val="21"/>
          <w:szCs w:val="21"/>
          <w:highlight w:val="none"/>
        </w:rPr>
        <w:t xml:space="preserve">苏州韵诚项目管理咨询有限公司</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地  址：吴江区庞南路998号MAX科技园9-102号楼</w:t>
      </w:r>
      <w:r/>
    </w:p>
    <w:p>
      <w:pPr>
        <w:ind w:firstLine="420"/>
        <w:jc w:val="left"/>
        <w:spacing w:line="440" w:lineRule="exact"/>
        <w:widowControl/>
        <w:rPr>
          <w:color w:val="000000"/>
          <w:sz w:val="21"/>
          <w:szCs w:val="21"/>
          <w:highlight w:val="none"/>
        </w:rPr>
      </w:pPr>
      <w:r>
        <w:rPr>
          <w:rFonts w:hint="eastAsia"/>
          <w:color w:val="000000"/>
          <w:sz w:val="21"/>
          <w:szCs w:val="21"/>
          <w:highlight w:val="none"/>
        </w:rPr>
        <w:t xml:space="preserve">联系人：冼星芮、周锦芳</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电　话：0512-62310590                       </w:t>
      </w:r>
      <w:r/>
    </w:p>
    <w:p>
      <w:pPr>
        <w:ind w:firstLine="420"/>
        <w:jc w:val="right"/>
        <w:spacing w:line="420" w:lineRule="exact"/>
        <w:widowControl/>
        <w:rPr>
          <w:rFonts w:hint="eastAsia"/>
          <w:color w:val="000000"/>
          <w:sz w:val="21"/>
          <w:szCs w:val="21"/>
          <w:highlight w:val="none"/>
        </w:rPr>
      </w:pPr>
      <w:r>
        <w:rPr>
          <w:rFonts w:hint="eastAsia"/>
          <w:color w:val="000000"/>
          <w:sz w:val="21"/>
          <w:szCs w:val="21"/>
          <w:highlight w:val="none"/>
        </w:rPr>
      </w:r>
      <w:r/>
    </w:p>
    <w:p>
      <w:pPr>
        <w:ind w:firstLine="420"/>
        <w:jc w:val="right"/>
        <w:spacing w:line="420" w:lineRule="exact"/>
        <w:widowControl/>
        <w:rPr>
          <w:rFonts w:hint="eastAsia"/>
          <w:b/>
          <w:bCs/>
          <w:color w:val="000000"/>
          <w:sz w:val="44"/>
          <w:szCs w:val="44"/>
          <w:highlight w:val="none"/>
        </w:rPr>
      </w:pPr>
      <w:r>
        <w:rPr>
          <w:rFonts w:hint="eastAsia"/>
          <w:color w:val="000000"/>
          <w:sz w:val="21"/>
          <w:szCs w:val="21"/>
          <w:highlight w:val="none"/>
        </w:rPr>
        <w:t xml:space="preserve">  </w:t>
      </w:r>
      <w:bookmarkStart w:id="37" w:name="_Toc414602014"/>
      <w:r/>
      <w:r/>
    </w:p>
    <w:p>
      <w:pPr>
        <w:jc w:val="center"/>
        <w:rPr>
          <w:rFonts w:hint="eastAsia"/>
          <w:b/>
          <w:bCs/>
          <w:color w:val="000000"/>
          <w:sz w:val="44"/>
          <w:szCs w:val="44"/>
          <w:highlight w:val="none"/>
        </w:rPr>
      </w:pPr>
      <w:r>
        <w:rPr>
          <w:rFonts w:hint="eastAsia"/>
          <w:b/>
          <w:bCs/>
          <w:color w:val="000000"/>
          <w:sz w:val="44"/>
          <w:szCs w:val="44"/>
          <w:highlight w:val="none"/>
        </w:rPr>
      </w:r>
      <w:r/>
    </w:p>
    <w:p>
      <w:pPr>
        <w:jc w:val="center"/>
        <w:rPr>
          <w:rFonts w:hint="eastAsia"/>
          <w:b/>
          <w:bCs/>
          <w:color w:val="000000"/>
          <w:sz w:val="44"/>
          <w:szCs w:val="44"/>
          <w:highlight w:val="none"/>
        </w:rPr>
      </w:pPr>
      <w:r>
        <w:rPr>
          <w:rFonts w:hint="eastAsia"/>
          <w:b/>
          <w:bCs/>
          <w:color w:val="000000"/>
          <w:sz w:val="44"/>
          <w:szCs w:val="44"/>
          <w:highlight w:val="none"/>
        </w:rPr>
      </w:r>
      <w:r/>
    </w:p>
    <w:p>
      <w:pPr>
        <w:jc w:val="center"/>
        <w:rPr>
          <w:rFonts w:hint="eastAsia"/>
          <w:b/>
          <w:bCs/>
          <w:color w:val="000000"/>
          <w:sz w:val="44"/>
          <w:szCs w:val="44"/>
          <w:highlight w:val="none"/>
        </w:rPr>
      </w:pPr>
      <w:r>
        <w:rPr>
          <w:rFonts w:hint="eastAsia"/>
          <w:b/>
          <w:bCs/>
          <w:color w:val="000000"/>
          <w:sz w:val="44"/>
          <w:szCs w:val="44"/>
          <w:highlight w:val="none"/>
        </w:rPr>
      </w:r>
      <w:r/>
    </w:p>
    <w:p>
      <w:pPr>
        <w:jc w:val="left"/>
        <w:rPr>
          <w:rFonts w:hint="eastAsia"/>
          <w:b/>
          <w:bCs/>
          <w:color w:val="000000"/>
          <w:sz w:val="44"/>
          <w:szCs w:val="44"/>
          <w:highlight w:val="none"/>
        </w:rPr>
      </w:pPr>
      <w:r>
        <w:rPr>
          <w:rFonts w:hint="eastAsia"/>
          <w:b/>
          <w:bCs/>
          <w:color w:val="000000"/>
          <w:sz w:val="44"/>
          <w:szCs w:val="44"/>
          <w:highlight w:val="none"/>
        </w:rPr>
      </w:r>
      <w:r/>
    </w:p>
    <w:p>
      <w:pPr>
        <w:jc w:val="center"/>
        <w:rPr>
          <w:rFonts w:cs="Times New Roman"/>
          <w:b/>
          <w:bCs/>
          <w:color w:val="000000"/>
          <w:sz w:val="44"/>
          <w:szCs w:val="44"/>
          <w:highlight w:val="none"/>
        </w:rPr>
      </w:pPr>
      <w:r>
        <w:rPr>
          <w:rFonts w:hint="eastAsia"/>
          <w:b/>
          <w:bCs/>
          <w:color w:val="000000"/>
          <w:sz w:val="44"/>
          <w:szCs w:val="44"/>
          <w:highlight w:val="none"/>
        </w:rPr>
        <w:t xml:space="preserve">第二章</w:t>
      </w:r>
      <w:r>
        <w:rPr>
          <w:b/>
          <w:bCs/>
          <w:color w:val="000000"/>
          <w:sz w:val="44"/>
          <w:szCs w:val="44"/>
          <w:highlight w:val="none"/>
        </w:rPr>
        <w:t xml:space="preserve">  </w:t>
      </w:r>
      <w:r>
        <w:rPr>
          <w:rFonts w:hint="eastAsia"/>
          <w:b/>
          <w:bCs/>
          <w:color w:val="000000"/>
          <w:sz w:val="44"/>
          <w:szCs w:val="44"/>
          <w:highlight w:val="none"/>
        </w:rPr>
        <w:t xml:space="preserve">投标人须知</w:t>
      </w:r>
      <w:r/>
    </w:p>
    <w:p>
      <w:pPr>
        <w:numPr>
          <w:ilvl w:val="0"/>
          <w:numId w:val="3"/>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说明和释义</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说明</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本招标文件仅适用于苏州韵诚项目管理咨询有限公司组织的招标活动。</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本次招标活动及因本次招标产生的合同受中国法律制约和保护。</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本招标文件的解释权属于苏州韵诚项目管理咨询有限公司。</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词语释义</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招标代理机构：具体组织实施招标活动的法人。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rPr>
        <w:t xml:space="preserve">采购人</w:t>
      </w:r>
      <w:r>
        <w:rPr>
          <w:rFonts w:hint="eastAsia"/>
          <w:color w:val="000000"/>
          <w:sz w:val="21"/>
          <w:szCs w:val="21"/>
          <w:highlight w:val="none"/>
          <w:lang w:val="zh-CN"/>
        </w:rPr>
        <w:t xml:space="preserve">（</w:t>
      </w:r>
      <w:r>
        <w:rPr>
          <w:rFonts w:hint="eastAsia"/>
          <w:color w:val="000000"/>
          <w:sz w:val="21"/>
          <w:szCs w:val="21"/>
          <w:highlight w:val="none"/>
        </w:rPr>
        <w:t xml:space="preserve">采购</w:t>
      </w:r>
      <w:r>
        <w:rPr>
          <w:rFonts w:hint="eastAsia"/>
          <w:color w:val="000000"/>
          <w:sz w:val="21"/>
          <w:szCs w:val="21"/>
          <w:highlight w:val="none"/>
          <w:lang w:val="zh-CN"/>
        </w:rPr>
        <w:t xml:space="preserve">单位）</w:t>
      </w:r>
      <w:r>
        <w:rPr>
          <w:rFonts w:hint="eastAsia"/>
          <w:color w:val="000000"/>
          <w:sz w:val="21"/>
          <w:szCs w:val="21"/>
          <w:highlight w:val="none"/>
        </w:rPr>
        <w:t xml:space="preserve">：指依法进行政府采购的国家机关、事业单位、团体组织。</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投标人（投标单位）：经认定有资格响应招标，参加投标竞争的法人或其他组织和自然人。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响应：投标人根据招标代理机构或招标代理机构发布的招标文件，编制投标文件并按规定投标的行为。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甲方（委托方）：合同中明确规定的实际购买货物和服务的法人或其他组织和自然人 。</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乙方（服务方）：合同中规定的向采购单位提供货物和服务的法人或其他组织和自然人。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货物：系指乙方按招标文件规定，应向甲方提供的一切设备、备品、备件、工具、手册及其它有关技术资料和材料。</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服务：</w:t>
      </w:r>
      <w:r>
        <w:rPr>
          <w:rFonts w:hint="eastAsia" w:ascii="Times New Roman"/>
          <w:color w:val="000000"/>
          <w:sz w:val="21"/>
          <w:szCs w:val="21"/>
          <w:highlight w:val="none"/>
          <w:lang w:val="zh-CN"/>
        </w:rPr>
        <w:t xml:space="preserve">系指本次招标采购文件规定乙方应承担的与提供货物和服务有关的辅助服务，比如运输、保险、安装、调试、提供技术援助、培训、配合措施、维修响应及合同中规定乙方应承担的其他义务。</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知识产权：指专利权、商标权、著作权等无形财产专有权的统称。</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天：日历日。</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交货地点：合同中明确约定的乙方提交的货物和服务最终交付地点。</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rPr>
        <w:t xml:space="preserve">服务地点：合同中明确约定的乙方履行服务的最终地点。</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合同价款：根据合同规定，乙方在正确地履行合同义务后甲方应支付乙方的价款。</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产地：货物开采、生长、生产、最终制造、加工或提供服务的来源地。</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不可抗力：不能预见、不能避免并且不能克服的客观情况。</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实质性响应：满足有关本次采购标的、数量、质量、价款或者报酬、履行期限、履行地点和方式、违约责任和解决争议方法等要求。</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书面形式：指书面文字、合同书、信件和数据电文（包括电报、电传、传真、电子数据交换和电子邮件）等可以有形地表现所载内容的形式。</w:t>
      </w:r>
      <w:r/>
    </w:p>
    <w:p>
      <w:pPr>
        <w:numPr>
          <w:ilvl w:val="0"/>
          <w:numId w:val="3"/>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投标人</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合格投标人的范围</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符合《中华人民共和国政府采购法》第二十二条第一款之规定。</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合格投标人的特定条件</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见投标邀请函</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投标委托</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指全权代表投标人参加投标活动并签署投标文件的人，如果投标人代表不是法定代表人，须持有《法定代表人代表授权委托书》（详见统一格式）。</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投标费用</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无论投标过程的做法和结果如何，投标人自行承担所有与参加投标有关的全部费用。</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联合投标</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本项目不接受联合投标。</w:t>
      </w:r>
      <w:r/>
    </w:p>
    <w:p>
      <w:pPr>
        <w:numPr>
          <w:ilvl w:val="0"/>
          <w:numId w:val="3"/>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招标文件的说明</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招标文件</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招标文件及其补充通知（包括更正公告）不是直接从财政部门指定的政府采购信息发布媒体上下载获得的，招标采购单位对招标文件及其补遗的真实性、完整性不承担任何责任。</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现场考察</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投标人自行对有关现场和周围环境进行考察，以获取编制投标文件和签署合同所需的信息。考察现场所发生的费用由投标人自己承担。</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经招标采购单位允许，投标人可为考察目的进入招标采购单位的项目现场，但投标人不得因此使招标采购单位承担有关的责任和蒙受损失。投标人应承担考察现场的责任和风险。</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招标文件的澄清和修改</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采购人无论出于自己的考虑，还是出于对投标人提问的澄清，均可对招标文件用更正公告的方式进行澄清或者修改，并通过中国政府采购网、江苏政府采购网、苏州市政府采购网对外进行发布。</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为使投标人有足够的时间按招标文件的修改要求考虑修正投标文件，或出于其他原因，招标采购单位有权推迟投标截止日期和开标日期，并将此变更通知以更正公告的形式对外发布。</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招标文件的更正（含澄清、修改等）内容与原招标文件在同一内容上表述不一致时，以发出日期最接近开标时间的公告为准。</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投标答疑</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投标人在获取招标文件后，若对招标文件有疑问，可与代理机构或采购单位联系。</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勘察现场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numPr>
          <w:ilvl w:val="0"/>
          <w:numId w:val="3"/>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投标文件说明</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投标文件计量单位和使用文字</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投标文件中所使用的计量单位，除招标文件中有特殊要求外，均应使用中华人民共和国法定计量单位。</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知识产权</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color w:val="000000"/>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rPr>
        <w:t xml:space="preserve">投标文件的组成</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rPr>
        <w:t xml:space="preserve">投标文件</w:t>
      </w:r>
      <w:r/>
    </w:p>
    <w:p>
      <w:pPr>
        <w:numPr>
          <w:ilvl w:val="2"/>
          <w:numId w:val="4"/>
        </w:numPr>
        <w:ind w:left="1440" w:hanging="900"/>
        <w:spacing w:line="440" w:lineRule="exact"/>
        <w:tabs>
          <w:tab w:val="left" w:pos="1440" w:leader="none"/>
        </w:tabs>
        <w:rPr>
          <w:rFonts w:hint="eastAsia"/>
          <w:b/>
          <w:bCs/>
          <w:color w:val="000000"/>
          <w:sz w:val="21"/>
          <w:szCs w:val="21"/>
          <w:highlight w:val="none"/>
        </w:rPr>
      </w:pPr>
      <w:r>
        <w:rPr>
          <w:rFonts w:hint="eastAsia"/>
          <w:b/>
          <w:bCs/>
          <w:color w:val="000000"/>
          <w:sz w:val="21"/>
          <w:szCs w:val="21"/>
          <w:highlight w:val="none"/>
        </w:rPr>
        <w:t xml:space="preserve">封面</w:t>
      </w:r>
      <w:r/>
    </w:p>
    <w:p>
      <w:pPr>
        <w:numPr>
          <w:ilvl w:val="2"/>
          <w:numId w:val="4"/>
        </w:numPr>
        <w:ind w:left="1440" w:hanging="900"/>
        <w:spacing w:line="440" w:lineRule="exact"/>
        <w:tabs>
          <w:tab w:val="left" w:pos="1440" w:leader="none"/>
        </w:tabs>
        <w:rPr>
          <w:rFonts w:hint="eastAsia"/>
          <w:b/>
          <w:bCs/>
          <w:color w:val="000000"/>
          <w:sz w:val="21"/>
          <w:szCs w:val="21"/>
          <w:highlight w:val="none"/>
        </w:rPr>
      </w:pPr>
      <w:r>
        <w:rPr>
          <w:rFonts w:hint="eastAsia"/>
          <w:b/>
          <w:bCs/>
          <w:color w:val="000000"/>
          <w:sz w:val="21"/>
          <w:szCs w:val="21"/>
          <w:highlight w:val="none"/>
        </w:rPr>
        <w:t xml:space="preserve">开标一览表</w:t>
      </w:r>
      <w:r/>
    </w:p>
    <w:p>
      <w:pPr>
        <w:numPr>
          <w:ilvl w:val="2"/>
          <w:numId w:val="4"/>
        </w:numPr>
        <w:ind w:left="1440" w:hanging="900"/>
        <w:spacing w:line="440" w:lineRule="exact"/>
        <w:tabs>
          <w:tab w:val="left" w:pos="1440" w:leader="none"/>
        </w:tabs>
        <w:rPr>
          <w:rFonts w:hint="eastAsia"/>
          <w:b/>
          <w:bCs/>
          <w:color w:val="000000"/>
          <w:sz w:val="21"/>
          <w:szCs w:val="21"/>
          <w:highlight w:val="none"/>
        </w:rPr>
      </w:pPr>
      <w:r>
        <w:rPr>
          <w:rFonts w:hint="eastAsia"/>
          <w:b/>
          <w:bCs/>
          <w:color w:val="000000"/>
          <w:sz w:val="21"/>
          <w:szCs w:val="21"/>
          <w:highlight w:val="none"/>
        </w:rPr>
        <w:t xml:space="preserve">公开分项报价</w:t>
      </w:r>
      <w:r/>
    </w:p>
    <w:p>
      <w:pPr>
        <w:numPr>
          <w:ilvl w:val="2"/>
          <w:numId w:val="4"/>
        </w:numPr>
        <w:ind w:left="1440" w:hanging="900"/>
        <w:spacing w:line="440" w:lineRule="exact"/>
        <w:tabs>
          <w:tab w:val="left" w:pos="1440" w:leader="none"/>
        </w:tabs>
        <w:rPr>
          <w:rFonts w:hint="eastAsia"/>
          <w:b/>
          <w:bCs/>
          <w:color w:val="000000"/>
          <w:sz w:val="21"/>
          <w:szCs w:val="21"/>
          <w:highlight w:val="none"/>
        </w:rPr>
      </w:pPr>
      <w:r>
        <w:rPr>
          <w:rFonts w:hint="eastAsia"/>
          <w:b/>
          <w:bCs/>
          <w:color w:val="000000"/>
          <w:sz w:val="21"/>
          <w:szCs w:val="21"/>
          <w:highlight w:val="none"/>
        </w:rPr>
        <w:t xml:space="preserve">资格审查文件</w:t>
      </w:r>
      <w:r/>
    </w:p>
    <w:p>
      <w:pPr>
        <w:pStyle w:val="825"/>
        <w:ind w:firstLine="56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15.1.4.1合格投标人资格证明材料：</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hint="eastAsia" w:ascii="宋体" w:hAnsi="宋体" w:cs="宋体"/>
          <w:color w:val="000000"/>
          <w:sz w:val="21"/>
          <w:szCs w:val="21"/>
          <w:highlight w:val="none"/>
          <w:lang w:val="zh-CN"/>
        </w:rPr>
        <w:t xml:space="preserve">提供包括法人或者其他组织的营业执照等证明文件，自然人的身份证明</w:t>
      </w:r>
      <w:r>
        <w:rPr>
          <w:rFonts w:hint="eastAsia" w:ascii="宋体" w:hAnsi="宋体" w:cs="宋体"/>
          <w:color w:val="000000"/>
          <w:sz w:val="21"/>
          <w:szCs w:val="21"/>
          <w:highlight w:val="none"/>
        </w:rPr>
        <w:t xml:space="preserve">； </w:t>
      </w:r>
      <w:r/>
    </w:p>
    <w:p>
      <w:pPr>
        <w:pStyle w:val="882"/>
        <w:ind w:left="166" w:right="0" w:firstLine="420"/>
        <w:spacing w:before="0" w:after="0"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（2）具有良好的商业信誉和健全的财务会计制度；</w:t>
      </w:r>
      <w:r>
        <w:rPr>
          <w:rFonts w:hint="eastAsia" w:ascii="宋体" w:hAnsi="宋体" w:cs="宋体"/>
          <w:color w:val="000000"/>
          <w:sz w:val="21"/>
          <w:szCs w:val="21"/>
          <w:highlight w:val="none"/>
          <w:lang w:val="zh-CN"/>
        </w:rPr>
        <w:t xml:space="preserve">提供包括但不限于最近一期（202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年度或202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年度）经审计的财务报告或最近一期财务报表</w:t>
      </w:r>
      <w:r>
        <w:rPr>
          <w:rFonts w:hint="eastAsia" w:ascii="宋体" w:hAnsi="宋体" w:cs="宋体"/>
          <w:color w:val="000000"/>
          <w:sz w:val="21"/>
          <w:szCs w:val="21"/>
          <w:highlight w:val="none"/>
        </w:rPr>
        <w:t xml:space="preserve">（资产负债表、利润表）</w:t>
      </w:r>
      <w:r>
        <w:rPr>
          <w:rFonts w:hint="eastAsia" w:ascii="宋体" w:hAnsi="宋体" w:cs="宋体"/>
          <w:color w:val="000000"/>
          <w:sz w:val="21"/>
          <w:szCs w:val="21"/>
          <w:highlight w:val="none"/>
          <w:lang w:val="zh-CN"/>
        </w:rPr>
        <w:t xml:space="preserve">，其他组织、自然人及成立未满一年的法人应提供银行出具的资信证明；  </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hint="eastAsia" w:ascii="宋体" w:hAnsi="宋体" w:cs="宋体"/>
          <w:color w:val="000000"/>
          <w:sz w:val="21"/>
          <w:szCs w:val="21"/>
          <w:highlight w:val="none"/>
          <w:lang w:val="zh-CN"/>
        </w:rPr>
        <w:t xml:space="preserve">；提供证明材料或书面承诺书</w:t>
      </w:r>
      <w:r>
        <w:rPr>
          <w:rFonts w:hint="eastAsia" w:ascii="宋体" w:hAnsi="宋体" w:cs="宋体"/>
          <w:color w:val="000000"/>
          <w:sz w:val="21"/>
          <w:szCs w:val="21"/>
          <w:highlight w:val="none"/>
        </w:rPr>
        <w:t xml:space="preserve">； </w:t>
      </w:r>
      <w:r/>
    </w:p>
    <w:p>
      <w:pPr>
        <w:pStyle w:val="882"/>
        <w:ind w:left="166" w:right="0" w:firstLine="420"/>
        <w:spacing w:before="0" w:after="0"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（4）依法缴纳税收和社会保障资金的良好记录；</w:t>
      </w:r>
      <w:r>
        <w:rPr>
          <w:rFonts w:hint="eastAsia" w:ascii="宋体" w:hAnsi="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hint="eastAsia" w:ascii="宋体" w:hAnsi="宋体" w:cs="宋体"/>
          <w:color w:val="000000"/>
          <w:sz w:val="21"/>
          <w:szCs w:val="21"/>
          <w:highlight w:val="none"/>
          <w:lang w:val="zh-CN"/>
        </w:rPr>
        <w:t xml:space="preserve">提供书面声明函</w:t>
      </w:r>
      <w:r>
        <w:rPr>
          <w:rFonts w:hint="eastAsia" w:ascii="宋体" w:hAnsi="宋体" w:cs="宋体"/>
          <w:color w:val="000000"/>
          <w:sz w:val="21"/>
          <w:szCs w:val="21"/>
          <w:highlight w:val="none"/>
        </w:rPr>
        <w:t xml:space="preserve">。</w:t>
      </w:r>
      <w:r/>
    </w:p>
    <w:p>
      <w:pPr>
        <w:pStyle w:val="882"/>
        <w:ind w:left="166" w:right="0" w:firstLine="420"/>
        <w:spacing w:before="0" w:after="0"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15.1.4.2其它有关资格证明文件（包括但不限于投标邀请函中特定资格要求的证明文件，如有要求须提供）</w:t>
      </w:r>
      <w:r>
        <w:rPr>
          <w:rFonts w:hint="eastAsia" w:ascii="宋体" w:hAnsi="宋体" w:cs="宋体"/>
          <w:color w:val="000000"/>
          <w:sz w:val="21"/>
          <w:szCs w:val="21"/>
          <w:highlight w:val="none"/>
          <w:lang w:val="zh-CN"/>
        </w:rPr>
        <w:t xml:space="preserve">；</w:t>
      </w:r>
      <w:r/>
    </w:p>
    <w:p>
      <w:pPr>
        <w:numPr>
          <w:ilvl w:val="2"/>
          <w:numId w:val="4"/>
        </w:numPr>
        <w:ind w:left="1440" w:hanging="900"/>
        <w:spacing w:line="440" w:lineRule="exact"/>
        <w:tabs>
          <w:tab w:val="left" w:pos="1440" w:leader="none"/>
        </w:tabs>
        <w:rPr>
          <w:rFonts w:hint="eastAsia"/>
          <w:b/>
          <w:bCs/>
          <w:color w:val="000000"/>
          <w:sz w:val="21"/>
          <w:szCs w:val="21"/>
          <w:highlight w:val="none"/>
        </w:rPr>
      </w:pPr>
      <w:r>
        <w:rPr>
          <w:rFonts w:hint="eastAsia"/>
          <w:b/>
          <w:bCs/>
          <w:color w:val="000000"/>
          <w:sz w:val="21"/>
          <w:szCs w:val="21"/>
          <w:highlight w:val="none"/>
        </w:rPr>
        <w:t xml:space="preserve">符合性审查文件</w:t>
      </w:r>
      <w:r/>
    </w:p>
    <w:p>
      <w:pPr>
        <w:pStyle w:val="882"/>
        <w:ind w:left="166" w:right="0" w:firstLine="420"/>
        <w:spacing w:before="0" w:after="0"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15.1.5.1</w:t>
      </w:r>
      <w:r>
        <w:rPr>
          <w:rFonts w:hint="eastAsia" w:ascii="宋体" w:hAnsi="宋体" w:cs="宋体"/>
          <w:color w:val="000000"/>
          <w:sz w:val="21"/>
          <w:szCs w:val="21"/>
          <w:highlight w:val="none"/>
          <w:lang w:val="zh-CN"/>
        </w:rPr>
        <w:t xml:space="preserve">投标函；</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15.1.5.2技术条款偏离表；</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15.1.5.3商务条款偏离表；</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15.1.5.4关于资格文件的声明函；</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15.1.5.5投标人法定代表人身份证复印件；</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15.1.5.6法定代表人授权委托书（如有授权，格式见第三章）；</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15.1.5.7投标人授权代理人身份证复印件（如有授权）；</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15.1.5.8</w:t>
      </w:r>
      <w:r>
        <w:rPr>
          <w:rFonts w:hint="eastAsia" w:ascii="宋体" w:hAnsi="宋体" w:cs="宋体"/>
          <w:color w:val="000000"/>
          <w:sz w:val="21"/>
          <w:szCs w:val="21"/>
          <w:highlight w:val="none"/>
          <w:lang w:val="zh-CN"/>
        </w:rPr>
        <w:t xml:space="preserve">投标（响应）保证承诺书；</w:t>
      </w:r>
      <w:r/>
    </w:p>
    <w:p>
      <w:pPr>
        <w:pStyle w:val="882"/>
        <w:ind w:left="166" w:right="0" w:firstLine="420"/>
        <w:spacing w:before="0" w:after="0"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15.1.5.9其他有关符合性证明的文件；</w:t>
      </w:r>
      <w:r/>
    </w:p>
    <w:p>
      <w:pPr>
        <w:pStyle w:val="882"/>
        <w:ind w:left="166" w:right="0" w:firstLine="420"/>
        <w:spacing w:before="0" w:after="0"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15.1.5.10</w:t>
      </w:r>
      <w:r>
        <w:rPr>
          <w:rFonts w:hint="eastAsia" w:ascii="宋体" w:hAnsi="宋体" w:cs="宋体"/>
          <w:color w:val="000000"/>
          <w:sz w:val="21"/>
          <w:szCs w:val="21"/>
          <w:highlight w:val="none"/>
          <w:lang w:val="zh-CN"/>
        </w:rPr>
        <w:t xml:space="preserve">投标单位情况表；</w:t>
      </w:r>
      <w:r/>
    </w:p>
    <w:p>
      <w:pPr>
        <w:numPr>
          <w:ilvl w:val="2"/>
          <w:numId w:val="4"/>
        </w:numPr>
        <w:ind w:left="1440" w:hanging="900"/>
        <w:spacing w:line="440" w:lineRule="exact"/>
        <w:tabs>
          <w:tab w:val="left" w:pos="1440" w:leader="none"/>
        </w:tabs>
        <w:rPr>
          <w:rFonts w:hint="eastAsia"/>
          <w:b/>
          <w:bCs/>
          <w:color w:val="000000"/>
          <w:sz w:val="21"/>
          <w:szCs w:val="21"/>
          <w:highlight w:val="none"/>
        </w:rPr>
      </w:pPr>
      <w:r>
        <w:rPr>
          <w:rFonts w:hint="eastAsia"/>
          <w:b/>
          <w:bCs/>
          <w:color w:val="000000"/>
          <w:sz w:val="21"/>
          <w:szCs w:val="21"/>
          <w:highlight w:val="none"/>
        </w:rPr>
        <w:t xml:space="preserve">综合评审文件（具体模块以系统生成为准）</w:t>
      </w:r>
      <w:r/>
    </w:p>
    <w:p>
      <w:pPr>
        <w:ind w:firstLine="525"/>
        <w:spacing w:line="440" w:lineRule="exact"/>
        <w:rPr>
          <w:rFonts w:hint="eastAsia"/>
          <w:color w:val="000000"/>
          <w:sz w:val="21"/>
          <w:szCs w:val="21"/>
          <w:highlight w:val="none"/>
        </w:rPr>
      </w:pPr>
      <w:r>
        <w:rPr>
          <w:rFonts w:hint="eastAsia"/>
          <w:color w:val="000000"/>
          <w:sz w:val="21"/>
          <w:szCs w:val="21"/>
          <w:highlight w:val="none"/>
        </w:rPr>
        <w:t xml:space="preserve">15.1.6.1投标货物和服务数量、</w:t>
      </w:r>
      <w:r>
        <w:rPr>
          <w:rFonts w:hint="eastAsia"/>
          <w:color w:val="000000"/>
          <w:sz w:val="21"/>
          <w:szCs w:val="21"/>
          <w:highlight w:val="none"/>
          <w:lang w:val="zh-CN"/>
        </w:rPr>
        <w:t xml:space="preserve">规格、品牌型号、性能</w:t>
      </w:r>
      <w:r>
        <w:rPr>
          <w:rFonts w:hint="eastAsia"/>
          <w:color w:val="000000"/>
          <w:sz w:val="21"/>
          <w:szCs w:val="21"/>
          <w:highlight w:val="none"/>
        </w:rPr>
        <w:t xml:space="preserve">、交货期等说明</w:t>
      </w:r>
      <w:r>
        <w:rPr>
          <w:rFonts w:hint="eastAsia"/>
          <w:color w:val="000000"/>
          <w:sz w:val="21"/>
          <w:szCs w:val="21"/>
          <w:highlight w:val="none"/>
          <w:lang w:val="zh-CN"/>
        </w:rPr>
        <w:t xml:space="preserve">；</w:t>
      </w:r>
      <w:r/>
    </w:p>
    <w:p>
      <w:pPr>
        <w:ind w:firstLine="525"/>
        <w:spacing w:line="440" w:lineRule="exact"/>
        <w:rPr>
          <w:rFonts w:hint="eastAsia"/>
          <w:color w:val="000000"/>
          <w:sz w:val="21"/>
          <w:szCs w:val="21"/>
          <w:highlight w:val="none"/>
          <w:lang w:val="zh-CN"/>
        </w:rPr>
      </w:pPr>
      <w:r>
        <w:rPr>
          <w:rFonts w:hint="eastAsia"/>
          <w:color w:val="000000"/>
          <w:sz w:val="21"/>
          <w:szCs w:val="21"/>
          <w:highlight w:val="none"/>
        </w:rPr>
        <w:t xml:space="preserve">15.1.6.2针对本项目的实施方案；</w:t>
      </w:r>
      <w:r/>
    </w:p>
    <w:p>
      <w:pPr>
        <w:ind w:firstLine="525"/>
        <w:spacing w:line="440" w:lineRule="exact"/>
        <w:rPr>
          <w:rFonts w:hint="eastAsia"/>
          <w:color w:val="000000"/>
          <w:sz w:val="21"/>
          <w:szCs w:val="21"/>
          <w:highlight w:val="none"/>
        </w:rPr>
      </w:pPr>
      <w:r>
        <w:rPr>
          <w:rFonts w:hint="eastAsia"/>
          <w:color w:val="000000"/>
          <w:sz w:val="21"/>
          <w:szCs w:val="21"/>
          <w:highlight w:val="none"/>
        </w:rPr>
        <w:t xml:space="preserve">15.1.6.3类似业绩一览表；</w:t>
      </w:r>
      <w:r/>
    </w:p>
    <w:p>
      <w:pPr>
        <w:pStyle w:val="825"/>
        <w:ind w:firstLine="56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15.1.6.4评分标准中要求的其他相关资料；</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rPr>
        <w:t xml:space="preserve">价格折扣文件格式</w:t>
      </w:r>
      <w:r/>
    </w:p>
    <w:p>
      <w:pPr>
        <w:pStyle w:val="855"/>
        <w:spacing w:line="440" w:lineRule="exact"/>
        <w:rPr>
          <w:rFonts w:hint="eastAsia" w:cs="宋体"/>
          <w:b/>
          <w:bCs/>
          <w:color w:val="000000"/>
          <w:sz w:val="21"/>
          <w:szCs w:val="21"/>
          <w:highlight w:val="none"/>
          <w:lang w:val="zh-CN"/>
        </w:rPr>
      </w:pPr>
      <w:r>
        <w:rPr>
          <w:rFonts w:hint="eastAsia" w:cs="宋体"/>
          <w:b/>
          <w:bCs/>
          <w:color w:val="000000"/>
          <w:sz w:val="21"/>
          <w:szCs w:val="21"/>
          <w:highlight w:val="none"/>
          <w:lang w:val="zh-CN"/>
        </w:rPr>
        <w:t xml:space="preserve">注：（1）以上1</w:t>
      </w:r>
      <w:r>
        <w:rPr>
          <w:rFonts w:hint="eastAsia" w:cs="宋体"/>
          <w:b/>
          <w:bCs/>
          <w:color w:val="000000"/>
          <w:sz w:val="21"/>
          <w:szCs w:val="21"/>
          <w:highlight w:val="none"/>
        </w:rPr>
        <w:t xml:space="preserve">5</w:t>
      </w:r>
      <w:r>
        <w:rPr>
          <w:rFonts w:hint="eastAsia" w:cs="宋体"/>
          <w:b/>
          <w:bCs/>
          <w:color w:val="000000"/>
          <w:sz w:val="21"/>
          <w:szCs w:val="21"/>
          <w:highlight w:val="none"/>
          <w:lang w:val="zh-CN"/>
        </w:rPr>
        <w:t xml:space="preserve">.1.4.</w:t>
      </w:r>
      <w:r>
        <w:rPr>
          <w:rFonts w:hint="eastAsia" w:cs="宋体"/>
          <w:b/>
          <w:bCs/>
          <w:color w:val="000000"/>
          <w:sz w:val="21"/>
          <w:szCs w:val="21"/>
          <w:highlight w:val="none"/>
        </w:rPr>
        <w:t xml:space="preserve">1</w:t>
      </w:r>
      <w:r>
        <w:rPr>
          <w:rFonts w:hint="eastAsia" w:cs="宋体"/>
          <w:b/>
          <w:bCs/>
          <w:color w:val="000000"/>
          <w:sz w:val="21"/>
          <w:szCs w:val="21"/>
          <w:highlight w:val="none"/>
          <w:lang w:val="zh-CN"/>
        </w:rPr>
        <w:t xml:space="preserve">-1</w:t>
      </w:r>
      <w:r>
        <w:rPr>
          <w:rFonts w:hint="eastAsia" w:cs="宋体"/>
          <w:b/>
          <w:bCs/>
          <w:color w:val="000000"/>
          <w:sz w:val="21"/>
          <w:szCs w:val="21"/>
          <w:highlight w:val="none"/>
        </w:rPr>
        <w:t xml:space="preserve">5</w:t>
      </w:r>
      <w:r>
        <w:rPr>
          <w:rFonts w:hint="eastAsia" w:cs="宋体"/>
          <w:b/>
          <w:bCs/>
          <w:color w:val="000000"/>
          <w:sz w:val="21"/>
          <w:szCs w:val="21"/>
          <w:highlight w:val="none"/>
          <w:lang w:val="zh-CN"/>
        </w:rPr>
        <w:t xml:space="preserve">.1.4.</w:t>
      </w:r>
      <w:r>
        <w:rPr>
          <w:rFonts w:hint="eastAsia" w:cs="宋体"/>
          <w:b/>
          <w:bCs/>
          <w:color w:val="000000"/>
          <w:sz w:val="21"/>
          <w:szCs w:val="21"/>
          <w:highlight w:val="none"/>
        </w:rPr>
        <w:t xml:space="preserve">2</w:t>
      </w:r>
      <w:r>
        <w:rPr>
          <w:rFonts w:hint="eastAsia"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p>
    <w:p>
      <w:pPr>
        <w:pStyle w:val="855"/>
        <w:spacing w:line="440" w:lineRule="exact"/>
        <w:rPr>
          <w:rFonts w:hint="eastAsia" w:cs="宋体"/>
          <w:b/>
          <w:bCs/>
          <w:color w:val="000000"/>
          <w:sz w:val="21"/>
          <w:szCs w:val="21"/>
          <w:highlight w:val="none"/>
          <w:lang w:val="zh-CN"/>
        </w:rPr>
      </w:pPr>
      <w:r>
        <w:rPr>
          <w:rFonts w:hint="eastAsia" w:cs="宋体"/>
          <w:b/>
          <w:bCs/>
          <w:color w:val="000000"/>
          <w:sz w:val="21"/>
          <w:szCs w:val="21"/>
          <w:highlight w:val="none"/>
          <w:lang w:val="zh-CN"/>
        </w:rPr>
        <w:t xml:space="preserve">（2）以上</w:t>
      </w:r>
      <w:r>
        <w:rPr>
          <w:rFonts w:hint="eastAsia" w:cs="宋体"/>
          <w:b/>
          <w:bCs/>
          <w:color w:val="000000"/>
          <w:sz w:val="21"/>
          <w:szCs w:val="21"/>
          <w:highlight w:val="none"/>
        </w:rPr>
        <w:t xml:space="preserve">15.1.5.1</w:t>
      </w:r>
      <w:r>
        <w:rPr>
          <w:rFonts w:hint="eastAsia" w:cs="宋体"/>
          <w:b/>
          <w:bCs/>
          <w:color w:val="000000"/>
          <w:sz w:val="21"/>
          <w:szCs w:val="21"/>
          <w:highlight w:val="none"/>
          <w:lang w:val="zh-CN"/>
        </w:rPr>
        <w:t xml:space="preserve">-</w:t>
      </w:r>
      <w:r>
        <w:rPr>
          <w:rFonts w:hint="eastAsia" w:cs="宋体"/>
          <w:b/>
          <w:bCs/>
          <w:color w:val="000000"/>
          <w:sz w:val="21"/>
          <w:szCs w:val="21"/>
          <w:highlight w:val="none"/>
        </w:rPr>
        <w:t xml:space="preserve">15.1.5.8</w:t>
      </w:r>
      <w:r>
        <w:rPr>
          <w:rFonts w:hint="eastAsia" w:cs="宋体"/>
          <w:b/>
          <w:bCs/>
          <w:color w:val="000000"/>
          <w:sz w:val="21"/>
          <w:szCs w:val="21"/>
          <w:highlight w:val="none"/>
          <w:lang w:val="zh-CN"/>
        </w:rPr>
        <w:t xml:space="preserve">为符合性审查须提供的资料，投标人必须提供并加盖电子公章。否则，投标文件将被认定为未实质性响应。</w:t>
      </w:r>
      <w:r/>
    </w:p>
    <w:p>
      <w:pPr>
        <w:pStyle w:val="855"/>
        <w:spacing w:line="440" w:lineRule="exact"/>
        <w:rPr>
          <w:rFonts w:hint="eastAsia" w:cs="宋体"/>
          <w:b/>
          <w:bCs/>
          <w:color w:val="000000"/>
          <w:sz w:val="21"/>
          <w:szCs w:val="21"/>
          <w:highlight w:val="none"/>
          <w:lang w:val="zh-CN"/>
        </w:rPr>
      </w:pPr>
      <w:r>
        <w:rPr>
          <w:rFonts w:hint="eastAsia" w:cs="宋体"/>
          <w:b/>
          <w:bCs/>
          <w:color w:val="000000"/>
          <w:sz w:val="21"/>
          <w:szCs w:val="21"/>
          <w:highlight w:val="none"/>
          <w:lang w:val="zh-CN"/>
        </w:rPr>
        <w:t xml:space="preserve">（3）“</w:t>
      </w:r>
      <w:r>
        <w:rPr>
          <w:rFonts w:hint="eastAsia" w:cs="宋体"/>
          <w:b/>
          <w:bCs/>
          <w:color w:val="000000"/>
          <w:sz w:val="21"/>
          <w:szCs w:val="21"/>
          <w:highlight w:val="none"/>
        </w:rPr>
        <w:t xml:space="preserve">15.1.1</w:t>
      </w:r>
      <w:r>
        <w:rPr>
          <w:rFonts w:hint="eastAsia" w:cs="宋体"/>
          <w:b/>
          <w:bCs/>
          <w:color w:val="000000"/>
          <w:sz w:val="21"/>
          <w:szCs w:val="21"/>
          <w:highlight w:val="none"/>
          <w:lang w:val="zh-CN"/>
        </w:rPr>
        <w:t xml:space="preserve">、</w:t>
      </w:r>
      <w:r>
        <w:rPr>
          <w:rFonts w:hint="eastAsia" w:cs="宋体"/>
          <w:b/>
          <w:bCs/>
          <w:color w:val="000000"/>
          <w:sz w:val="21"/>
          <w:szCs w:val="21"/>
          <w:highlight w:val="none"/>
        </w:rPr>
        <w:t xml:space="preserve">15.1.4</w:t>
      </w:r>
      <w:r>
        <w:rPr>
          <w:rFonts w:hint="eastAsia" w:cs="宋体"/>
          <w:b/>
          <w:bCs/>
          <w:color w:val="000000"/>
          <w:sz w:val="21"/>
          <w:szCs w:val="21"/>
          <w:highlight w:val="none"/>
          <w:lang w:val="zh-CN"/>
        </w:rPr>
        <w:t xml:space="preserve">-</w:t>
      </w:r>
      <w:r>
        <w:rPr>
          <w:rFonts w:hint="eastAsia" w:cs="宋体"/>
          <w:b/>
          <w:bCs/>
          <w:color w:val="000000"/>
          <w:sz w:val="21"/>
          <w:szCs w:val="21"/>
          <w:highlight w:val="none"/>
        </w:rPr>
        <w:t xml:space="preserve">15.1.7</w:t>
      </w:r>
      <w:r>
        <w:rPr>
          <w:rFonts w:hint="eastAsia" w:cs="宋体"/>
          <w:b/>
          <w:bCs/>
          <w:color w:val="000000"/>
          <w:sz w:val="21"/>
          <w:szCs w:val="21"/>
          <w:highlight w:val="none"/>
          <w:lang w:val="zh-CN"/>
        </w:rPr>
        <w:t xml:space="preserve">”中不得出现投标总报价。投标人所提交的资料的完整与否，将直接影响投标人的评分。</w:t>
      </w:r>
      <w:r/>
    </w:p>
    <w:p>
      <w:pPr>
        <w:pStyle w:val="855"/>
        <w:spacing w:line="440" w:lineRule="exact"/>
        <w:rPr>
          <w:rFonts w:hint="eastAsia" w:cs="宋体"/>
          <w:b/>
          <w:bCs/>
          <w:color w:val="000000"/>
          <w:sz w:val="21"/>
          <w:szCs w:val="21"/>
          <w:highlight w:val="none"/>
          <w:lang w:val="zh-CN"/>
        </w:rPr>
      </w:pPr>
      <w:r>
        <w:rPr>
          <w:rFonts w:hint="eastAsia" w:cs="宋体"/>
          <w:b/>
          <w:bCs/>
          <w:color w:val="000000"/>
          <w:sz w:val="21"/>
          <w:szCs w:val="21"/>
          <w:highlight w:val="none"/>
          <w:lang w:val="zh-CN"/>
        </w:rPr>
        <w:t xml:space="preserve">（4）制作电子投标文件时必须与投标文件制作软件目录一一对应，将相关资料上传至相应模块。</w:t>
      </w:r>
      <w:r/>
    </w:p>
    <w:p>
      <w:pPr>
        <w:pStyle w:val="855"/>
        <w:spacing w:line="440" w:lineRule="exact"/>
        <w:rPr>
          <w:rFonts w:hint="eastAsia" w:cs="宋体"/>
          <w:b/>
          <w:bCs/>
          <w:color w:val="000000"/>
          <w:sz w:val="21"/>
          <w:szCs w:val="21"/>
          <w:highlight w:val="none"/>
          <w:lang w:val="zh-CN"/>
        </w:rPr>
      </w:pPr>
      <w:r>
        <w:rPr>
          <w:rFonts w:hint="eastAsia"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w:t>
      </w:r>
      <w:r>
        <w:rPr>
          <w:rFonts w:hint="eastAsia" w:cs="宋体"/>
          <w:b/>
          <w:bCs/>
          <w:color w:val="000000"/>
          <w:sz w:val="21"/>
          <w:szCs w:val="21"/>
          <w:highlight w:val="none"/>
          <w:u w:val="single"/>
          <w:lang w:val="zh-CN"/>
        </w:rPr>
        <w:t xml:space="preserve">承担</w:t>
      </w:r>
      <w:r>
        <w:rPr>
          <w:rFonts w:hint="eastAsia" w:cs="宋体"/>
          <w:b/>
          <w:bCs/>
          <w:color w:val="000000"/>
          <w:sz w:val="21"/>
          <w:szCs w:val="21"/>
          <w:highlight w:val="none"/>
          <w:lang w:val="zh-CN"/>
        </w:rPr>
        <w:t xml:space="preserve">。</w:t>
      </w:r>
      <w:r/>
    </w:p>
    <w:p>
      <w:pPr>
        <w:numPr>
          <w:ilvl w:val="0"/>
          <w:numId w:val="4"/>
        </w:numPr>
        <w:ind w:left="540" w:hanging="540"/>
        <w:spacing w:line="440" w:lineRule="exact"/>
        <w:tabs>
          <w:tab w:val="left" w:pos="540" w:leader="none"/>
        </w:tabs>
        <w:rPr>
          <w:rFonts w:hint="eastAsia"/>
          <w:b/>
          <w:bCs/>
          <w:color w:val="000000"/>
          <w:sz w:val="21"/>
          <w:szCs w:val="21"/>
          <w:highlight w:val="none"/>
        </w:rPr>
      </w:pPr>
      <w:r>
        <w:rPr>
          <w:rFonts w:hint="eastAsia"/>
          <w:b/>
          <w:bCs/>
          <w:color w:val="000000"/>
          <w:sz w:val="21"/>
          <w:szCs w:val="21"/>
          <w:highlight w:val="none"/>
          <w:lang w:val="zh-CN"/>
        </w:rPr>
        <w:t xml:space="preserve">投标文件编制要求</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投标文件按统一格式、顺序编写。</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《开标一览表》为在开标仪式上唱标的内容，要求按格式填写，统一规范，不得自行增减内容。</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投标报价（编制）要求的说明</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投标报价应包括</w:t>
      </w:r>
      <w:r>
        <w:rPr>
          <w:rFonts w:hint="eastAsia"/>
          <w:color w:val="000000"/>
          <w:sz w:val="21"/>
          <w:szCs w:val="21"/>
          <w:highlight w:val="none"/>
        </w:rPr>
        <w:t xml:space="preserve">全部标的物及其备品备件、辅助材料、安装、调试、维护、人工、机械、包装、运输、装卸、仓储、保险、运费、各种税费、劳保、专利技术及质保期间等一切费用。</w:t>
      </w:r>
      <w:r>
        <w:rPr>
          <w:rFonts w:hint="eastAsia"/>
          <w:color w:val="000000"/>
          <w:sz w:val="21"/>
          <w:szCs w:val="21"/>
          <w:highlight w:val="none"/>
          <w:lang w:val="zh-CN"/>
        </w:rPr>
        <w:t xml:space="preserve">投标报价为最终报价，投标人所报价格在合同实施期间不因市场变化因素而变动。</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投标人应按《公开分项报价表》中的全部服务内容的每一单项计算并填写单价和总价，并由企业法定代表人或委托代理人签署。</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投标文件报价采用人民币表示，除非合同的特殊条款另有规定。</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最低的投标报价是中标的重要条件但不是唯一条件。</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rPr>
        <w:t xml:space="preserve">投标保证金：</w:t>
      </w:r>
      <w:r>
        <w:rPr>
          <w:rStyle w:val="903"/>
          <w:rFonts w:hint="eastAsia"/>
          <w:b/>
          <w:color w:val="000000"/>
          <w:sz w:val="21"/>
          <w:szCs w:val="21"/>
          <w:highlight w:val="none"/>
        </w:rPr>
        <w:t xml:space="preserve">不需提交，招标文件中有关投标保证金的规定均不适用。投标（响应）人应在投标（响应）文件中提交《投标（响应）保证承诺书》（详见附件），否则为无效投标。</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投标文件的有效期</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rPr>
        <w:t xml:space="preserve">提交投标文件的截止之日起九十日内</w:t>
      </w:r>
      <w:r>
        <w:rPr>
          <w:rFonts w:hint="eastAsia"/>
          <w:color w:val="000000"/>
          <w:sz w:val="21"/>
          <w:szCs w:val="21"/>
          <w:highlight w:val="none"/>
          <w:lang w:val="zh-CN"/>
        </w:rPr>
        <w:t xml:space="preserve">，投标书应保持有效。有效期短于这个规定期限的投标文件，将被拒绝。</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rPr>
        <w:t xml:space="preserve">投标文件的制作、签署、上传</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本项目采用电子招投标形式，请供应商按照</w:t>
      </w:r>
      <w:r>
        <w:rPr>
          <w:rFonts w:hint="eastAsia"/>
          <w:b/>
          <w:bCs/>
          <w:color w:val="000000"/>
          <w:sz w:val="21"/>
          <w:szCs w:val="21"/>
          <w:highlight w:val="none"/>
        </w:rPr>
        <w:t xml:space="preserve">《苏采云系统供应商操作手册》</w:t>
      </w:r>
      <w:r>
        <w:rPr>
          <w:rFonts w:hint="eastAsia"/>
          <w:color w:val="000000"/>
          <w:sz w:val="21"/>
          <w:szCs w:val="21"/>
          <w:highlight w:val="none"/>
        </w:rPr>
        <w:t xml:space="preserve">进行制作、上传电子投标文件。</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制作电子投标文件时，应按照招标文件要求加盖投标人电子公章。</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b/>
          <w:bCs/>
          <w:color w:val="000000"/>
          <w:sz w:val="21"/>
          <w:szCs w:val="21"/>
          <w:highlight w:val="none"/>
        </w:rPr>
        <w:t xml:space="preserve">电子投标文件制作完成后请于投标文件网上提交截止时间前成功上传至“苏采云”系统，否则视为放弃参加该采购项目。</w:t>
      </w:r>
      <w:r>
        <w:rPr>
          <w:rFonts w:hint="eastAsia"/>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0"/>
          <w:numId w:val="3"/>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投标文件的递交（上传）</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投标文件的递交</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投标人应当在投标截止时间前制作并上传电子投标文件。</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rPr>
        <w:t xml:space="preserve">投标人通过“苏采云”系统不见面开标大厅在线参与开标活动。（具体操作详见《苏采云系统供应商操作手册》，网址链接https：//czju.suzhou.gov.cn/zfcg/html/content/20231220161910031.shtml）</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lang w:val="zh-CN"/>
        </w:rPr>
        <w:t xml:space="preserve">纸质</w:t>
      </w:r>
      <w:r>
        <w:rPr>
          <w:rFonts w:hint="eastAsia"/>
          <w:b/>
          <w:bCs/>
          <w:color w:val="000000"/>
          <w:sz w:val="21"/>
          <w:szCs w:val="21"/>
          <w:highlight w:val="none"/>
        </w:rPr>
        <w:t xml:space="preserve">投标</w:t>
      </w:r>
      <w:r>
        <w:rPr>
          <w:rFonts w:hint="eastAsia"/>
          <w:b/>
          <w:bCs/>
          <w:color w:val="000000"/>
          <w:sz w:val="21"/>
          <w:szCs w:val="21"/>
          <w:highlight w:val="none"/>
          <w:lang w:val="zh-CN"/>
        </w:rPr>
        <w:t xml:space="preserve">文件：</w:t>
      </w:r>
      <w:r>
        <w:rPr>
          <w:rFonts w:hint="eastAsia"/>
          <w:b/>
          <w:bCs/>
          <w:color w:val="000000"/>
          <w:sz w:val="21"/>
          <w:szCs w:val="21"/>
          <w:highlight w:val="none"/>
        </w:rPr>
        <w:t xml:space="preserve">中标后5个工作日内，中标单位向招标代理机构提供与电子投标文件内容一致的纸质投标文件两份。</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投标截止时间</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投标人应当在招标文件要求投标文件网上提交截止时间前，将投标文件完成提交（上传）。逾期提交（上传）的投标文件，采购人和采购代理机构拒绝接收。</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在投标截止时间止成功解密的投标文件少于三份，采购代理机构有权宣布本次招标失败。</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投标文件的补充、修改和撤回</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rPr>
        <w:t xml:space="preserve">投标人在投标文件网上提交截止时间前，可以对其电子投标文件进行补充、修改，具体操作方法见</w:t>
      </w:r>
      <w:r>
        <w:rPr>
          <w:rFonts w:hint="eastAsia"/>
          <w:b/>
          <w:bCs/>
          <w:color w:val="000000"/>
          <w:sz w:val="21"/>
          <w:szCs w:val="21"/>
          <w:highlight w:val="none"/>
        </w:rPr>
        <w:t xml:space="preserve">《苏采云系统供应商操作手册》</w:t>
      </w:r>
      <w:r>
        <w:rPr>
          <w:rFonts w:hint="eastAsia"/>
          <w:color w:val="000000"/>
          <w:sz w:val="21"/>
          <w:szCs w:val="21"/>
          <w:highlight w:val="none"/>
        </w:rPr>
        <w:t xml:space="preserve">。在投标文件网上提交截止时间之后，投标人不得对其电子投标文件作任何修改</w:t>
      </w:r>
      <w:r>
        <w:rPr>
          <w:rFonts w:hint="eastAsia"/>
          <w:color w:val="000000"/>
          <w:sz w:val="21"/>
          <w:szCs w:val="21"/>
          <w:highlight w:val="none"/>
          <w:lang w:val="zh-CN"/>
        </w:rPr>
        <w:t xml:space="preserve">。</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rPr>
        <w:t xml:space="preserve">投标人在投标文件网上提交截止时间前，可以撤回其电子投标文件，具体操作方法见</w:t>
      </w:r>
      <w:r>
        <w:rPr>
          <w:rFonts w:hint="eastAsia"/>
          <w:b/>
          <w:bCs/>
          <w:color w:val="000000"/>
          <w:sz w:val="21"/>
          <w:szCs w:val="21"/>
          <w:highlight w:val="none"/>
        </w:rPr>
        <w:t xml:space="preserve">《苏采云系统供应商操作手册》</w:t>
      </w:r>
      <w:r>
        <w:rPr>
          <w:rFonts w:hint="eastAsia"/>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color w:val="000000"/>
          <w:sz w:val="21"/>
          <w:szCs w:val="21"/>
          <w:highlight w:val="none"/>
          <w:lang w:val="zh-CN"/>
        </w:rPr>
        <w:t xml:space="preserve">。</w:t>
      </w:r>
      <w:r/>
    </w:p>
    <w:p>
      <w:pPr>
        <w:numPr>
          <w:ilvl w:val="0"/>
          <w:numId w:val="3"/>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开标和评标</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开标</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开标由采购代理机构</w:t>
      </w:r>
      <w:r>
        <w:rPr>
          <w:rFonts w:hint="eastAsia"/>
          <w:color w:val="000000"/>
          <w:sz w:val="21"/>
          <w:szCs w:val="21"/>
          <w:highlight w:val="none"/>
        </w:rPr>
        <w:t xml:space="preserve">在线</w:t>
      </w:r>
      <w:r>
        <w:rPr>
          <w:rFonts w:hint="eastAsia"/>
          <w:color w:val="000000"/>
          <w:sz w:val="21"/>
          <w:szCs w:val="21"/>
          <w:highlight w:val="none"/>
          <w:lang w:val="zh-CN"/>
        </w:rPr>
        <w:t xml:space="preserve">主持，邀请投标人</w:t>
      </w:r>
      <w:r>
        <w:rPr>
          <w:rFonts w:hint="eastAsia"/>
          <w:color w:val="000000"/>
          <w:sz w:val="21"/>
          <w:szCs w:val="21"/>
          <w:highlight w:val="none"/>
        </w:rPr>
        <w:t xml:space="preserve">在线</w:t>
      </w:r>
      <w:r>
        <w:rPr>
          <w:rFonts w:hint="eastAsia"/>
          <w:color w:val="000000"/>
          <w:sz w:val="21"/>
          <w:szCs w:val="21"/>
          <w:highlight w:val="none"/>
          <w:lang w:val="zh-CN"/>
        </w:rPr>
        <w:t xml:space="preserve">参加。投标人应当按照《苏采云系统供应商操作手册》规定，</w:t>
      </w:r>
      <w:r>
        <w:rPr>
          <w:rFonts w:hint="eastAsia"/>
          <w:b/>
          <w:bCs/>
          <w:color w:val="000000"/>
          <w:sz w:val="21"/>
          <w:szCs w:val="21"/>
          <w:highlight w:val="none"/>
          <w:lang w:val="zh-CN"/>
        </w:rPr>
        <w:t xml:space="preserve">参加开标活动和在“苏采云”系统规定的时间内对投标文件进行解密</w:t>
      </w:r>
      <w:r>
        <w:rPr>
          <w:rFonts w:hint="eastAsia"/>
          <w:color w:val="000000"/>
          <w:sz w:val="21"/>
          <w:szCs w:val="21"/>
          <w:highlight w:val="none"/>
          <w:lang w:val="zh-CN"/>
        </w:rPr>
        <w:t xml:space="preserve">。评标委员会成员不得参加开标活动。</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开标时，由采购代理机构</w:t>
      </w:r>
      <w:r>
        <w:rPr>
          <w:rFonts w:hint="eastAsia"/>
          <w:color w:val="000000"/>
          <w:sz w:val="21"/>
          <w:szCs w:val="21"/>
          <w:highlight w:val="none"/>
        </w:rPr>
        <w:t xml:space="preserve">通过“苏采云”系统在线</w:t>
      </w:r>
      <w:r>
        <w:rPr>
          <w:rFonts w:hint="eastAsia"/>
          <w:color w:val="000000"/>
          <w:sz w:val="21"/>
          <w:szCs w:val="21"/>
          <w:highlight w:val="none"/>
          <w:lang w:val="zh-CN"/>
        </w:rPr>
        <w:t xml:space="preserve">宣布投标人名称、投标价格和招标文件规定的需要宣布的其他内容。</w:t>
      </w:r>
      <w:r>
        <w:rPr>
          <w:rFonts w:hint="eastAsia"/>
          <w:color w:val="000000"/>
          <w:sz w:val="21"/>
          <w:szCs w:val="21"/>
          <w:highlight w:val="none"/>
        </w:rPr>
        <w:t xml:space="preserve">投标人在不见面开标系统中确认投标价格，如</w:t>
      </w:r>
      <w:r>
        <w:rPr>
          <w:rFonts w:hint="eastAsia"/>
          <w:color w:val="000000"/>
          <w:sz w:val="21"/>
          <w:szCs w:val="21"/>
          <w:highlight w:val="none"/>
          <w:lang w:val="zh-CN"/>
        </w:rPr>
        <w:t xml:space="preserve">投标人未</w:t>
      </w:r>
      <w:r>
        <w:rPr>
          <w:rFonts w:hint="eastAsia"/>
          <w:color w:val="000000"/>
          <w:sz w:val="21"/>
          <w:szCs w:val="21"/>
          <w:highlight w:val="none"/>
        </w:rPr>
        <w:t xml:space="preserve">在线</w:t>
      </w:r>
      <w:r>
        <w:rPr>
          <w:rFonts w:hint="eastAsia"/>
          <w:color w:val="000000"/>
          <w:sz w:val="21"/>
          <w:szCs w:val="21"/>
          <w:highlight w:val="none"/>
          <w:lang w:val="zh-CN"/>
        </w:rPr>
        <w:t xml:space="preserve">参加开标</w:t>
      </w:r>
      <w:r>
        <w:rPr>
          <w:rFonts w:hint="eastAsia"/>
          <w:color w:val="000000"/>
          <w:sz w:val="21"/>
          <w:szCs w:val="21"/>
          <w:highlight w:val="none"/>
        </w:rPr>
        <w:t xml:space="preserve">或未在规定时间内确认价格</w:t>
      </w:r>
      <w:r>
        <w:rPr>
          <w:rFonts w:hint="eastAsia"/>
          <w:color w:val="000000"/>
          <w:sz w:val="21"/>
          <w:szCs w:val="21"/>
          <w:highlight w:val="none"/>
          <w:lang w:val="zh-CN"/>
        </w:rPr>
        <w:t xml:space="preserve">的，视同认可开标结果。</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rPr>
      </w:pPr>
      <w:r>
        <w:rPr>
          <w:rFonts w:hint="eastAsia"/>
          <w:color w:val="000000"/>
          <w:sz w:val="21"/>
          <w:szCs w:val="21"/>
          <w:highlight w:val="none"/>
        </w:rPr>
        <w:t xml:space="preserve">资格审查</w:t>
      </w:r>
      <w:r/>
    </w:p>
    <w:p>
      <w:pPr>
        <w:numPr>
          <w:ilvl w:val="2"/>
          <w:numId w:val="4"/>
        </w:numPr>
        <w:ind w:left="1440" w:hanging="900"/>
        <w:spacing w:line="440" w:lineRule="exact"/>
        <w:tabs>
          <w:tab w:val="left" w:pos="1440" w:leader="none"/>
        </w:tabs>
        <w:rPr>
          <w:rFonts w:hint="eastAsia"/>
          <w:color w:val="000000"/>
          <w:sz w:val="21"/>
          <w:szCs w:val="21"/>
          <w:highlight w:val="none"/>
        </w:rPr>
      </w:pPr>
      <w:r>
        <w:rPr>
          <w:rFonts w:hint="eastAsia"/>
          <w:color w:val="000000"/>
          <w:sz w:val="21"/>
          <w:szCs w:val="21"/>
          <w:highlight w:val="none"/>
        </w:rPr>
        <w:t xml:space="preserve">公开招标采购项目开标结束后，采购人或采购代理机构应当依法对投标人的资格进行审查，未通过资格审查的视为无效投标。</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评标委员会或评标小组</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评标委员会或评标小组（以下简称评标委员会）成员依法组建。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评标委员会或评标小组负责具体的评标事务，并独立履行以下职责：</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审查、评价投标文件是否符合招标文件的商务、技术等实质性要求；</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要求投标人对投标文件有关事项作出澄清或者说明；</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对投标文件进行比较和评价；</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确定中标候选人名单，以及根据采购单位委托直接确定中标单位；</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向采购单位、采购代理机构或者有关部门报告评标中发现的违法行为。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评标委员会成员应当履行下列义务：</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遵纪守法，客观、公正、廉洁地履行职责；</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按照招标文件规定的评标方法和评标标准进行评标，对评审意见承担个人责任；</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对评标过程和结果，以及投标人的商业秘密保密；</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参与评标报告的起草；</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配合财政部门的投诉处理工作；</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配合招标采购单位答复投标供应商提出的质疑。</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评标内容的保密</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公开开标后，直到宣布授予中标单位合同为止，凡属于审查、澄清、评价和比较投标的所有资料，有关授予合同的信息都不应向投标人或与评标无关的其他人泄露。</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在投标文件的审查、澄清、评价和比较以及授予合同的过程中，投标人对招标代理机构和评标委员会成员施加影响的任何行为，都将取消其中标资格。</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在评标期间，招标代理机构将通过指定联络人与投标人进行联系。</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对投标文件初审</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评标委员会应当对符合资格的投标人的投标文件进行符合性审查，以确定其是否满足招标文件的实质性要求。</w:t>
      </w:r>
      <w:r/>
    </w:p>
    <w:p>
      <w:pPr>
        <w:ind w:left="54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投标文件有下列情况之一者将被拒绝：</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投标人的投标文件未按照本须知规定制作的；</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未按本须知规定提交资格文件或资质不合格；</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与招标文件有重大偏离；</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投标人拒绝修正错误；</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投标人的报价是选择性的；</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投标人的报价只投了部分内容；</w:t>
      </w:r>
      <w:r/>
    </w:p>
    <w:p>
      <w:pPr>
        <w:numPr>
          <w:ilvl w:val="2"/>
          <w:numId w:val="4"/>
        </w:numPr>
        <w:ind w:left="1440" w:hanging="900"/>
        <w:spacing w:line="440" w:lineRule="exact"/>
        <w:tabs>
          <w:tab w:val="left" w:pos="1440" w:leader="none"/>
        </w:tabs>
        <w:rPr>
          <w:b/>
          <w:bCs/>
          <w:color w:val="000000"/>
          <w:sz w:val="21"/>
          <w:szCs w:val="21"/>
          <w:highlight w:val="none"/>
        </w:rPr>
      </w:pPr>
      <w:r>
        <w:rPr>
          <w:rFonts w:hint="eastAsia"/>
          <w:b/>
          <w:bCs/>
          <w:color w:val="000000"/>
          <w:sz w:val="21"/>
          <w:szCs w:val="21"/>
          <w:highlight w:val="none"/>
          <w:lang w:val="zh-CN"/>
        </w:rPr>
        <w:t xml:space="preserve">投标人的报价超采购预算或经评标小组评定为无效报价；</w:t>
      </w:r>
      <w:r>
        <w:rPr>
          <w:rFonts w:hint="eastAsia"/>
          <w:b/>
          <w:bCs/>
          <w:color w:val="000000"/>
          <w:sz w:val="21"/>
          <w:szCs w:val="21"/>
          <w:highlight w:val="none"/>
        </w:rPr>
        <w:t xml:space="preserve">根据《苏财购〔</w:t>
      </w:r>
      <w:r>
        <w:rPr>
          <w:b/>
          <w:bCs/>
          <w:color w:val="000000"/>
          <w:sz w:val="21"/>
          <w:szCs w:val="21"/>
          <w:highlight w:val="none"/>
        </w:rPr>
        <w:t xml:space="preserve">202</w:t>
      </w:r>
      <w:r>
        <w:rPr>
          <w:rFonts w:hint="eastAsia"/>
          <w:b/>
          <w:bCs/>
          <w:color w:val="000000"/>
          <w:sz w:val="21"/>
          <w:szCs w:val="21"/>
          <w:highlight w:val="none"/>
        </w:rPr>
        <w:t xml:space="preserve">6</w:t>
      </w:r>
      <w:r>
        <w:rPr>
          <w:b/>
          <w:bCs/>
          <w:color w:val="000000"/>
          <w:sz w:val="21"/>
          <w:szCs w:val="21"/>
          <w:highlight w:val="none"/>
        </w:rPr>
        <w:t xml:space="preserve">〕</w:t>
      </w:r>
      <w:r>
        <w:rPr>
          <w:rFonts w:hint="eastAsia"/>
          <w:b/>
          <w:bCs/>
          <w:color w:val="000000"/>
          <w:sz w:val="21"/>
          <w:szCs w:val="21"/>
          <w:highlight w:val="none"/>
        </w:rPr>
        <w:t xml:space="preserve">36</w:t>
      </w:r>
      <w:r>
        <w:rPr>
          <w:b/>
          <w:bCs/>
          <w:color w:val="000000"/>
          <w:sz w:val="21"/>
          <w:szCs w:val="21"/>
          <w:highlight w:val="none"/>
        </w:rPr>
        <w:t xml:space="preserve">号</w:t>
      </w:r>
      <w:r>
        <w:rPr>
          <w:rFonts w:hint="eastAsia"/>
          <w:b/>
          <w:bCs/>
          <w:color w:val="000000"/>
          <w:sz w:val="21"/>
          <w:szCs w:val="21"/>
          <w:highlight w:val="none"/>
        </w:rPr>
        <w:t xml:space="preserve">》文，评审委员会启动异常低价投标（响应）审查的情形和具体要求，包括：</w:t>
      </w:r>
      <w:r/>
    </w:p>
    <w:p>
      <w:pPr>
        <w:ind w:firstLine="420"/>
        <w:jc w:val="left"/>
        <w:spacing w:line="440" w:lineRule="exact"/>
        <w:widowControl/>
        <w:rPr>
          <w:color w:val="000000"/>
          <w:sz w:val="21"/>
          <w:szCs w:val="21"/>
          <w:highlight w:val="none"/>
        </w:rPr>
      </w:pPr>
      <w:r>
        <w:rPr>
          <w:rFonts w:hint="eastAsia"/>
          <w:color w:val="000000"/>
          <w:sz w:val="21"/>
          <w:szCs w:val="21"/>
          <w:highlight w:val="none"/>
        </w:rPr>
        <w:t xml:space="preserve">（1）评审过程中出现下列情形之一的，评审委员会应当启动异常低价投标（响应）审查程序：</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eastAsia="en-US"/>
        </w:rPr>
        <w:t xml:space="preserve">投标(响应)报价低于全部通过符合性审查供应商投标(响应)报价平均值50%的，即投标(响应)报价&lt;全部通过符合性审查供应商投标(响应)报价平均值×50%</w:t>
      </w:r>
      <w:r>
        <w:rPr>
          <w:rFonts w:hint="eastAsia"/>
          <w:color w:val="000000"/>
          <w:sz w:val="21"/>
          <w:szCs w:val="21"/>
          <w:highlight w:val="none"/>
        </w:rPr>
        <w:t xml:space="preserve">；</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eastAsia="en-US"/>
        </w:rPr>
        <w:t xml:space="preserve">投标(响应)报价低于通过符合性审查的次低报价供应商投标(响应)报价50%的，即投标(响应)报价&lt;通过符合性审查的次低报价供应商投标(响应)报价×50%</w:t>
      </w:r>
      <w:r>
        <w:rPr>
          <w:rFonts w:hint="eastAsia"/>
          <w:color w:val="000000"/>
          <w:sz w:val="21"/>
          <w:szCs w:val="21"/>
          <w:highlight w:val="none"/>
        </w:rPr>
        <w:t xml:space="preserve">；</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eastAsia="en-US"/>
        </w:rPr>
        <w:t xml:space="preserve">投标(响应)报价低于采购项目最高限价45%的，即投标(响应)报价</w:t>
      </w:r>
      <w:r>
        <w:rPr>
          <w:rFonts w:hint="eastAsia"/>
          <w:color w:val="000000"/>
          <w:sz w:val="21"/>
          <w:szCs w:val="21"/>
          <w:highlight w:val="none"/>
        </w:rPr>
        <w:t xml:space="preserve">&lt;</w:t>
      </w:r>
      <w:r>
        <w:rPr>
          <w:rFonts w:hint="eastAsia"/>
          <w:color w:val="000000"/>
          <w:sz w:val="21"/>
          <w:szCs w:val="21"/>
          <w:highlight w:val="none"/>
          <w:lang w:eastAsia="en-US"/>
        </w:rPr>
        <w:t xml:space="preserve">采购项目最高限价×45%</w:t>
      </w:r>
      <w:r>
        <w:rPr>
          <w:rFonts w:hint="eastAsia"/>
          <w:color w:val="000000"/>
          <w:sz w:val="21"/>
          <w:szCs w:val="21"/>
          <w:highlight w:val="none"/>
        </w:rPr>
        <w:t xml:space="preserve">；</w:t>
      </w:r>
      <w:r/>
    </w:p>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eastAsia="en-US"/>
        </w:rPr>
        <w:t xml:space="preserve">评审委员会基于专业判断，认为供应商报价过低，有可能影响产品质量或者不能诚信履约的其他情形</w:t>
      </w:r>
      <w:r>
        <w:rPr>
          <w:rFonts w:hint="eastAsia"/>
          <w:color w:val="000000"/>
          <w:sz w:val="21"/>
          <w:szCs w:val="21"/>
          <w:highlight w:val="none"/>
        </w:rPr>
        <w:t xml:space="preserve">。</w:t>
      </w:r>
      <w:r/>
    </w:p>
    <w:p>
      <w:pPr>
        <w:ind w:left="166" w:firstLine="420"/>
        <w:jc w:val="left"/>
        <w:spacing w:line="440" w:lineRule="exact"/>
        <w:widowControl/>
        <w:rPr>
          <w:color w:val="000000"/>
          <w:sz w:val="21"/>
          <w:szCs w:val="21"/>
          <w:highlight w:val="none"/>
        </w:rPr>
      </w:pPr>
      <w:r>
        <w:rPr>
          <w:rFonts w:hint="eastAsia"/>
          <w:color w:val="000000"/>
          <w:sz w:val="21"/>
          <w:szCs w:val="21"/>
          <w:highlight w:val="none"/>
        </w:rPr>
        <w:t xml:space="preserve">（2）启动异常低价投标（响应）审查后，评审委员会应当要求相关供应商在苏采云系统内规定的合理的时间内，提供项目具体成本测算等与报价合理性相关的书面说明及必要的证明材料，包括但不限于原材料成本、人工成本、制造费用等，对投标（响应）价格作出解释，</w:t>
      </w:r>
      <w:r>
        <w:rPr>
          <w:rFonts w:hint="eastAsia"/>
          <w:color w:val="000000"/>
          <w:sz w:val="21"/>
          <w:szCs w:val="21"/>
          <w:highlight w:val="none"/>
          <w:lang w:eastAsia="en-US"/>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color w:val="000000"/>
          <w:sz w:val="21"/>
          <w:szCs w:val="21"/>
          <w:highlight w:val="none"/>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numPr>
          <w:ilvl w:val="2"/>
          <w:numId w:val="4"/>
        </w:numPr>
        <w:ind w:left="1440" w:hanging="900"/>
        <w:spacing w:line="440" w:lineRule="exact"/>
        <w:tabs>
          <w:tab w:val="left" w:pos="14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其他被评委会认定无效的情况。</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查询时间：投标文件递交截止时间后。</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查询渠道：采购代理机构会在接收投标文件截止时间后，登录信用中国网站（www.creditchina.gov.cn）和中国政府采购网（www.ccgp.gov.cn/）查询供应商的信用记录，并将查询结果递交评标委员会。</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1417"/>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（一）政府采购严重违法记录，即供应商被全国各级财政部门列入“政府采购严重违法失信行为记录名单”，且在处罚有效期内的。</w:t>
      </w:r>
      <w:r/>
    </w:p>
    <w:p>
      <w:pPr>
        <w:ind w:left="1417"/>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（二）财政部门与法院、工商、税务等部门联合惩戒的失信信息，包括：</w:t>
      </w:r>
      <w:r/>
    </w:p>
    <w:p>
      <w:pPr>
        <w:ind w:left="1417"/>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（1）被列入失信被执行人名单；</w:t>
      </w:r>
      <w:r/>
    </w:p>
    <w:p>
      <w:pPr>
        <w:ind w:left="1417"/>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（2）被列入重大税收违法案件当事人名单；</w:t>
      </w:r>
      <w:r/>
    </w:p>
    <w:p>
      <w:pPr>
        <w:ind w:left="1417"/>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评委会将对确定为实质上响应的投标进行审核，看其是否有计算上或累加上的算术错误，修正错误的原则如下：</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投标文件中开标一览表（报价表）内容与投标文件中相应内容不一致的，以开标一览表（报价表）为准；</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大写金额和小写金额不一致的，以大写金额为准；</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单价金额小数点或者百分比有明显错位的，以开标一览表的总价为准，并修改单价；</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总价金额与按单价汇总金额不一致的，以单价金额计算结果为准。</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招标代理机构对投标文件的判定，只依据投标内容本身，不依靠开标后的任何外来证明。</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招标代理机构将拒绝被确定为非实质性响应的投标，投标人不能通过修正或撤销不符之处而使其投标成为实质性响应的投标。</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投标的澄清</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投标人的澄清、说明或者补正应当采用书面形式，并加盖其单位电子公章。投标人的澄清、说明或者补正不得超出投标文件的范围或者改变投标文件的实质性内容。</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b/>
          <w:bCs/>
          <w:color w:val="000000"/>
          <w:sz w:val="21"/>
          <w:szCs w:val="21"/>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color w:val="000000"/>
          <w:sz w:val="21"/>
          <w:szCs w:val="21"/>
          <w:highlight w:val="none"/>
          <w:lang w:val="zh-CN"/>
        </w:rPr>
        <w:t xml:space="preserve">供应商应随时保持系统在线，如因供应商自身原因未在规定时间内提交澄清确认资料的，导致的不利后果由供应商自行承担。</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无效投标的具体情形有：</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rPr>
        <w:t xml:space="preserve">未按照招标文件规定要求签署、盖章的；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rPr>
        <w:t xml:space="preserve">不具备招标文件中规定资格要求的；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lang w:val="zh-CN"/>
        </w:rPr>
        <w:t xml:space="preserve">报价超过招标文件中规定的预算金额（总预算和单项预算）或者最高限价的；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投标文件含有采购人不能接受的附加条件的；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rPr>
        <w:t xml:space="preserve">平台报名系统内投标单位（投标单位）的报名名称（CA用户名）与投标文件中投标单位（投标单位）名称不一致的；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rPr>
        <w:t xml:space="preserve">因投标单位自身原因导致网上投标文件无法递交的其他情况；</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rPr>
      </w:pPr>
      <w:r>
        <w:rPr>
          <w:rFonts w:hint="eastAsia"/>
          <w:b/>
          <w:bCs/>
          <w:color w:val="000000"/>
          <w:sz w:val="21"/>
          <w:szCs w:val="21"/>
          <w:highlight w:val="none"/>
          <w:lang w:val="zh-CN"/>
        </w:rPr>
        <w:t xml:space="preserve">不同投标（响应）文件制作机器码一致的；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法律、法规和招标文件规定的其他无效情形。</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废标的具体情形有：</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符合专业条件的供应商或者对招标文件作实质响应的供应商不足三家的；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出现影响采购公正的违法、违规行为的；</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投标人的报价均超过了采购预算（总预算和单项预算）或者最高限价的，采购人不能支付的； </w:t>
      </w:r>
      <w:r/>
    </w:p>
    <w:p>
      <w:pPr>
        <w:numPr>
          <w:ilvl w:val="1"/>
          <w:numId w:val="4"/>
        </w:numPr>
        <w:ind w:left="540" w:hanging="540"/>
        <w:spacing w:line="440" w:lineRule="exact"/>
        <w:tabs>
          <w:tab w:val="left" w:pos="540" w:leader="none"/>
          <w:tab w:val="left" w:pos="1135"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因重大变故，采购任务取消的。</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投标文件的评价和比较</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评标委员会将仅对按照本须知有关规定确定为实质上响应招标文件要求的投标文件进行评价和比较。</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针对本项目的服务方案；</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针对本项目的人员投入；</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投标者的质量、服务措施；</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投标者提供的其他优惠条件；</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参与本项目政府采购工作的态度及信誉；</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最低的投标报价是中标的重要条件但不是唯一条件。</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评标原则及方法</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公正、公平、公开、科学、择优。</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对所有投标文件的评审，均采用相同的程序和标准。</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评审方案的可行性、先进性、实用性以及风险等（含同类项目业绩，人员资质，实施本项目的资金能力、技术能力、履约能力和用户信誉等方面的从业表现等）。</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评审技术服务的承诺文件是否满足采购单位的要求。</w:t>
      </w:r>
      <w:r/>
    </w:p>
    <w:p>
      <w:pPr>
        <w:numPr>
          <w:ilvl w:val="2"/>
          <w:numId w:val="4"/>
        </w:numPr>
        <w:ind w:left="1440" w:hanging="900"/>
        <w:spacing w:line="440" w:lineRule="exact"/>
        <w:tabs>
          <w:tab w:val="left" w:pos="1440" w:leader="none"/>
        </w:tabs>
        <w:rPr>
          <w:rFonts w:hint="eastAsia"/>
          <w:color w:val="000000"/>
          <w:sz w:val="21"/>
          <w:szCs w:val="21"/>
          <w:highlight w:val="none"/>
          <w:lang w:val="zh-CN"/>
        </w:rPr>
      </w:pPr>
      <w:r>
        <w:rPr>
          <w:rFonts w:hint="eastAsia"/>
          <w:color w:val="000000"/>
          <w:sz w:val="21"/>
          <w:szCs w:val="21"/>
          <w:highlight w:val="none"/>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p>
    <w:p>
      <w:pPr>
        <w:numPr>
          <w:ilvl w:val="0"/>
          <w:numId w:val="3"/>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授予合同</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中标单位的确认</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经评标委员会评审并确定中标单位后，招标代理机构将在规定的时间内将中标结果在政府采购管理部门指定媒体上予以公示。</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质疑处理</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本次招标文件要求供应商在法定质疑期内一次性提出针对同一采购程序环节的质疑，否则不予受理。</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供应商提出质疑应当提交质疑函和必要的证明材料，质疑函应当包括下列内容：</w:t>
      </w:r>
      <w:r/>
    </w:p>
    <w:p>
      <w:pPr>
        <w:pStyle w:val="1029"/>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（1）供应商的姓名或者名称（以提供的营业执照副本复印件为准）、地址、邮编、联系人及联系电话；</w:t>
      </w:r>
      <w:r/>
    </w:p>
    <w:p>
      <w:pPr>
        <w:pStyle w:val="1029"/>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（2）质疑项目的名称、编号；</w:t>
      </w:r>
      <w:r/>
    </w:p>
    <w:p>
      <w:pPr>
        <w:pStyle w:val="1029"/>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（3）具体、明确的质疑事项和与质疑事项相关的请求；</w:t>
      </w:r>
      <w:r/>
    </w:p>
    <w:p>
      <w:pPr>
        <w:pStyle w:val="1029"/>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（4）事实依据；</w:t>
      </w:r>
      <w:r/>
    </w:p>
    <w:p>
      <w:pPr>
        <w:pStyle w:val="1029"/>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（5）必要的法律依据；</w:t>
      </w:r>
      <w:r/>
    </w:p>
    <w:p>
      <w:pPr>
        <w:pStyle w:val="1029"/>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（6）提出质疑的日期。</w:t>
      </w:r>
      <w:r/>
    </w:p>
    <w:p>
      <w:pPr>
        <w:pStyle w:val="1029"/>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bCs/>
          <w:color w:val="000000"/>
          <w:sz w:val="21"/>
          <w:szCs w:val="21"/>
          <w:highlight w:val="none"/>
          <w:lang w:val="zh-CN"/>
        </w:rPr>
        <w:t xml:space="preserve">授权委托书</w:t>
      </w:r>
      <w:r>
        <w:rPr>
          <w:rFonts w:hint="eastAsia" w:ascii="宋体" w:hAnsi="宋体"/>
          <w:color w:val="000000"/>
          <w:sz w:val="21"/>
          <w:szCs w:val="21"/>
          <w:highlight w:val="none"/>
          <w:lang w:val="zh-CN"/>
        </w:rPr>
        <w:t xml:space="preserve">上应当载明代理人的姓名或者名称、代理事项、具体权限、期限和相关事项。</w:t>
      </w:r>
      <w:r/>
    </w:p>
    <w:p>
      <w:pPr>
        <w:pStyle w:val="1029"/>
        <w:ind w:firstLine="422"/>
        <w:jc w:val="left"/>
        <w:spacing w:line="440" w:lineRule="exact"/>
        <w:rPr>
          <w:rFonts w:hint="eastAsia" w:ascii="宋体" w:hAnsi="宋体"/>
          <w:color w:val="000000"/>
          <w:sz w:val="21"/>
          <w:szCs w:val="21"/>
          <w:highlight w:val="none"/>
          <w:lang w:val="zh-CN"/>
        </w:rPr>
      </w:pPr>
      <w:r>
        <w:rPr>
          <w:rFonts w:hint="eastAsia" w:ascii="宋体" w:hAnsi="宋体"/>
          <w:b/>
          <w:bCs/>
          <w:color w:val="000000"/>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olor w:val="000000"/>
          <w:sz w:val="21"/>
          <w:szCs w:val="21"/>
          <w:highlight w:val="none"/>
          <w:lang w:val="zh-CN"/>
        </w:rPr>
        <w:t xml:space="preserve">。</w:t>
      </w:r>
      <w:r/>
    </w:p>
    <w:p>
      <w:pPr>
        <w:ind w:firstLine="420"/>
        <w:jc w:val="left"/>
        <w:spacing w:line="440" w:lineRule="exact"/>
        <w:rPr>
          <w:rFonts w:hint="eastAsia"/>
          <w:color w:val="000000"/>
          <w:sz w:val="21"/>
          <w:szCs w:val="21"/>
          <w:highlight w:val="none"/>
          <w:lang w:val="zh-CN"/>
        </w:rPr>
      </w:pPr>
      <w:r>
        <w:rPr>
          <w:rFonts w:hint="eastAsia"/>
          <w:color w:val="000000"/>
          <w:sz w:val="21"/>
          <w:szCs w:val="21"/>
          <w:highlight w:val="none"/>
        </w:rPr>
        <w:t xml:space="preserve">供应商提出书面质疑必须有理、有据，不得恶意质疑或提交虚假质疑。否则，一经查实，采购人有权依据政府采购的有关规定，报请政府采购监管部门对该质疑单位进行相应的行政处罚。</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接收质疑函的方式：书面形式（当场送达或邮寄方式）。</w:t>
      </w:r>
      <w:r/>
    </w:p>
    <w:p>
      <w:pPr>
        <w:pStyle w:val="1029"/>
        <w:ind w:firstLine="533"/>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采购代理机构：苏州韵诚项目管理咨询有限公司</w:t>
      </w:r>
      <w:r/>
    </w:p>
    <w:p>
      <w:pPr>
        <w:pStyle w:val="1029"/>
        <w:ind w:firstLine="533"/>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质疑联系人：</w:t>
      </w:r>
      <w:r>
        <w:rPr>
          <w:rFonts w:hint="eastAsia" w:ascii="宋体" w:hAnsi="宋体"/>
          <w:color w:val="000000"/>
          <w:sz w:val="21"/>
          <w:szCs w:val="21"/>
          <w:highlight w:val="none"/>
        </w:rPr>
        <w:t xml:space="preserve">冼星芮、周锦芳</w:t>
      </w:r>
      <w:r/>
    </w:p>
    <w:p>
      <w:pPr>
        <w:pStyle w:val="1029"/>
        <w:ind w:firstLine="533"/>
        <w:jc w:val="left"/>
        <w:spacing w:line="44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邮编：</w:t>
      </w:r>
      <w:r>
        <w:rPr>
          <w:rFonts w:hint="eastAsia" w:ascii="宋体" w:hAnsi="宋体"/>
          <w:color w:val="000000"/>
          <w:sz w:val="21"/>
          <w:szCs w:val="21"/>
          <w:highlight w:val="none"/>
        </w:rPr>
        <w:t xml:space="preserve">215200</w:t>
      </w:r>
      <w:r/>
    </w:p>
    <w:p>
      <w:pPr>
        <w:pStyle w:val="1029"/>
        <w:ind w:firstLine="533"/>
        <w:jc w:val="left"/>
        <w:spacing w:line="44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联系电话：</w:t>
      </w:r>
      <w:r>
        <w:rPr>
          <w:rFonts w:hint="eastAsia" w:ascii="宋体" w:hAnsi="宋体"/>
          <w:sz w:val="21"/>
          <w:highlight w:val="none"/>
        </w:rPr>
        <w:t xml:space="preserve">0512-62310590</w:t>
      </w:r>
      <w:r/>
    </w:p>
    <w:p>
      <w:pPr>
        <w:pStyle w:val="1029"/>
        <w:ind w:firstLine="533"/>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现场递交地址</w:t>
      </w:r>
      <w:r>
        <w:rPr>
          <w:rFonts w:hint="eastAsia" w:ascii="宋体" w:hAnsi="宋体"/>
          <w:color w:val="000000"/>
          <w:sz w:val="21"/>
          <w:szCs w:val="21"/>
          <w:highlight w:val="none"/>
        </w:rPr>
        <w:t xml:space="preserve">：</w:t>
      </w:r>
      <w:r>
        <w:rPr>
          <w:rFonts w:hint="eastAsia" w:ascii="宋体" w:hAnsi="宋体"/>
          <w:sz w:val="21"/>
          <w:highlight w:val="none"/>
        </w:rPr>
        <w:t xml:space="preserve">吴江区庞南路998号MAX科技园9-102号楼</w:t>
      </w:r>
      <w:r/>
    </w:p>
    <w:p>
      <w:pPr>
        <w:pStyle w:val="1029"/>
        <w:ind w:firstLine="533"/>
        <w:jc w:val="left"/>
        <w:spacing w:line="44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邮寄收取地址</w:t>
      </w:r>
      <w:r>
        <w:rPr>
          <w:rFonts w:hint="eastAsia" w:ascii="宋体" w:hAnsi="宋体"/>
          <w:color w:val="000000"/>
          <w:sz w:val="21"/>
          <w:szCs w:val="21"/>
          <w:highlight w:val="none"/>
        </w:rPr>
        <w:t xml:space="preserve">：</w:t>
      </w:r>
      <w:r>
        <w:rPr>
          <w:rFonts w:hint="eastAsia" w:ascii="宋体" w:hAnsi="宋体"/>
          <w:sz w:val="21"/>
          <w:highlight w:val="none"/>
        </w:rPr>
        <w:t xml:space="preserve">吴江区庞南路998号MAX科技园9-102号楼</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合同授予标准</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招标代理机构将把合同授予其投标文件在实质上响应招标文件要求和按本须知规定评选出的投标单位。确定为中标的投标单位必须具有实施本合同的能力和资源。</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中标通知书</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确定出中标人后，采购代理机构在法定时间内向中标人发出中标通知书。</w:t>
      </w:r>
      <w:r>
        <w:rPr>
          <w:rFonts w:hint="eastAsia"/>
          <w:b/>
          <w:bCs/>
          <w:color w:val="000000"/>
          <w:sz w:val="21"/>
          <w:szCs w:val="21"/>
          <w:highlight w:val="none"/>
          <w:lang w:val="zh-CN"/>
        </w:rPr>
        <w:t xml:space="preserve">请中标人在中标结果公告届满之日起30日内，使用CA证书登录“苏采云”系统及时下载中标通知书。</w:t>
      </w:r>
      <w:r>
        <w:rPr>
          <w:rFonts w:hint="eastAsia"/>
          <w:color w:val="000000"/>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中标通知书将成为合同的组成部分，对采购人和中标人具有同等法律效力。</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中标通知书发出后，采购人不得违法改变中标结果，中标人无正当理由不得放弃中标。</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合同的签订</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中标单位应按中标通知书中规定的时间和地点，由法定代表人或委托代理人与甲方代表签订合同，否则按放弃中标权处理。</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签订合同及合同条款应以招标文件和中标单位的投标文件及其澄清文件为依据。</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中标单位无正当理由拒签合同的，或在签订合同时向采购单位提出附加条件或者更改合同实质性内容的，报请政府采购监管部门对该投标单位进行相应的行政处罚。</w:t>
      </w:r>
      <w:r/>
    </w:p>
    <w:p>
      <w:pPr>
        <w:numPr>
          <w:ilvl w:val="0"/>
          <w:numId w:val="3"/>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其他事项</w:t>
      </w:r>
      <w:r/>
    </w:p>
    <w:p>
      <w:pPr>
        <w:pStyle w:val="851"/>
        <w:numPr>
          <w:ilvl w:val="0"/>
          <w:numId w:val="4"/>
        </w:numPr>
        <w:ind w:left="540" w:hanging="540"/>
        <w:rPr>
          <w:rFonts w:hint="eastAsia" w:eastAsia="宋体" w:cs="宋体"/>
          <w:b/>
          <w:bCs/>
          <w:color w:val="000000"/>
          <w:sz w:val="21"/>
          <w:szCs w:val="21"/>
          <w:highlight w:val="none"/>
          <w:lang w:val="zh-CN"/>
        </w:rPr>
      </w:pPr>
      <w:r>
        <w:rPr>
          <w:rFonts w:hint="eastAsia"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zh-CN"/>
        </w:rPr>
        <w:t xml:space="preserve">履约保证金：</w:t>
      </w:r>
      <w:r>
        <w:rPr>
          <w:rFonts w:hint="eastAsia" w:ascii="宋体" w:hAnsi="宋体"/>
          <w:color w:val="000000"/>
          <w:sz w:val="21"/>
          <w:szCs w:val="21"/>
          <w:highlight w:val="none"/>
        </w:rPr>
        <w:t xml:space="preserve">按合同规定要求</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中标服务费</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中标单位须按前附表规定支付中标服务费，该费用应在领取中标通知书时付清。</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中标单位如果未按规定缴纳中标服务费，招标代理机构保留诉讼的权利。</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监督和公证</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政府有关监督部门将对招投标全过程进行监督。</w:t>
      </w:r>
      <w:r/>
    </w:p>
    <w:p>
      <w:pPr>
        <w:numPr>
          <w:ilvl w:val="0"/>
          <w:numId w:val="4"/>
        </w:numPr>
        <w:ind w:left="540" w:hanging="540"/>
        <w:spacing w:line="440" w:lineRule="exact"/>
        <w:tabs>
          <w:tab w:val="left" w:pos="540" w:leader="none"/>
        </w:tabs>
        <w:rPr>
          <w:rFonts w:hint="eastAsia"/>
          <w:b/>
          <w:bCs/>
          <w:color w:val="000000"/>
          <w:sz w:val="21"/>
          <w:szCs w:val="21"/>
          <w:highlight w:val="none"/>
          <w:lang w:val="zh-CN"/>
        </w:rPr>
      </w:pPr>
      <w:r>
        <w:rPr>
          <w:rFonts w:hint="eastAsia"/>
          <w:b/>
          <w:bCs/>
          <w:color w:val="000000"/>
          <w:sz w:val="21"/>
          <w:szCs w:val="21"/>
          <w:highlight w:val="none"/>
          <w:lang w:val="zh-CN"/>
        </w:rPr>
        <w:t xml:space="preserve">未尽事宜</w:t>
      </w:r>
      <w:r/>
    </w:p>
    <w:p>
      <w:pPr>
        <w:numPr>
          <w:ilvl w:val="1"/>
          <w:numId w:val="4"/>
        </w:numPr>
        <w:ind w:left="540" w:hanging="540"/>
        <w:spacing w:line="440" w:lineRule="exact"/>
        <w:tabs>
          <w:tab w:val="left" w:pos="540" w:leader="none"/>
          <w:tab w:val="left" w:pos="1135" w:leader="none"/>
        </w:tabs>
        <w:rPr>
          <w:rFonts w:hint="eastAsia"/>
          <w:color w:val="000000"/>
          <w:sz w:val="21"/>
          <w:szCs w:val="21"/>
          <w:highlight w:val="none"/>
          <w:lang w:val="zh-CN"/>
        </w:rPr>
      </w:pPr>
      <w:r>
        <w:rPr>
          <w:rFonts w:hint="eastAsia"/>
          <w:color w:val="000000"/>
          <w:sz w:val="21"/>
          <w:szCs w:val="21"/>
          <w:highlight w:val="none"/>
          <w:lang w:val="zh-CN"/>
        </w:rPr>
        <w:t xml:space="preserve">按《中华人民共和国政府采购法》及其他有关政府采购的法律法规的规定执行。</w:t>
      </w:r>
      <w:r/>
    </w:p>
    <w:p>
      <w:pPr>
        <w:jc w:val="center"/>
        <w:spacing w:line="460" w:lineRule="exact"/>
        <w:rPr>
          <w:rFonts w:cs="Times New Roman"/>
          <w:b/>
          <w:bCs/>
          <w:color w:val="000000"/>
          <w:sz w:val="44"/>
          <w:szCs w:val="44"/>
          <w:highlight w:val="none"/>
        </w:rPr>
      </w:pPr>
      <w:r>
        <w:rPr>
          <w:rFonts w:cs="Times New Roman"/>
          <w:color w:val="000000"/>
          <w:highlight w:val="none"/>
        </w:rPr>
        <w:br w:type="page" w:clear="all"/>
      </w:r>
      <w:r>
        <w:rPr>
          <w:rFonts w:hint="eastAsia" w:ascii="Calibri" w:hAnsi="Calibri" w:cs="Times New Roman"/>
          <w:b/>
          <w:bCs/>
          <w:color w:val="000000"/>
          <w:sz w:val="44"/>
          <w:szCs w:val="44"/>
          <w:highlight w:val="none"/>
        </w:rPr>
        <w:t xml:space="preserve">第三章  投标文件格式</w:t>
      </w:r>
      <w:bookmarkEnd w:id="37"/>
      <w:r/>
      <w:r/>
    </w:p>
    <w:p>
      <w:pPr>
        <w:spacing w:line="440" w:lineRule="exact"/>
        <w:rPr>
          <w:rFonts w:cs="Times New Roman"/>
          <w:b/>
          <w:bCs/>
          <w:color w:val="000000"/>
          <w:sz w:val="21"/>
          <w:szCs w:val="21"/>
          <w:highlight w:val="none"/>
        </w:rPr>
      </w:pPr>
      <w:r>
        <w:rPr>
          <w:rFonts w:hint="eastAsia"/>
          <w:b/>
          <w:bCs/>
          <w:color w:val="000000"/>
          <w:sz w:val="21"/>
          <w:szCs w:val="21"/>
          <w:highlight w:val="none"/>
        </w:rPr>
        <w:t xml:space="preserve">说明：</w:t>
      </w:r>
      <w:r/>
    </w:p>
    <w:p>
      <w:pPr>
        <w:ind w:firstLine="420"/>
        <w:spacing w:line="440" w:lineRule="exact"/>
        <w:rPr>
          <w:rFonts w:cs="Times New Roman"/>
          <w:color w:val="000000"/>
          <w:sz w:val="21"/>
          <w:szCs w:val="21"/>
          <w:highlight w:val="none"/>
        </w:rPr>
      </w:pPr>
      <w:r>
        <w:rPr>
          <w:rFonts w:hint="eastAsia"/>
          <w:color w:val="000000"/>
          <w:sz w:val="21"/>
          <w:szCs w:val="21"/>
          <w:highlight w:val="none"/>
        </w:rPr>
        <w:t xml:space="preserve">对本章所有的投标书格式，投标方可根据自身情况进行补充和修改，但补充和修改不得造成与本格式内容有实质性的违背。</w:t>
      </w:r>
      <w:r/>
    </w:p>
    <w:p>
      <w:pPr>
        <w:spacing w:line="400" w:lineRule="exact"/>
        <w:rPr>
          <w:rFonts w:cs="Times New Roman"/>
          <w:b/>
          <w:bCs/>
          <w:color w:val="000000"/>
          <w:highlight w:val="none"/>
        </w:rPr>
      </w:pPr>
      <w:r>
        <w:rPr>
          <w:rFonts w:cs="Times New Roman"/>
          <w:b/>
          <w:bCs/>
          <w:color w:val="000000"/>
          <w:highlight w:val="none"/>
        </w:rPr>
      </w:r>
      <w:r/>
    </w:p>
    <w:p>
      <w:pPr>
        <w:spacing w:line="400" w:lineRule="exact"/>
        <w:rPr>
          <w:rFonts w:cs="Times New Roman"/>
          <w:b/>
          <w:bCs/>
          <w:color w:val="000000"/>
          <w:sz w:val="21"/>
          <w:szCs w:val="21"/>
          <w:highlight w:val="none"/>
        </w:rPr>
      </w:pPr>
      <w:r>
        <w:rPr>
          <w:rFonts w:hint="eastAsia"/>
          <w:b/>
          <w:bCs/>
          <w:color w:val="000000"/>
          <w:sz w:val="21"/>
          <w:szCs w:val="21"/>
          <w:highlight w:val="none"/>
        </w:rPr>
        <w:t xml:space="preserve">附件</w:t>
      </w:r>
      <w:r>
        <w:rPr>
          <w:b/>
          <w:bCs/>
          <w:color w:val="000000"/>
          <w:sz w:val="21"/>
          <w:szCs w:val="21"/>
          <w:highlight w:val="none"/>
        </w:rPr>
        <w:t xml:space="preserve">1</w:t>
      </w:r>
      <w:r>
        <w:rPr>
          <w:rFonts w:hint="eastAsia"/>
          <w:b/>
          <w:bCs/>
          <w:color w:val="000000"/>
          <w:sz w:val="21"/>
          <w:szCs w:val="21"/>
          <w:highlight w:val="none"/>
        </w:rPr>
        <w:t xml:space="preserve">、（投标方）法定代表人授权委托书</w:t>
      </w:r>
      <w:r/>
    </w:p>
    <w:p>
      <w:pPr>
        <w:jc w:val="center"/>
        <w:spacing w:line="400" w:lineRule="exact"/>
        <w:rPr>
          <w:rFonts w:cs="Times New Roman"/>
          <w:b/>
          <w:bCs/>
          <w:color w:val="000000"/>
          <w:sz w:val="21"/>
          <w:szCs w:val="21"/>
          <w:highlight w:val="none"/>
        </w:rPr>
      </w:pPr>
      <w:r>
        <w:rPr>
          <w:rFonts w:hint="eastAsia"/>
          <w:b/>
          <w:bCs/>
          <w:color w:val="000000"/>
          <w:sz w:val="21"/>
          <w:szCs w:val="21"/>
          <w:highlight w:val="none"/>
        </w:rPr>
        <w:t xml:space="preserve">授权委托书</w:t>
      </w:r>
      <w:r/>
    </w:p>
    <w:p>
      <w:pPr>
        <w:ind w:left="211" w:firstLine="434"/>
        <w:spacing w:line="520" w:lineRule="exact"/>
        <w:rPr>
          <w:rFonts w:cs="Times New Roman"/>
          <w:color w:val="000000"/>
          <w:sz w:val="21"/>
          <w:szCs w:val="21"/>
          <w:highlight w:val="none"/>
        </w:rPr>
      </w:pPr>
      <w:r>
        <w:rPr>
          <w:rFonts w:hint="eastAsia"/>
          <w:color w:val="000000"/>
          <w:sz w:val="21"/>
          <w:szCs w:val="21"/>
          <w:highlight w:val="none"/>
        </w:rPr>
        <w:t xml:space="preserve">本授权委托书声明：我</w:t>
      </w:r>
      <w:r>
        <w:rPr>
          <w:rFonts w:hint="eastAsia"/>
          <w:color w:val="000000"/>
          <w:sz w:val="21"/>
          <w:szCs w:val="21"/>
          <w:highlight w:val="none"/>
          <w:u w:val="single"/>
        </w:rPr>
        <w:t xml:space="preserve">（姓名）</w:t>
      </w:r>
      <w:r>
        <w:rPr>
          <w:rFonts w:hint="eastAsia"/>
          <w:color w:val="000000"/>
          <w:sz w:val="21"/>
          <w:szCs w:val="21"/>
          <w:highlight w:val="none"/>
        </w:rPr>
        <w:t xml:space="preserve">系</w:t>
      </w:r>
      <w:r>
        <w:rPr>
          <w:rFonts w:hint="eastAsia"/>
          <w:color w:val="000000"/>
          <w:sz w:val="21"/>
          <w:szCs w:val="21"/>
          <w:highlight w:val="none"/>
          <w:u w:val="single"/>
        </w:rPr>
        <w:t xml:space="preserve">（供应商名称）</w:t>
      </w:r>
      <w:r>
        <w:rPr>
          <w:rFonts w:hint="eastAsia"/>
          <w:color w:val="000000"/>
          <w:sz w:val="21"/>
          <w:szCs w:val="21"/>
          <w:highlight w:val="none"/>
        </w:rPr>
        <w:t xml:space="preserve">的法定代表人，现授权委托</w:t>
      </w:r>
      <w:r>
        <w:rPr>
          <w:rFonts w:hint="eastAsia"/>
          <w:color w:val="000000"/>
          <w:sz w:val="21"/>
          <w:szCs w:val="21"/>
          <w:highlight w:val="none"/>
          <w:u w:val="single"/>
        </w:rPr>
        <w:t xml:space="preserve">（供应商名称）</w:t>
      </w:r>
      <w:r>
        <w:rPr>
          <w:rFonts w:hint="eastAsia"/>
          <w:color w:val="000000"/>
          <w:sz w:val="21"/>
          <w:szCs w:val="21"/>
          <w:highlight w:val="none"/>
        </w:rPr>
        <w:t xml:space="preserve">的</w:t>
      </w:r>
      <w:r>
        <w:rPr>
          <w:rFonts w:hint="eastAsia"/>
          <w:color w:val="000000"/>
          <w:sz w:val="21"/>
          <w:szCs w:val="21"/>
          <w:highlight w:val="none"/>
          <w:u w:val="single"/>
        </w:rPr>
        <w:t xml:space="preserve">（姓名）</w:t>
      </w:r>
      <w:r>
        <w:rPr>
          <w:rFonts w:hint="eastAsia"/>
          <w:color w:val="000000"/>
          <w:sz w:val="21"/>
          <w:szCs w:val="21"/>
          <w:highlight w:val="none"/>
        </w:rPr>
        <w:t xml:space="preserve">为我公司代理人，以本公司的名义参加苏州韵诚项目管理咨询有限公司组织实施的编号为</w:t>
      </w:r>
      <w:r>
        <w:rPr>
          <w:rFonts w:hint="eastAsia"/>
          <w:color w:val="000000"/>
          <w:sz w:val="21"/>
          <w:szCs w:val="21"/>
          <w:highlight w:val="none"/>
          <w:u w:val="single"/>
        </w:rPr>
        <w:t xml:space="preserve">                        </w:t>
      </w:r>
      <w:r>
        <w:rPr>
          <w:rFonts w:hint="eastAsia"/>
          <w:color w:val="000000"/>
          <w:sz w:val="21"/>
          <w:szCs w:val="21"/>
          <w:highlight w:val="none"/>
        </w:rPr>
        <w:t xml:space="preserve">号的招标活动。代理人在</w:t>
      </w:r>
      <w:r>
        <w:rPr>
          <w:rFonts w:hint="eastAsia"/>
          <w:color w:val="000000"/>
          <w:sz w:val="21"/>
          <w:highlight w:val="none"/>
        </w:rPr>
        <w:t xml:space="preserve">投标报名、制作投标文件、</w:t>
      </w:r>
      <w:r>
        <w:rPr>
          <w:rFonts w:hint="eastAsia"/>
          <w:color w:val="000000"/>
          <w:sz w:val="21"/>
          <w:szCs w:val="21"/>
          <w:highlight w:val="none"/>
        </w:rPr>
        <w:t xml:space="preserve">开标、评标、合同谈判过程中所签署的一切文件和处理与这有关的一切事务，我均予以承认。</w:t>
      </w:r>
      <w:r/>
    </w:p>
    <w:p>
      <w:pPr>
        <w:ind w:left="211" w:firstLine="434"/>
        <w:spacing w:line="520" w:lineRule="exact"/>
        <w:rPr>
          <w:rFonts w:cs="Times New Roman"/>
          <w:color w:val="000000"/>
          <w:sz w:val="21"/>
          <w:szCs w:val="21"/>
          <w:highlight w:val="none"/>
        </w:rPr>
      </w:pPr>
      <w:r>
        <w:rPr>
          <w:rFonts w:hint="eastAsia"/>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644"/>
        <w:spacing w:line="520" w:lineRule="exact"/>
        <w:rPr>
          <w:rFonts w:cs="Times New Roman"/>
          <w:color w:val="000000"/>
          <w:sz w:val="21"/>
          <w:szCs w:val="21"/>
          <w:highlight w:val="none"/>
        </w:rPr>
      </w:pPr>
      <w:r>
        <w:rPr>
          <w:rFonts w:hint="eastAsia"/>
          <w:color w:val="000000"/>
          <w:sz w:val="21"/>
          <w:szCs w:val="21"/>
          <w:highlight w:val="none"/>
        </w:rPr>
        <w:t xml:space="preserve">代理人无转让委托权。</w:t>
      </w:r>
      <w:r/>
    </w:p>
    <w:p>
      <w:pPr>
        <w:ind w:firstLine="644"/>
        <w:spacing w:line="520" w:lineRule="exact"/>
        <w:rPr>
          <w:rFonts w:cs="Times New Roman"/>
          <w:color w:val="000000"/>
          <w:sz w:val="21"/>
          <w:szCs w:val="21"/>
          <w:highlight w:val="none"/>
        </w:rPr>
      </w:pPr>
      <w:r>
        <w:rPr>
          <w:rFonts w:hint="eastAsia"/>
          <w:color w:val="000000"/>
          <w:sz w:val="21"/>
          <w:szCs w:val="21"/>
          <w:highlight w:val="none"/>
        </w:rPr>
        <w:t xml:space="preserve">特此委托。</w:t>
      </w:r>
      <w:r/>
    </w:p>
    <w:p>
      <w:pPr>
        <w:ind w:firstLine="435"/>
        <w:spacing w:line="440" w:lineRule="exact"/>
        <w:tabs>
          <w:tab w:val="left" w:pos="7305" w:leader="none"/>
        </w:tabs>
        <w:rPr>
          <w:rFonts w:hint="eastAsia" w:cs="Times New Roman"/>
          <w:color w:val="000000"/>
          <w:sz w:val="21"/>
          <w:szCs w:val="21"/>
          <w:highlight w:val="none"/>
        </w:rPr>
      </w:pPr>
      <w:r>
        <w:rPr>
          <w:rFonts w:hint="eastAsia" w:cs="Times New Roman"/>
          <w:color w:val="000000"/>
          <w:sz w:val="21"/>
          <w:szCs w:val="21"/>
          <w:highlight w:val="none"/>
        </w:rPr>
        <w:tab/>
      </w:r>
      <w:r/>
    </w:p>
    <w:p>
      <w:pPr>
        <w:ind w:firstLine="435"/>
        <w:spacing w:line="440" w:lineRule="exact"/>
        <w:rPr>
          <w:rFonts w:cs="Times New Roman"/>
          <w:color w:val="000000"/>
          <w:sz w:val="21"/>
          <w:szCs w:val="21"/>
          <w:highlight w:val="none"/>
        </w:rPr>
      </w:pPr>
      <w:r>
        <w:rPr>
          <w:rFonts w:cs="Times New Roman"/>
          <w:color w:val="000000"/>
          <w:sz w:val="21"/>
          <w:szCs w:val="21"/>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供应商：（盖章）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法定代表人：（签字或盖章）</w:t>
      </w:r>
      <w:r/>
    </w:p>
    <w:p>
      <w:pPr>
        <w:spacing w:line="440" w:lineRule="exact"/>
        <w:rPr>
          <w:rFonts w:cs="Times New Roman"/>
          <w:color w:val="000000"/>
          <w:sz w:val="21"/>
          <w:szCs w:val="21"/>
          <w:highlight w:val="none"/>
        </w:rPr>
      </w:pPr>
      <w:r>
        <w:rPr>
          <w:rFonts w:hint="eastAsia"/>
          <w:color w:val="000000"/>
          <w:sz w:val="21"/>
          <w:szCs w:val="21"/>
          <w:highlight w:val="none"/>
        </w:rPr>
        <w:t xml:space="preserve">代理人：（签字或盖章）</w:t>
      </w:r>
      <w:r/>
    </w:p>
    <w:p>
      <w:pPr>
        <w:ind w:right="480"/>
        <w:spacing w:line="440" w:lineRule="exact"/>
        <w:rPr>
          <w:rFonts w:cs="Times New Roman"/>
          <w:color w:val="000000"/>
          <w:sz w:val="21"/>
          <w:szCs w:val="21"/>
          <w:highlight w:val="none"/>
        </w:rPr>
      </w:pPr>
      <w:r>
        <w:rPr>
          <w:rFonts w:hint="eastAsia" w:cs="Times New Roman"/>
          <w:color w:val="000000"/>
          <w:sz w:val="21"/>
          <w:szCs w:val="21"/>
          <w:highlight w:val="none"/>
        </w:rPr>
        <w:t xml:space="preserve">日期：     </w:t>
      </w:r>
      <w:r>
        <w:rPr>
          <w:rFonts w:hint="eastAsia"/>
          <w:color w:val="000000"/>
          <w:sz w:val="21"/>
          <w:szCs w:val="21"/>
          <w:highlight w:val="none"/>
        </w:rPr>
        <w:t xml:space="preserve">年   </w:t>
      </w:r>
      <w:r>
        <w:rPr>
          <w:color w:val="000000"/>
          <w:sz w:val="21"/>
          <w:szCs w:val="21"/>
          <w:highlight w:val="none"/>
        </w:rPr>
        <w:t xml:space="preserve">  </w:t>
      </w:r>
      <w:r>
        <w:rPr>
          <w:rFonts w:hint="eastAsia"/>
          <w:color w:val="000000"/>
          <w:sz w:val="21"/>
          <w:szCs w:val="21"/>
          <w:highlight w:val="none"/>
        </w:rPr>
        <w:t xml:space="preserve">月   </w:t>
      </w:r>
      <w:r>
        <w:rPr>
          <w:color w:val="000000"/>
          <w:sz w:val="21"/>
          <w:szCs w:val="21"/>
          <w:highlight w:val="none"/>
        </w:rPr>
        <w:t xml:space="preserve">  </w:t>
      </w:r>
      <w:r>
        <w:rPr>
          <w:rFonts w:hint="eastAsia"/>
          <w:color w:val="000000"/>
          <w:sz w:val="21"/>
          <w:szCs w:val="21"/>
          <w:highlight w:val="none"/>
        </w:rPr>
        <w:t xml:space="preserve">日</w:t>
      </w:r>
      <w:r/>
    </w:p>
    <w:p>
      <w:pPr>
        <w:ind w:firstLine="435"/>
        <w:spacing w:line="440" w:lineRule="exact"/>
        <w:rPr>
          <w:rFonts w:cs="Times New Roman"/>
          <w:color w:val="000000"/>
          <w:sz w:val="21"/>
          <w:szCs w:val="21"/>
          <w:highlight w:val="none"/>
        </w:rPr>
      </w:pPr>
      <w:r>
        <w:rPr>
          <w:rFonts w:cs="Times New Roman"/>
          <w:color w:val="000000"/>
          <w:sz w:val="21"/>
          <w:szCs w:val="21"/>
          <w:highlight w:val="none"/>
        </w:rPr>
      </w:r>
      <w:r/>
    </w:p>
    <w:p>
      <w:pPr>
        <w:pStyle w:val="825"/>
        <w:ind w:firstLine="0"/>
        <w:spacing w:line="440" w:lineRule="exact"/>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p>
    <w:p>
      <w:pPr>
        <w:pStyle w:val="825"/>
        <w:ind w:firstLine="0"/>
        <w:rPr>
          <w:rFonts w:ascii="华文中宋" w:hAnsi="华文中宋" w:eastAsia="宋体"/>
          <w:color w:val="000000"/>
          <w:sz w:val="21"/>
          <w:szCs w:val="21"/>
          <w:highlight w:val="none"/>
        </w:rPr>
      </w:pPr>
      <w:r>
        <w:rPr>
          <w:rFonts w:ascii="宋体" w:hAnsi="宋体" w:eastAsia="宋体"/>
          <w:b/>
          <w:bCs/>
          <w:color w:val="000000"/>
          <w:highlight w:val="none"/>
        </w:rPr>
        <w:br w:type="page" w:clear="all"/>
      </w:r>
      <w:r>
        <w:rPr>
          <w:rFonts w:hint="eastAsia" w:ascii="宋体" w:hAnsi="宋体" w:eastAsia="宋体" w:cs="宋体"/>
          <w:b/>
          <w:bCs/>
          <w:color w:val="000000"/>
          <w:sz w:val="21"/>
          <w:szCs w:val="21"/>
          <w:highlight w:val="none"/>
        </w:rPr>
        <w:t xml:space="preserve">附件</w:t>
      </w:r>
      <w:r>
        <w:rPr>
          <w:rFonts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t xml:space="preserve">、投标函</w:t>
      </w:r>
      <w:r/>
    </w:p>
    <w:p>
      <w:pPr>
        <w:jc w:val="center"/>
        <w:spacing w:line="400" w:lineRule="exact"/>
        <w:rPr>
          <w:rFonts w:cs="Times New Roman"/>
          <w:b/>
          <w:color w:val="000000"/>
          <w:sz w:val="21"/>
          <w:szCs w:val="21"/>
          <w:highlight w:val="none"/>
        </w:rPr>
      </w:pPr>
      <w:r>
        <w:rPr>
          <w:rFonts w:hint="eastAsia"/>
          <w:b/>
          <w:color w:val="000000"/>
          <w:sz w:val="21"/>
          <w:szCs w:val="21"/>
          <w:highlight w:val="none"/>
        </w:rPr>
        <w:t xml:space="preserve">投标函</w:t>
      </w:r>
      <w:r/>
    </w:p>
    <w:p>
      <w:pPr>
        <w:spacing w:line="440" w:lineRule="exact"/>
        <w:rPr>
          <w:rFonts w:hint="eastAsia"/>
          <w:color w:val="000000"/>
          <w:sz w:val="21"/>
          <w:szCs w:val="21"/>
          <w:highlight w:val="none"/>
        </w:rPr>
      </w:pPr>
      <w:r>
        <w:rPr>
          <w:rFonts w:hint="eastAsia"/>
          <w:color w:val="000000"/>
          <w:sz w:val="21"/>
          <w:szCs w:val="21"/>
          <w:highlight w:val="none"/>
          <w:u w:val="single"/>
        </w:rPr>
        <w:t xml:space="preserve">苏州韵诚项目管理咨询有限公司</w:t>
      </w:r>
      <w:r>
        <w:rPr>
          <w:rFonts w:hint="eastAsia"/>
          <w:color w:val="000000"/>
          <w:sz w:val="21"/>
          <w:szCs w:val="21"/>
          <w:highlight w:val="none"/>
        </w:rPr>
        <w:t xml:space="preserve">：</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我们收到贵公司</w:t>
      </w:r>
      <w:r>
        <w:rPr>
          <w:rFonts w:hint="eastAsia"/>
          <w:color w:val="000000"/>
          <w:sz w:val="21"/>
          <w:szCs w:val="21"/>
          <w:highlight w:val="none"/>
          <w:u w:val="single"/>
        </w:rPr>
        <w:t xml:space="preserve">                     </w:t>
      </w:r>
      <w:r>
        <w:rPr>
          <w:rFonts w:hint="eastAsia"/>
          <w:color w:val="000000"/>
          <w:sz w:val="21"/>
          <w:szCs w:val="21"/>
          <w:highlight w:val="none"/>
        </w:rPr>
        <w:t xml:space="preserve">号招标文件，经仔细阅读和研究，我们决定参加投标。</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1、我们愿意按照招标文件的一切要求，投标报价包含完成本项目所需全部费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2、如果我们的投标书被接受，我们将严格履行招标文件中规定的每一项要求，按期、按质、按量履行合同的义务。</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3、我们同意按招标文件中的规定，本投标书的有效期限为提交投标文件的截止之日起</w:t>
      </w:r>
      <w:r>
        <w:rPr>
          <w:rFonts w:hint="eastAsia"/>
          <w:color w:val="000000"/>
          <w:sz w:val="21"/>
          <w:szCs w:val="21"/>
          <w:highlight w:val="none"/>
          <w:u w:val="single"/>
        </w:rPr>
        <w:t xml:space="preserve"> 90 </w:t>
      </w:r>
      <w:r>
        <w:rPr>
          <w:rFonts w:hint="eastAsia"/>
          <w:color w:val="000000"/>
          <w:sz w:val="21"/>
          <w:szCs w:val="21"/>
          <w:highlight w:val="none"/>
        </w:rPr>
        <w:t xml:space="preserve">天。</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4、我们愿意提供招标代理机构在招标文件中要求的所有资料</w:t>
      </w:r>
      <w:r>
        <w:rPr>
          <w:rFonts w:hint="eastAsia"/>
          <w:color w:val="000000"/>
          <w:sz w:val="21"/>
          <w:szCs w:val="21"/>
          <w:highlight w:val="none"/>
          <w:lang w:val="zh-CN"/>
        </w:rPr>
        <w:t xml:space="preserve">，也同意向贵方提供贵方可能另外要求的与其投标有关的任何证据或资料。</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5、我们愿意遵守招标通告及招标文件中所列的收费标准。</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6、我们承诺该项投标在开标后的全过程中保持有效，不作任何更改和变动。</w:t>
      </w:r>
      <w:r>
        <w:rPr>
          <w:rFonts w:hint="eastAsia"/>
          <w:color w:val="000000"/>
          <w:sz w:val="21"/>
          <w:szCs w:val="21"/>
          <w:highlight w:val="none"/>
          <w:lang w:val="zh-CN"/>
        </w:rPr>
        <w:t xml:space="preserve">我们同意</w:t>
      </w:r>
      <w:r>
        <w:rPr>
          <w:rFonts w:hint="eastAsia"/>
          <w:color w:val="000000"/>
          <w:sz w:val="21"/>
          <w:szCs w:val="21"/>
          <w:highlight w:val="none"/>
        </w:rPr>
        <w:t xml:space="preserve">中标</w:t>
      </w:r>
      <w:r>
        <w:rPr>
          <w:rFonts w:hint="eastAsia"/>
          <w:color w:val="000000"/>
          <w:sz w:val="21"/>
          <w:szCs w:val="21"/>
          <w:highlight w:val="none"/>
          <w:lang w:val="zh-CN"/>
        </w:rPr>
        <w:t xml:space="preserve">后若不履行投标文件的内容要求和各项承诺及义务的即被视为违约，其</w:t>
      </w:r>
      <w:r>
        <w:rPr>
          <w:rFonts w:hint="eastAsia"/>
          <w:color w:val="000000"/>
          <w:sz w:val="21"/>
          <w:szCs w:val="21"/>
          <w:highlight w:val="none"/>
        </w:rPr>
        <w:t xml:space="preserve">中标</w:t>
      </w:r>
      <w:r>
        <w:rPr>
          <w:rFonts w:hint="eastAsia"/>
          <w:color w:val="000000"/>
          <w:sz w:val="21"/>
          <w:szCs w:val="21"/>
          <w:highlight w:val="none"/>
          <w:lang w:val="zh-CN"/>
        </w:rPr>
        <w:t xml:space="preserve">资格将被取消。</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7、如果我们中标，我们愿意按招标文件要求支付中标服务费</w:t>
      </w:r>
      <w:r>
        <w:rPr>
          <w:rFonts w:hint="eastAsia"/>
          <w:color w:val="000000"/>
          <w:sz w:val="21"/>
          <w:szCs w:val="21"/>
          <w:highlight w:val="none"/>
          <w:lang w:val="zh-CN"/>
        </w:rPr>
        <w:t xml:space="preserve">，逾期按中国人民银行公布的同期人民币贷款最高利率计付利息</w:t>
      </w:r>
      <w:r>
        <w:rPr>
          <w:rFonts w:hint="eastAsia"/>
          <w:color w:val="000000"/>
          <w:sz w:val="21"/>
          <w:szCs w:val="21"/>
          <w:highlight w:val="none"/>
        </w:rPr>
        <w:t xml:space="preserve">。</w:t>
      </w:r>
      <w:r/>
    </w:p>
    <w:p>
      <w:pPr>
        <w:ind w:firstLine="420"/>
        <w:spacing w:line="440" w:lineRule="exact"/>
        <w:rPr>
          <w:rFonts w:hint="eastAsia"/>
          <w:color w:val="000000"/>
          <w:sz w:val="21"/>
          <w:szCs w:val="21"/>
          <w:highlight w:val="none"/>
          <w:lang w:val="zh-CN"/>
        </w:rPr>
      </w:pPr>
      <w:r>
        <w:rPr>
          <w:rFonts w:hint="eastAsia"/>
          <w:color w:val="000000"/>
          <w:sz w:val="21"/>
          <w:szCs w:val="21"/>
          <w:highlight w:val="none"/>
        </w:rPr>
        <w:t xml:space="preserve">8</w:t>
      </w:r>
      <w:r>
        <w:rPr>
          <w:rFonts w:hint="eastAsia"/>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9、我们愿意按照《中华人民共和国民法典》履行自己应该承担的全部责任。</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10、综合说明：</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（1）伴随服务及配合措施；                    （2）要求甲方提供的配合；</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（3）对招标文件有不同意见的偏离说明；        （4）其它说明。</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所有有关标书的函电，请按下列地址联系：</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单位：                         联系人：</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地址：                         邮政编码：</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联系电话：                     传真：</w:t>
      </w:r>
      <w:r/>
    </w:p>
    <w:p>
      <w:pPr>
        <w:spacing w:line="440" w:lineRule="exact"/>
        <w:rPr>
          <w:rFonts w:hint="eastAsia"/>
          <w:color w:val="000000"/>
          <w:sz w:val="21"/>
          <w:szCs w:val="21"/>
          <w:highlight w:val="none"/>
        </w:rPr>
      </w:pPr>
      <w:r>
        <w:rPr>
          <w:rFonts w:hint="eastAsia"/>
          <w:color w:val="000000"/>
          <w:sz w:val="21"/>
          <w:szCs w:val="21"/>
          <w:highlight w:val="none"/>
        </w:rPr>
      </w:r>
      <w:r/>
    </w:p>
    <w:p>
      <w:pPr>
        <w:ind w:firstLine="4200"/>
        <w:spacing w:line="440" w:lineRule="exact"/>
        <w:shd w:val="clear" w:color="auto" w:fill="ffffff"/>
        <w:rPr>
          <w:rFonts w:cs="Times New Roman"/>
          <w:color w:val="000000"/>
          <w:sz w:val="21"/>
          <w:szCs w:val="21"/>
          <w:highlight w:val="none"/>
        </w:rPr>
      </w:pPr>
      <w:r>
        <w:rPr>
          <w:rFonts w:hint="eastAsia"/>
          <w:color w:val="000000"/>
          <w:sz w:val="21"/>
          <w:szCs w:val="21"/>
          <w:highlight w:val="none"/>
        </w:rPr>
        <w:t xml:space="preserve">投标方：（单位盖章）</w:t>
      </w:r>
      <w:r/>
    </w:p>
    <w:p>
      <w:pPr>
        <w:ind w:firstLine="4200"/>
        <w:spacing w:line="440" w:lineRule="exact"/>
        <w:shd w:val="clear" w:color="auto" w:fill="ffffff"/>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ind w:firstLine="4200"/>
        <w:spacing w:line="440" w:lineRule="exact"/>
        <w:shd w:val="clear" w:color="auto" w:fill="ffffff"/>
        <w:rPr>
          <w:rFonts w:cs="Times New Roman"/>
          <w:color w:val="000000"/>
          <w:sz w:val="21"/>
          <w:szCs w:val="21"/>
          <w:highlight w:val="none"/>
        </w:rPr>
      </w:pPr>
      <w:r>
        <w:rPr>
          <w:rFonts w:hint="eastAsia"/>
          <w:color w:val="000000"/>
          <w:sz w:val="21"/>
          <w:szCs w:val="21"/>
          <w:highlight w:val="none"/>
        </w:rPr>
        <w:t xml:space="preserve">日期：    年   月   日</w:t>
      </w:r>
      <w:r/>
    </w:p>
    <w:p>
      <w:pPr>
        <w:spacing w:line="440" w:lineRule="exact"/>
        <w:rPr>
          <w:rFonts w:cs="Times New Roman"/>
          <w:b/>
          <w:color w:val="000000"/>
          <w:sz w:val="21"/>
          <w:szCs w:val="21"/>
          <w:highlight w:val="none"/>
        </w:rPr>
      </w:pPr>
      <w:r>
        <w:rPr>
          <w:rFonts w:cs="Times New Roman"/>
          <w:b/>
          <w:bCs/>
          <w:color w:val="000000"/>
          <w:highlight w:val="none"/>
        </w:rPr>
        <w:br w:type="page" w:clear="all"/>
      </w:r>
      <w:r>
        <w:rPr>
          <w:rFonts w:hint="eastAsia"/>
          <w:b/>
          <w:bCs/>
          <w:color w:val="000000"/>
          <w:sz w:val="21"/>
          <w:szCs w:val="21"/>
          <w:highlight w:val="none"/>
        </w:rPr>
        <w:t xml:space="preserve">附件</w:t>
      </w:r>
      <w:r>
        <w:rPr>
          <w:b/>
          <w:bCs/>
          <w:color w:val="000000"/>
          <w:sz w:val="21"/>
          <w:szCs w:val="21"/>
          <w:highlight w:val="none"/>
        </w:rPr>
        <w:t xml:space="preserve">3</w:t>
      </w:r>
      <w:r>
        <w:rPr>
          <w:rFonts w:hint="eastAsia"/>
          <w:b/>
          <w:bCs/>
          <w:color w:val="000000"/>
          <w:sz w:val="21"/>
          <w:szCs w:val="21"/>
          <w:highlight w:val="none"/>
        </w:rPr>
        <w:t xml:space="preserve">、</w:t>
      </w:r>
      <w:r>
        <w:rPr>
          <w:rFonts w:hint="eastAsia"/>
          <w:b/>
          <w:color w:val="000000"/>
          <w:sz w:val="21"/>
          <w:szCs w:val="21"/>
          <w:highlight w:val="none"/>
        </w:rPr>
        <w:t xml:space="preserve">开标一览表</w:t>
      </w:r>
      <w:bookmarkStart w:id="38" w:name="投标报价表"/>
      <w:r>
        <w:rPr>
          <w:rFonts w:hint="eastAsia"/>
          <w:b/>
          <w:color w:val="000000"/>
          <w:sz w:val="21"/>
          <w:szCs w:val="21"/>
          <w:highlight w:val="none"/>
        </w:rPr>
        <w:t xml:space="preserve">、</w:t>
      </w:r>
      <w:bookmarkEnd w:id="38"/>
      <w:r>
        <w:rPr>
          <w:rFonts w:hint="eastAsia"/>
          <w:b/>
          <w:color w:val="000000"/>
          <w:sz w:val="21"/>
          <w:szCs w:val="21"/>
          <w:highlight w:val="none"/>
          <w:lang w:val="zh-CN"/>
        </w:rPr>
        <w:t xml:space="preserve">公开分项报价表</w:t>
      </w:r>
      <w:r/>
    </w:p>
    <w:p>
      <w:pPr>
        <w:jc w:val="center"/>
        <w:spacing w:line="440" w:lineRule="exact"/>
        <w:rPr>
          <w:rFonts w:cs="Times New Roman"/>
          <w:b/>
          <w:color w:val="000000"/>
          <w:sz w:val="21"/>
          <w:szCs w:val="21"/>
          <w:highlight w:val="none"/>
        </w:rPr>
      </w:pPr>
      <w:r>
        <w:rPr>
          <w:rFonts w:hint="eastAsia"/>
          <w:b/>
          <w:color w:val="000000"/>
          <w:sz w:val="21"/>
          <w:szCs w:val="21"/>
          <w:highlight w:val="none"/>
        </w:rPr>
        <w:t xml:space="preserve">开标一览表（格式）</w:t>
      </w:r>
      <w:r/>
    </w:p>
    <w:tbl>
      <w:tblPr>
        <w:tblStyle w:val="651"/>
        <w:tblW w:w="0" w:type="auto"/>
        <w:jc w:val="center"/>
        <w:tblLayout w:type="fixed"/>
        <w:tblCellMar>
          <w:left w:w="108" w:type="dxa"/>
          <w:top w:w="0" w:type="dxa"/>
          <w:right w:w="108" w:type="dxa"/>
          <w:bottom w:w="0" w:type="dxa"/>
        </w:tblCellMar>
        <w:tblLook w:val="04A0" w:firstRow="1" w:lastRow="0" w:firstColumn="1" w:lastColumn="0" w:noHBand="0" w:noVBand="1"/>
      </w:tblPr>
      <w:tblGrid>
        <w:gridCol w:w="1224"/>
        <w:gridCol w:w="8894"/>
      </w:tblGrid>
      <w:tr>
        <w:trPr>
          <w:jc w:val="center"/>
          <w:trHeight w:val="633"/>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spacing w:line="360" w:lineRule="auto"/>
              <w:widowControl/>
              <w:rPr>
                <w:rFonts w:cs="Times New Roman"/>
                <w:color w:val="000000"/>
                <w:szCs w:val="21"/>
                <w:highlight w:val="none"/>
              </w:rPr>
            </w:pPr>
            <w:r>
              <w:rPr>
                <w:rFonts w:hint="eastAsia"/>
                <w:color w:val="000000"/>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jc w:val="center"/>
              <w:spacing w:line="360" w:lineRule="auto"/>
              <w:widowControl/>
              <w:rPr>
                <w:rFonts w:hint="eastAsia" w:cs="Times New Roman"/>
                <w:color w:val="000000"/>
                <w:szCs w:val="21"/>
                <w:highlight w:val="none"/>
              </w:rPr>
            </w:pPr>
            <w:r>
              <w:rPr>
                <w:rFonts w:hint="eastAsia"/>
                <w:color w:val="000000"/>
                <w:sz w:val="21"/>
                <w:szCs w:val="21"/>
                <w:highlight w:val="none"/>
              </w:rPr>
              <w:t xml:space="preserve">  </w:t>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spacing w:line="360" w:lineRule="auto"/>
              <w:widowControl/>
              <w:rPr>
                <w:rFonts w:cs="Times New Roman"/>
                <w:color w:val="000000"/>
                <w:szCs w:val="21"/>
                <w:highlight w:val="none"/>
              </w:rPr>
            </w:pPr>
            <w:r>
              <w:rPr>
                <w:rFonts w:hint="eastAsia"/>
                <w:color w:val="000000"/>
                <w:sz w:val="21"/>
                <w:szCs w:val="21"/>
                <w:highlight w:val="none"/>
              </w:rPr>
              <w:t xml:space="preserve">招标编号</w:t>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jc w:val="center"/>
              <w:spacing w:line="360" w:lineRule="auto"/>
              <w:widowControl/>
              <w:rPr>
                <w:rFonts w:hint="eastAsia" w:cs="Times New Roman"/>
                <w:color w:val="000000"/>
                <w:szCs w:val="21"/>
                <w:highlight w:val="none"/>
              </w:rPr>
            </w:pPr>
            <w:r>
              <w:rPr>
                <w:rFonts w:hint="eastAsia"/>
                <w:color w:val="000000"/>
                <w:sz w:val="21"/>
                <w:szCs w:val="21"/>
                <w:highlight w:val="none"/>
              </w:rPr>
              <w:t xml:space="preserve">    </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spacing w:line="360" w:lineRule="auto"/>
              <w:widowControl/>
              <w:rPr>
                <w:rFonts w:cs="Times New Roman"/>
                <w:color w:val="000000"/>
                <w:szCs w:val="21"/>
                <w:highlight w:val="none"/>
              </w:rPr>
            </w:pPr>
            <w:r>
              <w:rPr>
                <w:rFonts w:hint="eastAsia"/>
                <w:color w:val="000000"/>
                <w:sz w:val="21"/>
                <w:szCs w:val="21"/>
                <w:highlight w:val="none"/>
              </w:rPr>
              <w:t xml:space="preserve">投标总价</w:t>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ind w:firstLine="630"/>
              <w:spacing w:line="360" w:lineRule="auto"/>
              <w:widowControl/>
              <w:rPr>
                <w:rFonts w:cs="Times New Roman"/>
                <w:color w:val="000000"/>
                <w:szCs w:val="21"/>
                <w:highlight w:val="none"/>
              </w:rPr>
            </w:pPr>
            <w:r>
              <w:rPr>
                <w:rFonts w:hint="eastAsia"/>
                <w:color w:val="000000"/>
                <w:sz w:val="21"/>
                <w:szCs w:val="21"/>
                <w:highlight w:val="none"/>
              </w:rPr>
              <w:t xml:space="preserve">（大写）人民币</w:t>
            </w:r>
            <w:r>
              <w:rPr>
                <w:color w:val="000000"/>
                <w:sz w:val="21"/>
                <w:szCs w:val="21"/>
                <w:highlight w:val="none"/>
                <w:u w:val="single"/>
              </w:rPr>
              <w:t xml:space="preserve">             </w:t>
            </w:r>
            <w:r>
              <w:rPr>
                <w:rFonts w:hint="eastAsia"/>
                <w:color w:val="000000"/>
                <w:sz w:val="21"/>
                <w:szCs w:val="21"/>
                <w:highlight w:val="none"/>
                <w:u w:val="single"/>
              </w:rPr>
              <w:t xml:space="preserve"> </w:t>
            </w:r>
            <w:r>
              <w:rPr>
                <w:color w:val="000000"/>
                <w:sz w:val="21"/>
                <w:szCs w:val="21"/>
                <w:highlight w:val="none"/>
                <w:u w:val="single"/>
              </w:rPr>
              <w:t xml:space="preserve">   </w:t>
            </w:r>
            <w:r>
              <w:rPr>
                <w:rFonts w:hint="eastAsia"/>
                <w:color w:val="000000"/>
                <w:sz w:val="21"/>
                <w:szCs w:val="21"/>
                <w:highlight w:val="none"/>
              </w:rPr>
              <w:t xml:space="preserve">元</w:t>
            </w:r>
            <w:r>
              <w:rPr>
                <w:color w:val="000000"/>
                <w:sz w:val="21"/>
                <w:szCs w:val="21"/>
                <w:highlight w:val="none"/>
              </w:rPr>
              <w:t xml:space="preserve">               </w:t>
            </w:r>
            <w:r>
              <w:rPr>
                <w:rFonts w:hint="eastAsia"/>
                <w:color w:val="000000"/>
                <w:sz w:val="21"/>
                <w:szCs w:val="21"/>
                <w:highlight w:val="none"/>
              </w:rPr>
              <w:t xml:space="preserve">（小写）¥</w:t>
            </w:r>
            <w:r>
              <w:rPr>
                <w:color w:val="000000"/>
                <w:sz w:val="21"/>
                <w:szCs w:val="21"/>
                <w:highlight w:val="none"/>
                <w:u w:val="single"/>
              </w:rPr>
              <w:t xml:space="preserve">         </w:t>
            </w:r>
            <w:r/>
          </w:p>
        </w:tc>
      </w:tr>
    </w:tbl>
    <w:p>
      <w:pPr>
        <w:pStyle w:val="990"/>
        <w:ind w:firstLine="480"/>
        <w:rPr>
          <w:rFonts w:hint="eastAsia"/>
          <w:color w:val="000000"/>
          <w:highlight w:val="none"/>
        </w:rPr>
      </w:pPr>
      <w:r>
        <w:rPr>
          <w:rFonts w:hint="eastAsia"/>
          <w:color w:val="000000"/>
          <w:highlight w:val="none"/>
        </w:rPr>
      </w:r>
      <w:r/>
    </w:p>
    <w:p>
      <w:pPr>
        <w:ind w:firstLine="420"/>
        <w:spacing w:line="440" w:lineRule="exact"/>
        <w:rPr>
          <w:rFonts w:hint="eastAsia"/>
          <w:color w:val="000000"/>
          <w:sz w:val="21"/>
          <w:szCs w:val="21"/>
          <w:highlight w:val="none"/>
        </w:rPr>
      </w:pPr>
      <w:r>
        <w:rPr>
          <w:rFonts w:hint="eastAsia"/>
          <w:color w:val="000000"/>
          <w:sz w:val="21"/>
          <w:szCs w:val="21"/>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cs="Times New Roman"/>
          <w:b/>
          <w:bCs/>
          <w:color w:val="000000"/>
          <w:sz w:val="21"/>
          <w:szCs w:val="21"/>
          <w:highlight w:val="none"/>
        </w:rPr>
      </w:pPr>
      <w:r>
        <w:rPr>
          <w:rFonts w:hint="eastAsia"/>
          <w:color w:val="000000"/>
          <w:sz w:val="21"/>
          <w:szCs w:val="21"/>
          <w:highlight w:val="none"/>
        </w:rPr>
        <w:t xml:space="preserve">日期：    年    月    日</w:t>
      </w:r>
      <w:r/>
    </w:p>
    <w:p>
      <w:pPr>
        <w:jc w:val="center"/>
        <w:spacing w:line="440" w:lineRule="exact"/>
        <w:rPr>
          <w:rFonts w:hint="eastAsia" w:cs="Times New Roman"/>
          <w:color w:val="000000"/>
          <w:sz w:val="21"/>
          <w:szCs w:val="21"/>
          <w:highlight w:val="none"/>
        </w:rPr>
      </w:pPr>
      <w:r>
        <w:rPr>
          <w:rFonts w:hint="eastAsia" w:cs="Times New Roman"/>
          <w:color w:val="000000"/>
          <w:sz w:val="21"/>
          <w:szCs w:val="21"/>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hint="eastAsia" w:ascii="Calibri" w:hAnsi="Calibri"/>
          <w:color w:val="000000"/>
          <w:highlight w:val="none"/>
        </w:rPr>
      </w:pPr>
      <w:r>
        <w:rPr>
          <w:rFonts w:hint="eastAsia" w:ascii="Calibri" w:hAnsi="Calibri"/>
          <w:color w:val="000000"/>
          <w:highlight w:val="none"/>
        </w:rPr>
      </w:r>
      <w:r/>
    </w:p>
    <w:p>
      <w:pPr>
        <w:pStyle w:val="1010"/>
        <w:rPr>
          <w:rFonts w:ascii="Calibri" w:hAnsi="Calibri"/>
          <w:color w:val="000000"/>
          <w:highlight w:val="none"/>
        </w:rPr>
      </w:pPr>
      <w:r>
        <w:rPr>
          <w:rFonts w:ascii="Calibri" w:hAnsi="Calibri"/>
          <w:color w:val="000000"/>
          <w:highlight w:val="none"/>
        </w:rPr>
      </w:r>
      <w:r/>
    </w:p>
    <w:p>
      <w:pPr>
        <w:pStyle w:val="1010"/>
        <w:rPr>
          <w:rFonts w:ascii="Calibri" w:hAnsi="Calibri"/>
          <w:color w:val="000000"/>
          <w:highlight w:val="none"/>
        </w:rPr>
      </w:pPr>
      <w:r>
        <w:rPr>
          <w:rFonts w:ascii="Calibri" w:hAnsi="Calibri"/>
          <w:color w:val="000000"/>
          <w:highlight w:val="none"/>
        </w:rPr>
      </w:r>
      <w:r/>
    </w:p>
    <w:p>
      <w:pPr>
        <w:pStyle w:val="1010"/>
        <w:rPr>
          <w:rFonts w:ascii="Calibri" w:hAnsi="Calibri"/>
          <w:color w:val="000000"/>
          <w:highlight w:val="none"/>
        </w:rPr>
      </w:pPr>
      <w:r>
        <w:rPr>
          <w:rFonts w:ascii="Calibri" w:hAnsi="Calibri"/>
          <w:color w:val="000000"/>
          <w:highlight w:val="none"/>
        </w:rPr>
      </w:r>
      <w:r/>
    </w:p>
    <w:p>
      <w:pPr>
        <w:pStyle w:val="1010"/>
        <w:rPr>
          <w:rFonts w:ascii="Calibri" w:hAnsi="Calibri"/>
          <w:color w:val="000000"/>
          <w:highlight w:val="none"/>
        </w:rPr>
      </w:pPr>
      <w:r>
        <w:rPr>
          <w:rFonts w:ascii="Calibri" w:hAnsi="Calibri"/>
          <w:color w:val="000000"/>
          <w:highlight w:val="none"/>
        </w:rPr>
      </w:r>
      <w:r/>
    </w:p>
    <w:p>
      <w:pPr>
        <w:pStyle w:val="1010"/>
        <w:rPr>
          <w:rFonts w:ascii="Calibri" w:hAnsi="Calibri"/>
          <w:color w:val="000000"/>
          <w:highlight w:val="none"/>
        </w:rPr>
      </w:pPr>
      <w:r>
        <w:rPr>
          <w:rFonts w:ascii="Calibri" w:hAnsi="Calibri"/>
          <w:color w:val="000000"/>
          <w:highlight w:val="none"/>
        </w:rPr>
      </w:r>
      <w:r/>
    </w:p>
    <w:p>
      <w:pPr>
        <w:pStyle w:val="1010"/>
        <w:rPr>
          <w:rFonts w:ascii="Calibri" w:hAnsi="Calibri"/>
          <w:color w:val="000000"/>
          <w:highlight w:val="none"/>
        </w:rPr>
      </w:pPr>
      <w:r>
        <w:rPr>
          <w:rFonts w:ascii="Calibri" w:hAnsi="Calibri"/>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pStyle w:val="1010"/>
        <w:rPr>
          <w:color w:val="000000"/>
          <w:highlight w:val="none"/>
        </w:rPr>
      </w:pPr>
      <w:r>
        <w:rPr>
          <w:color w:val="000000"/>
          <w:highlight w:val="none"/>
        </w:rPr>
      </w:r>
      <w:r/>
    </w:p>
    <w:p>
      <w:pPr>
        <w:jc w:val="center"/>
        <w:spacing w:line="440" w:lineRule="exact"/>
        <w:rPr>
          <w:rFonts w:hint="eastAsia"/>
          <w:b/>
          <w:color w:val="000000"/>
          <w:sz w:val="21"/>
          <w:szCs w:val="21"/>
          <w:highlight w:val="none"/>
        </w:rPr>
      </w:pPr>
      <w:r>
        <w:rPr>
          <w:rFonts w:hint="eastAsia"/>
          <w:b/>
          <w:color w:val="000000"/>
          <w:sz w:val="21"/>
          <w:szCs w:val="21"/>
          <w:highlight w:val="none"/>
        </w:rPr>
        <w:t xml:space="preserve">公开分项报价表</w:t>
      </w:r>
      <w:r/>
    </w:p>
    <w:p>
      <w:pPr>
        <w:jc w:val="center"/>
        <w:spacing w:line="440" w:lineRule="exact"/>
        <w:rPr>
          <w:color w:val="000000"/>
          <w:sz w:val="21"/>
          <w:szCs w:val="21"/>
          <w:highlight w:val="none"/>
        </w:rPr>
      </w:pPr>
      <w:r>
        <w:rPr>
          <w:rFonts w:hint="eastAsia"/>
          <w:color w:val="000000"/>
          <w:sz w:val="21"/>
          <w:szCs w:val="21"/>
          <w:highlight w:val="none"/>
        </w:rPr>
        <w:t xml:space="preserve">（格式）</w:t>
      </w:r>
      <w:r>
        <w:rPr>
          <w:color w:val="000000"/>
          <w:sz w:val="21"/>
          <w:szCs w:val="21"/>
          <w:highlight w:val="none"/>
        </w:rPr>
        <w:t xml:space="preserve">  </w:t>
      </w:r>
      <w:r/>
    </w:p>
    <w:p>
      <w:pPr>
        <w:pStyle w:val="851"/>
        <w:ind w:firstLine="210"/>
        <w:rPr>
          <w:rFonts w:hint="eastAsia"/>
          <w:color w:val="000000"/>
          <w:sz w:val="21"/>
          <w:szCs w:val="21"/>
          <w:highlight w:val="none"/>
        </w:rPr>
      </w:pPr>
      <w:r>
        <w:rPr>
          <w:rFonts w:hint="eastAsia"/>
          <w:color w:val="000000"/>
          <w:sz w:val="21"/>
          <w:szCs w:val="21"/>
          <w:highlight w:val="none"/>
        </w:rPr>
        <w:t xml:space="preserve">投标编号</w:t>
      </w:r>
      <w:r>
        <w:rPr>
          <w:rFonts w:hint="eastAsia"/>
          <w:b/>
          <w:bCs/>
          <w:color w:val="000000"/>
          <w:sz w:val="21"/>
          <w:szCs w:val="21"/>
          <w:highlight w:val="none"/>
        </w:rPr>
        <w:t xml:space="preserve">：</w:t>
      </w:r>
      <w:r>
        <w:rPr>
          <w:rFonts w:hint="eastAsia"/>
          <w:color w:val="000000"/>
          <w:sz w:val="21"/>
          <w:szCs w:val="21"/>
          <w:highlight w:val="none"/>
        </w:rPr>
        <w:t xml:space="preserve">                                  单位：元（人民币）</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757"/>
        <w:gridCol w:w="1839"/>
        <w:gridCol w:w="1485"/>
        <w:gridCol w:w="1020"/>
        <w:gridCol w:w="1020"/>
        <w:gridCol w:w="1020"/>
        <w:gridCol w:w="1021"/>
      </w:tblGrid>
      <w:tr>
        <w:trPr>
          <w:jc w:val="center"/>
          <w:trHeight w:val="454"/>
        </w:trPr>
        <w:tc>
          <w:tcPr>
            <w:tcW w:w="956" w:type="dxa"/>
            <w:vAlign w:val="center"/>
            <w:textDirection w:val="lrTb"/>
            <w:noWrap w:val="false"/>
          </w:tcPr>
          <w:p>
            <w:pPr>
              <w:jc w:val="center"/>
              <w:spacing w:line="440" w:lineRule="exact"/>
              <w:rPr>
                <w:rFonts w:cs="Times New Roman"/>
                <w:color w:val="000000"/>
                <w:szCs w:val="21"/>
                <w:highlight w:val="none"/>
              </w:rPr>
            </w:pPr>
            <w:r>
              <w:rPr>
                <w:rFonts w:hint="eastAsia"/>
                <w:color w:val="000000"/>
                <w:sz w:val="21"/>
                <w:szCs w:val="21"/>
                <w:highlight w:val="none"/>
              </w:rPr>
              <w:t xml:space="preserve">序号</w:t>
            </w:r>
            <w:r/>
          </w:p>
        </w:tc>
        <w:tc>
          <w:tcPr>
            <w:tcW w:w="1757" w:type="dxa"/>
            <w:vAlign w:val="center"/>
            <w:textDirection w:val="lrTb"/>
            <w:noWrap w:val="false"/>
          </w:tcPr>
          <w:p>
            <w:pPr>
              <w:jc w:val="center"/>
              <w:spacing w:line="440" w:lineRule="exact"/>
              <w:rPr>
                <w:rFonts w:cs="Times New Roman"/>
                <w:color w:val="000000"/>
                <w:szCs w:val="21"/>
                <w:highlight w:val="none"/>
              </w:rPr>
            </w:pPr>
            <w:r>
              <w:rPr>
                <w:rFonts w:hint="eastAsia"/>
                <w:color w:val="000000"/>
                <w:sz w:val="21"/>
                <w:szCs w:val="21"/>
                <w:highlight w:val="none"/>
              </w:rPr>
              <w:t xml:space="preserve">产品名称</w:t>
            </w:r>
            <w:r/>
          </w:p>
        </w:tc>
        <w:tc>
          <w:tcPr>
            <w:tcW w:w="1839" w:type="dxa"/>
            <w:vAlign w:val="center"/>
            <w:textDirection w:val="lrTb"/>
            <w:noWrap w:val="false"/>
          </w:tcPr>
          <w:p>
            <w:pPr>
              <w:jc w:val="center"/>
              <w:spacing w:line="440" w:lineRule="exact"/>
              <w:rPr>
                <w:rFonts w:hint="eastAsia" w:cs="Times New Roman"/>
                <w:color w:val="000000"/>
                <w:szCs w:val="21"/>
                <w:highlight w:val="none"/>
              </w:rPr>
            </w:pPr>
            <w:r>
              <w:rPr>
                <w:rFonts w:hint="eastAsia"/>
                <w:color w:val="000000"/>
                <w:sz w:val="21"/>
                <w:szCs w:val="21"/>
                <w:highlight w:val="none"/>
              </w:rPr>
              <w:t xml:space="preserve">品牌、规格、型号</w:t>
            </w:r>
            <w:r/>
          </w:p>
        </w:tc>
        <w:tc>
          <w:tcPr>
            <w:tcW w:w="1485" w:type="dxa"/>
            <w:vAlign w:val="center"/>
            <w:textDirection w:val="lrTb"/>
            <w:noWrap w:val="false"/>
          </w:tcPr>
          <w:p>
            <w:pPr>
              <w:jc w:val="center"/>
              <w:spacing w:line="440" w:lineRule="exact"/>
              <w:rPr>
                <w:rFonts w:hint="eastAsia" w:cs="Times New Roman"/>
                <w:color w:val="000000"/>
                <w:szCs w:val="21"/>
                <w:highlight w:val="none"/>
              </w:rPr>
            </w:pPr>
            <w:r>
              <w:rPr>
                <w:rFonts w:hint="eastAsia"/>
                <w:color w:val="000000"/>
                <w:sz w:val="21"/>
                <w:szCs w:val="21"/>
                <w:highlight w:val="none"/>
              </w:rPr>
              <w:t xml:space="preserve">制造厂商</w:t>
            </w:r>
            <w:r/>
          </w:p>
        </w:tc>
        <w:tc>
          <w:tcPr>
            <w:tcW w:w="1020" w:type="dxa"/>
            <w:vAlign w:val="center"/>
            <w:textDirection w:val="lrTb"/>
            <w:noWrap w:val="false"/>
          </w:tcPr>
          <w:p>
            <w:pPr>
              <w:jc w:val="center"/>
              <w:spacing w:line="440" w:lineRule="exact"/>
              <w:rPr>
                <w:rFonts w:cs="Times New Roman"/>
                <w:color w:val="000000"/>
                <w:szCs w:val="21"/>
                <w:highlight w:val="none"/>
              </w:rPr>
            </w:pPr>
            <w:r>
              <w:rPr>
                <w:rFonts w:hint="eastAsia"/>
                <w:color w:val="000000"/>
                <w:sz w:val="21"/>
                <w:szCs w:val="21"/>
                <w:highlight w:val="none"/>
              </w:rPr>
              <w:t xml:space="preserve">单位</w:t>
            </w:r>
            <w:r/>
          </w:p>
        </w:tc>
        <w:tc>
          <w:tcPr>
            <w:tcW w:w="1020" w:type="dxa"/>
            <w:vAlign w:val="center"/>
            <w:textDirection w:val="lrTb"/>
            <w:noWrap w:val="false"/>
          </w:tcPr>
          <w:p>
            <w:pPr>
              <w:jc w:val="center"/>
              <w:spacing w:line="440" w:lineRule="exact"/>
              <w:rPr>
                <w:rFonts w:cs="Times New Roman"/>
                <w:color w:val="000000"/>
                <w:szCs w:val="21"/>
                <w:highlight w:val="none"/>
              </w:rPr>
            </w:pPr>
            <w:r>
              <w:rPr>
                <w:rFonts w:hint="eastAsia"/>
                <w:color w:val="000000"/>
                <w:sz w:val="21"/>
                <w:szCs w:val="21"/>
                <w:highlight w:val="none"/>
              </w:rPr>
              <w:t xml:space="preserve">数量</w:t>
            </w:r>
            <w:r/>
          </w:p>
        </w:tc>
        <w:tc>
          <w:tcPr>
            <w:tcW w:w="1020" w:type="dxa"/>
            <w:vAlign w:val="center"/>
            <w:textDirection w:val="lrTb"/>
            <w:noWrap w:val="false"/>
          </w:tcPr>
          <w:p>
            <w:pPr>
              <w:jc w:val="center"/>
              <w:spacing w:line="440" w:lineRule="exact"/>
              <w:rPr>
                <w:rFonts w:cs="Times New Roman"/>
                <w:color w:val="000000"/>
                <w:szCs w:val="21"/>
                <w:highlight w:val="none"/>
              </w:rPr>
            </w:pPr>
            <w:r>
              <w:rPr>
                <w:rFonts w:hint="eastAsia"/>
                <w:color w:val="000000"/>
                <w:sz w:val="21"/>
                <w:szCs w:val="21"/>
                <w:highlight w:val="none"/>
              </w:rPr>
              <w:t xml:space="preserve">单价</w:t>
            </w:r>
            <w:r/>
          </w:p>
        </w:tc>
        <w:tc>
          <w:tcPr>
            <w:tcW w:w="1021" w:type="dxa"/>
            <w:vAlign w:val="center"/>
            <w:textDirection w:val="lrTb"/>
            <w:noWrap w:val="false"/>
          </w:tcPr>
          <w:p>
            <w:pPr>
              <w:jc w:val="center"/>
              <w:spacing w:line="440" w:lineRule="exact"/>
              <w:rPr>
                <w:rFonts w:cs="Times New Roman"/>
                <w:color w:val="000000"/>
                <w:szCs w:val="21"/>
                <w:highlight w:val="none"/>
              </w:rPr>
            </w:pPr>
            <w:r>
              <w:rPr>
                <w:rFonts w:hint="eastAsia"/>
                <w:color w:val="000000"/>
                <w:sz w:val="21"/>
                <w:szCs w:val="21"/>
                <w:highlight w:val="none"/>
              </w:rPr>
              <w:t xml:space="preserve">总价</w:t>
            </w:r>
            <w:r/>
          </w:p>
        </w:tc>
      </w:tr>
      <w:tr>
        <w:trPr>
          <w:jc w:val="center"/>
          <w:trHeight w:val="454"/>
        </w:trPr>
        <w:tc>
          <w:tcPr>
            <w:tcW w:w="956"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757"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839"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485"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1"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r>
      <w:tr>
        <w:trPr>
          <w:jc w:val="center"/>
          <w:trHeight w:val="454"/>
        </w:trPr>
        <w:tc>
          <w:tcPr>
            <w:tcW w:w="956"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757"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839"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485"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1"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r>
      <w:tr>
        <w:trPr>
          <w:jc w:val="center"/>
          <w:trHeight w:val="454"/>
        </w:trPr>
        <w:tc>
          <w:tcPr>
            <w:tcW w:w="956"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757"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839"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485"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1"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r>
      <w:tr>
        <w:trPr>
          <w:jc w:val="center"/>
          <w:trHeight w:val="454"/>
        </w:trPr>
        <w:tc>
          <w:tcPr>
            <w:tcW w:w="956"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757"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839"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485"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1"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r>
      <w:tr>
        <w:trPr>
          <w:jc w:val="center"/>
          <w:trHeight w:val="454"/>
        </w:trPr>
        <w:tc>
          <w:tcPr>
            <w:tcW w:w="956"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757"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839"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485"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1"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r>
      <w:tr>
        <w:trPr>
          <w:jc w:val="center"/>
          <w:trHeight w:val="454"/>
        </w:trPr>
        <w:tc>
          <w:tcPr>
            <w:tcW w:w="956"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757"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839"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485"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0"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c>
          <w:tcPr>
            <w:tcW w:w="1021" w:type="dxa"/>
            <w:vAlign w:val="top"/>
            <w:textDirection w:val="lrTb"/>
            <w:noWrap w:val="false"/>
          </w:tcPr>
          <w:p>
            <w:pPr>
              <w:jc w:val="center"/>
              <w:spacing w:line="440" w:lineRule="exact"/>
              <w:rPr>
                <w:rFonts w:cs="Times New Roman"/>
                <w:color w:val="000000"/>
                <w:szCs w:val="21"/>
                <w:highlight w:val="none"/>
              </w:rPr>
            </w:pPr>
            <w:r>
              <w:rPr>
                <w:rFonts w:cs="Times New Roman"/>
                <w:color w:val="000000"/>
                <w:szCs w:val="21"/>
                <w:highlight w:val="none"/>
              </w:rPr>
            </w:r>
            <w:r/>
          </w:p>
        </w:tc>
      </w:tr>
      <w:tr>
        <w:trPr>
          <w:jc w:val="center"/>
          <w:trHeight w:val="454"/>
        </w:trPr>
        <w:tc>
          <w:tcPr>
            <w:gridSpan w:val="2"/>
            <w:tcW w:w="2713" w:type="dxa"/>
            <w:vAlign w:val="top"/>
            <w:textDirection w:val="lrTb"/>
            <w:noWrap w:val="false"/>
          </w:tcPr>
          <w:p>
            <w:pPr>
              <w:jc w:val="center"/>
              <w:spacing w:line="440" w:lineRule="exact"/>
              <w:rPr>
                <w:rFonts w:cs="Times New Roman"/>
                <w:color w:val="000000"/>
                <w:szCs w:val="21"/>
                <w:highlight w:val="none"/>
              </w:rPr>
            </w:pPr>
            <w:r>
              <w:rPr>
                <w:rFonts w:hint="eastAsia"/>
                <w:color w:val="000000"/>
                <w:sz w:val="21"/>
                <w:szCs w:val="21"/>
                <w:highlight w:val="none"/>
              </w:rPr>
              <w:t xml:space="preserve">最终报价</w:t>
            </w:r>
            <w:r/>
          </w:p>
        </w:tc>
        <w:tc>
          <w:tcPr>
            <w:gridSpan w:val="6"/>
            <w:tcW w:w="7405" w:type="dxa"/>
            <w:vAlign w:val="top"/>
            <w:textDirection w:val="lrTb"/>
            <w:noWrap w:val="false"/>
          </w:tcPr>
          <w:p>
            <w:pPr>
              <w:spacing w:line="440" w:lineRule="exact"/>
              <w:rPr>
                <w:rFonts w:cs="Times New Roman"/>
                <w:color w:val="000000"/>
                <w:szCs w:val="21"/>
                <w:highlight w:val="none"/>
              </w:rPr>
            </w:pPr>
            <w:r>
              <w:rPr>
                <w:rFonts w:hint="eastAsia"/>
                <w:color w:val="000000"/>
                <w:sz w:val="21"/>
                <w:szCs w:val="21"/>
                <w:highlight w:val="none"/>
              </w:rPr>
              <w:t xml:space="preserve">金额（大写）</w:t>
            </w:r>
            <w:r>
              <w:rPr>
                <w:color w:val="000000"/>
                <w:sz w:val="21"/>
                <w:szCs w:val="21"/>
                <w:highlight w:val="none"/>
                <w:u w:val="single"/>
              </w:rPr>
              <w:t xml:space="preserve">              </w:t>
            </w:r>
            <w:r>
              <w:rPr>
                <w:rFonts w:hint="eastAsia"/>
                <w:color w:val="000000"/>
                <w:sz w:val="21"/>
                <w:szCs w:val="21"/>
                <w:highlight w:val="none"/>
                <w:u w:val="single"/>
              </w:rPr>
              <w:t xml:space="preserve">  </w:t>
            </w:r>
            <w:r>
              <w:rPr>
                <w:color w:val="000000"/>
                <w:sz w:val="21"/>
                <w:szCs w:val="21"/>
                <w:highlight w:val="none"/>
                <w:u w:val="single"/>
              </w:rPr>
              <w:t xml:space="preserve">      </w:t>
            </w:r>
            <w:r>
              <w:rPr>
                <w:rFonts w:hint="eastAsia"/>
                <w:color w:val="000000"/>
                <w:sz w:val="21"/>
                <w:szCs w:val="21"/>
                <w:highlight w:val="none"/>
              </w:rPr>
              <w:t xml:space="preserve">元</w:t>
            </w:r>
            <w:r>
              <w:rPr>
                <w:color w:val="000000"/>
                <w:sz w:val="21"/>
                <w:szCs w:val="21"/>
                <w:highlight w:val="none"/>
              </w:rPr>
              <w:t xml:space="preserve">    </w:t>
            </w:r>
            <w:r>
              <w:rPr>
                <w:rFonts w:hint="eastAsia"/>
                <w:color w:val="000000"/>
                <w:sz w:val="21"/>
                <w:szCs w:val="21"/>
                <w:highlight w:val="none"/>
              </w:rPr>
              <w:t xml:space="preserve"> </w:t>
            </w:r>
            <w:r>
              <w:rPr>
                <w:color w:val="000000"/>
                <w:sz w:val="21"/>
                <w:szCs w:val="21"/>
                <w:highlight w:val="none"/>
              </w:rPr>
              <w:t xml:space="preserve">   </w:t>
            </w:r>
            <w:r>
              <w:rPr>
                <w:rFonts w:hint="eastAsia"/>
                <w:color w:val="000000"/>
                <w:sz w:val="21"/>
                <w:szCs w:val="21"/>
                <w:highlight w:val="none"/>
              </w:rPr>
              <w:t xml:space="preserve">（小写）¥</w:t>
            </w:r>
            <w:r>
              <w:rPr>
                <w:color w:val="000000"/>
                <w:sz w:val="21"/>
                <w:szCs w:val="21"/>
                <w:highlight w:val="none"/>
                <w:u w:val="single"/>
              </w:rPr>
              <w:t xml:space="preserve">         </w:t>
            </w:r>
            <w:r/>
          </w:p>
        </w:tc>
      </w:tr>
    </w:tbl>
    <w:p>
      <w:pPr>
        <w:ind w:firstLine="420"/>
        <w:spacing w:line="440" w:lineRule="exact"/>
        <w:rPr>
          <w:rFonts w:hint="eastAsia"/>
          <w:color w:val="000000"/>
          <w:sz w:val="21"/>
          <w:szCs w:val="21"/>
          <w:highlight w:val="none"/>
        </w:rPr>
      </w:pPr>
      <w:r>
        <w:rPr>
          <w:rFonts w:hint="eastAsia"/>
          <w:color w:val="000000"/>
          <w:sz w:val="21"/>
          <w:szCs w:val="21"/>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cs="Times New Roman"/>
          <w:b/>
          <w:bCs/>
          <w:color w:val="000000"/>
          <w:sz w:val="21"/>
          <w:szCs w:val="21"/>
          <w:highlight w:val="none"/>
        </w:rPr>
      </w:pPr>
      <w:r>
        <w:rPr>
          <w:rFonts w:hint="eastAsia"/>
          <w:color w:val="000000"/>
          <w:sz w:val="21"/>
          <w:szCs w:val="21"/>
          <w:highlight w:val="none"/>
        </w:rPr>
        <w:t xml:space="preserve">日期：    年    月    日</w:t>
      </w:r>
      <w:r/>
    </w:p>
    <w:p>
      <w:pPr>
        <w:ind w:firstLine="420"/>
        <w:spacing w:line="440" w:lineRule="exact"/>
        <w:rPr>
          <w:rFonts w:hint="eastAsia"/>
          <w:color w:val="000000"/>
          <w:sz w:val="21"/>
          <w:szCs w:val="21"/>
          <w:highlight w:val="none"/>
          <w:lang w:val="zh-CN"/>
        </w:rPr>
      </w:pPr>
      <w:r>
        <w:rPr>
          <w:rFonts w:hint="eastAsia"/>
          <w:color w:val="000000"/>
          <w:sz w:val="21"/>
          <w:szCs w:val="21"/>
          <w:highlight w:val="none"/>
          <w:lang w:val="zh-CN"/>
        </w:rPr>
      </w:r>
      <w:r/>
    </w:p>
    <w:p>
      <w:pPr>
        <w:ind w:firstLine="420"/>
        <w:spacing w:line="440" w:lineRule="exact"/>
        <w:rPr>
          <w:rFonts w:hint="eastAsia"/>
          <w:color w:val="000000"/>
          <w:sz w:val="21"/>
          <w:szCs w:val="21"/>
          <w:highlight w:val="none"/>
          <w:lang w:val="zh-CN"/>
        </w:rPr>
      </w:pPr>
      <w:r>
        <w:rPr>
          <w:rFonts w:hint="eastAsia"/>
          <w:color w:val="000000"/>
          <w:sz w:val="21"/>
          <w:szCs w:val="21"/>
          <w:highlight w:val="none"/>
          <w:lang w:val="zh-CN"/>
        </w:rPr>
        <w:t xml:space="preserve">注：1、请投标单位按照上述格式分析投标总报价，本项投标总价需与开标一览表投标总价一致。如有出现漏报、错报或未报项，均由投标单位自行承担，采购单位不再另行支付其他费用。</w:t>
      </w:r>
      <w:r/>
    </w:p>
    <w:p>
      <w:pPr>
        <w:ind w:firstLine="420"/>
        <w:spacing w:line="440" w:lineRule="exact"/>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zh-CN"/>
        </w:rPr>
        <w:t xml:space="preserve">报价应</w:t>
      </w:r>
      <w:r>
        <w:rPr>
          <w:rFonts w:hint="eastAsia"/>
          <w:color w:val="000000"/>
          <w:sz w:val="21"/>
          <w:szCs w:val="21"/>
          <w:highlight w:val="none"/>
        </w:rPr>
        <w:t xml:space="preserve">包括全部标的物及其备品备件、辅助材料、安装、调试、维护、人工、机械、包装、运输、装卸、仓储、保险、运费、各种税费、劳保、专利技术及质保期间等一切费用。</w:t>
      </w:r>
      <w:r/>
    </w:p>
    <w:p>
      <w:pPr>
        <w:spacing w:line="440" w:lineRule="exact"/>
        <w:rPr>
          <w:rFonts w:hint="eastAsia"/>
          <w:color w:val="000000"/>
          <w:sz w:val="21"/>
          <w:szCs w:val="21"/>
          <w:highlight w:val="none"/>
          <w:lang w:val="zh-CN"/>
        </w:rPr>
      </w:pPr>
      <w:r>
        <w:rPr>
          <w:rFonts w:hint="eastAsia"/>
          <w:color w:val="000000"/>
          <w:sz w:val="21"/>
          <w:szCs w:val="21"/>
          <w:highlight w:val="none"/>
          <w:lang w:val="zh-CN"/>
        </w:rPr>
      </w:r>
      <w:r/>
    </w:p>
    <w:p>
      <w:pPr>
        <w:spacing w:line="440" w:lineRule="exact"/>
        <w:rPr>
          <w:rFonts w:hint="eastAsia"/>
          <w:color w:val="000000"/>
          <w:sz w:val="21"/>
          <w:szCs w:val="21"/>
          <w:highlight w:val="none"/>
          <w:lang w:val="zh-CN"/>
        </w:rPr>
      </w:pPr>
      <w:r>
        <w:rPr>
          <w:rFonts w:hint="eastAsia"/>
          <w:color w:val="000000"/>
          <w:sz w:val="21"/>
          <w:szCs w:val="21"/>
          <w:highlight w:val="none"/>
          <w:lang w:val="zh-CN"/>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pStyle w:val="851"/>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spacing w:line="400" w:lineRule="exact"/>
        <w:rPr>
          <w:rFonts w:cs="Times New Roman"/>
          <w:b/>
          <w:bCs/>
          <w:color w:val="000000"/>
          <w:sz w:val="21"/>
          <w:szCs w:val="21"/>
          <w:highlight w:val="none"/>
        </w:rPr>
      </w:pPr>
      <w:r>
        <w:rPr>
          <w:rFonts w:hint="eastAsia"/>
          <w:b/>
          <w:bCs/>
          <w:color w:val="000000"/>
          <w:sz w:val="21"/>
          <w:szCs w:val="21"/>
          <w:highlight w:val="none"/>
        </w:rPr>
        <w:t xml:space="preserve">附件4、投标货物和服务数量、</w:t>
      </w:r>
      <w:r>
        <w:rPr>
          <w:rFonts w:hint="eastAsia" w:ascii="Calibri"/>
          <w:b/>
          <w:bCs/>
          <w:color w:val="000000"/>
          <w:sz w:val="21"/>
          <w:szCs w:val="21"/>
          <w:highlight w:val="none"/>
          <w:lang w:val="zh-CN"/>
        </w:rPr>
        <w:t xml:space="preserve">规格、品牌型号、性能</w:t>
      </w:r>
      <w:r>
        <w:rPr>
          <w:rFonts w:hint="eastAsia"/>
          <w:b/>
          <w:bCs/>
          <w:color w:val="000000"/>
          <w:sz w:val="21"/>
          <w:szCs w:val="21"/>
          <w:highlight w:val="none"/>
        </w:rPr>
        <w:t xml:space="preserve">、交货期等</w:t>
      </w:r>
      <w:r>
        <w:rPr>
          <w:rFonts w:hint="eastAsia"/>
          <w:b/>
          <w:bCs/>
          <w:color w:val="000000"/>
          <w:sz w:val="21"/>
          <w:szCs w:val="21"/>
          <w:highlight w:val="none"/>
          <w:lang w:val="zh-CN"/>
        </w:rPr>
        <w:t xml:space="preserve">说明</w:t>
      </w:r>
      <w:r>
        <w:rPr>
          <w:rFonts w:hint="eastAsia"/>
          <w:b/>
          <w:bCs/>
          <w:color w:val="000000"/>
          <w:sz w:val="21"/>
          <w:szCs w:val="21"/>
          <w:highlight w:val="none"/>
        </w:rPr>
        <w:t xml:space="preserve">表</w:t>
      </w:r>
      <w:r/>
    </w:p>
    <w:p>
      <w:pPr>
        <w:jc w:val="center"/>
        <w:spacing w:line="480" w:lineRule="exact"/>
        <w:rPr>
          <w:rFonts w:cs="Times New Roman"/>
          <w:b/>
          <w:bCs/>
          <w:color w:val="000000"/>
          <w:sz w:val="21"/>
          <w:szCs w:val="21"/>
          <w:highlight w:val="none"/>
        </w:rPr>
      </w:pPr>
      <w:r>
        <w:rPr>
          <w:rFonts w:hint="eastAsia"/>
          <w:b/>
          <w:bCs/>
          <w:color w:val="000000"/>
          <w:sz w:val="21"/>
          <w:szCs w:val="21"/>
          <w:highlight w:val="none"/>
        </w:rPr>
        <w:t xml:space="preserve">投标货物和服务数量、</w:t>
      </w:r>
      <w:r>
        <w:rPr>
          <w:rFonts w:hint="eastAsia" w:ascii="Calibri"/>
          <w:b/>
          <w:bCs/>
          <w:color w:val="000000"/>
          <w:sz w:val="21"/>
          <w:szCs w:val="21"/>
          <w:highlight w:val="none"/>
          <w:lang w:val="zh-CN"/>
        </w:rPr>
        <w:t xml:space="preserve">规格、品牌型号、性能</w:t>
      </w:r>
      <w:r>
        <w:rPr>
          <w:rFonts w:hint="eastAsia"/>
          <w:b/>
          <w:bCs/>
          <w:color w:val="000000"/>
          <w:sz w:val="21"/>
          <w:szCs w:val="21"/>
          <w:highlight w:val="none"/>
        </w:rPr>
        <w:t xml:space="preserve">、交货期等说明表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3423"/>
        <w:gridCol w:w="2351"/>
        <w:gridCol w:w="1120"/>
        <w:gridCol w:w="1120"/>
        <w:gridCol w:w="1120"/>
      </w:tblGrid>
      <w:tr>
        <w:trPr>
          <w:trHeight w:val="454"/>
        </w:trPr>
        <w:tc>
          <w:tcPr>
            <w:tcW w:w="984" w:type="dxa"/>
            <w:vAlign w:val="top"/>
            <w:textDirection w:val="lrTb"/>
            <w:noWrap w:val="false"/>
          </w:tcPr>
          <w:p>
            <w:pPr>
              <w:jc w:val="center"/>
              <w:spacing w:line="480" w:lineRule="exact"/>
              <w:rPr>
                <w:rFonts w:cs="Times New Roman"/>
                <w:color w:val="000000"/>
                <w:szCs w:val="21"/>
                <w:highlight w:val="none"/>
              </w:rPr>
            </w:pPr>
            <w:r>
              <w:rPr>
                <w:rFonts w:hint="eastAsia"/>
                <w:color w:val="000000"/>
                <w:sz w:val="21"/>
                <w:szCs w:val="21"/>
                <w:highlight w:val="none"/>
              </w:rPr>
              <w:t xml:space="preserve">序号</w:t>
            </w:r>
            <w:r/>
          </w:p>
        </w:tc>
        <w:tc>
          <w:tcPr>
            <w:tcW w:w="3423" w:type="dxa"/>
            <w:vAlign w:val="top"/>
            <w:textDirection w:val="lrTb"/>
            <w:noWrap w:val="false"/>
          </w:tcPr>
          <w:p>
            <w:pPr>
              <w:jc w:val="center"/>
              <w:spacing w:line="480" w:lineRule="exact"/>
              <w:rPr>
                <w:rFonts w:cs="Times New Roman"/>
                <w:color w:val="000000"/>
                <w:szCs w:val="21"/>
                <w:highlight w:val="none"/>
              </w:rPr>
            </w:pPr>
            <w:r>
              <w:rPr>
                <w:rFonts w:hint="eastAsia"/>
                <w:color w:val="000000"/>
                <w:sz w:val="21"/>
                <w:szCs w:val="21"/>
                <w:highlight w:val="none"/>
              </w:rPr>
              <w:t xml:space="preserve">标的物名称</w:t>
            </w:r>
            <w:r/>
          </w:p>
        </w:tc>
        <w:tc>
          <w:tcPr>
            <w:tcW w:w="2351" w:type="dxa"/>
            <w:vAlign w:val="top"/>
            <w:textDirection w:val="lrTb"/>
            <w:noWrap w:val="false"/>
          </w:tcPr>
          <w:p>
            <w:pPr>
              <w:jc w:val="center"/>
              <w:spacing w:line="480" w:lineRule="exact"/>
              <w:rPr>
                <w:rFonts w:hint="eastAsia" w:cs="Times New Roman"/>
                <w:color w:val="000000"/>
                <w:szCs w:val="21"/>
                <w:highlight w:val="none"/>
              </w:rPr>
            </w:pPr>
            <w:r>
              <w:rPr>
                <w:rFonts w:hint="eastAsia"/>
                <w:color w:val="000000"/>
                <w:sz w:val="21"/>
                <w:szCs w:val="21"/>
                <w:highlight w:val="none"/>
              </w:rPr>
              <w:t xml:space="preserve">品牌、规格、性能</w:t>
            </w:r>
            <w:r/>
          </w:p>
        </w:tc>
        <w:tc>
          <w:tcPr>
            <w:tcW w:w="1120" w:type="dxa"/>
            <w:vAlign w:val="top"/>
            <w:textDirection w:val="lrTb"/>
            <w:noWrap w:val="false"/>
          </w:tcPr>
          <w:p>
            <w:pPr>
              <w:jc w:val="center"/>
              <w:spacing w:line="480" w:lineRule="exact"/>
              <w:rPr>
                <w:rFonts w:cs="Times New Roman"/>
                <w:color w:val="000000"/>
                <w:szCs w:val="21"/>
                <w:highlight w:val="none"/>
              </w:rPr>
            </w:pPr>
            <w:r>
              <w:rPr>
                <w:rFonts w:hint="eastAsia"/>
                <w:color w:val="000000"/>
                <w:sz w:val="21"/>
                <w:szCs w:val="21"/>
                <w:highlight w:val="none"/>
              </w:rPr>
              <w:t xml:space="preserve">单位</w:t>
            </w:r>
            <w:r/>
          </w:p>
        </w:tc>
        <w:tc>
          <w:tcPr>
            <w:tcW w:w="1120" w:type="dxa"/>
            <w:vAlign w:val="top"/>
            <w:textDirection w:val="lrTb"/>
            <w:noWrap w:val="false"/>
          </w:tcPr>
          <w:p>
            <w:pPr>
              <w:jc w:val="center"/>
              <w:spacing w:line="480" w:lineRule="exact"/>
              <w:rPr>
                <w:rFonts w:cs="Times New Roman"/>
                <w:color w:val="000000"/>
                <w:szCs w:val="21"/>
                <w:highlight w:val="none"/>
              </w:rPr>
            </w:pPr>
            <w:r>
              <w:rPr>
                <w:rFonts w:hint="eastAsia"/>
                <w:color w:val="000000"/>
                <w:sz w:val="21"/>
                <w:szCs w:val="21"/>
                <w:highlight w:val="none"/>
              </w:rPr>
              <w:t xml:space="preserve">数量</w:t>
            </w:r>
            <w:r/>
          </w:p>
        </w:tc>
        <w:tc>
          <w:tcPr>
            <w:tcW w:w="1120" w:type="dxa"/>
            <w:vAlign w:val="top"/>
            <w:textDirection w:val="lrTb"/>
            <w:noWrap w:val="false"/>
          </w:tcPr>
          <w:p>
            <w:pPr>
              <w:jc w:val="center"/>
              <w:spacing w:line="480" w:lineRule="exact"/>
              <w:rPr>
                <w:rFonts w:cs="Times New Roman"/>
                <w:color w:val="000000"/>
                <w:szCs w:val="21"/>
                <w:highlight w:val="none"/>
              </w:rPr>
            </w:pPr>
            <w:r>
              <w:rPr>
                <w:rFonts w:hint="eastAsia"/>
                <w:color w:val="000000"/>
                <w:sz w:val="21"/>
                <w:szCs w:val="21"/>
                <w:highlight w:val="none"/>
              </w:rPr>
              <w:t xml:space="preserve">交货期</w:t>
            </w:r>
            <w:r/>
          </w:p>
        </w:tc>
      </w:tr>
      <w:tr>
        <w:trPr>
          <w:trHeight w:val="454"/>
        </w:trPr>
        <w:tc>
          <w:tcPr>
            <w:tcW w:w="984" w:type="dxa"/>
            <w:vAlign w:val="top"/>
            <w:textDirection w:val="lrTb"/>
            <w:noWrap w:val="false"/>
          </w:tcPr>
          <w:p>
            <w:pPr>
              <w:jc w:val="center"/>
              <w:spacing w:line="480" w:lineRule="exact"/>
              <w:rPr>
                <w:rFonts w:cs="Times New Roman"/>
                <w:color w:val="000000"/>
                <w:szCs w:val="21"/>
                <w:highlight w:val="none"/>
              </w:rPr>
            </w:pPr>
            <w:r>
              <w:rPr>
                <w:rFonts w:cs="Times New Roman"/>
                <w:color w:val="000000"/>
                <w:szCs w:val="21"/>
                <w:highlight w:val="none"/>
              </w:rPr>
            </w:r>
            <w:r/>
          </w:p>
        </w:tc>
        <w:tc>
          <w:tcPr>
            <w:tcW w:w="3423" w:type="dxa"/>
            <w:vAlign w:val="top"/>
            <w:textDirection w:val="lrTb"/>
            <w:noWrap w:val="false"/>
          </w:tcPr>
          <w:p>
            <w:pPr>
              <w:jc w:val="center"/>
              <w:spacing w:line="480" w:lineRule="exact"/>
              <w:rPr>
                <w:rFonts w:cs="Times New Roman"/>
                <w:color w:val="000000"/>
                <w:szCs w:val="21"/>
                <w:highlight w:val="none"/>
              </w:rPr>
            </w:pPr>
            <w:r>
              <w:rPr>
                <w:rFonts w:cs="Times New Roman"/>
                <w:color w:val="000000"/>
                <w:szCs w:val="21"/>
                <w:highlight w:val="none"/>
              </w:rPr>
            </w:r>
            <w:r/>
          </w:p>
        </w:tc>
        <w:tc>
          <w:tcPr>
            <w:tcW w:w="2351" w:type="dxa"/>
            <w:vAlign w:val="top"/>
            <w:textDirection w:val="lrTb"/>
            <w:noWrap w:val="false"/>
          </w:tcPr>
          <w:p>
            <w:pPr>
              <w:jc w:val="cente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jc w:val="cente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jc w:val="cente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jc w:val="center"/>
              <w:spacing w:line="480" w:lineRule="exact"/>
              <w:rPr>
                <w:rFonts w:cs="Times New Roman"/>
                <w:color w:val="000000"/>
                <w:szCs w:val="21"/>
                <w:highlight w:val="none"/>
              </w:rPr>
            </w:pPr>
            <w:r>
              <w:rPr>
                <w:rFonts w:cs="Times New Roman"/>
                <w:color w:val="000000"/>
                <w:szCs w:val="21"/>
                <w:highlight w:val="none"/>
              </w:rPr>
            </w:r>
            <w:r/>
          </w:p>
        </w:tc>
      </w:tr>
      <w:tr>
        <w:trPr>
          <w:trHeight w:val="454"/>
        </w:trPr>
        <w:tc>
          <w:tcPr>
            <w:tcW w:w="984"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3423"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2351"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r>
      <w:tr>
        <w:trPr>
          <w:trHeight w:val="454"/>
        </w:trPr>
        <w:tc>
          <w:tcPr>
            <w:tcW w:w="984"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3423"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2351"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r>
      <w:tr>
        <w:trPr>
          <w:trHeight w:val="454"/>
        </w:trPr>
        <w:tc>
          <w:tcPr>
            <w:tcW w:w="984"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3423"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2351"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r>
      <w:tr>
        <w:trPr>
          <w:trHeight w:val="454"/>
        </w:trPr>
        <w:tc>
          <w:tcPr>
            <w:tcW w:w="984"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3423"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2351"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c>
          <w:tcPr>
            <w:tcW w:w="1120" w:type="dxa"/>
            <w:vAlign w:val="top"/>
            <w:textDirection w:val="lrTb"/>
            <w:noWrap w:val="false"/>
          </w:tcPr>
          <w:p>
            <w:pPr>
              <w:spacing w:line="480" w:lineRule="exact"/>
              <w:rPr>
                <w:rFonts w:cs="Times New Roman"/>
                <w:color w:val="000000"/>
                <w:szCs w:val="21"/>
                <w:highlight w:val="none"/>
              </w:rPr>
            </w:pPr>
            <w:r>
              <w:rPr>
                <w:rFonts w:cs="Times New Roman"/>
                <w:color w:val="000000"/>
                <w:szCs w:val="21"/>
                <w:highlight w:val="none"/>
              </w:rPr>
            </w:r>
            <w:r/>
          </w:p>
        </w:tc>
      </w:tr>
    </w:tbl>
    <w:p>
      <w:pPr>
        <w:spacing w:line="440" w:lineRule="exact"/>
        <w:shd w:val="clear" w:color="auto" w:fill="ffffff"/>
        <w:rPr>
          <w:rFonts w:hint="eastAsia"/>
          <w:color w:val="000000"/>
          <w:sz w:val="21"/>
          <w:szCs w:val="21"/>
          <w:highlight w:val="none"/>
        </w:rPr>
      </w:pPr>
      <w:r>
        <w:rPr>
          <w:rFonts w:hint="eastAsia"/>
          <w:color w:val="000000"/>
          <w:sz w:val="21"/>
          <w:szCs w:val="21"/>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hint="eastAsia"/>
          <w:b/>
          <w:bCs/>
          <w:color w:val="000000"/>
          <w:sz w:val="21"/>
          <w:szCs w:val="21"/>
          <w:highlight w:val="none"/>
        </w:rPr>
      </w:pPr>
      <w:r>
        <w:rPr>
          <w:rFonts w:hint="eastAsia"/>
          <w:color w:val="000000"/>
          <w:sz w:val="21"/>
          <w:szCs w:val="21"/>
          <w:highlight w:val="none"/>
        </w:rPr>
        <w:t xml:space="preserve">日期：    年    月    日</w:t>
      </w:r>
      <w:r/>
    </w:p>
    <w:p>
      <w:pPr>
        <w:rPr>
          <w:rFonts w:hint="eastAsia"/>
          <w:b/>
          <w:bCs/>
          <w:color w:val="000000"/>
          <w:sz w:val="21"/>
          <w:szCs w:val="21"/>
          <w:highlight w:val="none"/>
        </w:rPr>
      </w:pP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t xml:space="preserve">附件5、投标产品技术对照表</w:t>
      </w:r>
      <w:r/>
    </w:p>
    <w:p>
      <w:pPr>
        <w:jc w:val="center"/>
        <w:spacing w:line="480" w:lineRule="exact"/>
        <w:rPr>
          <w:rFonts w:hint="eastAsia"/>
          <w:b/>
          <w:bCs/>
          <w:color w:val="000000"/>
          <w:sz w:val="21"/>
          <w:szCs w:val="21"/>
          <w:highlight w:val="none"/>
          <w:lang w:val="zh-CN"/>
        </w:rPr>
      </w:pPr>
      <w:r>
        <w:rPr>
          <w:rFonts w:hint="eastAsia"/>
          <w:b/>
          <w:bCs/>
          <w:color w:val="000000"/>
          <w:sz w:val="21"/>
          <w:szCs w:val="21"/>
          <w:highlight w:val="none"/>
          <w:lang w:val="zh-CN"/>
        </w:rPr>
        <w:t xml:space="preserve">投标产品技术对照表</w:t>
      </w:r>
      <w:r/>
    </w:p>
    <w:tbl>
      <w:tblPr>
        <w:tblStyle w:val="65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2548"/>
        <w:gridCol w:w="1940"/>
        <w:gridCol w:w="2239"/>
        <w:gridCol w:w="2541"/>
      </w:tblGrid>
      <w:tr>
        <w:trPr>
          <w:jc w:val="center"/>
          <w:trHeight w:val="454"/>
        </w:trPr>
        <w:tc>
          <w:tcPr>
            <w:tcW w:w="850" w:type="dxa"/>
            <w:vAlign w:val="center"/>
            <w:textDirection w:val="lrTb"/>
            <w:noWrap w:val="false"/>
          </w:tcPr>
          <w:p>
            <w:pPr>
              <w:jc w:val="center"/>
              <w:spacing w:line="360" w:lineRule="exact"/>
              <w:rPr>
                <w:rFonts w:hint="eastAsia"/>
                <w:color w:val="000000"/>
                <w:sz w:val="21"/>
                <w:szCs w:val="21"/>
                <w:highlight w:val="none"/>
              </w:rPr>
            </w:pPr>
            <w:r>
              <w:rPr>
                <w:rFonts w:hint="eastAsia"/>
                <w:color w:val="000000"/>
                <w:sz w:val="21"/>
                <w:szCs w:val="21"/>
                <w:highlight w:val="none"/>
                <w:lang w:val="zh-CN"/>
              </w:rPr>
              <w:t xml:space="preserve">序号</w:t>
            </w:r>
            <w:r/>
          </w:p>
        </w:tc>
        <w:tc>
          <w:tcPr>
            <w:tcW w:w="2548" w:type="dxa"/>
            <w:vAlign w:val="center"/>
            <w:textDirection w:val="lrTb"/>
            <w:noWrap w:val="false"/>
          </w:tcPr>
          <w:p>
            <w:pPr>
              <w:jc w:val="center"/>
              <w:spacing w:line="360" w:lineRule="exact"/>
              <w:rPr>
                <w:rFonts w:hint="eastAsia"/>
                <w:color w:val="000000"/>
                <w:sz w:val="21"/>
                <w:szCs w:val="21"/>
                <w:highlight w:val="none"/>
              </w:rPr>
            </w:pPr>
            <w:r>
              <w:rPr>
                <w:rFonts w:hint="eastAsia"/>
                <w:color w:val="000000"/>
                <w:sz w:val="21"/>
                <w:szCs w:val="21"/>
                <w:highlight w:val="none"/>
                <w:lang w:val="zh-CN"/>
              </w:rPr>
              <w:t xml:space="preserve">产品名称、品牌、规格</w:t>
            </w:r>
            <w:r/>
          </w:p>
        </w:tc>
        <w:tc>
          <w:tcPr>
            <w:tcW w:w="1940" w:type="dxa"/>
            <w:vAlign w:val="center"/>
            <w:textDirection w:val="lrTb"/>
            <w:noWrap w:val="false"/>
          </w:tcPr>
          <w:p>
            <w:pPr>
              <w:jc w:val="center"/>
              <w:spacing w:line="360" w:lineRule="exact"/>
              <w:rPr>
                <w:rFonts w:hint="eastAsia"/>
                <w:color w:val="000000"/>
                <w:sz w:val="21"/>
                <w:szCs w:val="21"/>
                <w:highlight w:val="none"/>
                <w:lang w:val="zh-CN"/>
              </w:rPr>
            </w:pPr>
            <w:r>
              <w:rPr>
                <w:rFonts w:hint="eastAsia"/>
                <w:color w:val="000000"/>
                <w:sz w:val="21"/>
                <w:szCs w:val="21"/>
                <w:highlight w:val="none"/>
                <w:lang w:val="zh-CN"/>
              </w:rPr>
              <w:t xml:space="preserve">招标技术要求</w:t>
            </w:r>
            <w:r/>
          </w:p>
        </w:tc>
        <w:tc>
          <w:tcPr>
            <w:tcW w:w="2239" w:type="dxa"/>
            <w:vAlign w:val="center"/>
            <w:textDirection w:val="lrTb"/>
            <w:noWrap w:val="false"/>
          </w:tcPr>
          <w:p>
            <w:pPr>
              <w:jc w:val="center"/>
              <w:spacing w:line="360" w:lineRule="exact"/>
              <w:rPr>
                <w:rFonts w:hint="eastAsia"/>
                <w:color w:val="000000"/>
                <w:sz w:val="21"/>
                <w:szCs w:val="21"/>
                <w:highlight w:val="none"/>
                <w:lang w:val="zh-CN"/>
              </w:rPr>
            </w:pPr>
            <w:r>
              <w:rPr>
                <w:rFonts w:hint="eastAsia"/>
                <w:color w:val="000000"/>
                <w:sz w:val="21"/>
                <w:szCs w:val="21"/>
                <w:highlight w:val="none"/>
                <w:lang w:val="zh-CN"/>
              </w:rPr>
              <w:t xml:space="preserve">投标产品技术指标</w:t>
            </w:r>
            <w:r/>
          </w:p>
        </w:tc>
        <w:tc>
          <w:tcPr>
            <w:tcW w:w="2541" w:type="dxa"/>
            <w:vAlign w:val="center"/>
            <w:textDirection w:val="lrTb"/>
            <w:noWrap w:val="false"/>
          </w:tcPr>
          <w:p>
            <w:pPr>
              <w:jc w:val="center"/>
              <w:spacing w:line="360" w:lineRule="exact"/>
              <w:rPr>
                <w:rFonts w:hint="eastAsia"/>
                <w:color w:val="000000"/>
                <w:sz w:val="21"/>
                <w:szCs w:val="21"/>
                <w:highlight w:val="none"/>
              </w:rPr>
            </w:pPr>
            <w:r>
              <w:rPr>
                <w:rFonts w:hint="eastAsia"/>
                <w:color w:val="000000"/>
                <w:sz w:val="21"/>
                <w:szCs w:val="21"/>
                <w:highlight w:val="none"/>
                <w:lang w:val="zh-CN"/>
              </w:rPr>
              <w:t xml:space="preserve">选择项</w:t>
            </w:r>
            <w:r/>
          </w:p>
          <w:p>
            <w:pPr>
              <w:jc w:val="center"/>
              <w:spacing w:line="360" w:lineRule="exact"/>
              <w:rPr>
                <w:rFonts w:hint="eastAsia"/>
                <w:color w:val="000000"/>
                <w:sz w:val="21"/>
                <w:szCs w:val="21"/>
                <w:highlight w:val="none"/>
              </w:rPr>
            </w:pPr>
            <w:r>
              <w:rPr>
                <w:rFonts w:hint="eastAsia"/>
                <w:color w:val="000000"/>
                <w:sz w:val="21"/>
                <w:szCs w:val="21"/>
                <w:highlight w:val="none"/>
                <w:lang w:val="zh-CN"/>
              </w:rPr>
              <w:t xml:space="preserve">（符合、正偏离或负偏离）</w:t>
            </w:r>
            <w:r/>
          </w:p>
        </w:tc>
      </w:tr>
      <w:tr>
        <w:trPr>
          <w:jc w:val="center"/>
          <w:trHeight w:val="454"/>
        </w:trPr>
        <w:tc>
          <w:tcPr>
            <w:tcW w:w="85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8"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194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239"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1"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r>
      <w:tr>
        <w:trPr>
          <w:jc w:val="center"/>
          <w:trHeight w:val="454"/>
        </w:trPr>
        <w:tc>
          <w:tcPr>
            <w:tcW w:w="85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8"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194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239"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1"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r>
      <w:tr>
        <w:trPr>
          <w:jc w:val="center"/>
          <w:trHeight w:val="454"/>
        </w:trPr>
        <w:tc>
          <w:tcPr>
            <w:tcW w:w="85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8"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194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239"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1"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r>
      <w:tr>
        <w:trPr>
          <w:jc w:val="center"/>
          <w:trHeight w:val="454"/>
        </w:trPr>
        <w:tc>
          <w:tcPr>
            <w:tcW w:w="85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8"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194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239"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1"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r>
      <w:tr>
        <w:trPr>
          <w:jc w:val="center"/>
          <w:trHeight w:val="454"/>
        </w:trPr>
        <w:tc>
          <w:tcPr>
            <w:tcW w:w="85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8"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194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239"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1"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r>
      <w:tr>
        <w:trPr>
          <w:jc w:val="center"/>
          <w:trHeight w:val="454"/>
        </w:trPr>
        <w:tc>
          <w:tcPr>
            <w:tcW w:w="85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8"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1940"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239"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c>
          <w:tcPr>
            <w:tcW w:w="2541" w:type="dxa"/>
            <w:vAlign w:val="top"/>
            <w:textDirection w:val="lrTb"/>
            <w:noWrap w:val="false"/>
          </w:tcPr>
          <w:p>
            <w:pPr>
              <w:rPr>
                <w:rFonts w:hint="eastAsia"/>
                <w:color w:val="000000"/>
                <w:sz w:val="21"/>
                <w:szCs w:val="21"/>
                <w:highlight w:val="none"/>
              </w:rPr>
            </w:pPr>
            <w:r>
              <w:rPr>
                <w:rFonts w:hint="eastAsia"/>
                <w:color w:val="000000"/>
                <w:sz w:val="21"/>
                <w:szCs w:val="21"/>
                <w:highlight w:val="none"/>
              </w:rPr>
            </w:r>
            <w:r/>
          </w:p>
        </w:tc>
      </w:tr>
    </w:tbl>
    <w:p>
      <w:pPr>
        <w:spacing w:line="360" w:lineRule="auto"/>
        <w:rPr>
          <w:rFonts w:hint="eastAsia"/>
          <w:color w:val="000000"/>
          <w:sz w:val="21"/>
          <w:szCs w:val="21"/>
          <w:highlight w:val="none"/>
          <w:lang w:val="zh-CN"/>
        </w:rPr>
      </w:pPr>
      <w:r>
        <w:rPr>
          <w:rFonts w:hint="eastAsia"/>
          <w:color w:val="000000"/>
          <w:sz w:val="21"/>
          <w:szCs w:val="21"/>
          <w:highlight w:val="none"/>
          <w:lang w:val="zh-CN"/>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hint="eastAsia"/>
          <w:b/>
          <w:bCs/>
          <w:color w:val="000000"/>
          <w:sz w:val="21"/>
          <w:szCs w:val="21"/>
          <w:highlight w:val="none"/>
        </w:rPr>
      </w:pPr>
      <w:r>
        <w:rPr>
          <w:rFonts w:hint="eastAsia"/>
          <w:color w:val="000000"/>
          <w:sz w:val="21"/>
          <w:szCs w:val="21"/>
          <w:highlight w:val="none"/>
        </w:rPr>
        <w:t xml:space="preserve">日期：    年    月    日</w:t>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pStyle w:val="821"/>
        <w:rPr>
          <w:rFonts w:hint="eastAsia"/>
          <w:b w:val="0"/>
          <w:bCs w:val="0"/>
          <w:color w:val="000000"/>
          <w:sz w:val="21"/>
          <w:szCs w:val="21"/>
          <w:highlight w:val="none"/>
        </w:rPr>
      </w:pPr>
      <w:r>
        <w:rPr>
          <w:rFonts w:hint="eastAsia"/>
          <w:b w:val="0"/>
          <w:bCs w:val="0"/>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pStyle w:val="821"/>
        <w:rPr>
          <w:rFonts w:hint="eastAsia"/>
          <w:b w:val="0"/>
          <w:bCs w:val="0"/>
          <w:color w:val="000000"/>
          <w:sz w:val="21"/>
          <w:szCs w:val="21"/>
          <w:highlight w:val="none"/>
        </w:rPr>
      </w:pPr>
      <w:r>
        <w:rPr>
          <w:rFonts w:hint="eastAsia"/>
          <w:b w:val="0"/>
          <w:bCs w:val="0"/>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p>
    <w:p>
      <w:pPr>
        <w:pStyle w:val="821"/>
        <w:rPr>
          <w:rFonts w:hint="eastAsia"/>
          <w:b w:val="0"/>
          <w:bCs w:val="0"/>
          <w:color w:val="000000"/>
          <w:sz w:val="21"/>
          <w:szCs w:val="21"/>
          <w:highlight w:val="none"/>
        </w:rPr>
      </w:pPr>
      <w:r>
        <w:rPr>
          <w:rFonts w:hint="eastAsia"/>
          <w:b w:val="0"/>
          <w:bCs w:val="0"/>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360" w:lineRule="auto"/>
        <w:rPr>
          <w:rFonts w:cs="Times New Roman"/>
          <w:b/>
          <w:sz w:val="21"/>
          <w:szCs w:val="21"/>
          <w:highlight w:val="none"/>
          <w:lang w:val="zh-CN"/>
        </w:rPr>
      </w:pPr>
      <w:r>
        <w:rPr>
          <w:rFonts w:hint="eastAsia"/>
          <w:b/>
          <w:bCs/>
          <w:sz w:val="21"/>
          <w:szCs w:val="21"/>
          <w:highlight w:val="none"/>
        </w:rPr>
        <w:t xml:space="preserve">附件6、</w:t>
      </w:r>
      <w:r>
        <w:rPr>
          <w:rFonts w:hint="eastAsia" w:cs="Times New Roman"/>
          <w:b/>
          <w:sz w:val="21"/>
          <w:szCs w:val="21"/>
          <w:highlight w:val="none"/>
          <w:lang w:val="zh-CN"/>
        </w:rPr>
        <w:t xml:space="preserve">质保期满后备品备件、易损件报价表（不含在投标报价中）</w:t>
      </w:r>
      <w:r/>
    </w:p>
    <w:p>
      <w:pPr>
        <w:ind w:firstLine="480"/>
        <w:jc w:val="left"/>
        <w:rPr>
          <w:rFonts w:cs="Times New Roman"/>
          <w:b/>
          <w:szCs w:val="20"/>
          <w:highlight w:val="none"/>
        </w:rPr>
      </w:pPr>
      <w:r>
        <w:rPr>
          <w:rFonts w:cs="Times New Roman"/>
          <w:b/>
          <w:szCs w:val="20"/>
          <w:highlight w:val="none"/>
        </w:rPr>
      </w:r>
      <w:r/>
    </w:p>
    <w:p>
      <w:pPr>
        <w:jc w:val="center"/>
        <w:rPr>
          <w:rFonts w:cs="Times New Roman"/>
          <w:b/>
          <w:sz w:val="21"/>
          <w:szCs w:val="21"/>
          <w:highlight w:val="none"/>
          <w:lang w:val="zh-CN"/>
        </w:rPr>
      </w:pPr>
      <w:r>
        <w:rPr>
          <w:rFonts w:hint="eastAsia" w:cs="Times New Roman"/>
          <w:b/>
          <w:sz w:val="21"/>
          <w:szCs w:val="21"/>
          <w:highlight w:val="none"/>
          <w:lang w:val="zh-CN"/>
        </w:rPr>
        <w:t xml:space="preserve">质保期满后备品备件、易损件报价表</w:t>
      </w:r>
      <w:r/>
    </w:p>
    <w:p>
      <w:pPr>
        <w:ind w:firstLine="502"/>
        <w:spacing w:line="360" w:lineRule="auto"/>
        <w:rPr>
          <w:spacing w:val="20"/>
          <w:sz w:val="21"/>
          <w:szCs w:val="21"/>
          <w:highlight w:val="none"/>
        </w:rPr>
      </w:pPr>
      <w:r>
        <w:rPr>
          <w:rFonts w:hint="eastAsia"/>
          <w:spacing w:val="20"/>
          <w:sz w:val="21"/>
          <w:szCs w:val="21"/>
          <w:highlight w:val="none"/>
        </w:rPr>
        <w:t xml:space="preserve">招标编号：        号</w:t>
      </w:r>
      <w:r/>
    </w:p>
    <w:p>
      <w:pPr>
        <w:ind w:firstLine="422"/>
        <w:spacing w:line="360" w:lineRule="auto"/>
        <w:rPr>
          <w:spacing w:val="20"/>
          <w:sz w:val="21"/>
          <w:szCs w:val="21"/>
          <w:highlight w:val="none"/>
        </w:rPr>
      </w:pPr>
      <w:r>
        <w:rPr>
          <w:rFonts w:hint="eastAsia"/>
          <w:sz w:val="21"/>
          <w:szCs w:val="21"/>
          <w:highlight w:val="none"/>
        </w:rPr>
        <w:t xml:space="preserve">项目名称：</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W w:w="735" w:type="dxa"/>
            <w:vAlign w:val="center"/>
            <w:textDirection w:val="lrTb"/>
            <w:noWrap w:val="false"/>
          </w:tcPr>
          <w:p>
            <w:pPr>
              <w:ind w:firstLine="422"/>
              <w:jc w:val="center"/>
              <w:spacing w:line="360" w:lineRule="auto"/>
              <w:rPr>
                <w:rFonts w:cs="Times New Roman"/>
                <w:bCs/>
                <w:sz w:val="21"/>
                <w:szCs w:val="21"/>
                <w:highlight w:val="none"/>
              </w:rPr>
            </w:pPr>
            <w:r>
              <w:rPr>
                <w:rFonts w:hint="eastAsia" w:cs="Times New Roman"/>
                <w:bCs/>
                <w:sz w:val="21"/>
                <w:szCs w:val="21"/>
                <w:highlight w:val="none"/>
              </w:rPr>
              <w:t xml:space="preserve">序号</w:t>
            </w:r>
            <w:r/>
          </w:p>
        </w:tc>
        <w:tc>
          <w:tcPr>
            <w:tcW w:w="2160" w:type="dxa"/>
            <w:vAlign w:val="center"/>
            <w:textDirection w:val="lrTb"/>
            <w:noWrap w:val="false"/>
          </w:tcPr>
          <w:p>
            <w:pPr>
              <w:ind w:firstLine="422"/>
              <w:jc w:val="center"/>
              <w:spacing w:line="360" w:lineRule="auto"/>
              <w:rPr>
                <w:rFonts w:cs="Times New Roman"/>
                <w:bCs/>
                <w:sz w:val="21"/>
                <w:szCs w:val="21"/>
                <w:highlight w:val="none"/>
              </w:rPr>
            </w:pPr>
            <w:r>
              <w:rPr>
                <w:rFonts w:hint="eastAsia" w:cs="Times New Roman"/>
                <w:bCs/>
                <w:sz w:val="21"/>
                <w:szCs w:val="21"/>
                <w:highlight w:val="none"/>
              </w:rPr>
              <w:t xml:space="preserve">设备（配件）名称</w:t>
            </w:r>
            <w:r/>
          </w:p>
        </w:tc>
        <w:tc>
          <w:tcPr>
            <w:tcW w:w="2160" w:type="dxa"/>
            <w:vAlign w:val="center"/>
            <w:textDirection w:val="lrTb"/>
            <w:noWrap w:val="false"/>
          </w:tcPr>
          <w:p>
            <w:pPr>
              <w:ind w:firstLine="422"/>
              <w:jc w:val="center"/>
              <w:spacing w:line="360" w:lineRule="auto"/>
              <w:rPr>
                <w:rFonts w:cs="Times New Roman"/>
                <w:bCs/>
                <w:sz w:val="21"/>
                <w:szCs w:val="21"/>
                <w:highlight w:val="none"/>
              </w:rPr>
            </w:pPr>
            <w:r>
              <w:rPr>
                <w:rFonts w:hint="eastAsia" w:cs="Times New Roman"/>
                <w:bCs/>
                <w:sz w:val="21"/>
                <w:szCs w:val="21"/>
                <w:highlight w:val="none"/>
              </w:rPr>
              <w:t xml:space="preserve">型号规格</w:t>
            </w:r>
            <w:r/>
          </w:p>
        </w:tc>
        <w:tc>
          <w:tcPr>
            <w:tcW w:w="2160" w:type="dxa"/>
            <w:vAlign w:val="center"/>
            <w:textDirection w:val="lrTb"/>
            <w:noWrap w:val="false"/>
          </w:tcPr>
          <w:p>
            <w:pPr>
              <w:ind w:firstLine="422"/>
              <w:jc w:val="center"/>
              <w:spacing w:line="360" w:lineRule="auto"/>
              <w:rPr>
                <w:rFonts w:cs="Times New Roman"/>
                <w:bCs/>
                <w:sz w:val="21"/>
                <w:szCs w:val="21"/>
                <w:highlight w:val="none"/>
              </w:rPr>
            </w:pPr>
            <w:r>
              <w:rPr>
                <w:rFonts w:hint="eastAsia" w:cs="Times New Roman"/>
                <w:bCs/>
                <w:sz w:val="21"/>
                <w:szCs w:val="21"/>
                <w:highlight w:val="none"/>
              </w:rPr>
              <w:t xml:space="preserve">单价</w:t>
            </w:r>
            <w:r/>
          </w:p>
        </w:tc>
        <w:tc>
          <w:tcPr>
            <w:tcW w:w="2160" w:type="dxa"/>
            <w:vAlign w:val="center"/>
            <w:textDirection w:val="lrTb"/>
            <w:noWrap w:val="false"/>
          </w:tcPr>
          <w:p>
            <w:pPr>
              <w:ind w:firstLine="422"/>
              <w:jc w:val="center"/>
              <w:spacing w:line="360" w:lineRule="auto"/>
              <w:rPr>
                <w:rFonts w:cs="Times New Roman"/>
                <w:bCs/>
                <w:sz w:val="21"/>
                <w:szCs w:val="21"/>
                <w:highlight w:val="none"/>
              </w:rPr>
            </w:pPr>
            <w:r>
              <w:rPr>
                <w:rFonts w:hint="eastAsia" w:cs="Times New Roman"/>
                <w:bCs/>
                <w:sz w:val="21"/>
                <w:szCs w:val="21"/>
                <w:highlight w:val="none"/>
              </w:rPr>
              <w:t xml:space="preserve">备注</w:t>
            </w:r>
            <w:r/>
          </w:p>
        </w:tc>
      </w:tr>
      <w:tr>
        <w:trPr>
          <w:jc w:val="center"/>
          <w:trHeight w:val="567"/>
        </w:trPr>
        <w:tc>
          <w:tcPr>
            <w:tcW w:w="735" w:type="dxa"/>
            <w:vAlign w:val="center"/>
            <w:textDirection w:val="lrTb"/>
            <w:noWrap w:val="false"/>
          </w:tcPr>
          <w:p>
            <w:pPr>
              <w:jc w:val="center"/>
              <w:spacing w:line="360" w:lineRule="auto"/>
              <w:rPr>
                <w:rFonts w:cs="Times New Roman"/>
                <w:b/>
                <w:sz w:val="21"/>
                <w:szCs w:val="21"/>
                <w:highlight w:val="none"/>
              </w:rPr>
            </w:pPr>
            <w:r>
              <w:rPr>
                <w:rFonts w:hint="eastAsia" w:cs="Times New Roman"/>
                <w:b/>
                <w:sz w:val="21"/>
                <w:szCs w:val="21"/>
                <w:highlight w:val="none"/>
              </w:rPr>
              <w:t xml:space="preserve">1</w:t>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r>
      <w:tr>
        <w:trPr>
          <w:jc w:val="center"/>
          <w:trHeight w:val="567"/>
        </w:trPr>
        <w:tc>
          <w:tcPr>
            <w:tcW w:w="735" w:type="dxa"/>
            <w:vAlign w:val="center"/>
            <w:textDirection w:val="lrTb"/>
            <w:noWrap w:val="false"/>
          </w:tcPr>
          <w:p>
            <w:pPr>
              <w:jc w:val="center"/>
              <w:spacing w:line="360" w:lineRule="auto"/>
              <w:rPr>
                <w:rFonts w:cs="Times New Roman"/>
                <w:b/>
                <w:sz w:val="21"/>
                <w:szCs w:val="21"/>
                <w:highlight w:val="none"/>
              </w:rPr>
            </w:pPr>
            <w:r>
              <w:rPr>
                <w:rFonts w:hint="eastAsia" w:cs="Times New Roman"/>
                <w:b/>
                <w:sz w:val="21"/>
                <w:szCs w:val="21"/>
                <w:highlight w:val="none"/>
              </w:rPr>
              <w:t xml:space="preserve">2</w:t>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r>
      <w:tr>
        <w:trPr>
          <w:jc w:val="center"/>
          <w:trHeight w:val="567"/>
        </w:trPr>
        <w:tc>
          <w:tcPr>
            <w:tcW w:w="735" w:type="dxa"/>
            <w:vAlign w:val="center"/>
            <w:textDirection w:val="lrTb"/>
            <w:noWrap w:val="false"/>
          </w:tcPr>
          <w:p>
            <w:pPr>
              <w:jc w:val="center"/>
              <w:spacing w:line="360" w:lineRule="auto"/>
              <w:rPr>
                <w:rFonts w:cs="Times New Roman"/>
                <w:b/>
                <w:sz w:val="21"/>
                <w:szCs w:val="21"/>
                <w:highlight w:val="none"/>
              </w:rPr>
            </w:pPr>
            <w:r>
              <w:rPr>
                <w:rFonts w:hint="eastAsia" w:cs="Times New Roman"/>
                <w:b/>
                <w:sz w:val="21"/>
                <w:szCs w:val="21"/>
                <w:highlight w:val="none"/>
              </w:rPr>
              <w:t xml:space="preserve">3</w:t>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r>
      <w:tr>
        <w:trPr>
          <w:jc w:val="center"/>
          <w:trHeight w:val="567"/>
        </w:trPr>
        <w:tc>
          <w:tcPr>
            <w:tcW w:w="735" w:type="dxa"/>
            <w:vAlign w:val="center"/>
            <w:textDirection w:val="lrTb"/>
            <w:noWrap w:val="false"/>
          </w:tcPr>
          <w:p>
            <w:pPr>
              <w:jc w:val="center"/>
              <w:spacing w:line="360" w:lineRule="auto"/>
              <w:rPr>
                <w:rFonts w:cs="Times New Roman"/>
                <w:b/>
                <w:sz w:val="21"/>
                <w:szCs w:val="21"/>
                <w:highlight w:val="none"/>
              </w:rPr>
            </w:pPr>
            <w:r>
              <w:rPr>
                <w:rFonts w:cs="Times New Roman"/>
                <w:b/>
                <w:sz w:val="21"/>
                <w:szCs w:val="21"/>
                <w:highlight w:val="none"/>
              </w:rPr>
              <w:t xml:space="preserve">……</w:t>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r>
      <w:tr>
        <w:trPr>
          <w:jc w:val="center"/>
          <w:trHeight w:val="567"/>
        </w:trPr>
        <w:tc>
          <w:tcPr>
            <w:tcW w:w="735" w:type="dxa"/>
            <w:vAlign w:val="center"/>
            <w:textDirection w:val="lrTb"/>
            <w:noWrap w:val="false"/>
          </w:tcPr>
          <w:p>
            <w:pPr>
              <w:ind w:firstLine="420"/>
              <w:jc w:val="center"/>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r>
      <w:tr>
        <w:trPr>
          <w:jc w:val="center"/>
          <w:trHeight w:val="567"/>
        </w:trPr>
        <w:tc>
          <w:tcPr>
            <w:tcW w:w="735" w:type="dxa"/>
            <w:vAlign w:val="center"/>
            <w:textDirection w:val="lrTb"/>
            <w:noWrap w:val="false"/>
          </w:tcPr>
          <w:p>
            <w:pPr>
              <w:ind w:firstLine="420"/>
              <w:jc w:val="center"/>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c>
          <w:tcPr>
            <w:tcW w:w="2160" w:type="dxa"/>
            <w:vAlign w:val="center"/>
            <w:textDirection w:val="lrTb"/>
            <w:noWrap w:val="false"/>
          </w:tcPr>
          <w:p>
            <w:pPr>
              <w:ind w:firstLine="420"/>
              <w:jc w:val="left"/>
              <w:spacing w:line="360" w:lineRule="auto"/>
              <w:rPr>
                <w:rFonts w:cs="Times New Roman"/>
                <w:b/>
                <w:sz w:val="21"/>
                <w:szCs w:val="21"/>
                <w:highlight w:val="none"/>
              </w:rPr>
            </w:pPr>
            <w:r>
              <w:rPr>
                <w:rFonts w:cs="Times New Roman"/>
                <w:b/>
                <w:sz w:val="21"/>
                <w:szCs w:val="21"/>
                <w:highlight w:val="none"/>
              </w:rPr>
            </w:r>
            <w:r/>
          </w:p>
        </w:tc>
      </w:tr>
    </w:tbl>
    <w:p>
      <w:pPr>
        <w:ind w:firstLine="422"/>
        <w:jc w:val="left"/>
        <w:spacing w:line="360" w:lineRule="auto"/>
        <w:rPr>
          <w:rFonts w:cs="Times New Roman"/>
          <w:sz w:val="21"/>
          <w:szCs w:val="20"/>
          <w:highlight w:val="none"/>
        </w:rPr>
      </w:pPr>
      <w:r>
        <w:rPr>
          <w:rFonts w:hint="eastAsia" w:cs="Times New Roman"/>
          <w:sz w:val="21"/>
          <w:szCs w:val="20"/>
          <w:highlight w:val="none"/>
        </w:rPr>
        <w:t xml:space="preserve">注：</w:t>
      </w:r>
      <w:r/>
    </w:p>
    <w:p>
      <w:pPr>
        <w:ind w:firstLine="422"/>
        <w:jc w:val="left"/>
        <w:spacing w:line="360" w:lineRule="auto"/>
        <w:rPr>
          <w:rFonts w:cs="Times New Roman"/>
          <w:sz w:val="21"/>
          <w:szCs w:val="20"/>
          <w:highlight w:val="none"/>
        </w:rPr>
      </w:pPr>
      <w:r>
        <w:rPr>
          <w:rFonts w:cs="Times New Roman"/>
          <w:sz w:val="21"/>
          <w:szCs w:val="20"/>
          <w:highlight w:val="none"/>
        </w:rPr>
        <w:t xml:space="preserve">1</w:t>
      </w:r>
      <w:r>
        <w:rPr>
          <w:rFonts w:hint="eastAsia" w:cs="Times New Roman"/>
          <w:sz w:val="21"/>
          <w:szCs w:val="20"/>
          <w:highlight w:val="none"/>
        </w:rPr>
        <w:t xml:space="preserve">、此报价作为最高限价，实际价格在中标后以双方协商为准。</w:t>
      </w:r>
      <w:r/>
    </w:p>
    <w:p>
      <w:pPr>
        <w:ind w:firstLine="422"/>
        <w:jc w:val="left"/>
        <w:spacing w:line="360" w:lineRule="auto"/>
        <w:widowControl/>
        <w:rPr>
          <w:sz w:val="21"/>
          <w:szCs w:val="21"/>
          <w:highlight w:val="none"/>
        </w:rPr>
      </w:pPr>
      <w:r>
        <w:rPr>
          <w:sz w:val="21"/>
          <w:szCs w:val="21"/>
          <w:highlight w:val="none"/>
        </w:rPr>
        <w:t xml:space="preserve">2</w:t>
      </w:r>
      <w:r>
        <w:rPr>
          <w:rFonts w:hint="eastAsia"/>
          <w:sz w:val="21"/>
          <w:szCs w:val="21"/>
          <w:highlight w:val="none"/>
        </w:rPr>
        <w:t xml:space="preserve">、</w:t>
      </w:r>
      <w:r>
        <w:rPr>
          <w:rFonts w:hint="eastAsia" w:cs="Times New Roman"/>
          <w:sz w:val="21"/>
          <w:szCs w:val="21"/>
          <w:highlight w:val="none"/>
          <w:lang w:val="zh-CN"/>
        </w:rPr>
        <w:t xml:space="preserve">备品备件、易损件须为投标报价目录所含项。</w:t>
      </w:r>
      <w:r/>
    </w:p>
    <w:p>
      <w:pPr>
        <w:ind w:firstLine="422"/>
        <w:jc w:val="left"/>
        <w:spacing w:line="360" w:lineRule="auto"/>
        <w:widowControl/>
        <w:rPr>
          <w:sz w:val="21"/>
          <w:szCs w:val="21"/>
          <w:highlight w:val="none"/>
        </w:rPr>
      </w:pPr>
      <w:r>
        <w:rPr>
          <w:rFonts w:hint="eastAsia"/>
          <w:sz w:val="21"/>
          <w:szCs w:val="21"/>
          <w:highlight w:val="none"/>
        </w:rPr>
        <w:t xml:space="preserve">投标方：（单位盖章）</w:t>
      </w:r>
      <w:r/>
    </w:p>
    <w:p>
      <w:pPr>
        <w:ind w:firstLine="422"/>
        <w:jc w:val="left"/>
        <w:spacing w:line="360" w:lineRule="auto"/>
        <w:widowControl/>
        <w:rPr>
          <w:sz w:val="21"/>
          <w:szCs w:val="21"/>
          <w:highlight w:val="none"/>
        </w:rPr>
      </w:pPr>
      <w:r>
        <w:rPr>
          <w:rFonts w:hint="eastAsia"/>
          <w:sz w:val="21"/>
          <w:szCs w:val="21"/>
          <w:highlight w:val="none"/>
        </w:rPr>
        <w:t xml:space="preserve">法定代表人或代理人：（签字或盖章）</w:t>
      </w:r>
      <w:r/>
    </w:p>
    <w:p>
      <w:pPr>
        <w:ind w:firstLine="422"/>
        <w:jc w:val="left"/>
        <w:spacing w:line="360" w:lineRule="auto"/>
        <w:widowControl/>
        <w:rPr>
          <w:sz w:val="21"/>
          <w:szCs w:val="21"/>
          <w:highlight w:val="none"/>
        </w:rPr>
      </w:pPr>
      <w:r>
        <w:rPr>
          <w:rFonts w:hint="eastAsia"/>
          <w:sz w:val="21"/>
          <w:szCs w:val="21"/>
          <w:highlight w:val="none"/>
        </w:rPr>
        <w:t xml:space="preserve">日期：         年         月       日</w:t>
      </w:r>
      <w:r/>
    </w:p>
    <w:p>
      <w:pPr>
        <w:pStyle w:val="887"/>
        <w:ind w:left="480"/>
        <w:rPr>
          <w:rFonts w:hint="eastAsia"/>
          <w:highlight w:val="none"/>
        </w:rPr>
      </w:pPr>
      <w:r>
        <w:rPr>
          <w:rFonts w:hint="eastAsia"/>
          <w:highlight w:val="none"/>
        </w:rPr>
      </w:r>
      <w:r/>
    </w:p>
    <w:p>
      <w:pPr>
        <w:pStyle w:val="875"/>
        <w:ind w:left="400" w:hanging="400"/>
        <w:rPr>
          <w:rFonts w:hint="eastAsia"/>
          <w:highlight w:val="none"/>
        </w:rPr>
      </w:pPr>
      <w:r>
        <w:rPr>
          <w:rFonts w:hint="eastAsia"/>
          <w:highlight w:val="none"/>
        </w:rPr>
      </w:r>
      <w:r/>
    </w:p>
    <w:p>
      <w:pPr>
        <w:rPr>
          <w:rFonts w:hint="eastAsia"/>
          <w:highlight w:val="none"/>
        </w:rPr>
      </w:pPr>
      <w:r>
        <w:rPr>
          <w:rFonts w:hint="eastAsia"/>
          <w:highlight w:val="none"/>
        </w:rPr>
      </w:r>
      <w:r/>
    </w:p>
    <w:p>
      <w:pPr>
        <w:pStyle w:val="887"/>
        <w:ind w:left="480"/>
        <w:rPr>
          <w:rFonts w:hint="eastAsia"/>
          <w:highlight w:val="none"/>
        </w:rPr>
      </w:pPr>
      <w:r>
        <w:rPr>
          <w:rFonts w:hint="eastAsia"/>
          <w:highlight w:val="none"/>
        </w:rPr>
      </w:r>
      <w:r/>
    </w:p>
    <w:p>
      <w:pPr>
        <w:pStyle w:val="875"/>
        <w:ind w:left="400" w:hanging="400"/>
        <w:rPr>
          <w:rFonts w:hint="eastAsia"/>
          <w:highlight w:val="none"/>
        </w:rPr>
      </w:pPr>
      <w:r>
        <w:rPr>
          <w:rFonts w:hint="eastAsia"/>
          <w:highlight w:val="none"/>
        </w:rPr>
      </w:r>
      <w:r/>
    </w:p>
    <w:p>
      <w:pPr>
        <w:rPr>
          <w:rFonts w:hint="eastAsia"/>
          <w:highlight w:val="none"/>
        </w:rPr>
      </w:pPr>
      <w:r>
        <w:rPr>
          <w:rFonts w:hint="eastAsia"/>
          <w:highlight w:val="none"/>
        </w:rPr>
      </w:r>
      <w:r/>
    </w:p>
    <w:p>
      <w:pPr>
        <w:pStyle w:val="887"/>
        <w:ind w:left="480"/>
        <w:rPr>
          <w:rFonts w:hint="eastAsia"/>
          <w:highlight w:val="none"/>
        </w:rPr>
      </w:pPr>
      <w:r>
        <w:rPr>
          <w:rFonts w:hint="eastAsia"/>
          <w:highlight w:val="none"/>
        </w:rPr>
      </w:r>
      <w:r/>
    </w:p>
    <w:p>
      <w:pPr>
        <w:pStyle w:val="875"/>
        <w:ind w:left="400" w:hanging="40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87"/>
        <w:ind w:left="480"/>
        <w:rPr>
          <w:rFonts w:hint="eastAsia"/>
          <w:highlight w:val="none"/>
        </w:rPr>
      </w:pPr>
      <w:r>
        <w:rPr>
          <w:rFonts w:hint="eastAsia"/>
          <w:highlight w:val="none"/>
        </w:rPr>
      </w:r>
      <w:r/>
    </w:p>
    <w:p>
      <w:pPr>
        <w:pStyle w:val="875"/>
        <w:ind w:left="400" w:hanging="400"/>
        <w:rPr>
          <w:rFonts w:hint="eastAsia"/>
          <w:highlight w:val="none"/>
        </w:rPr>
      </w:pPr>
      <w:r>
        <w:rPr>
          <w:rFonts w:hint="eastAsia"/>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t xml:space="preserve">附件7、商务条款偏离表</w:t>
      </w:r>
      <w:r/>
    </w:p>
    <w:p>
      <w:pPr>
        <w:jc w:val="center"/>
        <w:spacing w:line="400" w:lineRule="exact"/>
        <w:rPr>
          <w:rFonts w:ascii="Calibri" w:hAnsi="Calibri"/>
          <w:color w:val="000000"/>
          <w:highlight w:val="none"/>
        </w:rPr>
      </w:pPr>
      <w:r>
        <w:rPr>
          <w:rFonts w:hint="eastAsia"/>
          <w:b/>
          <w:bCs/>
          <w:color w:val="000000"/>
          <w:sz w:val="21"/>
          <w:szCs w:val="21"/>
          <w:highlight w:val="none"/>
        </w:rPr>
        <w:t xml:space="preserve">商务条款偏离表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序号</w:t>
            </w:r>
            <w:r/>
          </w:p>
        </w:tc>
        <w:tc>
          <w:tcPr>
            <w:tcW w:w="212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名称</w:t>
            </w:r>
            <w:r/>
          </w:p>
        </w:tc>
        <w:tc>
          <w:tcPr>
            <w:tcW w:w="2656"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招标文件商务要求</w:t>
            </w:r>
            <w:r/>
          </w:p>
        </w:tc>
        <w:tc>
          <w:tcPr>
            <w:tcW w:w="265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投标文件响应情况</w:t>
            </w:r>
            <w:r/>
          </w:p>
        </w:tc>
        <w:tc>
          <w:tcPr>
            <w:tcW w:w="1899" w:type="dxa"/>
            <w:vAlign w:val="top"/>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说明</w:t>
            </w:r>
            <w:r/>
          </w:p>
        </w:tc>
      </w:tr>
      <w:tr>
        <w:trPr/>
        <w:tc>
          <w:tcPr>
            <w:tcW w:w="783"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1</w:t>
            </w:r>
            <w:r/>
          </w:p>
        </w:tc>
        <w:tc>
          <w:tcPr>
            <w:tcW w:w="212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交付期限</w:t>
            </w:r>
            <w:r/>
          </w:p>
        </w:tc>
        <w:tc>
          <w:tcPr>
            <w:tcW w:w="2656"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2</w:t>
            </w:r>
            <w:r/>
          </w:p>
        </w:tc>
        <w:tc>
          <w:tcPr>
            <w:tcW w:w="212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付款步骤</w:t>
            </w:r>
            <w:r/>
          </w:p>
        </w:tc>
        <w:tc>
          <w:tcPr>
            <w:tcW w:w="2656"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3</w:t>
            </w:r>
            <w:r/>
          </w:p>
        </w:tc>
        <w:tc>
          <w:tcPr>
            <w:tcW w:w="212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合同主要条款</w:t>
            </w:r>
            <w:r/>
          </w:p>
        </w:tc>
        <w:tc>
          <w:tcPr>
            <w:tcW w:w="2656"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w:t>
            </w:r>
            <w:r/>
          </w:p>
        </w:tc>
        <w:tc>
          <w:tcPr>
            <w:tcW w:w="212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t xml:space="preserve">…</w:t>
            </w:r>
            <w:r/>
          </w:p>
        </w:tc>
        <w:tc>
          <w:tcPr>
            <w:tcW w:w="2656"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center"/>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r>
            <w:r/>
          </w:p>
        </w:tc>
        <w:tc>
          <w:tcPr>
            <w:tcW w:w="212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r>
            <w:r/>
          </w:p>
        </w:tc>
        <w:tc>
          <w:tcPr>
            <w:tcW w:w="2656"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center"/>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top"/>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r>
            <w:r/>
          </w:p>
        </w:tc>
        <w:tc>
          <w:tcPr>
            <w:tcW w:w="2125" w:type="dxa"/>
            <w:vAlign w:val="top"/>
            <w:textDirection w:val="lrTb"/>
            <w:noWrap w:val="false"/>
          </w:tcPr>
          <w:p>
            <w:pPr>
              <w:jc w:val="center"/>
              <w:spacing w:line="440" w:lineRule="exact"/>
              <w:widowControl/>
              <w:rPr>
                <w:rFonts w:hint="eastAsia"/>
                <w:color w:val="000000"/>
                <w:sz w:val="21"/>
                <w:szCs w:val="21"/>
                <w:highlight w:val="none"/>
              </w:rPr>
            </w:pPr>
            <w:r>
              <w:rPr>
                <w:rFonts w:hint="eastAsia"/>
                <w:color w:val="000000"/>
                <w:sz w:val="21"/>
                <w:szCs w:val="21"/>
                <w:highlight w:val="none"/>
              </w:rPr>
            </w:r>
            <w:r/>
          </w:p>
        </w:tc>
        <w:tc>
          <w:tcPr>
            <w:tcW w:w="2656"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12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6"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12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6"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12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6"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r>
        <w:trPr/>
        <w:tc>
          <w:tcPr>
            <w:tcW w:w="783"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12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6"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2655"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c>
          <w:tcPr>
            <w:tcW w:w="1899" w:type="dxa"/>
            <w:vAlign w:val="top"/>
            <w:textDirection w:val="lrTb"/>
            <w:noWrap w:val="false"/>
          </w:tcPr>
          <w:p>
            <w:pPr>
              <w:spacing w:line="440" w:lineRule="exact"/>
              <w:widowControl/>
              <w:rPr>
                <w:rFonts w:hint="eastAsia"/>
                <w:color w:val="000000"/>
                <w:sz w:val="21"/>
                <w:szCs w:val="21"/>
                <w:highlight w:val="none"/>
              </w:rPr>
            </w:pPr>
            <w:r>
              <w:rPr>
                <w:rFonts w:hint="eastAsia"/>
                <w:color w:val="000000"/>
                <w:sz w:val="21"/>
                <w:szCs w:val="21"/>
                <w:highlight w:val="none"/>
              </w:rPr>
            </w:r>
            <w:r/>
          </w:p>
        </w:tc>
      </w:tr>
    </w:tbl>
    <w:p>
      <w:pPr>
        <w:ind w:firstLine="420"/>
        <w:jc w:val="left"/>
        <w:spacing w:line="440" w:lineRule="exact"/>
        <w:widowControl/>
        <w:rPr>
          <w:rFonts w:hint="eastAsia"/>
          <w:color w:val="000000"/>
          <w:sz w:val="21"/>
          <w:szCs w:val="21"/>
          <w:highlight w:val="none"/>
        </w:rPr>
      </w:pPr>
      <w:r>
        <w:rPr>
          <w:rFonts w:hint="eastAsia"/>
          <w:color w:val="000000"/>
          <w:sz w:val="21"/>
          <w:szCs w:val="21"/>
          <w:highlight w:val="none"/>
        </w:rPr>
        <w:t xml:space="preserve">注：投标单位的投标文件（除服务要求部分）与招标文件规定的有偏离的，应在此表中说明。未在上表中说明的，如在投标文件其他内容中已有文字说明的，则以已有文字说明为准，否则，将被认为完全响应招标文件的规定。但该表不作为投标单位对所投标关于商务条款等详细描述和说明的替代。</w:t>
      </w:r>
      <w:r/>
    </w:p>
    <w:p>
      <w:pPr>
        <w:jc w:val="left"/>
        <w:spacing w:line="440" w:lineRule="exact"/>
        <w:rPr>
          <w:rFonts w:hint="eastAsia"/>
          <w:color w:val="000000"/>
          <w:sz w:val="21"/>
          <w:szCs w:val="21"/>
          <w:highlight w:val="none"/>
        </w:rPr>
      </w:pPr>
      <w:r>
        <w:rPr>
          <w:rFonts w:hint="eastAsia"/>
          <w:color w:val="000000"/>
          <w:sz w:val="21"/>
          <w:szCs w:val="21"/>
          <w:highlight w:val="none"/>
        </w:rPr>
        <w:t xml:space="preserve"> </w:t>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cs="Times New Roman"/>
          <w:b/>
          <w:bCs/>
          <w:color w:val="000000"/>
          <w:sz w:val="21"/>
          <w:szCs w:val="21"/>
          <w:highlight w:val="none"/>
        </w:rPr>
      </w:pPr>
      <w:r>
        <w:rPr>
          <w:rFonts w:hint="eastAsia"/>
          <w:color w:val="000000"/>
          <w:sz w:val="21"/>
          <w:szCs w:val="21"/>
          <w:highlight w:val="none"/>
        </w:rPr>
        <w:t xml:space="preserve">日期：    年    月    日</w:t>
      </w:r>
      <w:r/>
    </w:p>
    <w:p>
      <w:pPr>
        <w:ind w:firstLine="211"/>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spacing w:line="400" w:lineRule="exact"/>
        <w:rPr>
          <w:rFonts w:hint="eastAsia"/>
          <w:b/>
          <w:bCs/>
          <w:color w:val="000000"/>
          <w:sz w:val="21"/>
          <w:szCs w:val="21"/>
          <w:highlight w:val="none"/>
        </w:rPr>
      </w:pPr>
      <w:r>
        <w:rPr>
          <w:b/>
          <w:bCs/>
          <w:color w:val="000000"/>
          <w:sz w:val="21"/>
          <w:szCs w:val="21"/>
          <w:highlight w:val="none"/>
        </w:rPr>
        <w:t xml:space="preserve">   </w:t>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color w:val="000000"/>
          <w:highlight w:val="none"/>
        </w:rPr>
      </w:pPr>
      <w:r>
        <w:rPr>
          <w:rFonts w:hint="eastAsia"/>
          <w:b/>
          <w:bCs/>
          <w:color w:val="000000"/>
          <w:sz w:val="21"/>
          <w:szCs w:val="21"/>
          <w:highlight w:val="none"/>
        </w:rPr>
        <w:t xml:space="preserve">附件8、技术条款偏离表</w:t>
      </w:r>
      <w:r/>
    </w:p>
    <w:p>
      <w:pPr>
        <w:ind w:firstLine="211"/>
        <w:jc w:val="center"/>
        <w:spacing w:line="400" w:lineRule="exact"/>
        <w:rPr>
          <w:color w:val="000000"/>
          <w:highlight w:val="none"/>
        </w:rPr>
      </w:pPr>
      <w:r>
        <w:rPr>
          <w:rFonts w:hint="eastAsia"/>
          <w:b/>
          <w:bCs/>
          <w:color w:val="000000"/>
          <w:sz w:val="21"/>
          <w:szCs w:val="21"/>
          <w:highlight w:val="none"/>
        </w:rPr>
        <w:t xml:space="preserve">技术条款偏离表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13"/>
        <w:gridCol w:w="2440"/>
        <w:gridCol w:w="2528"/>
        <w:gridCol w:w="2064"/>
      </w:tblGrid>
      <w:tr>
        <w:trPr/>
        <w:tc>
          <w:tcPr>
            <w:tcW w:w="973"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序号</w:t>
            </w:r>
            <w:r/>
          </w:p>
        </w:tc>
        <w:tc>
          <w:tcPr>
            <w:tcW w:w="2113"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项目</w:t>
            </w:r>
            <w:r/>
          </w:p>
        </w:tc>
        <w:tc>
          <w:tcPr>
            <w:tcW w:w="2440"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招标文件技术要求</w:t>
            </w:r>
            <w:r/>
          </w:p>
        </w:tc>
        <w:tc>
          <w:tcPr>
            <w:tcW w:w="2528"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投标文件响应情况</w:t>
            </w:r>
            <w:r/>
          </w:p>
        </w:tc>
        <w:tc>
          <w:tcPr>
            <w:tcW w:w="2064" w:type="dxa"/>
            <w:vAlign w:val="center"/>
            <w:textDirection w:val="lrTb"/>
            <w:noWrap w:val="false"/>
          </w:tcPr>
          <w:p>
            <w:pPr>
              <w:jc w:val="center"/>
              <w:spacing w:line="440" w:lineRule="exact"/>
              <w:rPr>
                <w:rFonts w:hint="eastAsia"/>
                <w:color w:val="000000"/>
                <w:sz w:val="21"/>
                <w:szCs w:val="21"/>
                <w:highlight w:val="none"/>
              </w:rPr>
            </w:pPr>
            <w:r>
              <w:rPr>
                <w:rFonts w:hint="eastAsia"/>
                <w:color w:val="000000"/>
                <w:sz w:val="21"/>
                <w:szCs w:val="21"/>
                <w:highlight w:val="none"/>
              </w:rPr>
              <w:t xml:space="preserve">说明</w:t>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r>
        <w:trPr/>
        <w:tc>
          <w:tcPr>
            <w:tcW w:w="97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113"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440"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528"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c>
          <w:tcPr>
            <w:tcW w:w="2064" w:type="dxa"/>
            <w:vAlign w:val="top"/>
            <w:textDirection w:val="lrTb"/>
            <w:noWrap w:val="false"/>
          </w:tcPr>
          <w:p>
            <w:pPr>
              <w:spacing w:line="440" w:lineRule="exact"/>
              <w:rPr>
                <w:rFonts w:hint="eastAsia"/>
                <w:color w:val="000000"/>
                <w:sz w:val="21"/>
                <w:szCs w:val="21"/>
                <w:highlight w:val="none"/>
              </w:rPr>
            </w:pPr>
            <w:r>
              <w:rPr>
                <w:rFonts w:hint="eastAsia"/>
                <w:color w:val="000000"/>
                <w:sz w:val="21"/>
                <w:szCs w:val="21"/>
                <w:highlight w:val="none"/>
              </w:rPr>
            </w:r>
            <w:r/>
          </w:p>
        </w:tc>
      </w:tr>
    </w:tbl>
    <w:p>
      <w:pPr>
        <w:ind w:firstLine="420"/>
        <w:jc w:val="left"/>
        <w:spacing w:line="440" w:lineRule="exact"/>
        <w:rPr>
          <w:color w:val="000000"/>
          <w:sz w:val="21"/>
          <w:szCs w:val="22"/>
          <w:highlight w:val="none"/>
        </w:rPr>
      </w:pPr>
      <w:r>
        <w:rPr>
          <w:rFonts w:hint="eastAsia"/>
          <w:color w:val="000000"/>
          <w:sz w:val="21"/>
          <w:szCs w:val="22"/>
          <w:highlight w:val="none"/>
        </w:rPr>
        <w:t xml:space="preserve">注：1、投标单位应对照招标文件技术要求等要求，所投标的物与招标文件的规定有偏离的，应在此表中申明与技术要求条文的偏差和例外。</w:t>
      </w:r>
      <w:r/>
    </w:p>
    <w:p>
      <w:pPr>
        <w:ind w:firstLine="420"/>
        <w:jc w:val="left"/>
        <w:spacing w:line="440" w:lineRule="exact"/>
        <w:rPr>
          <w:color w:val="000000"/>
          <w:sz w:val="21"/>
          <w:szCs w:val="22"/>
          <w:highlight w:val="none"/>
        </w:rPr>
      </w:pPr>
      <w:r>
        <w:rPr>
          <w:rFonts w:hint="eastAsia"/>
          <w:color w:val="000000"/>
          <w:sz w:val="21"/>
          <w:szCs w:val="22"/>
          <w:highlight w:val="none"/>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p>
    <w:p>
      <w:pPr>
        <w:spacing w:line="400" w:lineRule="exact"/>
        <w:rPr>
          <w:rFonts w:cs="Times New Roman"/>
          <w:b/>
          <w:bCs/>
          <w:color w:val="000000"/>
          <w:sz w:val="21"/>
          <w:szCs w:val="21"/>
          <w:highlight w:val="none"/>
        </w:rPr>
      </w:pPr>
      <w:r>
        <w:rPr>
          <w:rFonts w:cs="Times New Roman"/>
          <w:b/>
          <w:bCs/>
          <w:color w:val="000000"/>
          <w:sz w:val="21"/>
          <w:szCs w:val="21"/>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cs="Times New Roman"/>
          <w:b/>
          <w:bCs/>
          <w:color w:val="000000"/>
          <w:sz w:val="21"/>
          <w:szCs w:val="21"/>
          <w:highlight w:val="none"/>
        </w:rPr>
      </w:pPr>
      <w:r>
        <w:rPr>
          <w:rFonts w:hint="eastAsia"/>
          <w:color w:val="000000"/>
          <w:sz w:val="21"/>
          <w:szCs w:val="21"/>
          <w:highlight w:val="none"/>
        </w:rPr>
        <w:t xml:space="preserve">日期：    年    月    日</w:t>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ind w:firstLine="211"/>
        <w:jc w:val="cente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cs="Times New Roman"/>
          <w:b/>
          <w:bCs/>
          <w:color w:val="000000"/>
          <w:sz w:val="21"/>
          <w:szCs w:val="21"/>
          <w:highlight w:val="none"/>
        </w:rPr>
      </w:pPr>
      <w:r>
        <w:rPr>
          <w:rFonts w:cs="Times New Roman"/>
          <w:b/>
          <w:bCs/>
          <w:color w:val="000000"/>
          <w:sz w:val="21"/>
          <w:szCs w:val="21"/>
          <w:highlight w:val="none"/>
        </w:rPr>
      </w:r>
      <w:r/>
    </w:p>
    <w:p>
      <w:pPr>
        <w:pStyle w:val="990"/>
        <w:ind w:firstLine="422"/>
        <w:rPr>
          <w:b/>
          <w:bCs/>
          <w:color w:val="000000"/>
          <w:sz w:val="21"/>
          <w:szCs w:val="21"/>
          <w:highlight w:val="none"/>
        </w:rPr>
      </w:pPr>
      <w:r>
        <w:rPr>
          <w:b/>
          <w:bCs/>
          <w:color w:val="000000"/>
          <w:sz w:val="21"/>
          <w:szCs w:val="21"/>
          <w:highlight w:val="none"/>
        </w:rPr>
      </w:r>
      <w:r/>
    </w:p>
    <w:p>
      <w:pPr>
        <w:rPr>
          <w:rFonts w:cs="Times New Roman"/>
          <w:b/>
          <w:bCs/>
          <w:color w:val="000000"/>
          <w:sz w:val="21"/>
          <w:szCs w:val="21"/>
          <w:highlight w:val="none"/>
        </w:rPr>
      </w:pPr>
      <w:r>
        <w:rPr>
          <w:rFonts w:cs="Times New Roman"/>
          <w:b/>
          <w:bCs/>
          <w:color w:val="000000"/>
          <w:sz w:val="21"/>
          <w:szCs w:val="21"/>
          <w:highlight w:val="none"/>
        </w:rPr>
      </w:r>
      <w:r/>
    </w:p>
    <w:p>
      <w:pPr>
        <w:pStyle w:val="990"/>
        <w:ind w:firstLine="422"/>
        <w:rPr>
          <w:b/>
          <w:bCs/>
          <w:color w:val="000000"/>
          <w:sz w:val="21"/>
          <w:szCs w:val="21"/>
          <w:highlight w:val="none"/>
        </w:rPr>
      </w:pPr>
      <w:r>
        <w:rPr>
          <w:b/>
          <w:bCs/>
          <w:color w:val="000000"/>
          <w:sz w:val="21"/>
          <w:szCs w:val="21"/>
          <w:highlight w:val="none"/>
        </w:rPr>
      </w:r>
      <w:r/>
    </w:p>
    <w:p>
      <w:pPr>
        <w:rPr>
          <w:rFonts w:cs="Times New Roman"/>
          <w:b/>
          <w:bCs/>
          <w:color w:val="000000"/>
          <w:sz w:val="21"/>
          <w:szCs w:val="21"/>
          <w:highlight w:val="none"/>
        </w:rPr>
      </w:pPr>
      <w:r>
        <w:rPr>
          <w:rFonts w:cs="Times New Roman"/>
          <w:b/>
          <w:bCs/>
          <w:color w:val="000000"/>
          <w:sz w:val="21"/>
          <w:szCs w:val="21"/>
          <w:highlight w:val="none"/>
        </w:rPr>
      </w:r>
      <w:r/>
    </w:p>
    <w:p>
      <w:pPr>
        <w:pStyle w:val="851"/>
        <w:rPr>
          <w:b/>
          <w:bCs/>
          <w:color w:val="000000"/>
          <w:sz w:val="21"/>
          <w:szCs w:val="21"/>
          <w:highlight w:val="none"/>
        </w:rPr>
      </w:pPr>
      <w:r>
        <w:rPr>
          <w:b/>
          <w:bCs/>
          <w:color w:val="000000"/>
          <w:sz w:val="21"/>
          <w:szCs w:val="21"/>
          <w:highlight w:val="none"/>
        </w:rPr>
      </w:r>
      <w:r/>
    </w:p>
    <w:p>
      <w:pPr>
        <w:rPr>
          <w:rFonts w:cs="Times New Roman"/>
          <w:b/>
          <w:bCs/>
          <w:color w:val="000000"/>
          <w:sz w:val="21"/>
          <w:szCs w:val="21"/>
          <w:highlight w:val="none"/>
        </w:rPr>
      </w:pPr>
      <w:r>
        <w:rPr>
          <w:rFonts w:cs="Times New Roman"/>
          <w:b/>
          <w:bCs/>
          <w:color w:val="000000"/>
          <w:sz w:val="21"/>
          <w:szCs w:val="21"/>
          <w:highlight w:val="none"/>
        </w:rPr>
      </w:r>
      <w:r/>
    </w:p>
    <w:p>
      <w:pPr>
        <w:pStyle w:val="990"/>
        <w:ind w:firstLine="0"/>
        <w:rPr>
          <w:b/>
          <w:bCs/>
          <w:color w:val="000000"/>
          <w:sz w:val="21"/>
          <w:szCs w:val="21"/>
          <w:highlight w:val="none"/>
        </w:rPr>
      </w:pPr>
      <w:r>
        <w:rPr>
          <w:b/>
          <w:bCs/>
          <w:color w:val="000000"/>
          <w:sz w:val="21"/>
          <w:szCs w:val="21"/>
          <w:highlight w:val="none"/>
        </w:rPr>
      </w:r>
      <w:r/>
    </w:p>
    <w:p>
      <w:pPr>
        <w:pStyle w:val="990"/>
        <w:ind w:firstLine="0"/>
        <w:rPr>
          <w:b/>
          <w:bCs/>
          <w:color w:val="000000"/>
          <w:sz w:val="21"/>
          <w:szCs w:val="21"/>
          <w:highlight w:val="none"/>
        </w:rPr>
      </w:pPr>
      <w:r>
        <w:rPr>
          <w:b/>
          <w:bCs/>
          <w:color w:val="000000"/>
          <w:sz w:val="21"/>
          <w:szCs w:val="21"/>
          <w:highlight w:val="none"/>
        </w:rPr>
      </w:r>
      <w:r/>
    </w:p>
    <w:p>
      <w:pPr>
        <w:pStyle w:val="825"/>
        <w:ind w:firstLine="0"/>
        <w:rPr>
          <w:rFonts w:ascii="宋体" w:hAnsi="宋体" w:eastAsia="宋体"/>
          <w:b/>
          <w:bCs/>
          <w:color w:val="000000"/>
          <w:sz w:val="21"/>
          <w:szCs w:val="21"/>
          <w:highlight w:val="none"/>
        </w:rPr>
      </w:pPr>
      <w:r>
        <w:rPr>
          <w:rFonts w:hint="eastAsia" w:ascii="宋体" w:hAnsi="宋体" w:eastAsia="宋体" w:cs="宋体"/>
          <w:b/>
          <w:bCs/>
          <w:color w:val="000000"/>
          <w:sz w:val="21"/>
          <w:szCs w:val="21"/>
          <w:highlight w:val="none"/>
        </w:rPr>
        <w:t xml:space="preserve">附件9、售后服务承诺书</w:t>
      </w:r>
      <w:r/>
    </w:p>
    <w:p>
      <w:pPr>
        <w:jc w:val="center"/>
        <w:spacing w:before="25" w:after="25" w:line="360" w:lineRule="auto"/>
        <w:rPr>
          <w:rFonts w:cs="Times New Roman"/>
          <w:b/>
          <w:bCs/>
          <w:color w:val="000000"/>
          <w:sz w:val="21"/>
          <w:szCs w:val="21"/>
          <w:highlight w:val="none"/>
        </w:rPr>
      </w:pPr>
      <w:r>
        <w:rPr>
          <w:rFonts w:hint="eastAsia"/>
          <w:b/>
          <w:bCs/>
          <w:color w:val="000000"/>
          <w:sz w:val="21"/>
          <w:szCs w:val="21"/>
          <w:highlight w:val="none"/>
        </w:rPr>
        <w:t xml:space="preserve">售后服务承诺书</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036"/>
        <w:gridCol w:w="3036"/>
        <w:gridCol w:w="3037"/>
      </w:tblGrid>
      <w:tr>
        <w:trPr>
          <w:jc w:val="center"/>
          <w:trHeight w:val="454"/>
        </w:trPr>
        <w:tc>
          <w:tcPr>
            <w:tcW w:w="1009"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序号</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售后服务内容</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期限（时间）</w:t>
            </w:r>
            <w:r/>
          </w:p>
        </w:tc>
        <w:tc>
          <w:tcPr>
            <w:tcW w:w="3037"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备注</w:t>
            </w:r>
            <w:r/>
          </w:p>
        </w:tc>
      </w:tr>
      <w:tr>
        <w:trPr>
          <w:jc w:val="center"/>
          <w:trHeight w:val="454"/>
        </w:trPr>
        <w:tc>
          <w:tcPr>
            <w:tcW w:w="1009" w:type="dxa"/>
            <w:vAlign w:val="center"/>
            <w:textDirection w:val="lrTb"/>
            <w:noWrap w:val="false"/>
          </w:tcPr>
          <w:p>
            <w:pPr>
              <w:jc w:val="center"/>
              <w:spacing w:before="25" w:after="25" w:line="360" w:lineRule="auto"/>
              <w:rPr>
                <w:color w:val="000000"/>
                <w:szCs w:val="21"/>
                <w:highlight w:val="none"/>
              </w:rPr>
            </w:pPr>
            <w:r>
              <w:rPr>
                <w:color w:val="000000"/>
                <w:sz w:val="21"/>
                <w:szCs w:val="21"/>
                <w:highlight w:val="none"/>
              </w:rPr>
              <w:t xml:space="preserve">1</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免费质保期</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7"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r>
      <w:tr>
        <w:trPr>
          <w:jc w:val="center"/>
          <w:trHeight w:val="454"/>
        </w:trPr>
        <w:tc>
          <w:tcPr>
            <w:tcW w:w="1009" w:type="dxa"/>
            <w:vAlign w:val="center"/>
            <w:textDirection w:val="lrTb"/>
            <w:noWrap w:val="false"/>
          </w:tcPr>
          <w:p>
            <w:pPr>
              <w:jc w:val="center"/>
              <w:spacing w:before="25" w:after="25" w:line="360" w:lineRule="auto"/>
              <w:rPr>
                <w:color w:val="000000"/>
                <w:szCs w:val="21"/>
                <w:highlight w:val="none"/>
              </w:rPr>
            </w:pPr>
            <w:r>
              <w:rPr>
                <w:color w:val="000000"/>
                <w:sz w:val="21"/>
                <w:szCs w:val="21"/>
                <w:highlight w:val="none"/>
              </w:rPr>
              <w:t xml:space="preserve">2</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服务响应</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7"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r>
      <w:tr>
        <w:trPr>
          <w:jc w:val="center"/>
          <w:trHeight w:val="454"/>
        </w:trPr>
        <w:tc>
          <w:tcPr>
            <w:tcW w:w="1009" w:type="dxa"/>
            <w:vAlign w:val="center"/>
            <w:textDirection w:val="lrTb"/>
            <w:noWrap w:val="false"/>
          </w:tcPr>
          <w:p>
            <w:pPr>
              <w:jc w:val="center"/>
              <w:spacing w:before="25" w:after="25" w:line="360" w:lineRule="auto"/>
              <w:rPr>
                <w:color w:val="000000"/>
                <w:szCs w:val="21"/>
                <w:highlight w:val="none"/>
              </w:rPr>
            </w:pPr>
            <w:r>
              <w:rPr>
                <w:color w:val="000000"/>
                <w:sz w:val="21"/>
                <w:szCs w:val="21"/>
                <w:highlight w:val="none"/>
              </w:rPr>
              <w:t xml:space="preserve">3</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到达现场</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7"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r>
      <w:tr>
        <w:trPr>
          <w:jc w:val="center"/>
          <w:trHeight w:val="454"/>
        </w:trPr>
        <w:tc>
          <w:tcPr>
            <w:tcW w:w="1009" w:type="dxa"/>
            <w:vAlign w:val="center"/>
            <w:textDirection w:val="lrTb"/>
            <w:noWrap w:val="false"/>
          </w:tcPr>
          <w:p>
            <w:pPr>
              <w:jc w:val="center"/>
              <w:spacing w:before="25" w:after="25" w:line="360" w:lineRule="auto"/>
              <w:rPr>
                <w:color w:val="000000"/>
                <w:szCs w:val="21"/>
                <w:highlight w:val="none"/>
              </w:rPr>
            </w:pPr>
            <w:r>
              <w:rPr>
                <w:color w:val="000000"/>
                <w:sz w:val="21"/>
                <w:szCs w:val="21"/>
                <w:highlight w:val="none"/>
              </w:rPr>
              <w:t xml:space="preserve">4</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hint="eastAsia"/>
                <w:color w:val="000000"/>
                <w:sz w:val="21"/>
                <w:szCs w:val="21"/>
                <w:highlight w:val="none"/>
              </w:rPr>
              <w:t xml:space="preserve">解决问题</w:t>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7"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r>
      <w:tr>
        <w:trPr>
          <w:jc w:val="center"/>
          <w:trHeight w:val="454"/>
        </w:trPr>
        <w:tc>
          <w:tcPr>
            <w:tcW w:w="1009"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7"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r>
      <w:tr>
        <w:trPr>
          <w:jc w:val="center"/>
          <w:trHeight w:val="454"/>
        </w:trPr>
        <w:tc>
          <w:tcPr>
            <w:tcW w:w="1009"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6"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c>
          <w:tcPr>
            <w:tcW w:w="3037" w:type="dxa"/>
            <w:vAlign w:val="center"/>
            <w:textDirection w:val="lrTb"/>
            <w:noWrap w:val="false"/>
          </w:tcPr>
          <w:p>
            <w:pPr>
              <w:jc w:val="center"/>
              <w:spacing w:before="25" w:after="25" w:line="360" w:lineRule="auto"/>
              <w:rPr>
                <w:rFonts w:cs="Times New Roman"/>
                <w:color w:val="000000"/>
                <w:szCs w:val="21"/>
                <w:highlight w:val="none"/>
              </w:rPr>
            </w:pPr>
            <w:r>
              <w:rPr>
                <w:rFonts w:cs="Times New Roman"/>
                <w:color w:val="000000"/>
                <w:szCs w:val="21"/>
                <w:highlight w:val="none"/>
              </w:rPr>
            </w:r>
            <w:r/>
          </w:p>
        </w:tc>
      </w:tr>
    </w:tbl>
    <w:p>
      <w:pPr>
        <w:ind w:firstLine="420"/>
        <w:jc w:val="left"/>
        <w:spacing w:line="440" w:lineRule="exact"/>
        <w:rPr>
          <w:rFonts w:hint="eastAsia"/>
          <w:color w:val="000000"/>
          <w:sz w:val="21"/>
          <w:szCs w:val="21"/>
          <w:highlight w:val="none"/>
          <w:lang w:val="zh-CN"/>
        </w:rPr>
      </w:pPr>
      <w:r>
        <w:rPr>
          <w:rFonts w:hint="eastAsia"/>
          <w:color w:val="000000"/>
          <w:sz w:val="21"/>
          <w:szCs w:val="21"/>
          <w:highlight w:val="none"/>
          <w:lang w:val="zh-CN"/>
        </w:rPr>
        <w:t xml:space="preserve">注：1、针对服务内容有必须说明的事项，请在“备注”栏目内注明；</w:t>
      </w:r>
      <w:r/>
    </w:p>
    <w:p>
      <w:pPr>
        <w:ind w:firstLine="420"/>
        <w:jc w:val="left"/>
        <w:spacing w:line="440" w:lineRule="exact"/>
        <w:rPr>
          <w:rFonts w:hint="eastAsia"/>
          <w:color w:val="000000"/>
          <w:sz w:val="21"/>
          <w:szCs w:val="21"/>
          <w:highlight w:val="none"/>
          <w:lang w:val="zh-CN"/>
        </w:rPr>
      </w:pPr>
      <w:r>
        <w:rPr>
          <w:rFonts w:hint="eastAsia"/>
          <w:color w:val="000000"/>
          <w:sz w:val="21"/>
          <w:szCs w:val="21"/>
          <w:highlight w:val="none"/>
          <w:lang w:val="zh-CN"/>
        </w:rPr>
        <w:t xml:space="preserve">2、如有其它售后服务内容，可自行参照填写。</w:t>
      </w:r>
      <w:r/>
    </w:p>
    <w:p>
      <w:pPr>
        <w:ind w:firstLine="480"/>
        <w:spacing w:before="25" w:after="25" w:line="360" w:lineRule="auto"/>
        <w:rPr>
          <w:rFonts w:cs="Times New Roman"/>
          <w:color w:val="000000"/>
          <w:highlight w:val="none"/>
        </w:rPr>
      </w:pPr>
      <w:r>
        <w:rPr>
          <w:rFonts w:cs="Times New Roman"/>
          <w:color w:val="000000"/>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cs="Times New Roman"/>
          <w:b/>
          <w:bCs/>
          <w:color w:val="000000"/>
          <w:sz w:val="21"/>
          <w:szCs w:val="21"/>
          <w:highlight w:val="none"/>
        </w:rPr>
      </w:pPr>
      <w:r>
        <w:rPr>
          <w:rFonts w:hint="eastAsia"/>
          <w:color w:val="000000"/>
          <w:sz w:val="21"/>
          <w:szCs w:val="21"/>
          <w:highlight w:val="none"/>
        </w:rPr>
        <w:t xml:space="preserve">日期：    年    月    日</w:t>
      </w:r>
      <w:r/>
    </w:p>
    <w:p>
      <w:pPr>
        <w:rPr>
          <w:rFonts w:cs="Times New Roman"/>
          <w:b/>
          <w:bCs/>
          <w:color w:val="000000"/>
          <w:sz w:val="21"/>
          <w:szCs w:val="21"/>
          <w:highlight w:val="none"/>
        </w:rPr>
      </w:pPr>
      <w:r>
        <w:rPr>
          <w:rFonts w:cs="Times New Roman"/>
          <w:b/>
          <w:bCs/>
          <w:color w:val="000000"/>
          <w:sz w:val="21"/>
          <w:szCs w:val="21"/>
          <w:highlight w:val="none"/>
        </w:rPr>
      </w:r>
      <w:r/>
    </w:p>
    <w:p>
      <w:pPr>
        <w:pStyle w:val="990"/>
        <w:ind w:firstLine="422"/>
        <w:rPr>
          <w:b/>
          <w:bCs/>
          <w:color w:val="000000"/>
          <w:sz w:val="21"/>
          <w:szCs w:val="21"/>
          <w:highlight w:val="none"/>
        </w:rPr>
      </w:pPr>
      <w:r>
        <w:rPr>
          <w:b/>
          <w:bCs/>
          <w:color w:val="000000"/>
          <w:sz w:val="21"/>
          <w:szCs w:val="21"/>
          <w:highlight w:val="none"/>
        </w:rPr>
      </w:r>
      <w:r/>
    </w:p>
    <w:p>
      <w:pPr>
        <w:rPr>
          <w:rFonts w:cs="Times New Roman"/>
          <w:b/>
          <w:bCs/>
          <w:color w:val="000000"/>
          <w:sz w:val="21"/>
          <w:szCs w:val="21"/>
          <w:highlight w:val="none"/>
        </w:rPr>
      </w:pPr>
      <w:r>
        <w:rPr>
          <w:rFonts w:cs="Times New Roman"/>
          <w:b/>
          <w:bCs/>
          <w:color w:val="000000"/>
          <w:sz w:val="21"/>
          <w:szCs w:val="21"/>
          <w:highlight w:val="none"/>
        </w:rPr>
      </w:r>
      <w:r/>
    </w:p>
    <w:p>
      <w:pPr>
        <w:pStyle w:val="990"/>
        <w:ind w:firstLine="480"/>
        <w:rPr>
          <w:color w:val="000000"/>
          <w:highlight w:val="none"/>
        </w:rPr>
      </w:pPr>
      <w:r>
        <w:rPr>
          <w:color w:val="000000"/>
          <w:highlight w:val="none"/>
        </w:rPr>
      </w:r>
      <w:r/>
    </w:p>
    <w:p>
      <w:pPr>
        <w:pStyle w:val="855"/>
        <w:rPr>
          <w:color w:val="000000"/>
          <w:highlight w:val="none"/>
        </w:rPr>
      </w:pPr>
      <w:r>
        <w:rPr>
          <w:color w:val="000000"/>
          <w:highlight w:val="none"/>
        </w:rPr>
      </w:r>
      <w:r/>
    </w:p>
    <w:p>
      <w:pPr>
        <w:pStyle w:val="82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pStyle w:val="860"/>
        <w:spacing w:line="360" w:lineRule="auto"/>
        <w:rPr>
          <w:rFonts w:hAnsi="宋体"/>
          <w:b/>
          <w:bCs/>
          <w:color w:val="000000"/>
          <w:highlight w:val="none"/>
        </w:rPr>
      </w:pPr>
      <w:r>
        <w:rPr>
          <w:rFonts w:hint="eastAsia" w:hAnsi="宋体"/>
          <w:b/>
          <w:bCs/>
          <w:color w:val="000000"/>
          <w:highlight w:val="none"/>
        </w:rPr>
        <w:t xml:space="preserve">附件10、项目组人员一览表</w:t>
      </w:r>
      <w:r/>
    </w:p>
    <w:p>
      <w:pPr>
        <w:jc w:val="center"/>
        <w:spacing w:before="25" w:after="25" w:line="360" w:lineRule="auto"/>
        <w:rPr>
          <w:rFonts w:hint="eastAsia"/>
          <w:b/>
          <w:bCs/>
          <w:color w:val="000000"/>
          <w:sz w:val="21"/>
          <w:szCs w:val="21"/>
          <w:highlight w:val="none"/>
        </w:rPr>
      </w:pPr>
      <w:r>
        <w:rPr>
          <w:rFonts w:hint="eastAsia"/>
          <w:b/>
          <w:bCs/>
          <w:color w:val="000000"/>
          <w:sz w:val="21"/>
          <w:szCs w:val="21"/>
          <w:highlight w:val="none"/>
        </w:rPr>
        <w:t xml:space="preserve">项目组人员一览表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5"/>
        <w:gridCol w:w="1206"/>
        <w:gridCol w:w="1004"/>
        <w:gridCol w:w="1746"/>
        <w:gridCol w:w="1156"/>
        <w:gridCol w:w="1044"/>
        <w:gridCol w:w="1680"/>
        <w:gridCol w:w="1177"/>
      </w:tblGrid>
      <w:tr>
        <w:trPr/>
        <w:tc>
          <w:tcPr>
            <w:tcW w:w="1105"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序号</w:t>
            </w:r>
            <w:r/>
          </w:p>
        </w:tc>
        <w:tc>
          <w:tcPr>
            <w:tcW w:w="1206"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姓名</w:t>
            </w:r>
            <w:r/>
          </w:p>
        </w:tc>
        <w:tc>
          <w:tcPr>
            <w:tcW w:w="1004"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性别</w:t>
            </w:r>
            <w:r/>
          </w:p>
        </w:tc>
        <w:tc>
          <w:tcPr>
            <w:tcW w:w="1746"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身份证号码</w:t>
            </w:r>
            <w:r/>
          </w:p>
        </w:tc>
        <w:tc>
          <w:tcPr>
            <w:tcW w:w="1156"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专业</w:t>
            </w:r>
            <w:r/>
          </w:p>
        </w:tc>
        <w:tc>
          <w:tcPr>
            <w:tcW w:w="1044"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职称</w:t>
            </w:r>
            <w:r/>
          </w:p>
        </w:tc>
        <w:tc>
          <w:tcPr>
            <w:tcW w:w="1680"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责任或分工</w:t>
            </w:r>
            <w:r/>
          </w:p>
        </w:tc>
        <w:tc>
          <w:tcPr>
            <w:tcW w:w="1177" w:type="dxa"/>
            <w:vAlign w:val="center"/>
            <w:textDirection w:val="lrTb"/>
            <w:noWrap w:val="false"/>
          </w:tcPr>
          <w:p>
            <w:pPr>
              <w:jc w:val="center"/>
              <w:spacing w:line="360" w:lineRule="auto"/>
              <w:tabs>
                <w:tab w:val="left" w:pos="9765" w:leader="none"/>
              </w:tabs>
              <w:rPr>
                <w:color w:val="000000"/>
                <w:sz w:val="21"/>
                <w:szCs w:val="21"/>
                <w:highlight w:val="none"/>
              </w:rPr>
            </w:pPr>
            <w:r>
              <w:rPr>
                <w:rFonts w:hint="eastAsia"/>
                <w:color w:val="000000"/>
                <w:sz w:val="21"/>
                <w:szCs w:val="21"/>
                <w:highlight w:val="none"/>
              </w:rPr>
              <w:t xml:space="preserve">备注</w:t>
            </w:r>
            <w:r/>
          </w:p>
        </w:tc>
      </w:tr>
      <w:tr>
        <w:trPr/>
        <w:tc>
          <w:tcPr>
            <w:tcW w:w="1105" w:type="dxa"/>
            <w:vAlign w:val="center"/>
            <w:textDirection w:val="lrTb"/>
            <w:noWrap w:val="false"/>
          </w:tcPr>
          <w:p>
            <w:pPr>
              <w:ind w:firstLine="420"/>
              <w:jc w:val="center"/>
              <w:spacing w:line="360" w:lineRule="auto"/>
              <w:tabs>
                <w:tab w:val="left" w:pos="9765" w:leader="none"/>
              </w:tabs>
              <w:rPr>
                <w:color w:val="000000"/>
                <w:sz w:val="21"/>
                <w:szCs w:val="21"/>
                <w:highlight w:val="none"/>
              </w:rPr>
            </w:pPr>
            <w:r>
              <w:rPr>
                <w:color w:val="000000"/>
                <w:sz w:val="21"/>
                <w:szCs w:val="21"/>
                <w:highlight w:val="none"/>
              </w:rPr>
            </w:r>
            <w:r/>
          </w:p>
        </w:tc>
        <w:tc>
          <w:tcPr>
            <w:tcW w:w="1206" w:type="dxa"/>
            <w:vAlign w:val="center"/>
            <w:textDirection w:val="lrTb"/>
            <w:noWrap w:val="false"/>
          </w:tcPr>
          <w:p>
            <w:pPr>
              <w:ind w:firstLine="420"/>
              <w:jc w:val="center"/>
              <w:spacing w:line="360" w:lineRule="auto"/>
              <w:rPr>
                <w:color w:val="000000"/>
                <w:sz w:val="21"/>
                <w:szCs w:val="21"/>
                <w:highlight w:val="none"/>
              </w:rPr>
            </w:pPr>
            <w:r>
              <w:rPr>
                <w:color w:val="000000"/>
                <w:sz w:val="21"/>
                <w:szCs w:val="21"/>
                <w:highlight w:val="none"/>
              </w:rPr>
            </w:r>
            <w:r/>
          </w:p>
        </w:tc>
        <w:tc>
          <w:tcPr>
            <w:tcW w:w="100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74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5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04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680"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77"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r>
      <w:tr>
        <w:trPr/>
        <w:tc>
          <w:tcPr>
            <w:tcW w:w="1105" w:type="dxa"/>
            <w:vAlign w:val="center"/>
            <w:textDirection w:val="lrTb"/>
            <w:noWrap w:val="false"/>
          </w:tcPr>
          <w:p>
            <w:pPr>
              <w:ind w:firstLine="420"/>
              <w:jc w:val="center"/>
              <w:spacing w:line="360" w:lineRule="auto"/>
              <w:tabs>
                <w:tab w:val="left" w:pos="9765" w:leader="none"/>
              </w:tabs>
              <w:rPr>
                <w:color w:val="000000"/>
                <w:sz w:val="21"/>
                <w:szCs w:val="21"/>
                <w:highlight w:val="none"/>
              </w:rPr>
            </w:pPr>
            <w:r>
              <w:rPr>
                <w:color w:val="000000"/>
                <w:sz w:val="21"/>
                <w:szCs w:val="21"/>
                <w:highlight w:val="none"/>
              </w:rPr>
            </w:r>
            <w:r/>
          </w:p>
        </w:tc>
        <w:tc>
          <w:tcPr>
            <w:tcW w:w="1206" w:type="dxa"/>
            <w:vAlign w:val="center"/>
            <w:textDirection w:val="lrTb"/>
            <w:noWrap w:val="false"/>
          </w:tcPr>
          <w:p>
            <w:pPr>
              <w:ind w:firstLine="420"/>
              <w:jc w:val="center"/>
              <w:spacing w:line="360" w:lineRule="auto"/>
              <w:rPr>
                <w:color w:val="000000"/>
                <w:sz w:val="21"/>
                <w:szCs w:val="21"/>
                <w:highlight w:val="none"/>
              </w:rPr>
            </w:pPr>
            <w:r>
              <w:rPr>
                <w:color w:val="000000"/>
                <w:sz w:val="21"/>
                <w:szCs w:val="21"/>
                <w:highlight w:val="none"/>
              </w:rPr>
            </w:r>
            <w:r/>
          </w:p>
        </w:tc>
        <w:tc>
          <w:tcPr>
            <w:tcW w:w="100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74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5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04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680"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77"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r>
      <w:tr>
        <w:trPr/>
        <w:tc>
          <w:tcPr>
            <w:tcW w:w="1105" w:type="dxa"/>
            <w:vAlign w:val="center"/>
            <w:textDirection w:val="lrTb"/>
            <w:noWrap w:val="false"/>
          </w:tcPr>
          <w:p>
            <w:pPr>
              <w:ind w:firstLine="420"/>
              <w:jc w:val="center"/>
              <w:spacing w:line="360" w:lineRule="auto"/>
              <w:tabs>
                <w:tab w:val="left" w:pos="9765" w:leader="none"/>
              </w:tabs>
              <w:rPr>
                <w:color w:val="000000"/>
                <w:sz w:val="21"/>
                <w:szCs w:val="21"/>
                <w:highlight w:val="none"/>
              </w:rPr>
            </w:pPr>
            <w:r>
              <w:rPr>
                <w:color w:val="000000"/>
                <w:sz w:val="21"/>
                <w:szCs w:val="21"/>
                <w:highlight w:val="none"/>
              </w:rPr>
            </w:r>
            <w:r/>
          </w:p>
        </w:tc>
        <w:tc>
          <w:tcPr>
            <w:tcW w:w="1206" w:type="dxa"/>
            <w:vAlign w:val="center"/>
            <w:textDirection w:val="lrTb"/>
            <w:noWrap w:val="false"/>
          </w:tcPr>
          <w:p>
            <w:pPr>
              <w:ind w:firstLine="420"/>
              <w:jc w:val="center"/>
              <w:spacing w:line="360" w:lineRule="auto"/>
              <w:rPr>
                <w:color w:val="000000"/>
                <w:sz w:val="21"/>
                <w:szCs w:val="21"/>
                <w:highlight w:val="none"/>
              </w:rPr>
            </w:pPr>
            <w:r>
              <w:rPr>
                <w:color w:val="000000"/>
                <w:sz w:val="21"/>
                <w:szCs w:val="21"/>
                <w:highlight w:val="none"/>
              </w:rPr>
            </w:r>
            <w:r/>
          </w:p>
        </w:tc>
        <w:tc>
          <w:tcPr>
            <w:tcW w:w="100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74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5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04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680"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77"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r>
      <w:tr>
        <w:trPr/>
        <w:tc>
          <w:tcPr>
            <w:tcW w:w="1105" w:type="dxa"/>
            <w:vAlign w:val="center"/>
            <w:textDirection w:val="lrTb"/>
            <w:noWrap w:val="false"/>
          </w:tcPr>
          <w:p>
            <w:pPr>
              <w:ind w:firstLine="420"/>
              <w:jc w:val="center"/>
              <w:spacing w:line="360" w:lineRule="auto"/>
              <w:tabs>
                <w:tab w:val="left" w:pos="9765" w:leader="none"/>
              </w:tabs>
              <w:rPr>
                <w:color w:val="000000"/>
                <w:sz w:val="21"/>
                <w:szCs w:val="21"/>
                <w:highlight w:val="none"/>
              </w:rPr>
            </w:pPr>
            <w:r>
              <w:rPr>
                <w:color w:val="000000"/>
                <w:sz w:val="21"/>
                <w:szCs w:val="21"/>
                <w:highlight w:val="none"/>
              </w:rPr>
            </w:r>
            <w:r/>
          </w:p>
        </w:tc>
        <w:tc>
          <w:tcPr>
            <w:tcW w:w="1206" w:type="dxa"/>
            <w:vAlign w:val="center"/>
            <w:textDirection w:val="lrTb"/>
            <w:noWrap w:val="false"/>
          </w:tcPr>
          <w:p>
            <w:pPr>
              <w:ind w:firstLine="420"/>
              <w:jc w:val="center"/>
              <w:spacing w:line="360" w:lineRule="auto"/>
              <w:rPr>
                <w:color w:val="000000"/>
                <w:sz w:val="21"/>
                <w:szCs w:val="21"/>
                <w:highlight w:val="none"/>
              </w:rPr>
            </w:pPr>
            <w:r>
              <w:rPr>
                <w:color w:val="000000"/>
                <w:sz w:val="21"/>
                <w:szCs w:val="21"/>
                <w:highlight w:val="none"/>
              </w:rPr>
            </w:r>
            <w:r/>
          </w:p>
        </w:tc>
        <w:tc>
          <w:tcPr>
            <w:tcW w:w="100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74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5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04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680"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77"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r>
      <w:tr>
        <w:trPr/>
        <w:tc>
          <w:tcPr>
            <w:tcW w:w="1105" w:type="dxa"/>
            <w:vAlign w:val="center"/>
            <w:textDirection w:val="lrTb"/>
            <w:noWrap w:val="false"/>
          </w:tcPr>
          <w:p>
            <w:pPr>
              <w:ind w:firstLine="420"/>
              <w:jc w:val="center"/>
              <w:spacing w:line="360" w:lineRule="auto"/>
              <w:tabs>
                <w:tab w:val="left" w:pos="9765" w:leader="none"/>
              </w:tabs>
              <w:rPr>
                <w:color w:val="000000"/>
                <w:sz w:val="21"/>
                <w:szCs w:val="21"/>
                <w:highlight w:val="none"/>
              </w:rPr>
            </w:pPr>
            <w:r>
              <w:rPr>
                <w:color w:val="000000"/>
                <w:sz w:val="21"/>
                <w:szCs w:val="21"/>
                <w:highlight w:val="none"/>
              </w:rPr>
            </w:r>
            <w:r/>
          </w:p>
        </w:tc>
        <w:tc>
          <w:tcPr>
            <w:tcW w:w="1206" w:type="dxa"/>
            <w:vAlign w:val="center"/>
            <w:textDirection w:val="lrTb"/>
            <w:noWrap w:val="false"/>
          </w:tcPr>
          <w:p>
            <w:pPr>
              <w:ind w:firstLine="420"/>
              <w:jc w:val="center"/>
              <w:spacing w:line="360" w:lineRule="auto"/>
              <w:rPr>
                <w:color w:val="000000"/>
                <w:sz w:val="21"/>
                <w:szCs w:val="21"/>
                <w:highlight w:val="none"/>
              </w:rPr>
            </w:pPr>
            <w:r>
              <w:rPr>
                <w:color w:val="000000"/>
                <w:sz w:val="21"/>
                <w:szCs w:val="21"/>
                <w:highlight w:val="none"/>
              </w:rPr>
            </w:r>
            <w:r/>
          </w:p>
        </w:tc>
        <w:tc>
          <w:tcPr>
            <w:tcW w:w="100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74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5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04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680"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77"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r>
      <w:tr>
        <w:trPr/>
        <w:tc>
          <w:tcPr>
            <w:tcW w:w="1105"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20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00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74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56"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044"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680"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c>
          <w:tcPr>
            <w:tcW w:w="1177" w:type="dxa"/>
            <w:vAlign w:val="center"/>
            <w:textDirection w:val="lrTb"/>
            <w:noWrap w:val="false"/>
          </w:tcPr>
          <w:p>
            <w:pPr>
              <w:ind w:firstLine="420"/>
              <w:spacing w:line="360" w:lineRule="auto"/>
              <w:tabs>
                <w:tab w:val="left" w:pos="9765" w:leader="none"/>
              </w:tabs>
              <w:rPr>
                <w:color w:val="000000"/>
                <w:sz w:val="21"/>
                <w:szCs w:val="21"/>
                <w:highlight w:val="none"/>
              </w:rPr>
            </w:pPr>
            <w:r>
              <w:rPr>
                <w:color w:val="000000"/>
                <w:sz w:val="21"/>
                <w:szCs w:val="21"/>
                <w:highlight w:val="none"/>
              </w:rPr>
            </w:r>
            <w:r/>
          </w:p>
        </w:tc>
      </w:tr>
    </w:tbl>
    <w:p>
      <w:pPr>
        <w:ind w:firstLine="420"/>
        <w:spacing w:line="440" w:lineRule="exact"/>
        <w:rPr>
          <w:rFonts w:cs="Times New Roman"/>
          <w:color w:val="000000"/>
          <w:sz w:val="21"/>
          <w:szCs w:val="21"/>
          <w:highlight w:val="none"/>
        </w:rPr>
      </w:pPr>
      <w:r>
        <w:rPr>
          <w:rFonts w:hint="eastAsia"/>
          <w:color w:val="000000"/>
          <w:sz w:val="21"/>
          <w:szCs w:val="21"/>
          <w:highlight w:val="none"/>
        </w:rPr>
        <w:t xml:space="preserve">注：表格不够填写可添加。</w:t>
      </w:r>
      <w:r/>
    </w:p>
    <w:p>
      <w:pPr>
        <w:rPr>
          <w:color w:val="000000"/>
          <w:highlight w:val="none"/>
        </w:rPr>
      </w:pPr>
      <w:r>
        <w:rPr>
          <w:color w:val="000000"/>
          <w:highlight w:val="none"/>
        </w:rPr>
      </w:r>
      <w:r/>
    </w:p>
    <w:p>
      <w:pPr>
        <w:pStyle w:val="825"/>
        <w:ind w:firstLine="0"/>
        <w:rPr>
          <w:rFonts w:ascii="宋体" w:hAnsi="宋体" w:eastAsia="宋体"/>
          <w:color w:val="000000"/>
          <w:highlight w:val="none"/>
        </w:rPr>
      </w:pPr>
      <w:r>
        <w:rPr>
          <w:rFonts w:ascii="宋体" w:hAnsi="宋体" w:eastAsia="宋体"/>
          <w:color w:val="000000"/>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cs="Times New Roman"/>
          <w:b/>
          <w:bCs/>
          <w:color w:val="000000"/>
          <w:sz w:val="21"/>
          <w:szCs w:val="21"/>
          <w:highlight w:val="none"/>
        </w:rPr>
      </w:pPr>
      <w:r>
        <w:rPr>
          <w:rFonts w:hint="eastAsia"/>
          <w:color w:val="000000"/>
          <w:sz w:val="21"/>
          <w:szCs w:val="21"/>
          <w:highlight w:val="none"/>
        </w:rPr>
        <w:t xml:space="preserve">日期：    年    月    日</w:t>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rPr>
          <w:color w:val="000000"/>
          <w:highlight w:val="none"/>
        </w:rPr>
      </w:pPr>
      <w:r>
        <w:rPr>
          <w:color w:val="000000"/>
          <w:highlight w:val="none"/>
        </w:rPr>
      </w:r>
      <w:r/>
    </w:p>
    <w:p>
      <w:pPr>
        <w:pStyle w:val="855"/>
        <w:rPr>
          <w:color w:val="000000"/>
          <w:highlight w:val="none"/>
        </w:rPr>
      </w:pPr>
      <w:r>
        <w:rPr>
          <w:color w:val="000000"/>
          <w:highlight w:val="none"/>
        </w:rPr>
      </w:r>
      <w:r/>
    </w:p>
    <w:p>
      <w:pPr>
        <w:pStyle w:val="856"/>
        <w:rPr>
          <w:rFonts w:ascii="宋体" w:hAnsi="宋体"/>
          <w:color w:val="000000"/>
          <w:highlight w:val="none"/>
        </w:rPr>
      </w:pPr>
      <w:r>
        <w:rPr>
          <w:rFonts w:ascii="宋体" w:hAnsi="宋体"/>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t xml:space="preserve">附件11、企业类似业绩一览表</w:t>
      </w:r>
      <w:r/>
    </w:p>
    <w:p>
      <w:pPr>
        <w:jc w:val="center"/>
        <w:spacing w:line="440" w:lineRule="exact"/>
        <w:rPr>
          <w:rFonts w:cs="Times New Roman"/>
          <w:color w:val="000000"/>
          <w:highlight w:val="none"/>
        </w:rPr>
      </w:pPr>
      <w:r>
        <w:rPr>
          <w:rFonts w:hint="eastAsia" w:cs="Times New Roman"/>
          <w:b/>
          <w:bCs/>
          <w:color w:val="000000"/>
          <w:sz w:val="21"/>
          <w:szCs w:val="21"/>
          <w:highlight w:val="none"/>
        </w:rPr>
        <w:t xml:space="preserve">企业类似业绩一览表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439"/>
        <w:gridCol w:w="1439"/>
        <w:gridCol w:w="1439"/>
        <w:gridCol w:w="1663"/>
        <w:gridCol w:w="1209"/>
        <w:gridCol w:w="1209"/>
        <w:gridCol w:w="818"/>
      </w:tblGrid>
      <w:tr>
        <w:trPr>
          <w:trHeight w:val="454"/>
        </w:trPr>
        <w:tc>
          <w:tcPr>
            <w:tcW w:w="902" w:type="dxa"/>
            <w:vAlign w:val="center"/>
            <w:textDirection w:val="lrTb"/>
            <w:noWrap w:val="false"/>
          </w:tcPr>
          <w:p>
            <w:pPr>
              <w:jc w:val="center"/>
              <w:rPr>
                <w:rFonts w:cs="Times New Roman"/>
                <w:color w:val="000000"/>
                <w:szCs w:val="21"/>
                <w:highlight w:val="none"/>
              </w:rPr>
            </w:pPr>
            <w:r>
              <w:rPr>
                <w:rFonts w:hint="eastAsia"/>
                <w:color w:val="000000"/>
                <w:sz w:val="21"/>
                <w:szCs w:val="21"/>
                <w:highlight w:val="none"/>
              </w:rPr>
              <w:t xml:space="preserve">序号</w:t>
            </w:r>
            <w:r/>
          </w:p>
        </w:tc>
        <w:tc>
          <w:tcPr>
            <w:tcW w:w="1439" w:type="dxa"/>
            <w:vAlign w:val="center"/>
            <w:textDirection w:val="lrTb"/>
            <w:noWrap w:val="false"/>
          </w:tcPr>
          <w:p>
            <w:pPr>
              <w:jc w:val="center"/>
              <w:rPr>
                <w:rFonts w:cs="Times New Roman"/>
                <w:color w:val="000000"/>
                <w:szCs w:val="21"/>
                <w:highlight w:val="none"/>
              </w:rPr>
            </w:pPr>
            <w:r>
              <w:rPr>
                <w:rFonts w:hint="eastAsia"/>
                <w:color w:val="000000"/>
                <w:sz w:val="21"/>
                <w:szCs w:val="21"/>
                <w:highlight w:val="none"/>
              </w:rPr>
              <w:t xml:space="preserve">项目名称</w:t>
            </w:r>
            <w:r/>
          </w:p>
        </w:tc>
        <w:tc>
          <w:tcPr>
            <w:tcW w:w="1439" w:type="dxa"/>
            <w:vAlign w:val="center"/>
            <w:textDirection w:val="lrTb"/>
            <w:noWrap w:val="false"/>
          </w:tcPr>
          <w:p>
            <w:pPr>
              <w:jc w:val="center"/>
              <w:rPr>
                <w:rFonts w:cs="Times New Roman"/>
                <w:color w:val="000000"/>
                <w:szCs w:val="21"/>
                <w:highlight w:val="none"/>
              </w:rPr>
            </w:pPr>
            <w:r>
              <w:rPr>
                <w:rFonts w:hint="eastAsia"/>
                <w:color w:val="000000"/>
                <w:sz w:val="21"/>
                <w:szCs w:val="21"/>
                <w:highlight w:val="none"/>
              </w:rPr>
              <w:t xml:space="preserve">项目时间</w:t>
            </w:r>
            <w:r/>
          </w:p>
        </w:tc>
        <w:tc>
          <w:tcPr>
            <w:tcW w:w="1439" w:type="dxa"/>
            <w:vAlign w:val="center"/>
            <w:textDirection w:val="lrTb"/>
            <w:noWrap w:val="false"/>
          </w:tcPr>
          <w:p>
            <w:pPr>
              <w:jc w:val="center"/>
              <w:rPr>
                <w:rFonts w:cs="Times New Roman"/>
                <w:color w:val="000000"/>
                <w:szCs w:val="21"/>
                <w:highlight w:val="none"/>
              </w:rPr>
            </w:pPr>
            <w:r>
              <w:rPr>
                <w:rFonts w:hint="eastAsia"/>
                <w:color w:val="000000"/>
                <w:sz w:val="21"/>
                <w:szCs w:val="21"/>
                <w:highlight w:val="none"/>
              </w:rPr>
              <w:t xml:space="preserve">合同金额</w:t>
            </w:r>
            <w:r/>
          </w:p>
          <w:p>
            <w:pPr>
              <w:jc w:val="center"/>
              <w:rPr>
                <w:rFonts w:cs="Times New Roman"/>
                <w:color w:val="000000"/>
                <w:szCs w:val="21"/>
                <w:highlight w:val="none"/>
              </w:rPr>
            </w:pPr>
            <w:r>
              <w:rPr>
                <w:rFonts w:hint="eastAsia"/>
                <w:color w:val="000000"/>
                <w:sz w:val="21"/>
                <w:szCs w:val="21"/>
                <w:highlight w:val="none"/>
              </w:rPr>
              <w:t xml:space="preserve">（人民币）</w:t>
            </w:r>
            <w:r/>
          </w:p>
        </w:tc>
        <w:tc>
          <w:tcPr>
            <w:tcW w:w="1663" w:type="dxa"/>
            <w:vAlign w:val="center"/>
            <w:textDirection w:val="lrTb"/>
            <w:noWrap w:val="false"/>
          </w:tcPr>
          <w:p>
            <w:pPr>
              <w:jc w:val="center"/>
              <w:spacing w:line="360" w:lineRule="auto"/>
              <w:tabs>
                <w:tab w:val="left" w:pos="6252" w:leader="none"/>
              </w:tabs>
              <w:rPr>
                <w:rFonts w:cs="Times New Roman"/>
                <w:color w:val="000000"/>
                <w:szCs w:val="21"/>
                <w:highlight w:val="none"/>
              </w:rPr>
            </w:pPr>
            <w:r>
              <w:rPr>
                <w:rFonts w:hint="eastAsia"/>
                <w:color w:val="000000"/>
                <w:sz w:val="21"/>
                <w:szCs w:val="21"/>
                <w:highlight w:val="none"/>
              </w:rPr>
              <w:t xml:space="preserve">业主单位</w:t>
            </w:r>
            <w:r/>
          </w:p>
        </w:tc>
        <w:tc>
          <w:tcPr>
            <w:tcW w:w="1209" w:type="dxa"/>
            <w:vAlign w:val="center"/>
            <w:textDirection w:val="lrTb"/>
            <w:noWrap w:val="false"/>
          </w:tcPr>
          <w:p>
            <w:pPr>
              <w:jc w:val="center"/>
              <w:rPr>
                <w:rFonts w:cs="Times New Roman"/>
                <w:color w:val="000000"/>
                <w:szCs w:val="21"/>
                <w:highlight w:val="none"/>
              </w:rPr>
            </w:pPr>
            <w:r>
              <w:rPr>
                <w:rFonts w:hint="eastAsia"/>
                <w:color w:val="000000"/>
                <w:sz w:val="21"/>
                <w:szCs w:val="21"/>
                <w:highlight w:val="none"/>
              </w:rPr>
              <w:t xml:space="preserve">联系人</w:t>
            </w:r>
            <w:r/>
          </w:p>
        </w:tc>
        <w:tc>
          <w:tcPr>
            <w:tcW w:w="1209" w:type="dxa"/>
            <w:vAlign w:val="center"/>
            <w:textDirection w:val="lrTb"/>
            <w:noWrap w:val="false"/>
          </w:tcPr>
          <w:p>
            <w:pPr>
              <w:jc w:val="center"/>
              <w:rPr>
                <w:rFonts w:cs="Times New Roman"/>
                <w:color w:val="000000"/>
                <w:szCs w:val="21"/>
                <w:highlight w:val="none"/>
              </w:rPr>
            </w:pPr>
            <w:r>
              <w:rPr>
                <w:rFonts w:hint="eastAsia"/>
                <w:color w:val="000000"/>
                <w:sz w:val="21"/>
                <w:szCs w:val="21"/>
                <w:highlight w:val="none"/>
              </w:rPr>
              <w:t xml:space="preserve">联系电话</w:t>
            </w:r>
            <w:r/>
          </w:p>
        </w:tc>
        <w:tc>
          <w:tcPr>
            <w:tcW w:w="818" w:type="dxa"/>
            <w:vAlign w:val="center"/>
            <w:textDirection w:val="lrTb"/>
            <w:noWrap w:val="false"/>
          </w:tcPr>
          <w:p>
            <w:pPr>
              <w:jc w:val="center"/>
              <w:rPr>
                <w:rFonts w:cs="Times New Roman"/>
                <w:color w:val="000000"/>
                <w:szCs w:val="21"/>
                <w:highlight w:val="none"/>
              </w:rPr>
            </w:pPr>
            <w:r>
              <w:rPr>
                <w:rFonts w:hint="eastAsia"/>
                <w:color w:val="000000"/>
                <w:sz w:val="21"/>
                <w:szCs w:val="21"/>
                <w:highlight w:val="none"/>
              </w:rPr>
              <w:t xml:space="preserve">备注</w:t>
            </w:r>
            <w:r/>
          </w:p>
        </w:tc>
      </w:tr>
      <w:tr>
        <w:trPr>
          <w:trHeight w:val="454"/>
        </w:trPr>
        <w:tc>
          <w:tcPr>
            <w:tcW w:w="902" w:type="dxa"/>
            <w:vAlign w:val="center"/>
            <w:textDirection w:val="lrTb"/>
            <w:noWrap w:val="false"/>
          </w:tcPr>
          <w:p>
            <w:pPr>
              <w:jc w:val="center"/>
              <w:rPr>
                <w:color w:val="000000"/>
                <w:szCs w:val="21"/>
                <w:highlight w:val="none"/>
              </w:rPr>
            </w:pPr>
            <w:r>
              <w:rPr>
                <w:color w:val="000000"/>
                <w:sz w:val="21"/>
                <w:szCs w:val="21"/>
                <w:highlight w:val="none"/>
              </w:rPr>
              <w:t xml:space="preserve">1</w:t>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439" w:type="dxa"/>
            <w:vAlign w:val="top"/>
            <w:textDirection w:val="lrTb"/>
            <w:noWrap w:val="false"/>
          </w:tcPr>
          <w:p>
            <w:pPr>
              <w:jc w:val="center"/>
              <w:rPr>
                <w:color w:val="000000"/>
                <w:szCs w:val="21"/>
                <w:highlight w:val="none"/>
              </w:rPr>
            </w:pPr>
            <w:r>
              <w:rPr>
                <w:color w:val="000000"/>
                <w:szCs w:val="21"/>
                <w:highlight w:val="none"/>
              </w:rPr>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663"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818" w:type="dxa"/>
            <w:vAlign w:val="center"/>
            <w:textDirection w:val="lrTb"/>
            <w:noWrap w:val="false"/>
          </w:tcPr>
          <w:p>
            <w:pPr>
              <w:jc w:val="center"/>
              <w:rPr>
                <w:color w:val="000000"/>
                <w:szCs w:val="21"/>
                <w:highlight w:val="none"/>
              </w:rPr>
            </w:pPr>
            <w:r>
              <w:rPr>
                <w:color w:val="000000"/>
                <w:szCs w:val="21"/>
                <w:highlight w:val="none"/>
              </w:rPr>
            </w:r>
            <w:r/>
          </w:p>
        </w:tc>
      </w:tr>
      <w:tr>
        <w:trPr>
          <w:trHeight w:val="454"/>
        </w:trPr>
        <w:tc>
          <w:tcPr>
            <w:tcW w:w="902" w:type="dxa"/>
            <w:vAlign w:val="center"/>
            <w:textDirection w:val="lrTb"/>
            <w:noWrap w:val="false"/>
          </w:tcPr>
          <w:p>
            <w:pPr>
              <w:jc w:val="center"/>
              <w:rPr>
                <w:color w:val="000000"/>
                <w:szCs w:val="21"/>
                <w:highlight w:val="none"/>
              </w:rPr>
            </w:pPr>
            <w:r>
              <w:rPr>
                <w:color w:val="000000"/>
                <w:sz w:val="21"/>
                <w:szCs w:val="21"/>
                <w:highlight w:val="none"/>
              </w:rPr>
              <w:t xml:space="preserve">2</w:t>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439" w:type="dxa"/>
            <w:vAlign w:val="top"/>
            <w:textDirection w:val="lrTb"/>
            <w:noWrap w:val="false"/>
          </w:tcPr>
          <w:p>
            <w:pPr>
              <w:jc w:val="center"/>
              <w:rPr>
                <w:color w:val="000000"/>
                <w:szCs w:val="21"/>
                <w:highlight w:val="none"/>
              </w:rPr>
            </w:pPr>
            <w:r>
              <w:rPr>
                <w:color w:val="000000"/>
                <w:szCs w:val="21"/>
                <w:highlight w:val="none"/>
              </w:rPr>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663"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818" w:type="dxa"/>
            <w:vAlign w:val="center"/>
            <w:textDirection w:val="lrTb"/>
            <w:noWrap w:val="false"/>
          </w:tcPr>
          <w:p>
            <w:pPr>
              <w:jc w:val="center"/>
              <w:rPr>
                <w:color w:val="000000"/>
                <w:szCs w:val="21"/>
                <w:highlight w:val="none"/>
              </w:rPr>
            </w:pPr>
            <w:r>
              <w:rPr>
                <w:color w:val="000000"/>
                <w:szCs w:val="21"/>
                <w:highlight w:val="none"/>
              </w:rPr>
            </w:r>
            <w:r/>
          </w:p>
        </w:tc>
      </w:tr>
      <w:tr>
        <w:trPr>
          <w:trHeight w:val="454"/>
        </w:trPr>
        <w:tc>
          <w:tcPr>
            <w:tcW w:w="902" w:type="dxa"/>
            <w:vAlign w:val="center"/>
            <w:textDirection w:val="lrTb"/>
            <w:noWrap w:val="false"/>
          </w:tcPr>
          <w:p>
            <w:pPr>
              <w:jc w:val="center"/>
              <w:rPr>
                <w:color w:val="000000"/>
                <w:szCs w:val="21"/>
                <w:highlight w:val="none"/>
              </w:rPr>
            </w:pPr>
            <w:r>
              <w:rPr>
                <w:color w:val="000000"/>
                <w:sz w:val="21"/>
                <w:szCs w:val="21"/>
                <w:highlight w:val="none"/>
              </w:rPr>
              <w:t xml:space="preserve">3</w:t>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439" w:type="dxa"/>
            <w:vAlign w:val="top"/>
            <w:textDirection w:val="lrTb"/>
            <w:noWrap w:val="false"/>
          </w:tcPr>
          <w:p>
            <w:pPr>
              <w:jc w:val="center"/>
              <w:rPr>
                <w:color w:val="000000"/>
                <w:szCs w:val="21"/>
                <w:highlight w:val="none"/>
              </w:rPr>
            </w:pPr>
            <w:r>
              <w:rPr>
                <w:color w:val="000000"/>
                <w:szCs w:val="21"/>
                <w:highlight w:val="none"/>
              </w:rPr>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663"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818" w:type="dxa"/>
            <w:vAlign w:val="center"/>
            <w:textDirection w:val="lrTb"/>
            <w:noWrap w:val="false"/>
          </w:tcPr>
          <w:p>
            <w:pPr>
              <w:jc w:val="center"/>
              <w:rPr>
                <w:color w:val="000000"/>
                <w:szCs w:val="21"/>
                <w:highlight w:val="none"/>
              </w:rPr>
            </w:pPr>
            <w:r>
              <w:rPr>
                <w:color w:val="000000"/>
                <w:szCs w:val="21"/>
                <w:highlight w:val="none"/>
              </w:rPr>
            </w:r>
            <w:r/>
          </w:p>
        </w:tc>
      </w:tr>
      <w:tr>
        <w:trPr>
          <w:trHeight w:val="454"/>
        </w:trPr>
        <w:tc>
          <w:tcPr>
            <w:tcW w:w="902" w:type="dxa"/>
            <w:vAlign w:val="center"/>
            <w:textDirection w:val="lrTb"/>
            <w:noWrap w:val="false"/>
          </w:tcPr>
          <w:p>
            <w:pPr>
              <w:jc w:val="center"/>
              <w:rPr>
                <w:color w:val="000000"/>
                <w:szCs w:val="21"/>
                <w:highlight w:val="none"/>
              </w:rPr>
            </w:pPr>
            <w:r>
              <w:rPr>
                <w:color w:val="000000"/>
                <w:sz w:val="21"/>
                <w:szCs w:val="21"/>
                <w:highlight w:val="none"/>
              </w:rPr>
              <w:t xml:space="preserve">4</w:t>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439" w:type="dxa"/>
            <w:vAlign w:val="top"/>
            <w:textDirection w:val="lrTb"/>
            <w:noWrap w:val="false"/>
          </w:tcPr>
          <w:p>
            <w:pPr>
              <w:jc w:val="center"/>
              <w:rPr>
                <w:color w:val="000000"/>
                <w:szCs w:val="21"/>
                <w:highlight w:val="none"/>
              </w:rPr>
            </w:pPr>
            <w:r>
              <w:rPr>
                <w:color w:val="000000"/>
                <w:szCs w:val="21"/>
                <w:highlight w:val="none"/>
              </w:rPr>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663"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818" w:type="dxa"/>
            <w:vAlign w:val="center"/>
            <w:textDirection w:val="lrTb"/>
            <w:noWrap w:val="false"/>
          </w:tcPr>
          <w:p>
            <w:pPr>
              <w:jc w:val="center"/>
              <w:rPr>
                <w:color w:val="000000"/>
                <w:szCs w:val="21"/>
                <w:highlight w:val="none"/>
              </w:rPr>
            </w:pPr>
            <w:r>
              <w:rPr>
                <w:color w:val="000000"/>
                <w:szCs w:val="21"/>
                <w:highlight w:val="none"/>
              </w:rPr>
            </w:r>
            <w:r/>
          </w:p>
        </w:tc>
      </w:tr>
      <w:tr>
        <w:trPr>
          <w:trHeight w:val="454"/>
        </w:trPr>
        <w:tc>
          <w:tcPr>
            <w:tcW w:w="902" w:type="dxa"/>
            <w:vAlign w:val="center"/>
            <w:textDirection w:val="lrTb"/>
            <w:noWrap w:val="false"/>
          </w:tcPr>
          <w:p>
            <w:pPr>
              <w:jc w:val="center"/>
              <w:rPr>
                <w:color w:val="000000"/>
                <w:szCs w:val="21"/>
                <w:highlight w:val="none"/>
              </w:rPr>
            </w:pPr>
            <w:r>
              <w:rPr>
                <w:color w:val="000000"/>
                <w:sz w:val="21"/>
                <w:szCs w:val="21"/>
                <w:highlight w:val="none"/>
              </w:rPr>
              <w:t xml:space="preserve">5</w:t>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439" w:type="dxa"/>
            <w:vAlign w:val="top"/>
            <w:textDirection w:val="lrTb"/>
            <w:noWrap w:val="false"/>
          </w:tcPr>
          <w:p>
            <w:pPr>
              <w:jc w:val="center"/>
              <w:rPr>
                <w:color w:val="000000"/>
                <w:szCs w:val="21"/>
                <w:highlight w:val="none"/>
              </w:rPr>
            </w:pPr>
            <w:r>
              <w:rPr>
                <w:color w:val="000000"/>
                <w:szCs w:val="21"/>
                <w:highlight w:val="none"/>
              </w:rPr>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663"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818" w:type="dxa"/>
            <w:vAlign w:val="center"/>
            <w:textDirection w:val="lrTb"/>
            <w:noWrap w:val="false"/>
          </w:tcPr>
          <w:p>
            <w:pPr>
              <w:jc w:val="center"/>
              <w:rPr>
                <w:color w:val="000000"/>
                <w:szCs w:val="21"/>
                <w:highlight w:val="none"/>
              </w:rPr>
            </w:pPr>
            <w:r>
              <w:rPr>
                <w:color w:val="000000"/>
                <w:szCs w:val="21"/>
                <w:highlight w:val="none"/>
              </w:rPr>
            </w:r>
            <w:r/>
          </w:p>
        </w:tc>
      </w:tr>
      <w:tr>
        <w:trPr>
          <w:trHeight w:val="454"/>
        </w:trPr>
        <w:tc>
          <w:tcPr>
            <w:tcW w:w="902" w:type="dxa"/>
            <w:vAlign w:val="center"/>
            <w:textDirection w:val="lrTb"/>
            <w:noWrap w:val="false"/>
          </w:tcPr>
          <w:p>
            <w:pPr>
              <w:jc w:val="center"/>
              <w:rPr>
                <w:color w:val="000000"/>
                <w:szCs w:val="21"/>
                <w:highlight w:val="none"/>
              </w:rPr>
            </w:pPr>
            <w:r>
              <w:rPr>
                <w:color w:val="000000"/>
                <w:sz w:val="21"/>
                <w:szCs w:val="21"/>
                <w:highlight w:val="none"/>
              </w:rPr>
              <w:t xml:space="preserve">6</w:t>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439" w:type="dxa"/>
            <w:vAlign w:val="top"/>
            <w:textDirection w:val="lrTb"/>
            <w:noWrap w:val="false"/>
          </w:tcPr>
          <w:p>
            <w:pPr>
              <w:jc w:val="center"/>
              <w:rPr>
                <w:color w:val="000000"/>
                <w:szCs w:val="21"/>
                <w:highlight w:val="none"/>
              </w:rPr>
            </w:pPr>
            <w:r>
              <w:rPr>
                <w:color w:val="000000"/>
                <w:szCs w:val="21"/>
                <w:highlight w:val="none"/>
              </w:rPr>
            </w:r>
            <w:r/>
          </w:p>
        </w:tc>
        <w:tc>
          <w:tcPr>
            <w:tcW w:w="1439" w:type="dxa"/>
            <w:vAlign w:val="center"/>
            <w:textDirection w:val="lrTb"/>
            <w:noWrap w:val="false"/>
          </w:tcPr>
          <w:p>
            <w:pPr>
              <w:jc w:val="center"/>
              <w:rPr>
                <w:color w:val="000000"/>
                <w:szCs w:val="21"/>
                <w:highlight w:val="none"/>
              </w:rPr>
            </w:pPr>
            <w:r>
              <w:rPr>
                <w:color w:val="000000"/>
                <w:szCs w:val="21"/>
                <w:highlight w:val="none"/>
              </w:rPr>
            </w:r>
            <w:r/>
          </w:p>
        </w:tc>
        <w:tc>
          <w:tcPr>
            <w:tcW w:w="1663"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1209" w:type="dxa"/>
            <w:vAlign w:val="center"/>
            <w:textDirection w:val="lrTb"/>
            <w:noWrap w:val="false"/>
          </w:tcPr>
          <w:p>
            <w:pPr>
              <w:jc w:val="center"/>
              <w:rPr>
                <w:color w:val="000000"/>
                <w:szCs w:val="21"/>
                <w:highlight w:val="none"/>
              </w:rPr>
            </w:pPr>
            <w:r>
              <w:rPr>
                <w:color w:val="000000"/>
                <w:szCs w:val="21"/>
                <w:highlight w:val="none"/>
              </w:rPr>
            </w:r>
            <w:r/>
          </w:p>
        </w:tc>
        <w:tc>
          <w:tcPr>
            <w:tcW w:w="818" w:type="dxa"/>
            <w:vAlign w:val="center"/>
            <w:textDirection w:val="lrTb"/>
            <w:noWrap w:val="false"/>
          </w:tcPr>
          <w:p>
            <w:pPr>
              <w:jc w:val="center"/>
              <w:rPr>
                <w:color w:val="000000"/>
                <w:szCs w:val="21"/>
                <w:highlight w:val="none"/>
              </w:rPr>
            </w:pPr>
            <w:r>
              <w:rPr>
                <w:color w:val="000000"/>
                <w:szCs w:val="21"/>
                <w:highlight w:val="none"/>
              </w:rPr>
            </w:r>
            <w:r/>
          </w:p>
        </w:tc>
      </w:tr>
      <w:tr>
        <w:trPr>
          <w:trHeight w:val="454"/>
        </w:trPr>
        <w:tc>
          <w:tcPr>
            <w:tcW w:w="902"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top"/>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663"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20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20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818"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r>
      <w:tr>
        <w:trPr>
          <w:trHeight w:val="454"/>
        </w:trPr>
        <w:tc>
          <w:tcPr>
            <w:tcW w:w="902"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top"/>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663"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20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20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818"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r>
      <w:tr>
        <w:trPr>
          <w:trHeight w:val="454"/>
        </w:trPr>
        <w:tc>
          <w:tcPr>
            <w:tcW w:w="902"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top"/>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43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663"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20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1209"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c>
          <w:tcPr>
            <w:tcW w:w="818" w:type="dxa"/>
            <w:vAlign w:val="center"/>
            <w:textDirection w:val="lrTb"/>
            <w:noWrap w:val="false"/>
          </w:tcPr>
          <w:p>
            <w:pPr>
              <w:jc w:val="center"/>
              <w:rPr>
                <w:rFonts w:cs="Times New Roman"/>
                <w:color w:val="000000"/>
                <w:szCs w:val="21"/>
                <w:highlight w:val="none"/>
              </w:rPr>
            </w:pPr>
            <w:r>
              <w:rPr>
                <w:rFonts w:cs="Times New Roman"/>
                <w:color w:val="000000"/>
                <w:szCs w:val="21"/>
                <w:highlight w:val="none"/>
              </w:rPr>
            </w:r>
            <w:r/>
          </w:p>
        </w:tc>
      </w:tr>
    </w:tbl>
    <w:p>
      <w:pPr>
        <w:spacing w:line="400" w:lineRule="exact"/>
        <w:rPr>
          <w:rFonts w:hint="eastAsia" w:cs="Times New Roman"/>
          <w:color w:val="000000"/>
          <w:sz w:val="21"/>
          <w:szCs w:val="21"/>
          <w:highlight w:val="none"/>
        </w:rPr>
      </w:pPr>
      <w:r>
        <w:rPr>
          <w:rFonts w:hint="eastAsia" w:cs="Times New Roman"/>
          <w:color w:val="000000"/>
          <w:sz w:val="21"/>
          <w:szCs w:val="21"/>
          <w:highlight w:val="none"/>
        </w:rPr>
      </w:r>
      <w:r/>
    </w:p>
    <w:p>
      <w:pPr>
        <w:spacing w:line="440" w:lineRule="exact"/>
        <w:rPr>
          <w:rFonts w:cs="Times New Roman"/>
          <w:color w:val="000000"/>
          <w:sz w:val="21"/>
          <w:szCs w:val="21"/>
          <w:highlight w:val="none"/>
        </w:rPr>
      </w:pPr>
      <w:r>
        <w:rPr>
          <w:rFonts w:hint="eastAsia"/>
          <w:color w:val="000000"/>
          <w:sz w:val="21"/>
          <w:szCs w:val="21"/>
          <w:highlight w:val="none"/>
        </w:rPr>
        <w:t xml:space="preserve">投标方：（单位盖章）</w:t>
      </w:r>
      <w:r/>
    </w:p>
    <w:p>
      <w:pPr>
        <w:spacing w:line="440" w:lineRule="exact"/>
        <w:rPr>
          <w:rFonts w:cs="Times New Roman"/>
          <w:color w:val="000000"/>
          <w:sz w:val="21"/>
          <w:szCs w:val="21"/>
          <w:highlight w:val="none"/>
        </w:rPr>
      </w:pPr>
      <w:r>
        <w:rPr>
          <w:rFonts w:hint="eastAsia"/>
          <w:color w:val="000000"/>
          <w:sz w:val="21"/>
          <w:szCs w:val="21"/>
          <w:highlight w:val="none"/>
        </w:rPr>
        <w:t xml:space="preserve">法定代表人或代理人：（签字或盖章）</w:t>
      </w:r>
      <w:r/>
    </w:p>
    <w:p>
      <w:pPr>
        <w:spacing w:line="440" w:lineRule="exact"/>
        <w:rPr>
          <w:rFonts w:cs="Times New Roman"/>
          <w:b/>
          <w:bCs/>
          <w:color w:val="000000"/>
          <w:sz w:val="21"/>
          <w:szCs w:val="21"/>
          <w:highlight w:val="none"/>
        </w:rPr>
      </w:pPr>
      <w:r>
        <w:rPr>
          <w:rFonts w:hint="eastAsia"/>
          <w:color w:val="000000"/>
          <w:sz w:val="21"/>
          <w:szCs w:val="21"/>
          <w:highlight w:val="none"/>
        </w:rPr>
        <w:t xml:space="preserve">日期：    年    月    日</w:t>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pStyle w:val="1010"/>
        <w:rPr>
          <w:rFonts w:hint="eastAsia"/>
          <w:color w:val="000000"/>
          <w:highlight w:val="none"/>
        </w:rPr>
      </w:pPr>
      <w:r>
        <w:rPr>
          <w:rFonts w:hint="eastAsia"/>
          <w:color w:val="000000"/>
          <w:highlight w:val="none"/>
        </w:rPr>
      </w:r>
      <w:r/>
    </w:p>
    <w:p>
      <w:pPr>
        <w:pStyle w:val="1010"/>
        <w:rPr>
          <w:rFonts w:hint="eastAsia"/>
          <w:color w:val="000000"/>
          <w:highlight w:val="none"/>
        </w:rPr>
      </w:pPr>
      <w:r>
        <w:rPr>
          <w:rFonts w:hint="eastAsia"/>
          <w:color w:val="000000"/>
          <w:highlight w:val="none"/>
        </w:rPr>
      </w:r>
      <w:r/>
    </w:p>
    <w:p>
      <w:pPr>
        <w:spacing w:line="400" w:lineRule="exact"/>
        <w:rPr>
          <w:rFonts w:cs="Times New Roman"/>
          <w:color w:val="000000"/>
          <w:sz w:val="21"/>
          <w:szCs w:val="21"/>
          <w:highlight w:val="none"/>
        </w:rPr>
      </w:pPr>
      <w:r>
        <w:rPr>
          <w:rFonts w:hint="eastAsia"/>
          <w:b/>
          <w:bCs/>
          <w:color w:val="000000"/>
          <w:sz w:val="21"/>
          <w:szCs w:val="21"/>
          <w:highlight w:val="none"/>
        </w:rPr>
        <w:t xml:space="preserve">附件12、资格证明文件</w:t>
      </w:r>
      <w:r/>
    </w:p>
    <w:p>
      <w:pPr>
        <w:spacing w:line="400" w:lineRule="exact"/>
        <w:rPr>
          <w:rFonts w:cs="Times New Roman"/>
          <w:b/>
          <w:color w:val="000000"/>
          <w:sz w:val="21"/>
          <w:szCs w:val="21"/>
          <w:highlight w:val="none"/>
        </w:rPr>
      </w:pPr>
      <w:r>
        <w:rPr>
          <w:rFonts w:hint="eastAsia"/>
          <w:b/>
          <w:color w:val="000000"/>
          <w:sz w:val="21"/>
          <w:szCs w:val="21"/>
          <w:highlight w:val="none"/>
        </w:rPr>
        <w:t xml:space="preserve">（</w:t>
      </w:r>
      <w:r>
        <w:rPr>
          <w:b/>
          <w:color w:val="000000"/>
          <w:sz w:val="21"/>
          <w:szCs w:val="21"/>
          <w:highlight w:val="none"/>
        </w:rPr>
        <w:t xml:space="preserve">1</w:t>
      </w:r>
      <w:r>
        <w:rPr>
          <w:rFonts w:hint="eastAsia"/>
          <w:b/>
          <w:color w:val="000000"/>
          <w:sz w:val="21"/>
          <w:szCs w:val="21"/>
          <w:highlight w:val="none"/>
        </w:rPr>
        <w:t xml:space="preserve">）关于资格文件的声明函</w:t>
      </w:r>
      <w:r/>
    </w:p>
    <w:p>
      <w:pPr>
        <w:spacing w:line="400" w:lineRule="exact"/>
        <w:rPr>
          <w:rFonts w:cs="Times New Roman"/>
          <w:color w:val="000000"/>
          <w:sz w:val="21"/>
          <w:szCs w:val="21"/>
          <w:highlight w:val="none"/>
        </w:rPr>
      </w:pPr>
      <w:r>
        <w:rPr>
          <w:rFonts w:cs="Times New Roman"/>
          <w:color w:val="000000"/>
          <w:sz w:val="21"/>
          <w:szCs w:val="21"/>
          <w:highlight w:val="none"/>
        </w:rPr>
      </w:r>
      <w:r/>
    </w:p>
    <w:p>
      <w:pPr>
        <w:jc w:val="center"/>
        <w:spacing w:line="400" w:lineRule="exact"/>
        <w:rPr>
          <w:rFonts w:cs="Times New Roman"/>
          <w:b/>
          <w:bCs/>
          <w:color w:val="000000"/>
          <w:sz w:val="21"/>
          <w:szCs w:val="21"/>
          <w:highlight w:val="none"/>
        </w:rPr>
      </w:pPr>
      <w:r>
        <w:rPr>
          <w:rFonts w:hint="eastAsia"/>
          <w:b/>
          <w:bCs/>
          <w:color w:val="000000"/>
          <w:sz w:val="21"/>
          <w:szCs w:val="21"/>
          <w:highlight w:val="none"/>
        </w:rPr>
        <w:t xml:space="preserve">关于资格文件的声明函</w:t>
      </w:r>
      <w:r/>
    </w:p>
    <w:p>
      <w:pPr>
        <w:spacing w:line="400" w:lineRule="exact"/>
        <w:rPr>
          <w:rFonts w:cs="Times New Roman"/>
          <w:color w:val="000000"/>
          <w:sz w:val="21"/>
          <w:szCs w:val="21"/>
          <w:highlight w:val="none"/>
        </w:rPr>
      </w:pPr>
      <w:r>
        <w:rPr>
          <w:rFonts w:cs="Times New Roman"/>
          <w:color w:val="000000"/>
          <w:sz w:val="21"/>
          <w:szCs w:val="21"/>
          <w:highlight w:val="none"/>
        </w:rPr>
      </w:r>
      <w:r/>
    </w:p>
    <w:p>
      <w:pPr>
        <w:spacing w:line="480" w:lineRule="exact"/>
        <w:rPr>
          <w:rFonts w:cs="Times New Roman"/>
          <w:color w:val="000000"/>
          <w:sz w:val="21"/>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w:t>
      </w:r>
      <w:r/>
    </w:p>
    <w:p>
      <w:pPr>
        <w:ind w:firstLine="480"/>
        <w:spacing w:line="480" w:lineRule="exact"/>
        <w:rPr>
          <w:rFonts w:cs="Times New Roman"/>
          <w:color w:val="000000"/>
          <w:sz w:val="21"/>
          <w:szCs w:val="21"/>
          <w:highlight w:val="none"/>
        </w:rPr>
      </w:pPr>
      <w:r>
        <w:rPr>
          <w:rFonts w:hint="eastAsia"/>
          <w:color w:val="000000"/>
          <w:sz w:val="21"/>
          <w:szCs w:val="21"/>
          <w:highlight w:val="none"/>
        </w:rPr>
        <w:t xml:space="preserve">本公司愿就由贵公司组织实施的编号为</w:t>
      </w:r>
      <w:r>
        <w:rPr>
          <w:rFonts w:hint="eastAsia"/>
          <w:color w:val="000000"/>
          <w:sz w:val="21"/>
          <w:szCs w:val="21"/>
          <w:highlight w:val="none"/>
          <w:u w:val="single"/>
        </w:rPr>
        <w:t xml:space="preserve">                  </w:t>
      </w:r>
      <w:r>
        <w:rPr>
          <w:rFonts w:hint="eastAsia"/>
          <w:color w:val="000000"/>
          <w:sz w:val="21"/>
          <w:szCs w:val="21"/>
          <w:highlight w:val="none"/>
        </w:rPr>
        <w:t xml:space="preserve">号的招标活动进行投标。本公司所提交的投标文件中所有关于投标资格的文件、证明和陈述均是真实的、准确的。若与真实情况不符，本公司愿意承担由此产生的一切后果。</w:t>
      </w:r>
      <w:r/>
    </w:p>
    <w:p>
      <w:pPr>
        <w:ind w:firstLine="480"/>
        <w:spacing w:line="400" w:lineRule="exact"/>
        <w:rPr>
          <w:rFonts w:cs="Times New Roman"/>
          <w:color w:val="000000"/>
          <w:sz w:val="21"/>
          <w:szCs w:val="21"/>
          <w:highlight w:val="none"/>
        </w:rPr>
      </w:pPr>
      <w:r>
        <w:rPr>
          <w:rFonts w:cs="Times New Roman"/>
          <w:color w:val="000000"/>
          <w:sz w:val="21"/>
          <w:szCs w:val="21"/>
          <w:highlight w:val="none"/>
        </w:rPr>
      </w:r>
      <w:r/>
    </w:p>
    <w:p>
      <w:pPr>
        <w:ind w:firstLine="480"/>
        <w:spacing w:line="400" w:lineRule="exact"/>
        <w:rPr>
          <w:rFonts w:cs="Times New Roman"/>
          <w:color w:val="000000"/>
          <w:sz w:val="21"/>
          <w:szCs w:val="21"/>
          <w:highlight w:val="none"/>
        </w:rPr>
      </w:pPr>
      <w:r>
        <w:rPr>
          <w:rFonts w:cs="Times New Roman"/>
          <w:color w:val="000000"/>
          <w:sz w:val="21"/>
          <w:szCs w:val="21"/>
          <w:highlight w:val="none"/>
        </w:rPr>
      </w:r>
      <w:r/>
    </w:p>
    <w:p>
      <w:pPr>
        <w:ind w:firstLine="480"/>
        <w:spacing w:line="400" w:lineRule="exact"/>
        <w:rPr>
          <w:rFonts w:cs="Times New Roman"/>
          <w:color w:val="000000"/>
          <w:sz w:val="21"/>
          <w:szCs w:val="21"/>
          <w:highlight w:val="none"/>
        </w:rPr>
      </w:pPr>
      <w:r>
        <w:rPr>
          <w:rFonts w:cs="Times New Roman"/>
          <w:color w:val="000000"/>
          <w:sz w:val="21"/>
          <w:szCs w:val="21"/>
          <w:highlight w:val="none"/>
        </w:rPr>
      </w:r>
      <w:r/>
    </w:p>
    <w:p>
      <w:pPr>
        <w:ind w:firstLine="480"/>
        <w:spacing w:line="400" w:lineRule="exact"/>
        <w:rPr>
          <w:rFonts w:cs="Times New Roman"/>
          <w:color w:val="000000"/>
          <w:sz w:val="21"/>
          <w:szCs w:val="21"/>
          <w:highlight w:val="none"/>
        </w:rPr>
      </w:pPr>
      <w:r>
        <w:rPr>
          <w:rFonts w:cs="Times New Roman"/>
          <w:color w:val="000000"/>
          <w:sz w:val="21"/>
          <w:szCs w:val="21"/>
          <w:highlight w:val="none"/>
        </w:rPr>
      </w:r>
      <w:r/>
    </w:p>
    <w:p>
      <w:pPr>
        <w:ind w:firstLine="2730"/>
        <w:spacing w:line="400" w:lineRule="exact"/>
        <w:rPr>
          <w:rFonts w:cs="Times New Roman"/>
          <w:color w:val="000000"/>
          <w:sz w:val="21"/>
          <w:szCs w:val="21"/>
          <w:highlight w:val="none"/>
        </w:rPr>
      </w:pPr>
      <w:r>
        <w:rPr>
          <w:rFonts w:hint="eastAsia"/>
          <w:color w:val="000000"/>
          <w:sz w:val="21"/>
          <w:szCs w:val="21"/>
          <w:highlight w:val="none"/>
        </w:rPr>
        <w:t xml:space="preserve">（投标方）法定代表人：（签字或盖章）</w:t>
      </w:r>
      <w:r/>
    </w:p>
    <w:p>
      <w:pPr>
        <w:ind w:firstLine="2730"/>
        <w:spacing w:line="400" w:lineRule="exact"/>
        <w:rPr>
          <w:rFonts w:cs="Times New Roman"/>
          <w:color w:val="000000"/>
          <w:sz w:val="21"/>
          <w:szCs w:val="21"/>
          <w:highlight w:val="none"/>
        </w:rPr>
      </w:pPr>
      <w:r>
        <w:rPr>
          <w:rFonts w:cs="Times New Roman"/>
          <w:color w:val="000000"/>
          <w:sz w:val="21"/>
          <w:szCs w:val="21"/>
          <w:highlight w:val="none"/>
        </w:rPr>
      </w:r>
      <w:r/>
    </w:p>
    <w:p>
      <w:pPr>
        <w:ind w:firstLine="2730"/>
        <w:spacing w:line="400" w:lineRule="exact"/>
        <w:rPr>
          <w:rFonts w:cs="Times New Roman"/>
          <w:color w:val="000000"/>
          <w:sz w:val="21"/>
          <w:szCs w:val="21"/>
          <w:highlight w:val="none"/>
        </w:rPr>
      </w:pPr>
      <w:r>
        <w:rPr>
          <w:rFonts w:hint="eastAsia"/>
          <w:color w:val="000000"/>
          <w:sz w:val="21"/>
          <w:szCs w:val="21"/>
          <w:highlight w:val="none"/>
        </w:rPr>
        <w:t xml:space="preserve">（投标方）公章：</w:t>
      </w:r>
      <w:r/>
    </w:p>
    <w:p>
      <w:pPr>
        <w:ind w:firstLine="2730"/>
        <w:spacing w:line="400" w:lineRule="exact"/>
        <w:rPr>
          <w:rFonts w:cs="Times New Roman"/>
          <w:color w:val="000000"/>
          <w:sz w:val="21"/>
          <w:szCs w:val="21"/>
          <w:highlight w:val="none"/>
        </w:rPr>
      </w:pPr>
      <w:r>
        <w:rPr>
          <w:rFonts w:cs="Times New Roman"/>
          <w:color w:val="000000"/>
          <w:sz w:val="21"/>
          <w:szCs w:val="21"/>
          <w:highlight w:val="none"/>
        </w:rPr>
      </w:r>
      <w:r/>
    </w:p>
    <w:p>
      <w:pPr>
        <w:ind w:firstLine="5040"/>
        <w:spacing w:line="400" w:lineRule="exact"/>
        <w:rPr>
          <w:rFonts w:cs="Times New Roman"/>
          <w:color w:val="000000"/>
          <w:sz w:val="21"/>
          <w:szCs w:val="21"/>
          <w:highlight w:val="none"/>
        </w:rPr>
      </w:pPr>
      <w:r>
        <w:rPr>
          <w:rFonts w:hint="eastAsia"/>
          <w:color w:val="000000"/>
          <w:sz w:val="21"/>
          <w:szCs w:val="21"/>
          <w:highlight w:val="none"/>
        </w:rPr>
        <w:t xml:space="preserve">年</w:t>
      </w:r>
      <w:r>
        <w:rPr>
          <w:color w:val="000000"/>
          <w:sz w:val="21"/>
          <w:szCs w:val="21"/>
          <w:highlight w:val="none"/>
        </w:rPr>
        <w:t xml:space="preserve">  </w:t>
      </w:r>
      <w:r>
        <w:rPr>
          <w:rFonts w:hint="eastAsia"/>
          <w:color w:val="000000"/>
          <w:sz w:val="21"/>
          <w:szCs w:val="21"/>
          <w:highlight w:val="none"/>
        </w:rPr>
        <w:t xml:space="preserve">月</w:t>
      </w:r>
      <w:r>
        <w:rPr>
          <w:color w:val="000000"/>
          <w:sz w:val="21"/>
          <w:szCs w:val="21"/>
          <w:highlight w:val="none"/>
        </w:rPr>
        <w:t xml:space="preserve">  </w:t>
      </w:r>
      <w:r>
        <w:rPr>
          <w:rFonts w:hint="eastAsia"/>
          <w:color w:val="000000"/>
          <w:sz w:val="21"/>
          <w:szCs w:val="21"/>
          <w:highlight w:val="none"/>
        </w:rPr>
        <w:t xml:space="preserve">日</w:t>
      </w:r>
      <w:r/>
    </w:p>
    <w:p>
      <w:pPr>
        <w:ind w:firstLine="480"/>
        <w:jc w:val="right"/>
        <w:spacing w:line="400" w:lineRule="exact"/>
        <w:rPr>
          <w:rFonts w:cs="Times New Roman"/>
          <w:color w:val="000000"/>
          <w:sz w:val="21"/>
          <w:szCs w:val="21"/>
          <w:highlight w:val="none"/>
        </w:rPr>
      </w:pPr>
      <w:r>
        <w:rPr>
          <w:rFonts w:cs="Times New Roman"/>
          <w:color w:val="000000"/>
          <w:sz w:val="21"/>
          <w:szCs w:val="21"/>
          <w:highlight w:val="none"/>
        </w:rPr>
      </w:r>
      <w:r/>
    </w:p>
    <w:p>
      <w:pPr>
        <w:ind w:firstLine="480"/>
        <w:jc w:val="right"/>
        <w:spacing w:line="400" w:lineRule="exact"/>
        <w:rPr>
          <w:rFonts w:cs="Times New Roman"/>
          <w:color w:val="000000"/>
          <w:sz w:val="21"/>
          <w:szCs w:val="21"/>
          <w:highlight w:val="none"/>
        </w:rPr>
      </w:pPr>
      <w:r>
        <w:rPr>
          <w:rFonts w:cs="Times New Roman"/>
          <w:color w:val="000000"/>
          <w:sz w:val="21"/>
          <w:szCs w:val="21"/>
          <w:highlight w:val="none"/>
        </w:rPr>
      </w:r>
      <w:r/>
    </w:p>
    <w:p>
      <w:pPr>
        <w:ind w:firstLine="480"/>
        <w:jc w:val="right"/>
        <w:spacing w:line="400" w:lineRule="exact"/>
        <w:rPr>
          <w:rFonts w:cs="Times New Roman"/>
          <w:color w:val="000000"/>
          <w:sz w:val="21"/>
          <w:szCs w:val="21"/>
          <w:highlight w:val="none"/>
        </w:rPr>
      </w:pPr>
      <w:r>
        <w:rPr>
          <w:rFonts w:cs="Times New Roman"/>
          <w:color w:val="000000"/>
          <w:sz w:val="21"/>
          <w:szCs w:val="21"/>
          <w:highlight w:val="none"/>
        </w:rPr>
      </w:r>
      <w:r/>
    </w:p>
    <w:p>
      <w:pPr>
        <w:spacing w:line="400" w:lineRule="exact"/>
        <w:rPr>
          <w:rFonts w:cs="Times New Roman"/>
          <w:b/>
          <w:color w:val="000000"/>
          <w:sz w:val="21"/>
          <w:szCs w:val="21"/>
          <w:highlight w:val="none"/>
        </w:rPr>
      </w:pPr>
      <w:r>
        <w:rPr>
          <w:rFonts w:cs="Times New Roman"/>
          <w:color w:val="000000"/>
          <w:sz w:val="21"/>
          <w:szCs w:val="21"/>
          <w:highlight w:val="none"/>
        </w:rPr>
        <w:br w:type="page" w:clear="all"/>
      </w:r>
      <w:r>
        <w:rPr>
          <w:rFonts w:hint="eastAsia"/>
          <w:b/>
          <w:color w:val="000000"/>
          <w:sz w:val="21"/>
          <w:szCs w:val="21"/>
          <w:highlight w:val="none"/>
        </w:rPr>
        <w:t xml:space="preserve">（</w:t>
      </w:r>
      <w:r>
        <w:rPr>
          <w:b/>
          <w:color w:val="000000"/>
          <w:sz w:val="21"/>
          <w:szCs w:val="21"/>
          <w:highlight w:val="none"/>
        </w:rPr>
        <w:t xml:space="preserve">2</w:t>
      </w:r>
      <w:r>
        <w:rPr>
          <w:rFonts w:hint="eastAsia"/>
          <w:b/>
          <w:color w:val="000000"/>
          <w:sz w:val="21"/>
          <w:szCs w:val="21"/>
          <w:highlight w:val="none"/>
        </w:rPr>
        <w:t xml:space="preserve">）供应商情况表</w:t>
      </w:r>
      <w:r/>
    </w:p>
    <w:p>
      <w:pPr>
        <w:jc w:val="center"/>
        <w:spacing w:line="400" w:lineRule="exact"/>
        <w:rPr>
          <w:rFonts w:cs="Times New Roman"/>
          <w:b/>
          <w:bCs/>
          <w:color w:val="000000"/>
          <w:sz w:val="21"/>
          <w:szCs w:val="21"/>
          <w:highlight w:val="none"/>
        </w:rPr>
      </w:pPr>
      <w:r>
        <w:rPr>
          <w:rFonts w:hint="eastAsia"/>
          <w:b/>
          <w:bCs/>
          <w:color w:val="000000"/>
          <w:sz w:val="21"/>
          <w:szCs w:val="21"/>
          <w:highlight w:val="none"/>
        </w:rPr>
        <w:t xml:space="preserve">供应商情况表</w:t>
      </w:r>
      <w:r/>
    </w:p>
    <w:p>
      <w:pPr>
        <w:spacing w:line="400" w:lineRule="exact"/>
        <w:rPr>
          <w:rFonts w:cs="Times New Roman"/>
          <w:color w:val="000000"/>
          <w:sz w:val="21"/>
          <w:szCs w:val="21"/>
          <w:highlight w:val="none"/>
        </w:rPr>
      </w:pPr>
      <w:r>
        <w:rPr>
          <w:rFonts w:hint="eastAsia"/>
          <w:color w:val="000000"/>
          <w:sz w:val="21"/>
          <w:szCs w:val="21"/>
          <w:highlight w:val="none"/>
        </w:rPr>
        <w:t xml:space="preserve">单位名称（盖章）</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2179"/>
        <w:gridCol w:w="2200"/>
        <w:gridCol w:w="2600"/>
      </w:tblGrid>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法定代表人</w:t>
            </w:r>
            <w:r/>
          </w:p>
        </w:tc>
        <w:tc>
          <w:tcPr>
            <w:tcW w:w="2179"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c>
          <w:tcPr>
            <w:tcW w:w="2200"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成立日期</w:t>
            </w:r>
            <w:r/>
          </w:p>
        </w:tc>
        <w:tc>
          <w:tcPr>
            <w:tcW w:w="2600"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地址</w:t>
            </w:r>
            <w:r/>
          </w:p>
        </w:tc>
        <w:tc>
          <w:tcPr>
            <w:tcW w:w="2179"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c>
          <w:tcPr>
            <w:tcW w:w="2200"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注册资本</w:t>
            </w:r>
            <w:r/>
          </w:p>
        </w:tc>
        <w:tc>
          <w:tcPr>
            <w:tcW w:w="2600" w:type="dxa"/>
            <w:vAlign w:val="center"/>
            <w:textDirection w:val="lrTb"/>
            <w:noWrap w:val="false"/>
          </w:tcPr>
          <w:p>
            <w:pPr>
              <w:ind w:firstLine="315"/>
              <w:spacing w:line="360" w:lineRule="auto"/>
              <w:rPr>
                <w:rFonts w:cs="Times New Roman"/>
                <w:color w:val="000000"/>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万元</w:t>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经营范围</w:t>
            </w:r>
            <w:r/>
          </w:p>
        </w:tc>
        <w:tc>
          <w:tcPr>
            <w:gridSpan w:val="3"/>
            <w:tcW w:w="6979"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职工人数</w:t>
            </w:r>
            <w:r/>
          </w:p>
        </w:tc>
        <w:tc>
          <w:tcPr>
            <w:tcW w:w="2179"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c>
          <w:tcPr>
            <w:tcW w:w="2200"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其中：中高级</w:t>
            </w:r>
            <w:r/>
          </w:p>
          <w:p>
            <w:pPr>
              <w:jc w:val="center"/>
              <w:spacing w:line="360" w:lineRule="auto"/>
              <w:rPr>
                <w:rFonts w:cs="Times New Roman"/>
                <w:color w:val="000000"/>
                <w:szCs w:val="21"/>
                <w:highlight w:val="none"/>
              </w:rPr>
            </w:pPr>
            <w:r>
              <w:rPr>
                <w:rFonts w:hint="eastAsia"/>
                <w:color w:val="000000"/>
                <w:sz w:val="21"/>
                <w:szCs w:val="21"/>
                <w:highlight w:val="none"/>
              </w:rPr>
              <w:t xml:space="preserve">以上职称的人数</w:t>
            </w:r>
            <w:r/>
          </w:p>
        </w:tc>
        <w:tc>
          <w:tcPr>
            <w:tcW w:w="2600"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资产总计</w:t>
            </w:r>
            <w:r/>
          </w:p>
        </w:tc>
        <w:tc>
          <w:tcPr>
            <w:tcW w:w="217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万元</w:t>
            </w:r>
            <w:r/>
          </w:p>
        </w:tc>
        <w:tc>
          <w:tcPr>
            <w:tcW w:w="2200"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净资产</w:t>
            </w:r>
            <w:r/>
          </w:p>
        </w:tc>
        <w:tc>
          <w:tcPr>
            <w:tcW w:w="2600" w:type="dxa"/>
            <w:vAlign w:val="center"/>
            <w:textDirection w:val="lrTb"/>
            <w:noWrap w:val="false"/>
          </w:tcPr>
          <w:p>
            <w:pPr>
              <w:ind w:right="240"/>
              <w:jc w:val="center"/>
              <w:spacing w:line="360" w:lineRule="auto"/>
              <w:rPr>
                <w:rFonts w:cs="Times New Roman"/>
                <w:color w:val="000000"/>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万元</w:t>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股东权益</w:t>
            </w:r>
            <w:r/>
          </w:p>
        </w:tc>
        <w:tc>
          <w:tcPr>
            <w:tcW w:w="217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万元</w:t>
            </w:r>
            <w:r/>
          </w:p>
        </w:tc>
        <w:tc>
          <w:tcPr>
            <w:tcW w:w="2200"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销售收入</w:t>
            </w:r>
            <w:r/>
          </w:p>
        </w:tc>
        <w:tc>
          <w:tcPr>
            <w:tcW w:w="2600" w:type="dxa"/>
            <w:vAlign w:val="center"/>
            <w:textDirection w:val="lrTb"/>
            <w:noWrap w:val="false"/>
          </w:tcPr>
          <w:p>
            <w:pPr>
              <w:spacing w:line="360" w:lineRule="auto"/>
              <w:rPr>
                <w:rFonts w:cs="Times New Roman"/>
                <w:color w:val="000000"/>
                <w:szCs w:val="21"/>
                <w:highlight w:val="none"/>
              </w:rPr>
            </w:pPr>
            <w:r>
              <w:rPr>
                <w:color w:val="000000"/>
                <w:sz w:val="21"/>
                <w:szCs w:val="21"/>
                <w:highlight w:val="none"/>
              </w:rPr>
              <w:t xml:space="preserve"> 20</w:t>
            </w:r>
            <w:r>
              <w:rPr>
                <w:rFonts w:hint="eastAsia"/>
                <w:color w:val="000000"/>
                <w:sz w:val="21"/>
                <w:szCs w:val="21"/>
                <w:highlight w:val="none"/>
              </w:rPr>
              <w:t xml:space="preserve">24年</w:t>
            </w:r>
            <w:r>
              <w:rPr>
                <w:rFonts w:hint="eastAsia"/>
                <w:color w:val="000000"/>
                <w:sz w:val="21"/>
                <w:szCs w:val="21"/>
                <w:highlight w:val="none"/>
                <w:u w:val="single"/>
              </w:rPr>
              <w:t xml:space="preserve">       </w:t>
            </w:r>
            <w:r>
              <w:rPr>
                <w:rFonts w:hint="eastAsia"/>
                <w:color w:val="000000"/>
                <w:sz w:val="21"/>
                <w:szCs w:val="21"/>
                <w:highlight w:val="none"/>
              </w:rPr>
              <w:t xml:space="preserve">万元</w:t>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实现利润</w:t>
            </w:r>
            <w:r/>
          </w:p>
        </w:tc>
        <w:tc>
          <w:tcPr>
            <w:gridSpan w:val="3"/>
            <w:tcW w:w="6979" w:type="dxa"/>
            <w:vAlign w:val="center"/>
            <w:textDirection w:val="lrTb"/>
            <w:noWrap w:val="false"/>
          </w:tcPr>
          <w:p>
            <w:pPr>
              <w:jc w:val="center"/>
              <w:spacing w:line="360" w:lineRule="auto"/>
              <w:rPr>
                <w:rFonts w:cs="Times New Roman"/>
                <w:color w:val="000000"/>
                <w:szCs w:val="21"/>
                <w:highlight w:val="none"/>
              </w:rPr>
            </w:pPr>
            <w:r>
              <w:rPr>
                <w:color w:val="000000"/>
                <w:sz w:val="21"/>
                <w:szCs w:val="21"/>
                <w:highlight w:val="none"/>
              </w:rPr>
              <w:t xml:space="preserve"> 20</w:t>
            </w:r>
            <w:r>
              <w:rPr>
                <w:rFonts w:hint="eastAsia"/>
                <w:color w:val="000000"/>
                <w:sz w:val="21"/>
                <w:szCs w:val="21"/>
                <w:highlight w:val="none"/>
              </w:rPr>
              <w:t xml:space="preserve">24年</w:t>
            </w:r>
            <w:r>
              <w:rPr>
                <w:rFonts w:hint="eastAsia"/>
                <w:color w:val="000000"/>
                <w:sz w:val="21"/>
                <w:szCs w:val="21"/>
                <w:highlight w:val="none"/>
                <w:u w:val="single"/>
              </w:rPr>
              <w:t xml:space="preserve">       </w:t>
            </w:r>
            <w:r>
              <w:rPr>
                <w:rFonts w:hint="eastAsia"/>
                <w:color w:val="000000"/>
                <w:sz w:val="21"/>
                <w:szCs w:val="21"/>
                <w:highlight w:val="none"/>
              </w:rPr>
              <w:t xml:space="preserve">万元</w:t>
            </w:r>
            <w:r/>
          </w:p>
        </w:tc>
      </w:tr>
      <w:tr>
        <w:trPr>
          <w:cantSplit/>
          <w:jc w:val="center"/>
          <w:trHeight w:val="454"/>
        </w:trPr>
        <w:tc>
          <w:tcPr>
            <w:tcW w:w="3139" w:type="dxa"/>
            <w:vAlign w:val="center"/>
            <w:textDirection w:val="lrTb"/>
            <w:noWrap w:val="false"/>
          </w:tcPr>
          <w:p>
            <w:pPr>
              <w:jc w:val="center"/>
              <w:spacing w:line="360" w:lineRule="auto"/>
              <w:rPr>
                <w:rFonts w:hint="eastAsia"/>
                <w:color w:val="000000"/>
                <w:szCs w:val="21"/>
                <w:highlight w:val="none"/>
              </w:rPr>
            </w:pPr>
            <w:r>
              <w:rPr>
                <w:rFonts w:hint="eastAsia"/>
                <w:color w:val="000000"/>
                <w:sz w:val="21"/>
                <w:szCs w:val="21"/>
                <w:highlight w:val="none"/>
              </w:rPr>
              <w:t xml:space="preserve">营业面积（含厂房面积）</w:t>
            </w:r>
            <w:r/>
          </w:p>
        </w:tc>
        <w:tc>
          <w:tcPr>
            <w:tcW w:w="217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u w:val="single"/>
              </w:rPr>
              <w:t xml:space="preserve">       </w:t>
            </w:r>
            <w:r>
              <w:rPr>
                <w:rFonts w:hint="eastAsia"/>
                <w:color w:val="000000"/>
                <w:sz w:val="21"/>
                <w:szCs w:val="21"/>
                <w:highlight w:val="none"/>
              </w:rPr>
              <w:t xml:space="preserve">平方米</w:t>
            </w:r>
            <w:r/>
          </w:p>
        </w:tc>
        <w:tc>
          <w:tcPr>
            <w:tcW w:w="2200"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其中：</w:t>
            </w:r>
            <w:r/>
          </w:p>
        </w:tc>
        <w:tc>
          <w:tcPr>
            <w:tcW w:w="2600"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自有面积</w:t>
            </w:r>
            <w:r>
              <w:rPr>
                <w:rFonts w:hint="eastAsia"/>
                <w:color w:val="000000"/>
                <w:sz w:val="21"/>
                <w:szCs w:val="21"/>
                <w:highlight w:val="none"/>
                <w:u w:val="single"/>
              </w:rPr>
              <w:t xml:space="preserve">     </w:t>
            </w:r>
            <w:r>
              <w:rPr>
                <w:rFonts w:hint="eastAsia"/>
                <w:color w:val="000000"/>
                <w:sz w:val="21"/>
                <w:szCs w:val="21"/>
                <w:highlight w:val="none"/>
              </w:rPr>
              <w:t xml:space="preserve">平方米</w:t>
            </w:r>
            <w:r/>
          </w:p>
          <w:p>
            <w:pPr>
              <w:jc w:val="center"/>
              <w:spacing w:line="360" w:lineRule="auto"/>
              <w:rPr>
                <w:rFonts w:cs="Times New Roman"/>
                <w:color w:val="000000"/>
                <w:szCs w:val="21"/>
                <w:highlight w:val="none"/>
              </w:rPr>
            </w:pPr>
            <w:r>
              <w:rPr>
                <w:rFonts w:hint="eastAsia"/>
                <w:color w:val="000000"/>
                <w:sz w:val="21"/>
                <w:szCs w:val="21"/>
                <w:highlight w:val="none"/>
              </w:rPr>
              <w:t xml:space="preserve">承租面积</w:t>
            </w:r>
            <w:r>
              <w:rPr>
                <w:rFonts w:hint="eastAsia"/>
                <w:color w:val="000000"/>
                <w:sz w:val="21"/>
                <w:szCs w:val="21"/>
                <w:highlight w:val="none"/>
                <w:u w:val="single"/>
              </w:rPr>
              <w:t xml:space="preserve">     </w:t>
            </w:r>
            <w:r>
              <w:rPr>
                <w:rFonts w:hint="eastAsia"/>
                <w:color w:val="000000"/>
                <w:sz w:val="21"/>
                <w:szCs w:val="21"/>
                <w:highlight w:val="none"/>
              </w:rPr>
              <w:t xml:space="preserve">平方米</w:t>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单位简历及内设机构情况</w:t>
            </w:r>
            <w:r/>
          </w:p>
        </w:tc>
        <w:tc>
          <w:tcPr>
            <w:gridSpan w:val="3"/>
            <w:tcW w:w="6979"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单位优势及特长</w:t>
            </w:r>
            <w:r/>
          </w:p>
        </w:tc>
        <w:tc>
          <w:tcPr>
            <w:gridSpan w:val="3"/>
            <w:tcW w:w="6979" w:type="dxa"/>
            <w:vAlign w:val="center"/>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近三年来完成或正在履行的重大合同情况</w:t>
            </w:r>
            <w:r/>
          </w:p>
        </w:tc>
        <w:tc>
          <w:tcPr>
            <w:gridSpan w:val="3"/>
            <w:tcW w:w="6979" w:type="dxa"/>
            <w:vAlign w:val="top"/>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最近</w:t>
            </w:r>
            <w:r>
              <w:rPr>
                <w:color w:val="000000"/>
                <w:sz w:val="21"/>
                <w:szCs w:val="21"/>
                <w:highlight w:val="none"/>
              </w:rPr>
              <w:t xml:space="preserve">2</w:t>
            </w:r>
            <w:r>
              <w:rPr>
                <w:rFonts w:hint="eastAsia"/>
                <w:color w:val="000000"/>
                <w:sz w:val="21"/>
                <w:szCs w:val="21"/>
                <w:highlight w:val="none"/>
              </w:rPr>
              <w:t xml:space="preserve">年内在经营过程中受到何种奖励或处分</w:t>
            </w:r>
            <w:r/>
          </w:p>
        </w:tc>
        <w:tc>
          <w:tcPr>
            <w:gridSpan w:val="3"/>
            <w:tcW w:w="6979" w:type="dxa"/>
            <w:vAlign w:val="top"/>
            <w:textDirection w:val="lrTb"/>
            <w:noWrap w:val="false"/>
          </w:tcPr>
          <w:p>
            <w:pP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最近</w:t>
            </w:r>
            <w:r>
              <w:rPr>
                <w:color w:val="000000"/>
                <w:sz w:val="21"/>
                <w:szCs w:val="21"/>
                <w:highlight w:val="none"/>
              </w:rPr>
              <w:t xml:space="preserve">3</w:t>
            </w:r>
            <w:r>
              <w:rPr>
                <w:rFonts w:hint="eastAsia"/>
                <w:color w:val="000000"/>
                <w:sz w:val="21"/>
                <w:szCs w:val="21"/>
                <w:highlight w:val="none"/>
              </w:rPr>
              <w:t xml:space="preserve">年内有无因售假、售劣或是其他原因被消费者投诉或起诉的情况及说明</w:t>
            </w:r>
            <w:r/>
          </w:p>
        </w:tc>
        <w:tc>
          <w:tcPr>
            <w:gridSpan w:val="3"/>
            <w:tcW w:w="6979" w:type="dxa"/>
            <w:vAlign w:val="top"/>
            <w:textDirection w:val="lrTb"/>
            <w:noWrap w:val="false"/>
          </w:tcPr>
          <w:p>
            <w:pP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最近</w:t>
            </w:r>
            <w:r>
              <w:rPr>
                <w:color w:val="000000"/>
                <w:sz w:val="21"/>
                <w:szCs w:val="21"/>
                <w:highlight w:val="none"/>
              </w:rPr>
              <w:t xml:space="preserve">3</w:t>
            </w:r>
            <w:r>
              <w:rPr>
                <w:rFonts w:hint="eastAsia"/>
                <w:color w:val="000000"/>
                <w:sz w:val="21"/>
                <w:szCs w:val="21"/>
                <w:highlight w:val="none"/>
              </w:rPr>
              <w:t xml:space="preserve">年内主要负责人有无经济犯罪被司法机关追究的情况及说明</w:t>
            </w:r>
            <w:r/>
          </w:p>
        </w:tc>
        <w:tc>
          <w:tcPr>
            <w:gridSpan w:val="3"/>
            <w:tcW w:w="6979" w:type="dxa"/>
            <w:vAlign w:val="top"/>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获得技术认证的工程师及简介</w:t>
            </w:r>
            <w:r/>
          </w:p>
        </w:tc>
        <w:tc>
          <w:tcPr>
            <w:gridSpan w:val="3"/>
            <w:tcW w:w="6979" w:type="dxa"/>
            <w:vAlign w:val="top"/>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r>
        <w:trPr>
          <w:cantSplit/>
          <w:jc w:val="center"/>
          <w:trHeight w:val="454"/>
        </w:trPr>
        <w:tc>
          <w:tcPr>
            <w:tcW w:w="3139" w:type="dxa"/>
            <w:vAlign w:val="center"/>
            <w:textDirection w:val="lrTb"/>
            <w:noWrap w:val="false"/>
          </w:tcPr>
          <w:p>
            <w:pPr>
              <w:jc w:val="center"/>
              <w:spacing w:line="360" w:lineRule="auto"/>
              <w:rPr>
                <w:rFonts w:cs="Times New Roman"/>
                <w:color w:val="000000"/>
                <w:szCs w:val="21"/>
                <w:highlight w:val="none"/>
              </w:rPr>
            </w:pPr>
            <w:r>
              <w:rPr>
                <w:rFonts w:hint="eastAsia"/>
                <w:color w:val="000000"/>
                <w:sz w:val="21"/>
                <w:szCs w:val="21"/>
                <w:highlight w:val="none"/>
              </w:rPr>
              <w:t xml:space="preserve">其他需要说明的情况</w:t>
            </w:r>
            <w:r/>
          </w:p>
        </w:tc>
        <w:tc>
          <w:tcPr>
            <w:gridSpan w:val="3"/>
            <w:tcW w:w="6979" w:type="dxa"/>
            <w:vAlign w:val="top"/>
            <w:textDirection w:val="lrTb"/>
            <w:noWrap w:val="false"/>
          </w:tcPr>
          <w:p>
            <w:pPr>
              <w:jc w:val="center"/>
              <w:spacing w:line="360" w:lineRule="auto"/>
              <w:rPr>
                <w:rFonts w:cs="Times New Roman"/>
                <w:color w:val="000000"/>
                <w:szCs w:val="21"/>
                <w:highlight w:val="none"/>
              </w:rPr>
            </w:pPr>
            <w:r>
              <w:rPr>
                <w:rFonts w:cs="Times New Roman"/>
                <w:color w:val="000000"/>
                <w:szCs w:val="21"/>
                <w:highlight w:val="none"/>
              </w:rPr>
            </w:r>
            <w:r/>
          </w:p>
        </w:tc>
      </w:tr>
    </w:tbl>
    <w:p>
      <w:pPr>
        <w:rPr>
          <w:rFonts w:cs="Times New Roman"/>
          <w:b/>
          <w:bCs/>
          <w:color w:val="000000"/>
          <w:highlight w:val="none"/>
        </w:rPr>
      </w:pPr>
      <w:r>
        <w:rPr>
          <w:rFonts w:cs="Times New Roman"/>
          <w:b/>
          <w:bCs/>
          <w:color w:val="000000"/>
          <w:highlight w:val="none"/>
        </w:rPr>
      </w:r>
      <w:r/>
    </w:p>
    <w:p>
      <w:pPr>
        <w:spacing w:line="440" w:lineRule="exact"/>
        <w:rPr>
          <w:rFonts w:hint="eastAsia"/>
          <w:b/>
          <w:bCs/>
          <w:color w:val="000000"/>
          <w:highlight w:val="none"/>
        </w:rPr>
      </w:pPr>
      <w:r>
        <w:rPr>
          <w:rFonts w:hint="eastAsia"/>
          <w:b/>
          <w:bCs/>
          <w:color w:val="000000"/>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r>
      <w:r/>
    </w:p>
    <w:p>
      <w:pPr>
        <w:spacing w:line="440" w:lineRule="exact"/>
        <w:rPr>
          <w:rFonts w:hint="eastAsia"/>
          <w:b/>
          <w:bCs/>
          <w:color w:val="000000"/>
          <w:sz w:val="21"/>
          <w:szCs w:val="21"/>
          <w:highlight w:val="none"/>
        </w:rPr>
      </w:pPr>
      <w:r>
        <w:rPr>
          <w:rFonts w:hint="eastAsia"/>
          <w:b/>
          <w:bCs/>
          <w:color w:val="000000"/>
          <w:sz w:val="21"/>
          <w:szCs w:val="21"/>
          <w:highlight w:val="none"/>
        </w:rPr>
        <w:t xml:space="preserve">（3）投标（响应）保证承诺书</w:t>
      </w:r>
      <w:r/>
    </w:p>
    <w:p>
      <w:pPr>
        <w:pStyle w:val="990"/>
        <w:ind w:firstLine="480"/>
        <w:rPr>
          <w:rFonts w:hint="eastAsia" w:ascii="Calibri" w:hAnsi="Calibri"/>
          <w:color w:val="000000"/>
          <w:highlight w:val="none"/>
        </w:rPr>
      </w:pPr>
      <w:r>
        <w:rPr>
          <w:rFonts w:hint="eastAsia" w:ascii="Calibri" w:hAnsi="Calibri"/>
          <w:color w:val="000000"/>
          <w:highlight w:val="none"/>
        </w:rPr>
      </w:r>
      <w:r/>
    </w:p>
    <w:p>
      <w:pPr>
        <w:jc w:val="center"/>
        <w:spacing w:line="440" w:lineRule="exact"/>
        <w:rPr>
          <w:b/>
          <w:color w:val="000000"/>
          <w:sz w:val="32"/>
          <w:szCs w:val="32"/>
          <w:highlight w:val="none"/>
          <w:lang w:val="zh-CN"/>
        </w:rPr>
      </w:pPr>
      <w:r>
        <w:rPr>
          <w:rFonts w:hint="eastAsia"/>
          <w:b/>
          <w:color w:val="000000"/>
          <w:sz w:val="32"/>
          <w:szCs w:val="32"/>
          <w:highlight w:val="none"/>
          <w:lang w:val="zh-CN"/>
        </w:rPr>
        <w:t xml:space="preserve">投标（响应）保证承诺书（参考格式）</w:t>
      </w:r>
      <w:r/>
    </w:p>
    <w:p>
      <w:pPr>
        <w:pStyle w:val="882"/>
        <w:ind w:left="17" w:right="17"/>
        <w:spacing w:before="362"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致：</w:t>
      </w:r>
      <w:r>
        <w:rPr>
          <w:rFonts w:hint="eastAsia" w:ascii="宋体" w:hAnsi="宋体" w:cs="宋体"/>
          <w:color w:val="000000"/>
          <w:sz w:val="21"/>
          <w:szCs w:val="21"/>
          <w:highlight w:val="none"/>
          <w:u w:val="single"/>
          <w:lang w:val="zh-CN"/>
        </w:rPr>
        <w:t xml:space="preserve">（采购代理机构名称）</w:t>
      </w:r>
      <w:r/>
    </w:p>
    <w:p>
      <w:pPr>
        <w:pStyle w:val="882"/>
        <w:ind w:firstLine="420"/>
        <w:spacing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我（单位/本人，以下统称我单位）自愿参加</w:t>
      </w:r>
      <w:r>
        <w:rPr>
          <w:rFonts w:hint="eastAsia" w:ascii="宋体" w:hAnsi="宋体" w:cs="宋体"/>
          <w:color w:val="000000"/>
          <w:sz w:val="21"/>
          <w:szCs w:val="21"/>
          <w:highlight w:val="none"/>
          <w:u w:val="single"/>
          <w:lang w:val="zh-CN"/>
        </w:rPr>
        <w:t xml:space="preserve">（项目名称和采购编号）</w:t>
      </w:r>
      <w:r>
        <w:rPr>
          <w:rFonts w:hint="eastAsia" w:ascii="宋体" w:hAnsi="宋体" w:cs="宋体"/>
          <w:color w:val="000000"/>
          <w:sz w:val="21"/>
          <w:szCs w:val="21"/>
          <w:highlight w:val="none"/>
          <w:lang w:val="zh-CN"/>
        </w:rPr>
        <w:t xml:space="preserve">的投标（响应），并做出如下承诺：</w:t>
      </w:r>
      <w:r/>
    </w:p>
    <w:p>
      <w:pPr>
        <w:pStyle w:val="882"/>
        <w:ind w:firstLine="420"/>
        <w:spacing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一、除不可抗力外，我单位如果发生以下行为，将在行为发生的10个工作日内，向贵方</w:t>
      </w:r>
      <w:r>
        <w:rPr>
          <w:rFonts w:hint="eastAsia" w:ascii="宋体" w:hAnsi="宋体" w:cs="宋体"/>
          <w:color w:val="000000"/>
          <w:sz w:val="21"/>
          <w:szCs w:val="21"/>
          <w:highlight w:val="none"/>
          <w:u w:val="single"/>
          <w:lang w:val="zh-CN"/>
        </w:rPr>
        <w:t xml:space="preserve">（或采购人）</w:t>
      </w:r>
      <w:r>
        <w:rPr>
          <w:rFonts w:hint="eastAsia" w:ascii="宋体" w:hAnsi="宋体" w:cs="宋体"/>
          <w:color w:val="000000"/>
          <w:sz w:val="21"/>
          <w:szCs w:val="21"/>
          <w:highlight w:val="none"/>
          <w:lang w:val="zh-CN"/>
        </w:rPr>
        <w:t xml:space="preserve">支付本采购文件公布的预算金额（或最高限价）的2%作为违约赔偿金（数量不确定的单价采购须约定具体金额）。</w:t>
      </w:r>
      <w:r/>
    </w:p>
    <w:p>
      <w:pPr>
        <w:pStyle w:val="882"/>
        <w:ind w:firstLine="420"/>
        <w:spacing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1.自投标（响应）截止时间至本项目发布中标（成交）公告为止，撤销投标（响应）；</w:t>
      </w:r>
      <w:r/>
    </w:p>
    <w:p>
      <w:pPr>
        <w:pStyle w:val="882"/>
        <w:ind w:firstLine="420"/>
        <w:spacing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2.中标（成交）后不依法与采购人签订合同；</w:t>
      </w:r>
      <w:r/>
    </w:p>
    <w:p>
      <w:pPr>
        <w:pStyle w:val="882"/>
        <w:ind w:firstLine="420"/>
        <w:spacing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3.中标（成交）后不按本采购文件规定向采购人提交履约保证金；</w:t>
      </w:r>
      <w:r/>
    </w:p>
    <w:p>
      <w:pPr>
        <w:pStyle w:val="882"/>
        <w:ind w:firstLine="420"/>
        <w:spacing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4.中标（成交）后不按本采购文件规定向贵方缴纳采购代理费。</w:t>
      </w:r>
      <w:r/>
    </w:p>
    <w:p>
      <w:pPr>
        <w:pStyle w:val="882"/>
        <w:ind w:firstLine="420"/>
        <w:spacing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二、我单位知晓上述行为的法律后果，承认本承诺书作为贵方</w:t>
      </w:r>
      <w:r>
        <w:rPr>
          <w:rFonts w:hint="eastAsia" w:ascii="宋体" w:hAnsi="宋体" w:cs="宋体"/>
          <w:color w:val="000000"/>
          <w:sz w:val="21"/>
          <w:szCs w:val="21"/>
          <w:highlight w:val="none"/>
          <w:u w:val="single"/>
          <w:lang w:val="zh-CN"/>
        </w:rPr>
        <w:t xml:space="preserve">（或采购人）</w:t>
      </w:r>
      <w:r>
        <w:rPr>
          <w:rFonts w:hint="eastAsia" w:ascii="宋体" w:hAnsi="宋体" w:cs="宋体"/>
          <w:color w:val="000000"/>
          <w:sz w:val="21"/>
          <w:szCs w:val="21"/>
          <w:highlight w:val="none"/>
          <w:lang w:val="zh-CN"/>
        </w:rPr>
        <w:t xml:space="preserve">要求我单位履行违约赔偿义务的依据作用。</w:t>
      </w:r>
      <w:r/>
    </w:p>
    <w:p>
      <w:pPr>
        <w:spacing w:line="360" w:lineRule="auto"/>
        <w:rPr>
          <w:rFonts w:hint="eastAsia"/>
          <w:color w:val="000000"/>
          <w:sz w:val="21"/>
          <w:szCs w:val="21"/>
          <w:highlight w:val="none"/>
        </w:rPr>
      </w:pPr>
      <w:r>
        <w:rPr>
          <w:rFonts w:hint="eastAsia"/>
          <w:color w:val="000000"/>
          <w:sz w:val="21"/>
          <w:szCs w:val="21"/>
          <w:highlight w:val="none"/>
        </w:rPr>
        <w:t xml:space="preserve"> </w:t>
      </w:r>
      <w:r/>
    </w:p>
    <w:p>
      <w:pPr>
        <w:spacing w:line="360" w:lineRule="auto"/>
        <w:rPr>
          <w:rFonts w:hint="eastAsia"/>
          <w:color w:val="000000"/>
          <w:sz w:val="21"/>
          <w:szCs w:val="21"/>
          <w:highlight w:val="none"/>
        </w:rPr>
      </w:pPr>
      <w:r>
        <w:rPr>
          <w:rFonts w:hint="eastAsia"/>
          <w:color w:val="000000"/>
          <w:sz w:val="21"/>
          <w:szCs w:val="21"/>
          <w:highlight w:val="none"/>
        </w:rPr>
        <w:t xml:space="preserve">投标（响应）人：</w:t>
      </w:r>
      <w:r>
        <w:rPr>
          <w:rFonts w:hint="eastAsia"/>
          <w:color w:val="000000"/>
          <w:sz w:val="21"/>
          <w:szCs w:val="21"/>
          <w:highlight w:val="none"/>
          <w:u w:val="single"/>
        </w:rPr>
        <w:t xml:space="preserve">                     </w:t>
      </w:r>
      <w:r>
        <w:rPr>
          <w:rFonts w:hint="eastAsia"/>
          <w:color w:val="000000"/>
          <w:sz w:val="21"/>
          <w:szCs w:val="21"/>
          <w:highlight w:val="none"/>
        </w:rPr>
        <w:t xml:space="preserve">（盖公章）</w:t>
      </w:r>
      <w:r/>
    </w:p>
    <w:p>
      <w:pPr>
        <w:spacing w:line="360" w:lineRule="auto"/>
        <w:rPr>
          <w:rFonts w:hint="eastAsia"/>
          <w:color w:val="000000"/>
          <w:sz w:val="21"/>
          <w:szCs w:val="21"/>
          <w:highlight w:val="none"/>
        </w:rPr>
      </w:pPr>
      <w:r>
        <w:rPr>
          <w:rFonts w:hint="eastAsia"/>
          <w:color w:val="000000"/>
          <w:sz w:val="21"/>
          <w:szCs w:val="21"/>
          <w:highlight w:val="none"/>
        </w:rPr>
        <w:t xml:space="preserve">地址：</w:t>
      </w:r>
      <w:r>
        <w:rPr>
          <w:rFonts w:hint="eastAsia"/>
          <w:color w:val="000000"/>
          <w:sz w:val="21"/>
          <w:szCs w:val="21"/>
          <w:highlight w:val="none"/>
          <w:u w:val="single"/>
        </w:rPr>
        <w:t xml:space="preserve">                                            </w:t>
      </w:r>
      <w:r/>
    </w:p>
    <w:p>
      <w:pPr>
        <w:spacing w:line="360" w:lineRule="auto"/>
        <w:rPr>
          <w:rFonts w:hint="eastAsia"/>
          <w:color w:val="000000"/>
          <w:sz w:val="21"/>
          <w:szCs w:val="21"/>
          <w:highlight w:val="none"/>
        </w:rPr>
      </w:pPr>
      <w:r>
        <w:rPr>
          <w:rFonts w:hint="eastAsia"/>
          <w:color w:val="000000"/>
          <w:sz w:val="21"/>
          <w:szCs w:val="21"/>
          <w:highlight w:val="none"/>
        </w:rPr>
        <w:t xml:space="preserve">电话：</w:t>
      </w:r>
      <w:r>
        <w:rPr>
          <w:rFonts w:hint="eastAsia"/>
          <w:color w:val="000000"/>
          <w:sz w:val="21"/>
          <w:szCs w:val="21"/>
          <w:highlight w:val="none"/>
          <w:u w:val="single"/>
        </w:rPr>
        <w:t xml:space="preserve">                     </w:t>
      </w:r>
      <w:r>
        <w:rPr>
          <w:rFonts w:hint="eastAsia"/>
          <w:color w:val="000000"/>
          <w:sz w:val="21"/>
          <w:szCs w:val="21"/>
          <w:highlight w:val="none"/>
        </w:rPr>
        <w:t xml:space="preserve">       传真：</w:t>
      </w:r>
      <w:r>
        <w:rPr>
          <w:rFonts w:hint="eastAsia"/>
          <w:color w:val="000000"/>
          <w:sz w:val="21"/>
          <w:szCs w:val="21"/>
          <w:highlight w:val="none"/>
          <w:u w:val="single"/>
        </w:rPr>
        <w:t xml:space="preserve">                </w:t>
      </w:r>
      <w:r/>
    </w:p>
    <w:p>
      <w:pPr>
        <w:spacing w:line="360" w:lineRule="auto"/>
        <w:rPr>
          <w:rFonts w:hint="eastAsia"/>
          <w:color w:val="000000"/>
          <w:sz w:val="21"/>
          <w:szCs w:val="21"/>
          <w:highlight w:val="none"/>
        </w:rPr>
      </w:pPr>
      <w:r>
        <w:rPr>
          <w:rFonts w:hint="eastAsia"/>
          <w:color w:val="000000"/>
          <w:sz w:val="21"/>
          <w:szCs w:val="21"/>
          <w:highlight w:val="none"/>
        </w:rPr>
        <w:t xml:space="preserve">电子邮件：</w:t>
      </w:r>
      <w:r>
        <w:rPr>
          <w:rFonts w:hint="eastAsia"/>
          <w:color w:val="000000"/>
          <w:sz w:val="21"/>
          <w:szCs w:val="21"/>
          <w:highlight w:val="none"/>
          <w:u w:val="single"/>
        </w:rPr>
        <w:t xml:space="preserve">                  </w:t>
      </w:r>
      <w:r>
        <w:rPr>
          <w:rFonts w:hint="eastAsia"/>
          <w:color w:val="000000"/>
          <w:sz w:val="21"/>
          <w:szCs w:val="21"/>
          <w:highlight w:val="none"/>
        </w:rPr>
        <w:t xml:space="preserve">         邮编：</w:t>
      </w:r>
      <w:r>
        <w:rPr>
          <w:rFonts w:hint="eastAsia"/>
          <w:color w:val="000000"/>
          <w:sz w:val="21"/>
          <w:szCs w:val="21"/>
          <w:highlight w:val="none"/>
          <w:u w:val="single"/>
        </w:rPr>
        <w:t xml:space="preserve">                  </w:t>
      </w:r>
      <w:r/>
    </w:p>
    <w:p>
      <w:pPr>
        <w:spacing w:line="360" w:lineRule="auto"/>
        <w:rPr>
          <w:rFonts w:hint="eastAsia"/>
          <w:color w:val="000000"/>
          <w:sz w:val="21"/>
          <w:szCs w:val="21"/>
          <w:highlight w:val="none"/>
        </w:rPr>
      </w:pPr>
      <w:r>
        <w:rPr>
          <w:rFonts w:hint="eastAsia"/>
          <w:color w:val="000000"/>
          <w:sz w:val="21"/>
          <w:szCs w:val="21"/>
          <w:highlight w:val="none"/>
        </w:rPr>
        <w:t xml:space="preserve">法定代表人或委托代理人（签字或签章）：</w:t>
      </w:r>
      <w:r>
        <w:rPr>
          <w:rFonts w:hint="eastAsia"/>
          <w:color w:val="000000"/>
          <w:sz w:val="21"/>
          <w:szCs w:val="21"/>
          <w:highlight w:val="none"/>
          <w:u w:val="single"/>
        </w:rPr>
        <w:t xml:space="preserve">                        </w:t>
      </w:r>
      <w:r/>
    </w:p>
    <w:p>
      <w:pPr>
        <w:spacing w:line="360" w:lineRule="auto"/>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p>
    <w:p>
      <w:pPr>
        <w:spacing w:line="400" w:lineRule="exact"/>
        <w:rPr>
          <w:rFonts w:hint="eastAsia"/>
          <w:b/>
          <w:color w:val="000000"/>
          <w:sz w:val="21"/>
          <w:szCs w:val="21"/>
          <w:highlight w:val="none"/>
        </w:rPr>
      </w:pPr>
      <w:r>
        <w:rPr>
          <w:rFonts w:hint="eastAsia"/>
          <w:b/>
          <w:color w:val="000000"/>
          <w:sz w:val="21"/>
          <w:szCs w:val="21"/>
          <w:highlight w:val="none"/>
        </w:rPr>
      </w:r>
      <w:r/>
    </w:p>
    <w:p>
      <w:pPr>
        <w:spacing w:line="400" w:lineRule="exact"/>
        <w:rPr>
          <w:rFonts w:hint="eastAsia"/>
          <w:b/>
          <w:color w:val="000000"/>
          <w:sz w:val="21"/>
          <w:szCs w:val="21"/>
          <w:highlight w:val="none"/>
        </w:rPr>
      </w:pPr>
      <w:r>
        <w:rPr>
          <w:rFonts w:hint="eastAsia"/>
          <w:b/>
          <w:color w:val="000000"/>
          <w:sz w:val="21"/>
          <w:szCs w:val="21"/>
          <w:highlight w:val="none"/>
        </w:rPr>
      </w:r>
      <w:r/>
    </w:p>
    <w:p>
      <w:pPr>
        <w:spacing w:line="400" w:lineRule="exact"/>
        <w:rPr>
          <w:rFonts w:hint="eastAsia"/>
          <w:b/>
          <w:color w:val="000000"/>
          <w:sz w:val="21"/>
          <w:szCs w:val="21"/>
          <w:highlight w:val="none"/>
        </w:rPr>
      </w:pPr>
      <w:r>
        <w:rPr>
          <w:rFonts w:hint="eastAsia"/>
          <w:b/>
          <w:color w:val="000000"/>
          <w:sz w:val="21"/>
          <w:szCs w:val="21"/>
          <w:highlight w:val="none"/>
        </w:rPr>
      </w:r>
      <w:r/>
    </w:p>
    <w:p>
      <w:pPr>
        <w:spacing w:line="400" w:lineRule="exact"/>
        <w:rPr>
          <w:rFonts w:hint="eastAsia"/>
          <w:b/>
          <w:color w:val="000000"/>
          <w:sz w:val="21"/>
          <w:szCs w:val="21"/>
          <w:highlight w:val="none"/>
        </w:rPr>
      </w:pPr>
      <w:r>
        <w:rPr>
          <w:rFonts w:hint="eastAsia"/>
          <w:b/>
          <w:color w:val="000000"/>
          <w:sz w:val="21"/>
          <w:szCs w:val="21"/>
          <w:highlight w:val="none"/>
        </w:rPr>
      </w:r>
      <w:r/>
    </w:p>
    <w:p>
      <w:pPr>
        <w:spacing w:line="400" w:lineRule="exact"/>
        <w:rPr>
          <w:rFonts w:hint="eastAsia"/>
          <w:b/>
          <w:color w:val="000000"/>
          <w:sz w:val="21"/>
          <w:szCs w:val="21"/>
          <w:highlight w:val="none"/>
        </w:rPr>
      </w:pPr>
      <w:r>
        <w:rPr>
          <w:rFonts w:hint="eastAsia"/>
          <w:b/>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p>
    <w:p>
      <w:pPr>
        <w:spacing w:line="400" w:lineRule="exact"/>
        <w:rPr>
          <w:rFonts w:cs="Times New Roman"/>
          <w:b/>
          <w:bCs/>
          <w:color w:val="000000"/>
          <w:spacing w:val="6"/>
          <w:highlight w:val="none"/>
        </w:rPr>
      </w:pPr>
      <w:r>
        <w:rPr>
          <w:rFonts w:hint="eastAsia"/>
          <w:b/>
          <w:color w:val="000000"/>
          <w:sz w:val="21"/>
          <w:szCs w:val="21"/>
          <w:highlight w:val="none"/>
        </w:rPr>
        <w:t xml:space="preserve">（4）中小企业声明函</w:t>
      </w:r>
      <w:r/>
    </w:p>
    <w:p>
      <w:pPr>
        <w:jc w:val="center"/>
        <w:spacing w:line="400" w:lineRule="exact"/>
        <w:rPr>
          <w:rFonts w:cs="Times New Roman"/>
          <w:b/>
          <w:color w:val="000000"/>
          <w:sz w:val="21"/>
          <w:szCs w:val="21"/>
          <w:highlight w:val="none"/>
          <w:lang w:val="zh-CN"/>
        </w:rPr>
      </w:pPr>
      <w:r>
        <w:rPr>
          <w:rFonts w:hint="eastAsia"/>
          <w:b/>
          <w:color w:val="000000"/>
          <w:sz w:val="21"/>
          <w:szCs w:val="21"/>
          <w:highlight w:val="none"/>
          <w:lang w:val="zh-CN"/>
        </w:rPr>
        <w:t xml:space="preserve">中小企业声明函</w:t>
      </w:r>
      <w:r/>
    </w:p>
    <w:p>
      <w:pPr>
        <w:spacing w:line="400" w:lineRule="exact"/>
        <w:rPr>
          <w:rFonts w:cs="Times New Roman"/>
          <w:color w:val="000000"/>
          <w:sz w:val="21"/>
          <w:szCs w:val="21"/>
          <w:highlight w:val="none"/>
          <w:lang w:val="zh-CN"/>
        </w:rPr>
      </w:pPr>
      <w:r>
        <w:rPr>
          <w:rFonts w:hint="eastAsia"/>
          <w:color w:val="000000"/>
          <w:sz w:val="21"/>
          <w:szCs w:val="21"/>
          <w:highlight w:val="none"/>
          <w:u w:val="single"/>
        </w:rPr>
        <w:t xml:space="preserve">                </w:t>
      </w:r>
      <w:r>
        <w:rPr>
          <w:rFonts w:hint="eastAsia"/>
          <w:color w:val="000000"/>
          <w:sz w:val="21"/>
          <w:szCs w:val="21"/>
          <w:highlight w:val="none"/>
          <w:lang w:val="zh-CN"/>
        </w:rPr>
        <w:t xml:space="preserve">：</w:t>
      </w:r>
      <w:r/>
    </w:p>
    <w:p>
      <w:pPr>
        <w:ind w:firstLine="420"/>
        <w:spacing w:line="360" w:lineRule="auto"/>
        <w:rPr>
          <w:color w:val="000000"/>
          <w:sz w:val="21"/>
          <w:szCs w:val="21"/>
          <w:highlight w:val="none"/>
        </w:rPr>
      </w:pPr>
      <w:r>
        <w:rPr>
          <w:rFonts w:hint="eastAsia"/>
          <w:color w:val="000000"/>
          <w:sz w:val="21"/>
          <w:szCs w:val="21"/>
          <w:highlight w:val="none"/>
        </w:rPr>
        <w:t xml:space="preserve">本公司郑重声明，根据《政府采购促进中小企业发展管理办法》（财库﹝2020﹞46 号）的规定，本公司（联合体）参加</w:t>
      </w:r>
      <w:r>
        <w:rPr>
          <w:rFonts w:hint="eastAsia"/>
          <w:color w:val="000000"/>
          <w:sz w:val="21"/>
          <w:szCs w:val="21"/>
          <w:highlight w:val="none"/>
          <w:u w:val="single"/>
        </w:rPr>
        <w:t xml:space="preserve">（单位名称）</w:t>
      </w:r>
      <w:r>
        <w:rPr>
          <w:rFonts w:hint="eastAsia"/>
          <w:color w:val="000000"/>
          <w:sz w:val="21"/>
          <w:szCs w:val="21"/>
          <w:highlight w:val="none"/>
        </w:rPr>
        <w:t xml:space="preserve">的</w:t>
      </w:r>
      <w:r>
        <w:rPr>
          <w:rFonts w:hint="eastAsia"/>
          <w:color w:val="000000"/>
          <w:sz w:val="21"/>
          <w:szCs w:val="21"/>
          <w:highlight w:val="none"/>
          <w:u w:val="single"/>
        </w:rPr>
        <w:t xml:space="preserve">（项目名称）</w:t>
      </w:r>
      <w:r>
        <w:rPr>
          <w:rFonts w:hint="eastAsia"/>
          <w:color w:val="000000"/>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tabs>
          <w:tab w:val="left" w:pos="1243" w:leader="none"/>
        </w:tabs>
        <w:rPr>
          <w:rFonts w:hint="eastAsia"/>
          <w:color w:val="000000"/>
          <w:sz w:val="21"/>
          <w:szCs w:val="21"/>
          <w:highlight w:val="none"/>
          <w:u w:val="single"/>
          <w:lang w:val="zh-CN" w:bidi="zh-CN"/>
        </w:rPr>
      </w:pPr>
      <w:r>
        <w:rPr>
          <w:rFonts w:hint="eastAsia"/>
          <w:color w:val="000000"/>
          <w:sz w:val="21"/>
          <w:szCs w:val="21"/>
          <w:highlight w:val="none"/>
          <w:lang w:bidi="zh-CN"/>
        </w:rPr>
        <w:t xml:space="preserve">1、</w:t>
      </w:r>
      <w:r>
        <w:rPr>
          <w:rFonts w:hint="eastAsia"/>
          <w:color w:val="000000"/>
          <w:sz w:val="21"/>
          <w:szCs w:val="21"/>
          <w:highlight w:val="none"/>
          <w:u w:val="single"/>
          <w:lang w:val="zh-CN" w:bidi="zh-CN"/>
        </w:rPr>
        <w:t xml:space="preserve">（标的名称）</w:t>
      </w:r>
      <w:r>
        <w:rPr>
          <w:rFonts w:hint="eastAsia"/>
          <w:color w:val="000000"/>
          <w:sz w:val="21"/>
          <w:szCs w:val="21"/>
          <w:highlight w:val="none"/>
          <w:lang w:val="zh-CN" w:bidi="zh-CN"/>
        </w:rPr>
        <w:t xml:space="preserve">，属于（</w:t>
      </w:r>
      <w:r>
        <w:rPr>
          <w:rFonts w:hint="eastAsia"/>
          <w:color w:val="000000"/>
          <w:sz w:val="21"/>
          <w:szCs w:val="21"/>
          <w:highlight w:val="none"/>
          <w:u w:val="single"/>
          <w:lang w:val="zh-CN" w:bidi="zh-CN"/>
        </w:rPr>
        <w:t xml:space="preserve">招标文件中明确的所属行业）</w:t>
      </w:r>
      <w:r>
        <w:rPr>
          <w:rFonts w:hint="eastAsia"/>
          <w:color w:val="000000"/>
          <w:sz w:val="21"/>
          <w:szCs w:val="21"/>
          <w:highlight w:val="none"/>
          <w:lang w:val="zh-CN" w:bidi="zh-CN"/>
        </w:rPr>
        <w:t xml:space="preserve">；</w:t>
      </w:r>
      <w:r>
        <w:rPr>
          <w:rFonts w:hint="eastAsia"/>
          <w:color w:val="000000"/>
          <w:sz w:val="21"/>
          <w:szCs w:val="21"/>
          <w:highlight w:val="none"/>
          <w:lang w:bidi="zh-CN"/>
        </w:rPr>
        <w:t xml:space="preserve">制造商</w:t>
      </w:r>
      <w:r>
        <w:rPr>
          <w:rFonts w:hint="eastAsia"/>
          <w:color w:val="000000"/>
          <w:sz w:val="21"/>
          <w:szCs w:val="21"/>
          <w:highlight w:val="none"/>
          <w:lang w:val="zh-CN" w:bidi="zh-CN"/>
        </w:rPr>
        <w:t xml:space="preserve">为</w:t>
      </w:r>
      <w:r>
        <w:rPr>
          <w:rFonts w:hint="eastAsia"/>
          <w:color w:val="000000"/>
          <w:sz w:val="21"/>
          <w:szCs w:val="21"/>
          <w:highlight w:val="none"/>
          <w:u w:val="single"/>
          <w:lang w:val="zh-CN" w:bidi="zh-CN"/>
        </w:rPr>
        <w:t xml:space="preserve">（企业名称）</w:t>
      </w:r>
      <w:r>
        <w:rPr>
          <w:rFonts w:hint="eastAsia"/>
          <w:color w:val="000000"/>
          <w:sz w:val="21"/>
          <w:szCs w:val="21"/>
          <w:highlight w:val="none"/>
          <w:lang w:val="zh-CN" w:bidi="zh-CN"/>
        </w:rPr>
        <w:t xml:space="preserve">，从业人员</w:t>
      </w:r>
      <w:r>
        <w:rPr>
          <w:rFonts w:hint="eastAsia"/>
          <w:color w:val="000000"/>
          <w:sz w:val="21"/>
          <w:szCs w:val="21"/>
          <w:highlight w:val="none"/>
          <w:u w:val="single"/>
          <w:lang w:bidi="zh-CN"/>
        </w:rPr>
        <w:t xml:space="preserve">     </w:t>
      </w:r>
      <w:r>
        <w:rPr>
          <w:rFonts w:hint="eastAsia"/>
          <w:color w:val="000000"/>
          <w:sz w:val="21"/>
          <w:szCs w:val="21"/>
          <w:highlight w:val="none"/>
          <w:lang w:val="zh-CN" w:bidi="zh-CN"/>
        </w:rPr>
        <w:t xml:space="preserve">人，营业收入为</w:t>
      </w:r>
      <w:r>
        <w:rPr>
          <w:rFonts w:hint="eastAsia"/>
          <w:color w:val="000000"/>
          <w:sz w:val="21"/>
          <w:szCs w:val="21"/>
          <w:highlight w:val="none"/>
          <w:u w:val="single"/>
          <w:lang w:bidi="zh-CN"/>
        </w:rPr>
        <w:t xml:space="preserve">     </w:t>
      </w:r>
      <w:r>
        <w:rPr>
          <w:rFonts w:hint="eastAsia"/>
          <w:color w:val="000000"/>
          <w:sz w:val="21"/>
          <w:szCs w:val="21"/>
          <w:highlight w:val="none"/>
          <w:lang w:val="zh-CN" w:bidi="zh-CN"/>
        </w:rPr>
        <w:t xml:space="preserve">万元，资产总额为</w:t>
      </w:r>
      <w:r>
        <w:rPr>
          <w:rFonts w:hint="eastAsia"/>
          <w:color w:val="000000"/>
          <w:sz w:val="21"/>
          <w:szCs w:val="21"/>
          <w:highlight w:val="none"/>
          <w:u w:val="single"/>
          <w:lang w:bidi="zh-CN"/>
        </w:rPr>
        <w:t xml:space="preserve">     </w:t>
      </w:r>
      <w:r>
        <w:rPr>
          <w:rFonts w:hint="eastAsia"/>
          <w:color w:val="000000"/>
          <w:sz w:val="21"/>
          <w:szCs w:val="21"/>
          <w:highlight w:val="none"/>
          <w:lang w:val="zh-CN" w:bidi="zh-CN"/>
        </w:rPr>
        <w:t xml:space="preserve">万元，属于</w:t>
      </w:r>
      <w:r>
        <w:rPr>
          <w:rFonts w:hint="eastAsia"/>
          <w:color w:val="000000"/>
          <w:sz w:val="21"/>
          <w:szCs w:val="21"/>
          <w:highlight w:val="none"/>
          <w:u w:val="single"/>
          <w:lang w:bidi="zh-CN"/>
        </w:rPr>
        <w:t xml:space="preserve">       </w:t>
      </w:r>
      <w:r>
        <w:rPr>
          <w:rFonts w:hint="eastAsia"/>
          <w:color w:val="000000"/>
          <w:sz w:val="21"/>
          <w:szCs w:val="21"/>
          <w:highlight w:val="none"/>
          <w:u w:val="single"/>
          <w:lang w:val="zh-CN" w:bidi="zh-CN"/>
        </w:rPr>
        <w:t xml:space="preserve">（□中型企业、□小型企业、□微型企业）</w:t>
      </w:r>
      <w:r>
        <w:rPr>
          <w:rFonts w:hint="eastAsia"/>
          <w:color w:val="000000"/>
          <w:sz w:val="21"/>
          <w:szCs w:val="21"/>
          <w:highlight w:val="none"/>
          <w:lang w:val="zh-CN" w:bidi="zh-CN"/>
        </w:rPr>
        <w:t xml:space="preserve">；</w:t>
      </w:r>
      <w:r/>
    </w:p>
    <w:p>
      <w:pPr>
        <w:ind w:firstLine="420"/>
        <w:spacing w:line="360" w:lineRule="auto"/>
        <w:tabs>
          <w:tab w:val="left" w:pos="1243" w:leader="none"/>
        </w:tabs>
        <w:rPr>
          <w:rFonts w:hint="eastAsia"/>
          <w:color w:val="000000"/>
          <w:sz w:val="21"/>
          <w:szCs w:val="21"/>
          <w:highlight w:val="none"/>
          <w:u w:val="single"/>
          <w:lang w:val="zh-CN" w:bidi="zh-CN"/>
        </w:rPr>
      </w:pPr>
      <w:r>
        <w:rPr>
          <w:rFonts w:hint="eastAsia"/>
          <w:color w:val="000000"/>
          <w:sz w:val="21"/>
          <w:szCs w:val="21"/>
          <w:highlight w:val="none"/>
          <w:lang w:bidi="zh-CN"/>
        </w:rPr>
        <w:t xml:space="preserve">2、</w:t>
      </w:r>
      <w:r>
        <w:rPr>
          <w:rFonts w:hint="eastAsia"/>
          <w:color w:val="000000"/>
          <w:sz w:val="21"/>
          <w:szCs w:val="21"/>
          <w:highlight w:val="none"/>
          <w:u w:val="single"/>
          <w:lang w:val="zh-CN" w:bidi="zh-CN"/>
        </w:rPr>
        <w:t xml:space="preserve">（标的名称）</w:t>
      </w:r>
      <w:r>
        <w:rPr>
          <w:rFonts w:hint="eastAsia"/>
          <w:color w:val="000000"/>
          <w:sz w:val="21"/>
          <w:szCs w:val="21"/>
          <w:highlight w:val="none"/>
          <w:lang w:val="zh-CN" w:bidi="zh-CN"/>
        </w:rPr>
        <w:t xml:space="preserve">，属于（</w:t>
      </w:r>
      <w:r>
        <w:rPr>
          <w:rFonts w:hint="eastAsia"/>
          <w:color w:val="000000"/>
          <w:sz w:val="21"/>
          <w:szCs w:val="21"/>
          <w:highlight w:val="none"/>
          <w:u w:val="single"/>
          <w:lang w:val="zh-CN" w:bidi="zh-CN"/>
        </w:rPr>
        <w:t xml:space="preserve">招标文件中明确的所属行业）</w:t>
      </w:r>
      <w:r>
        <w:rPr>
          <w:rFonts w:hint="eastAsia"/>
          <w:color w:val="000000"/>
          <w:sz w:val="21"/>
          <w:szCs w:val="21"/>
          <w:highlight w:val="none"/>
          <w:lang w:val="zh-CN" w:bidi="zh-CN"/>
        </w:rPr>
        <w:t xml:space="preserve">；</w:t>
      </w:r>
      <w:r>
        <w:rPr>
          <w:rFonts w:hint="eastAsia"/>
          <w:color w:val="000000"/>
          <w:sz w:val="21"/>
          <w:szCs w:val="21"/>
          <w:highlight w:val="none"/>
          <w:lang w:bidi="zh-CN"/>
        </w:rPr>
        <w:t xml:space="preserve">制造商</w:t>
      </w:r>
      <w:r>
        <w:rPr>
          <w:rFonts w:hint="eastAsia"/>
          <w:color w:val="000000"/>
          <w:sz w:val="21"/>
          <w:szCs w:val="21"/>
          <w:highlight w:val="none"/>
          <w:lang w:val="zh-CN" w:bidi="zh-CN"/>
        </w:rPr>
        <w:t xml:space="preserve">为</w:t>
      </w:r>
      <w:r>
        <w:rPr>
          <w:rFonts w:hint="eastAsia"/>
          <w:color w:val="000000"/>
          <w:sz w:val="21"/>
          <w:szCs w:val="21"/>
          <w:highlight w:val="none"/>
          <w:u w:val="single"/>
          <w:lang w:val="zh-CN" w:bidi="zh-CN"/>
        </w:rPr>
        <w:t xml:space="preserve">（企业名称）</w:t>
      </w:r>
      <w:r>
        <w:rPr>
          <w:rFonts w:hint="eastAsia"/>
          <w:color w:val="000000"/>
          <w:sz w:val="21"/>
          <w:szCs w:val="21"/>
          <w:highlight w:val="none"/>
          <w:lang w:val="zh-CN" w:bidi="zh-CN"/>
        </w:rPr>
        <w:t xml:space="preserve">，从业人员</w:t>
      </w:r>
      <w:r>
        <w:rPr>
          <w:rFonts w:hint="eastAsia"/>
          <w:color w:val="000000"/>
          <w:sz w:val="21"/>
          <w:szCs w:val="21"/>
          <w:highlight w:val="none"/>
          <w:u w:val="single"/>
          <w:lang w:bidi="zh-CN"/>
        </w:rPr>
        <w:t xml:space="preserve">     </w:t>
      </w:r>
      <w:r>
        <w:rPr>
          <w:rFonts w:hint="eastAsia"/>
          <w:color w:val="000000"/>
          <w:sz w:val="21"/>
          <w:szCs w:val="21"/>
          <w:highlight w:val="none"/>
          <w:lang w:val="zh-CN" w:bidi="zh-CN"/>
        </w:rPr>
        <w:t xml:space="preserve">人，营业收入为</w:t>
      </w:r>
      <w:r>
        <w:rPr>
          <w:rFonts w:hint="eastAsia"/>
          <w:color w:val="000000"/>
          <w:sz w:val="21"/>
          <w:szCs w:val="21"/>
          <w:highlight w:val="none"/>
          <w:u w:val="single"/>
          <w:lang w:bidi="zh-CN"/>
        </w:rPr>
        <w:t xml:space="preserve">     </w:t>
      </w:r>
      <w:r>
        <w:rPr>
          <w:rFonts w:hint="eastAsia"/>
          <w:color w:val="000000"/>
          <w:sz w:val="21"/>
          <w:szCs w:val="21"/>
          <w:highlight w:val="none"/>
          <w:lang w:val="zh-CN" w:bidi="zh-CN"/>
        </w:rPr>
        <w:t xml:space="preserve">万元，资产总额为</w:t>
      </w:r>
      <w:r>
        <w:rPr>
          <w:rFonts w:hint="eastAsia"/>
          <w:color w:val="000000"/>
          <w:sz w:val="21"/>
          <w:szCs w:val="21"/>
          <w:highlight w:val="none"/>
          <w:u w:val="single"/>
          <w:lang w:bidi="zh-CN"/>
        </w:rPr>
        <w:t xml:space="preserve">     </w:t>
      </w:r>
      <w:r>
        <w:rPr>
          <w:rFonts w:hint="eastAsia"/>
          <w:color w:val="000000"/>
          <w:sz w:val="21"/>
          <w:szCs w:val="21"/>
          <w:highlight w:val="none"/>
          <w:lang w:val="zh-CN" w:bidi="zh-CN"/>
        </w:rPr>
        <w:t xml:space="preserve">万元，属于</w:t>
      </w:r>
      <w:r>
        <w:rPr>
          <w:rFonts w:hint="eastAsia"/>
          <w:color w:val="000000"/>
          <w:sz w:val="21"/>
          <w:szCs w:val="21"/>
          <w:highlight w:val="none"/>
          <w:u w:val="single"/>
          <w:lang w:bidi="zh-CN"/>
        </w:rPr>
        <w:t xml:space="preserve">       </w:t>
      </w:r>
      <w:r>
        <w:rPr>
          <w:rFonts w:hint="eastAsia"/>
          <w:color w:val="000000"/>
          <w:sz w:val="21"/>
          <w:szCs w:val="21"/>
          <w:highlight w:val="none"/>
          <w:u w:val="single"/>
          <w:lang w:val="zh-CN" w:bidi="zh-CN"/>
        </w:rPr>
        <w:t xml:space="preserve">（□中型企业、□小型企业、□微型企业）</w:t>
      </w:r>
      <w:r>
        <w:rPr>
          <w:rFonts w:hint="eastAsia"/>
          <w:color w:val="000000"/>
          <w:sz w:val="21"/>
          <w:szCs w:val="21"/>
          <w:highlight w:val="none"/>
          <w:lang w:val="zh-CN" w:bidi="zh-CN"/>
        </w:rPr>
        <w:t xml:space="preserve">；</w:t>
      </w:r>
      <w:r/>
    </w:p>
    <w:p>
      <w:pPr>
        <w:ind w:firstLine="420"/>
        <w:spacing w:line="360" w:lineRule="auto"/>
        <w:rPr>
          <w:rFonts w:hint="eastAsia"/>
          <w:color w:val="000000"/>
          <w:sz w:val="21"/>
          <w:szCs w:val="21"/>
          <w:highlight w:val="none"/>
        </w:rPr>
      </w:pPr>
      <w:r>
        <w:rPr>
          <w:rFonts w:hint="eastAsia"/>
          <w:color w:val="000000"/>
          <w:sz w:val="21"/>
          <w:szCs w:val="21"/>
          <w:highlight w:val="none"/>
        </w:rPr>
        <w:t xml:space="preserve">……</w:t>
      </w:r>
      <w:r/>
    </w:p>
    <w:p>
      <w:pPr>
        <w:pStyle w:val="990"/>
        <w:ind w:firstLine="420"/>
        <w:widowControl w:val="off"/>
        <w:rPr>
          <w:rFonts w:hint="eastAsia" w:hAnsi="宋体"/>
          <w:color w:val="000000"/>
          <w:sz w:val="21"/>
          <w:szCs w:val="21"/>
          <w:highlight w:val="none"/>
        </w:rPr>
      </w:pPr>
      <w:r>
        <w:rPr>
          <w:rFonts w:hint="eastAsia"/>
          <w:color w:val="000000"/>
          <w:sz w:val="21"/>
          <w:szCs w:val="21"/>
          <w:highlight w:val="none"/>
        </w:rPr>
        <w:t xml:space="preserve"> </w:t>
      </w:r>
      <w:r/>
    </w:p>
    <w:p>
      <w:pPr>
        <w:ind w:firstLine="420"/>
        <w:spacing w:line="360" w:lineRule="auto"/>
        <w:rPr>
          <w:rFonts w:hint="eastAsia"/>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p>
    <w:p>
      <w:pPr>
        <w:pStyle w:val="990"/>
        <w:ind w:firstLine="420"/>
        <w:widowControl w:val="off"/>
        <w:rPr>
          <w:rFonts w:hint="eastAsia" w:hAnsi="宋体"/>
          <w:color w:val="000000"/>
          <w:sz w:val="21"/>
          <w:szCs w:val="21"/>
          <w:highlight w:val="none"/>
        </w:rPr>
      </w:pPr>
      <w:r>
        <w:rPr>
          <w:rFonts w:hint="eastAsia"/>
          <w:color w:val="000000"/>
          <w:sz w:val="21"/>
          <w:szCs w:val="21"/>
          <w:highlight w:val="none"/>
        </w:rPr>
        <w:t xml:space="preserve"> </w:t>
      </w:r>
      <w:r/>
    </w:p>
    <w:p>
      <w:pPr>
        <w:ind w:firstLine="630"/>
        <w:jc w:val="center"/>
        <w:spacing w:line="360" w:lineRule="auto"/>
        <w:rPr>
          <w:rFonts w:hint="eastAsia"/>
          <w:color w:val="000000"/>
          <w:sz w:val="21"/>
          <w:szCs w:val="21"/>
          <w:highlight w:val="none"/>
        </w:rPr>
      </w:pPr>
      <w:r>
        <w:rPr>
          <w:rFonts w:hint="eastAsia"/>
          <w:color w:val="000000"/>
          <w:sz w:val="21"/>
          <w:szCs w:val="21"/>
          <w:highlight w:val="none"/>
        </w:rPr>
        <w:t xml:space="preserve">   企业名称（盖章）：</w:t>
      </w:r>
      <w:r/>
    </w:p>
    <w:p>
      <w:pPr>
        <w:ind w:firstLine="4515"/>
        <w:spacing w:line="360" w:lineRule="auto"/>
        <w:rPr>
          <w:rFonts w:hint="eastAsia"/>
          <w:color w:val="000000"/>
          <w:sz w:val="21"/>
          <w:szCs w:val="21"/>
          <w:highlight w:val="none"/>
        </w:rPr>
      </w:pPr>
      <w:r>
        <w:rPr>
          <w:rFonts w:hint="eastAsia"/>
          <w:color w:val="000000"/>
          <w:sz w:val="21"/>
          <w:szCs w:val="21"/>
          <w:highlight w:val="none"/>
        </w:rPr>
        <w:t xml:space="preserve">日期：</w:t>
      </w:r>
      <w:r/>
    </w:p>
    <w:p>
      <w:pPr>
        <w:ind w:firstLine="630"/>
        <w:spacing w:line="400" w:lineRule="exact"/>
        <w:rPr>
          <w:rFonts w:hint="eastAsia"/>
          <w:color w:val="000000"/>
          <w:sz w:val="21"/>
          <w:szCs w:val="21"/>
          <w:highlight w:val="none"/>
        </w:rPr>
      </w:pPr>
      <w:r>
        <w:rPr>
          <w:rFonts w:hint="eastAsia"/>
          <w:color w:val="000000"/>
          <w:sz w:val="21"/>
          <w:szCs w:val="21"/>
          <w:highlight w:val="none"/>
        </w:rPr>
        <w:t xml:space="preserve"> </w:t>
      </w:r>
      <w:r/>
    </w:p>
    <w:p>
      <w:pPr>
        <w:ind w:firstLine="200"/>
        <w:jc w:val="left"/>
        <w:rPr>
          <w:rFonts w:hint="eastAsia"/>
          <w:b/>
          <w:bCs/>
          <w:color w:val="000000"/>
          <w:sz w:val="21"/>
          <w:szCs w:val="21"/>
          <w:highlight w:val="none"/>
        </w:rPr>
      </w:pPr>
      <w:r>
        <w:rPr>
          <w:rFonts w:hint="eastAsia"/>
          <w:b/>
          <w:bCs/>
          <w:color w:val="000000"/>
          <w:sz w:val="21"/>
          <w:szCs w:val="21"/>
          <w:highlight w:val="none"/>
        </w:rPr>
        <w:t xml:space="preserve"> </w:t>
      </w:r>
      <w:r/>
    </w:p>
    <w:p>
      <w:pPr>
        <w:spacing w:line="440" w:lineRule="exact"/>
        <w:rPr>
          <w:rFonts w:hint="eastAsia"/>
          <w:bCs/>
          <w:color w:val="000000"/>
          <w:sz w:val="21"/>
          <w:szCs w:val="21"/>
          <w:highlight w:val="none"/>
        </w:rPr>
      </w:pPr>
      <w:r>
        <w:rPr>
          <w:rFonts w:hint="eastAsia"/>
          <w:b/>
          <w:color w:val="000000"/>
          <w:sz w:val="21"/>
          <w:szCs w:val="21"/>
          <w:highlight w:val="none"/>
        </w:rPr>
        <w:t xml:space="preserve">注：</w:t>
      </w:r>
      <w:r>
        <w:rPr>
          <w:rFonts w:hint="eastAsia"/>
          <w:bCs/>
          <w:color w:val="000000"/>
          <w:sz w:val="21"/>
          <w:szCs w:val="21"/>
          <w:highlight w:val="none"/>
        </w:rPr>
        <w:t xml:space="preserve">1、从业人员、营业收入、资产总额填报上一年度数据，无上一年度数据的新成立企业可不填报。</w:t>
      </w:r>
      <w:r/>
    </w:p>
    <w:p>
      <w:pPr>
        <w:ind w:firstLine="422"/>
        <w:spacing w:line="440" w:lineRule="exact"/>
        <w:rPr>
          <w:rFonts w:hint="eastAsia"/>
          <w:b/>
          <w:color w:val="000000"/>
          <w:sz w:val="21"/>
          <w:szCs w:val="21"/>
          <w:highlight w:val="none"/>
        </w:rPr>
      </w:pPr>
      <w:r>
        <w:rPr>
          <w:rFonts w:hint="eastAsia"/>
          <w:b/>
          <w:color w:val="000000"/>
          <w:sz w:val="21"/>
          <w:szCs w:val="21"/>
          <w:highlight w:val="none"/>
        </w:rPr>
        <w:t xml:space="preserve">2、涉及多个采购标的的项目，供应商应当逐一填报与采购项目属性一致的每个采购标的（主要采购标的，不包括配件、辅料等）的制造商或者承建（承接）供应商信息。</w:t>
      </w:r>
      <w:r/>
    </w:p>
    <w:p>
      <w:pPr>
        <w:ind w:firstLine="422"/>
        <w:spacing w:line="440" w:lineRule="exact"/>
        <w:rPr>
          <w:rFonts w:hint="eastAsia"/>
          <w:b/>
          <w:color w:val="000000"/>
          <w:sz w:val="21"/>
          <w:szCs w:val="21"/>
          <w:highlight w:val="none"/>
        </w:rPr>
      </w:pPr>
      <w:r>
        <w:rPr>
          <w:rFonts w:hint="eastAsia"/>
          <w:b/>
          <w:color w:val="000000"/>
          <w:sz w:val="21"/>
          <w:szCs w:val="21"/>
          <w:highlight w:val="none"/>
        </w:rPr>
        <w:t xml:space="preserve">3、如未对（□中型企业、□小型企业、□微型企业）进行勾选，视同非中小微企业，为无效投标。</w:t>
      </w:r>
      <w:r/>
    </w:p>
    <w:p>
      <w:pPr>
        <w:ind w:firstLine="420"/>
        <w:spacing w:line="440" w:lineRule="exact"/>
        <w:rPr>
          <w:rFonts w:hint="eastAsia"/>
          <w:b/>
          <w:color w:val="000000"/>
          <w:sz w:val="21"/>
          <w:szCs w:val="21"/>
          <w:highlight w:val="none"/>
        </w:rPr>
      </w:pPr>
      <w:r>
        <w:rPr>
          <w:rFonts w:hint="eastAsia"/>
          <w:bCs/>
          <w:color w:val="000000"/>
          <w:sz w:val="21"/>
          <w:szCs w:val="21"/>
          <w:highlight w:val="none"/>
        </w:rPr>
        <w:t xml:space="preserve">4、</w:t>
      </w:r>
      <w:r>
        <w:rPr>
          <w:rFonts w:hint="eastAsia"/>
          <w:bCs/>
          <w:color w:val="000000"/>
          <w:sz w:val="21"/>
          <w:szCs w:val="21"/>
          <w:highlight w:val="none"/>
          <w:lang w:val="zh-CN"/>
        </w:rPr>
        <w:t xml:space="preserve">若</w:t>
      </w:r>
      <w:r>
        <w:rPr>
          <w:rFonts w:hint="eastAsia"/>
          <w:bCs/>
          <w:color w:val="000000"/>
          <w:sz w:val="21"/>
          <w:szCs w:val="21"/>
          <w:highlight w:val="none"/>
        </w:rPr>
        <w:t xml:space="preserve">投标单位</w:t>
      </w:r>
      <w:r>
        <w:rPr>
          <w:rFonts w:hint="eastAsia"/>
          <w:bCs/>
          <w:color w:val="000000"/>
          <w:sz w:val="21"/>
          <w:szCs w:val="21"/>
          <w:highlight w:val="none"/>
          <w:lang w:val="zh-CN"/>
        </w:rPr>
        <w:t xml:space="preserve">提供的“中小企业声明函”内容不实的，属于提供虚假材料谋取中标、成交，依照《中华人民共和国政府采购法》等国家有关规定追究相应责任。</w:t>
      </w:r>
      <w:r/>
    </w:p>
    <w:p>
      <w:pPr>
        <w:spacing w:line="440" w:lineRule="exact"/>
        <w:rPr>
          <w:b/>
          <w:color w:val="000000"/>
          <w:sz w:val="21"/>
          <w:szCs w:val="21"/>
          <w:highlight w:val="none"/>
        </w:rPr>
      </w:pPr>
      <w:r>
        <w:rPr>
          <w:rFonts w:hint="eastAsia"/>
          <w:b/>
          <w:color w:val="000000"/>
          <w:sz w:val="21"/>
          <w:szCs w:val="21"/>
          <w:highlight w:val="none"/>
        </w:rPr>
        <w:t xml:space="preserve">附：中小企业划型标准规定</w:t>
      </w:r>
      <w:r/>
    </w:p>
    <w:p>
      <w:pPr>
        <w:ind w:firstLine="422"/>
        <w:spacing w:line="440" w:lineRule="exact"/>
        <w:rPr>
          <w:color w:val="000000"/>
          <w:sz w:val="21"/>
          <w:szCs w:val="21"/>
          <w:highlight w:val="none"/>
        </w:rPr>
      </w:pPr>
      <w:r>
        <w:rPr>
          <w:rFonts w:hint="eastAsia"/>
          <w:b/>
          <w:color w:val="000000"/>
          <w:sz w:val="21"/>
          <w:szCs w:val="21"/>
          <w:highlight w:val="none"/>
        </w:rPr>
        <w:t xml:space="preserve">（一）农、林、牧、渔业。</w:t>
      </w:r>
      <w:r>
        <w:rPr>
          <w:rFonts w:hint="eastAsia"/>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（二）工业。</w:t>
      </w:r>
      <w:r>
        <w:rPr>
          <w:rFonts w:hint="eastAsia"/>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（三）建筑业。</w:t>
      </w:r>
      <w:r>
        <w:rPr>
          <w:rFonts w:hint="eastAsia"/>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（四）批发业。</w:t>
      </w:r>
      <w:r>
        <w:rPr>
          <w:rFonts w:hint="eastAsia"/>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（五）零售业。</w:t>
      </w:r>
      <w:r>
        <w:rPr>
          <w:rFonts w:hint="eastAsia"/>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（六）交通运输业。</w:t>
      </w:r>
      <w:r>
        <w:rPr>
          <w:rFonts w:hint="eastAsia"/>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（七）仓储业。</w:t>
      </w:r>
      <w:r>
        <w:rPr>
          <w:rFonts w:hint="eastAsia"/>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（八）邮政业。</w:t>
      </w:r>
      <w:r>
        <w:rPr>
          <w:rFonts w:hint="eastAsia"/>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（九）住宿业。</w:t>
      </w:r>
      <w:r>
        <w:rPr>
          <w:rFonts w:hint="eastAsia"/>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（十）餐饮业。</w:t>
      </w:r>
      <w:r>
        <w:rPr>
          <w:rFonts w:hint="eastAsia"/>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（十一）信息传输业。</w:t>
      </w:r>
      <w:r>
        <w:rPr>
          <w:rFonts w:hint="eastAsia"/>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（十二）软件和信息技术服务业。</w:t>
      </w:r>
      <w:r>
        <w:rPr>
          <w:rFonts w:hint="eastAsia"/>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（十三）房地产开发经营。</w:t>
      </w:r>
      <w:r>
        <w:rPr>
          <w:rFonts w:hint="eastAsia"/>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440" w:lineRule="exact"/>
        <w:rPr>
          <w:color w:val="000000"/>
          <w:sz w:val="21"/>
          <w:szCs w:val="21"/>
          <w:highlight w:val="none"/>
        </w:rPr>
      </w:pPr>
      <w:r>
        <w:rPr>
          <w:rFonts w:hint="eastAsia"/>
          <w:b/>
          <w:color w:val="000000"/>
          <w:sz w:val="21"/>
          <w:szCs w:val="21"/>
          <w:highlight w:val="none"/>
        </w:rPr>
        <w:t xml:space="preserve">（十四）物业管理。</w:t>
      </w:r>
      <w:r>
        <w:rPr>
          <w:rFonts w:hint="eastAsia"/>
          <w:color w:val="000000"/>
          <w:sz w:val="21"/>
          <w:szCs w:val="21"/>
          <w:highlight w:val="none"/>
        </w:rPr>
        <w:t xml:space="preserve">从业人员1000人以下或营业收入5000万元以下的为中小微型企业。其中，从业人员</w:t>
      </w:r>
      <w:r/>
    </w:p>
    <w:p>
      <w:pPr>
        <w:spacing w:line="440" w:lineRule="exact"/>
        <w:rPr>
          <w:color w:val="000000"/>
          <w:sz w:val="21"/>
          <w:szCs w:val="21"/>
          <w:highlight w:val="none"/>
        </w:rPr>
      </w:pPr>
      <w:r>
        <w:rPr>
          <w:rFonts w:hint="eastAsia"/>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440" w:lineRule="exact"/>
        <w:rPr>
          <w:rFonts w:hint="eastAsia"/>
          <w:color w:val="000000"/>
          <w:sz w:val="21"/>
          <w:szCs w:val="21"/>
          <w:highlight w:val="none"/>
        </w:rPr>
      </w:pPr>
      <w:r>
        <w:rPr>
          <w:rFonts w:hint="eastAsia"/>
          <w:b/>
          <w:color w:val="000000"/>
          <w:sz w:val="21"/>
          <w:szCs w:val="21"/>
          <w:highlight w:val="none"/>
        </w:rPr>
        <w:t xml:space="preserve">（十五）租赁和商务服务业。</w:t>
      </w:r>
      <w:r>
        <w:rPr>
          <w:rFonts w:hint="eastAsia"/>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440" w:lineRule="exact"/>
        <w:rPr>
          <w:rFonts w:hint="eastAsia"/>
          <w:color w:val="000000"/>
          <w:sz w:val="21"/>
          <w:szCs w:val="21"/>
          <w:highlight w:val="none"/>
        </w:rPr>
      </w:pPr>
      <w:r>
        <w:rPr>
          <w:rFonts w:hint="eastAsia"/>
          <w:b/>
          <w:color w:val="000000"/>
          <w:sz w:val="21"/>
          <w:szCs w:val="21"/>
          <w:highlight w:val="none"/>
        </w:rPr>
        <w:t xml:space="preserve">（十六）其他未列明行业。</w:t>
      </w:r>
      <w:r>
        <w:rPr>
          <w:rFonts w:hint="eastAsia"/>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855"/>
        <w:rPr>
          <w:rFonts w:hint="eastAsia"/>
          <w:color w:val="000000"/>
          <w:sz w:val="21"/>
          <w:szCs w:val="21"/>
          <w:highlight w:val="none"/>
        </w:rPr>
      </w:pPr>
      <w:r>
        <w:rPr>
          <w:rFonts w:hint="eastAsia"/>
          <w:color w:val="000000"/>
          <w:sz w:val="21"/>
          <w:szCs w:val="21"/>
          <w:highlight w:val="none"/>
        </w:rPr>
      </w:r>
      <w:r/>
    </w:p>
    <w:p>
      <w:pPr>
        <w:rPr>
          <w:rFonts w:hint="eastAsia"/>
          <w:color w:val="000000"/>
          <w:sz w:val="21"/>
          <w:szCs w:val="21"/>
          <w:highlight w:val="none"/>
        </w:rPr>
      </w:pPr>
      <w:r>
        <w:rPr>
          <w:rFonts w:hint="eastAsia"/>
          <w:color w:val="000000"/>
          <w:sz w:val="21"/>
          <w:szCs w:val="21"/>
          <w:highlight w:val="none"/>
        </w:rPr>
      </w:r>
      <w:r/>
    </w:p>
    <w:p>
      <w:pPr>
        <w:pStyle w:val="855"/>
        <w:rPr>
          <w:rFonts w:hint="eastAsia"/>
          <w:color w:val="000000"/>
          <w:sz w:val="21"/>
          <w:szCs w:val="21"/>
          <w:highlight w:val="none"/>
        </w:rPr>
      </w:pPr>
      <w:r>
        <w:rPr>
          <w:rFonts w:hint="eastAsia"/>
          <w:color w:val="000000"/>
          <w:sz w:val="21"/>
          <w:szCs w:val="21"/>
          <w:highlight w:val="none"/>
        </w:rPr>
      </w:r>
      <w:r/>
    </w:p>
    <w:p>
      <w:pPr>
        <w:rPr>
          <w:rFonts w:hint="eastAsia"/>
          <w:color w:val="000000"/>
          <w:sz w:val="21"/>
          <w:szCs w:val="21"/>
          <w:highlight w:val="none"/>
        </w:rPr>
      </w:pPr>
      <w:r>
        <w:rPr>
          <w:rFonts w:hint="eastAsia"/>
          <w:color w:val="000000"/>
          <w:sz w:val="21"/>
          <w:szCs w:val="21"/>
          <w:highlight w:val="none"/>
        </w:rPr>
      </w:r>
      <w:r/>
    </w:p>
    <w:p>
      <w:pPr>
        <w:pStyle w:val="855"/>
        <w:rPr>
          <w:rFonts w:hint="eastAsia"/>
          <w:color w:val="000000"/>
          <w:sz w:val="21"/>
          <w:szCs w:val="21"/>
          <w:highlight w:val="none"/>
        </w:rPr>
      </w:pPr>
      <w:r>
        <w:rPr>
          <w:rFonts w:hint="eastAsia"/>
          <w:color w:val="000000"/>
          <w:sz w:val="21"/>
          <w:szCs w:val="21"/>
          <w:highlight w:val="none"/>
        </w:rPr>
      </w:r>
      <w:r/>
    </w:p>
    <w:p>
      <w:pPr>
        <w:rPr>
          <w:rFonts w:hint="eastAsia"/>
          <w:color w:val="000000"/>
          <w:sz w:val="21"/>
          <w:szCs w:val="21"/>
          <w:highlight w:val="none"/>
        </w:rPr>
      </w:pPr>
      <w:r>
        <w:rPr>
          <w:rFonts w:hint="eastAsia"/>
          <w:color w:val="000000"/>
          <w:sz w:val="21"/>
          <w:szCs w:val="21"/>
          <w:highlight w:val="none"/>
        </w:rPr>
      </w:r>
      <w:r/>
    </w:p>
    <w:p>
      <w:pPr>
        <w:pStyle w:val="855"/>
        <w:rPr>
          <w:rFonts w:hint="eastAsia"/>
          <w:color w:val="000000"/>
          <w:sz w:val="21"/>
          <w:szCs w:val="21"/>
          <w:highlight w:val="none"/>
        </w:rPr>
      </w:pPr>
      <w:r>
        <w:rPr>
          <w:rFonts w:hint="eastAsia"/>
          <w:color w:val="000000"/>
          <w:sz w:val="21"/>
          <w:szCs w:val="21"/>
          <w:highlight w:val="none"/>
        </w:rPr>
      </w:r>
      <w:r/>
    </w:p>
    <w:p>
      <w:pPr>
        <w:rPr>
          <w:rFonts w:hint="eastAsia"/>
          <w:color w:val="000000"/>
          <w:sz w:val="21"/>
          <w:szCs w:val="21"/>
          <w:highlight w:val="none"/>
        </w:rPr>
      </w:pPr>
      <w:r>
        <w:rPr>
          <w:rFonts w:hint="eastAsia"/>
          <w:color w:val="000000"/>
          <w:sz w:val="21"/>
          <w:szCs w:val="21"/>
          <w:highlight w:val="none"/>
        </w:rPr>
      </w:r>
      <w:r/>
    </w:p>
    <w:p>
      <w:pPr>
        <w:pStyle w:val="855"/>
        <w:rPr>
          <w:rFonts w:hint="eastAsia"/>
          <w:color w:val="000000"/>
          <w:sz w:val="21"/>
          <w:szCs w:val="21"/>
          <w:highlight w:val="none"/>
        </w:rPr>
      </w:pPr>
      <w:r>
        <w:rPr>
          <w:rFonts w:hint="eastAsia"/>
          <w:color w:val="000000"/>
          <w:sz w:val="21"/>
          <w:szCs w:val="21"/>
          <w:highlight w:val="none"/>
        </w:rPr>
      </w:r>
      <w:r/>
    </w:p>
    <w:p>
      <w:pPr>
        <w:rPr>
          <w:rFonts w:hint="eastAsia"/>
          <w:color w:val="000000"/>
          <w:sz w:val="21"/>
          <w:szCs w:val="21"/>
          <w:highlight w:val="none"/>
        </w:rPr>
      </w:pPr>
      <w:r>
        <w:rPr>
          <w:rFonts w:hint="eastAsia"/>
          <w:color w:val="000000"/>
          <w:sz w:val="21"/>
          <w:szCs w:val="21"/>
          <w:highlight w:val="none"/>
        </w:rPr>
      </w:r>
      <w:r/>
    </w:p>
    <w:p>
      <w:pPr>
        <w:pStyle w:val="856"/>
        <w:rPr>
          <w:color w:val="000000"/>
          <w:highlight w:val="none"/>
        </w:rPr>
      </w:pPr>
      <w:r>
        <w:rPr>
          <w:color w:val="000000"/>
          <w:highlight w:val="none"/>
        </w:rPr>
      </w:r>
      <w:r/>
    </w:p>
    <w:p>
      <w:pPr>
        <w:pStyle w:val="882"/>
        <w:ind w:left="0"/>
        <w:spacing w:before="602" w:after="0" w:line="480" w:lineRule="atLeast"/>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82"/>
        <w:ind w:left="0"/>
        <w:spacing w:before="602" w:after="0" w:line="480" w:lineRule="atLeas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（5）残疾人福利性单位声明函</w:t>
      </w:r>
      <w:r/>
    </w:p>
    <w:p>
      <w:pPr>
        <w:pStyle w:val="882"/>
        <w:ind w:left="17" w:right="17"/>
        <w:jc w:val="center"/>
        <w:spacing w:before="0" w:after="0" w:line="480" w:lineRule="atLeast"/>
        <w:rPr>
          <w:rFonts w:hint="eastAsia"/>
          <w:b/>
          <w:bCs/>
          <w:color w:val="000000"/>
          <w:sz w:val="21"/>
          <w:szCs w:val="21"/>
          <w:highlight w:val="none"/>
        </w:rPr>
      </w:pPr>
      <w:r>
        <w:rPr>
          <w:rFonts w:hint="eastAsia"/>
          <w:b/>
          <w:bCs/>
          <w:color w:val="000000"/>
          <w:sz w:val="21"/>
          <w:szCs w:val="21"/>
          <w:highlight w:val="none"/>
        </w:rPr>
        <w:t xml:space="preserve">残疾人福利性单位声明函</w:t>
      </w:r>
      <w:r/>
    </w:p>
    <w:p>
      <w:pPr>
        <w:pStyle w:val="882"/>
        <w:ind w:left="17" w:right="17" w:firstLine="420"/>
        <w:spacing w:before="0"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lang w:val="zh-CN"/>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lang w:val="zh-CN"/>
        </w:rPr>
        <w:t xml:space="preserve">项目采购活动提供本单位制造的货物（由本单位承担工程/提供服务），或者提供其他残疾人福利性单位制造的货物（不包括使用非残疾人福利性单位注册商标的货物）。</w:t>
      </w:r>
      <w:r/>
    </w:p>
    <w:p>
      <w:pPr>
        <w:pStyle w:val="882"/>
        <w:ind w:firstLine="420"/>
        <w:spacing w:before="0" w:after="0" w:line="48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本单位对上述声明的真实性负责。如有虚假，将依法承担相应责任。</w:t>
      </w:r>
      <w:r/>
    </w:p>
    <w:p>
      <w:pPr>
        <w:pStyle w:val="882"/>
        <w:spacing w:before="0" w:after="0" w:line="480" w:lineRule="atLeast"/>
        <w:rPr>
          <w:color w:val="000000"/>
          <w:highlight w:val="none"/>
        </w:rPr>
      </w:pPr>
      <w:r>
        <w:rPr>
          <w:color w:val="000000"/>
          <w:highlight w:val="none"/>
        </w:rPr>
      </w:r>
      <w:r/>
    </w:p>
    <w:p>
      <w:pPr>
        <w:pStyle w:val="882"/>
        <w:spacing w:before="0" w:after="0" w:line="480" w:lineRule="atLeast"/>
        <w:rPr>
          <w:rFonts w:hint="eastAsia"/>
          <w:color w:val="000000"/>
          <w:sz w:val="21"/>
          <w:szCs w:val="21"/>
          <w:highlight w:val="none"/>
          <w:lang w:val="zh-CN"/>
        </w:rPr>
      </w:pPr>
      <w:r>
        <w:rPr>
          <w:rFonts w:hint="eastAsia"/>
          <w:color w:val="000000"/>
          <w:highlight w:val="none"/>
        </w:rPr>
        <w:t xml:space="preserve">                   </w:t>
      </w:r>
      <w:r>
        <w:rPr>
          <w:rFonts w:hint="eastAsia"/>
          <w:color w:val="000000"/>
          <w:sz w:val="21"/>
          <w:szCs w:val="21"/>
          <w:highlight w:val="none"/>
          <w:lang w:val="zh-CN"/>
        </w:rPr>
        <w:t xml:space="preserve"> </w:t>
      </w:r>
      <w:r>
        <w:rPr>
          <w:rFonts w:hint="eastAsia"/>
          <w:color w:val="000000"/>
          <w:sz w:val="21"/>
          <w:szCs w:val="21"/>
          <w:highlight w:val="none"/>
        </w:rPr>
        <w:t xml:space="preserve">                                         </w:t>
      </w:r>
      <w:r>
        <w:rPr>
          <w:rFonts w:hint="eastAsia"/>
          <w:color w:val="000000"/>
          <w:sz w:val="21"/>
          <w:szCs w:val="21"/>
          <w:highlight w:val="none"/>
          <w:lang w:val="zh-CN"/>
        </w:rPr>
        <w:t xml:space="preserve">单位名称（盖章）：</w:t>
      </w:r>
      <w:r/>
    </w:p>
    <w:p>
      <w:pPr>
        <w:pStyle w:val="882"/>
        <w:spacing w:before="0" w:after="0" w:line="480" w:lineRule="atLeast"/>
        <w:rPr>
          <w:rFonts w:hint="eastAsia"/>
          <w:color w:val="000000"/>
          <w:sz w:val="21"/>
          <w:szCs w:val="21"/>
          <w:highlight w:val="none"/>
          <w:lang w:val="zh-CN"/>
        </w:rPr>
      </w:pPr>
      <w:r>
        <w:rPr>
          <w:rFonts w:hint="eastAsia"/>
          <w:color w:val="000000"/>
          <w:sz w:val="21"/>
          <w:szCs w:val="21"/>
          <w:highlight w:val="none"/>
          <w:lang w:val="zh-CN"/>
        </w:rPr>
        <w:t xml:space="preserve">                   </w:t>
      </w:r>
      <w:r>
        <w:rPr>
          <w:rFonts w:hint="eastAsia"/>
          <w:color w:val="000000"/>
          <w:sz w:val="21"/>
          <w:szCs w:val="21"/>
          <w:highlight w:val="none"/>
        </w:rPr>
        <w:t xml:space="preserve">                                            </w:t>
      </w:r>
      <w:r>
        <w:rPr>
          <w:rFonts w:hint="eastAsia"/>
          <w:color w:val="000000"/>
          <w:sz w:val="21"/>
          <w:szCs w:val="21"/>
          <w:highlight w:val="none"/>
          <w:lang w:val="zh-CN"/>
        </w:rPr>
        <w:t xml:space="preserve"> 日  期：</w:t>
      </w:r>
      <w:r/>
    </w:p>
    <w:p>
      <w:pPr>
        <w:ind w:firstLine="2759"/>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spacing w:line="360" w:lineRule="auto"/>
        <w:rPr>
          <w:color w:val="000000"/>
          <w:sz w:val="21"/>
          <w:szCs w:val="21"/>
          <w:highlight w:val="none"/>
          <w:lang w:val="zh-CN"/>
        </w:rPr>
      </w:pPr>
      <w:r>
        <w:rPr>
          <w:color w:val="000000"/>
          <w:sz w:val="21"/>
          <w:szCs w:val="21"/>
          <w:highlight w:val="none"/>
          <w:lang w:val="zh-CN"/>
        </w:rPr>
      </w:r>
      <w:r/>
    </w:p>
    <w:p>
      <w:pPr>
        <w:ind w:firstLine="420"/>
        <w:spacing w:line="440" w:lineRule="exact"/>
        <w:rPr>
          <w:rFonts w:hint="eastAsia"/>
          <w:bCs/>
          <w:color w:val="000000"/>
          <w:sz w:val="21"/>
          <w:szCs w:val="21"/>
          <w:highlight w:val="none"/>
        </w:rPr>
      </w:pPr>
      <w:r>
        <w:rPr>
          <w:rFonts w:hint="eastAsia"/>
          <w:bCs/>
          <w:color w:val="000000"/>
          <w:sz w:val="21"/>
          <w:szCs w:val="21"/>
          <w:highlight w:val="none"/>
          <w:lang w:val="zh-CN"/>
        </w:rPr>
        <w:t xml:space="preserve">备注</w:t>
      </w:r>
      <w:r>
        <w:rPr>
          <w:rFonts w:hint="eastAsia"/>
          <w:b/>
          <w:color w:val="000000"/>
          <w:sz w:val="21"/>
          <w:szCs w:val="21"/>
          <w:highlight w:val="none"/>
          <w:lang w:val="zh-CN"/>
        </w:rPr>
        <w:t xml:space="preserve">：1、</w:t>
      </w:r>
      <w:r>
        <w:rPr>
          <w:rFonts w:hint="eastAsia"/>
          <w:b/>
          <w:color w:val="000000"/>
          <w:sz w:val="21"/>
          <w:szCs w:val="21"/>
          <w:highlight w:val="none"/>
        </w:rPr>
        <w:t xml:space="preserve">享受政府采购支持政策的残疾人福利性单位应当同时满足以下条件：</w:t>
      </w:r>
      <w:r/>
    </w:p>
    <w:p>
      <w:pPr>
        <w:ind w:firstLine="420"/>
        <w:spacing w:line="440" w:lineRule="exact"/>
        <w:rPr>
          <w:rFonts w:hint="eastAsia"/>
          <w:bCs/>
          <w:color w:val="000000"/>
          <w:sz w:val="21"/>
          <w:szCs w:val="21"/>
          <w:highlight w:val="none"/>
        </w:rPr>
      </w:pPr>
      <w:r>
        <w:rPr>
          <w:rFonts w:hint="eastAsia"/>
          <w:bCs/>
          <w:color w:val="000000"/>
          <w:sz w:val="21"/>
          <w:szCs w:val="21"/>
          <w:highlight w:val="none"/>
          <w:lang w:val="zh-CN"/>
        </w:rPr>
        <w:t xml:space="preserve">（</w:t>
      </w:r>
      <w:r>
        <w:rPr>
          <w:rFonts w:hint="eastAsia"/>
          <w:bCs/>
          <w:color w:val="000000"/>
          <w:sz w:val="21"/>
          <w:szCs w:val="21"/>
          <w:highlight w:val="none"/>
        </w:rPr>
        <w:t xml:space="preserve">1</w:t>
      </w:r>
      <w:r>
        <w:rPr>
          <w:rFonts w:hint="eastAsia"/>
          <w:bCs/>
          <w:color w:val="000000"/>
          <w:sz w:val="21"/>
          <w:szCs w:val="21"/>
          <w:highlight w:val="none"/>
          <w:lang w:val="zh-CN"/>
        </w:rPr>
        <w:t xml:space="preserve">）安置的残疾人占本单位在职职工人数的比例不低于25%（含25%），并且安置的残疾人人数不少于10人（含10人）；</w:t>
      </w:r>
      <w:r/>
    </w:p>
    <w:p>
      <w:pPr>
        <w:ind w:firstLine="420"/>
        <w:spacing w:line="440" w:lineRule="exact"/>
        <w:rPr>
          <w:rFonts w:hint="eastAsia"/>
          <w:bCs/>
          <w:color w:val="000000"/>
          <w:sz w:val="21"/>
          <w:szCs w:val="21"/>
          <w:highlight w:val="none"/>
          <w:lang w:val="zh-CN"/>
        </w:rPr>
      </w:pPr>
      <w:r>
        <w:rPr>
          <w:rFonts w:hint="eastAsia"/>
          <w:bCs/>
          <w:color w:val="000000"/>
          <w:sz w:val="21"/>
          <w:szCs w:val="21"/>
          <w:highlight w:val="none"/>
          <w:lang w:val="zh-CN"/>
        </w:rPr>
        <w:t xml:space="preserve">（</w:t>
      </w:r>
      <w:r>
        <w:rPr>
          <w:rFonts w:hint="eastAsia"/>
          <w:bCs/>
          <w:color w:val="000000"/>
          <w:sz w:val="21"/>
          <w:szCs w:val="21"/>
          <w:highlight w:val="none"/>
        </w:rPr>
        <w:t xml:space="preserve">2</w:t>
      </w:r>
      <w:r>
        <w:rPr>
          <w:rFonts w:hint="eastAsia"/>
          <w:bCs/>
          <w:color w:val="000000"/>
          <w:sz w:val="21"/>
          <w:szCs w:val="21"/>
          <w:highlight w:val="none"/>
          <w:lang w:val="zh-CN"/>
        </w:rPr>
        <w:t xml:space="preserve">）依法与安置的每位残疾人签订了一年以上（含一年）的劳动合同或服务协议；</w:t>
      </w:r>
      <w:r/>
    </w:p>
    <w:p>
      <w:pPr>
        <w:ind w:firstLine="420"/>
        <w:spacing w:line="440" w:lineRule="exact"/>
        <w:rPr>
          <w:rFonts w:hint="eastAsia"/>
          <w:bCs/>
          <w:color w:val="000000"/>
          <w:sz w:val="21"/>
          <w:szCs w:val="21"/>
          <w:highlight w:val="none"/>
          <w:lang w:val="zh-CN"/>
        </w:rPr>
      </w:pPr>
      <w:r>
        <w:rPr>
          <w:rFonts w:hint="eastAsia"/>
          <w:bCs/>
          <w:color w:val="000000"/>
          <w:sz w:val="21"/>
          <w:szCs w:val="21"/>
          <w:highlight w:val="none"/>
          <w:lang w:val="zh-CN"/>
        </w:rPr>
        <w:t xml:space="preserve">（</w:t>
      </w:r>
      <w:r>
        <w:rPr>
          <w:rFonts w:hint="eastAsia"/>
          <w:bCs/>
          <w:color w:val="000000"/>
          <w:sz w:val="21"/>
          <w:szCs w:val="21"/>
          <w:highlight w:val="none"/>
        </w:rPr>
        <w:t xml:space="preserve">3</w:t>
      </w:r>
      <w:r>
        <w:rPr>
          <w:rFonts w:hint="eastAsia"/>
          <w:bCs/>
          <w:color w:val="000000"/>
          <w:sz w:val="21"/>
          <w:szCs w:val="21"/>
          <w:highlight w:val="none"/>
          <w:lang w:val="zh-CN"/>
        </w:rPr>
        <w:t xml:space="preserve">）为安置的每位残疾人按月足额缴纳了基本养老保险、基本医疗保险、失业保险、工伤保险和生育保险等社会保险费；</w:t>
      </w:r>
      <w:r/>
    </w:p>
    <w:p>
      <w:pPr>
        <w:ind w:firstLine="420"/>
        <w:spacing w:line="440" w:lineRule="exact"/>
        <w:rPr>
          <w:rFonts w:hint="eastAsia"/>
          <w:bCs/>
          <w:color w:val="000000"/>
          <w:sz w:val="21"/>
          <w:szCs w:val="21"/>
          <w:highlight w:val="none"/>
          <w:lang w:val="zh-CN"/>
        </w:rPr>
      </w:pPr>
      <w:r>
        <w:rPr>
          <w:rFonts w:hint="eastAsia"/>
          <w:bCs/>
          <w:color w:val="000000"/>
          <w:sz w:val="21"/>
          <w:szCs w:val="21"/>
          <w:highlight w:val="none"/>
          <w:lang w:val="zh-CN"/>
        </w:rPr>
        <w:t xml:space="preserve">（</w:t>
      </w:r>
      <w:r>
        <w:rPr>
          <w:rFonts w:hint="eastAsia"/>
          <w:bCs/>
          <w:color w:val="000000"/>
          <w:sz w:val="21"/>
          <w:szCs w:val="21"/>
          <w:highlight w:val="none"/>
        </w:rPr>
        <w:t xml:space="preserve">4</w:t>
      </w:r>
      <w:r>
        <w:rPr>
          <w:rFonts w:hint="eastAsia"/>
          <w:bCs/>
          <w:color w:val="000000"/>
          <w:sz w:val="21"/>
          <w:szCs w:val="21"/>
          <w:highlight w:val="none"/>
          <w:lang w:val="zh-CN"/>
        </w:rPr>
        <w:t xml:space="preserve">）通过银行等金融机构向安置的每位残疾人，按月支付了不低于单位所在区县适用的经省级人民政府批准的月最低工资标准的工资；</w:t>
      </w:r>
      <w:r/>
    </w:p>
    <w:p>
      <w:pPr>
        <w:ind w:firstLine="420"/>
        <w:spacing w:line="440" w:lineRule="exact"/>
        <w:rPr>
          <w:rFonts w:hint="eastAsia"/>
          <w:bCs/>
          <w:color w:val="000000"/>
          <w:sz w:val="21"/>
          <w:szCs w:val="21"/>
          <w:highlight w:val="none"/>
          <w:lang w:val="zh-CN"/>
        </w:rPr>
      </w:pPr>
      <w:r>
        <w:rPr>
          <w:rFonts w:hint="eastAsia"/>
          <w:bCs/>
          <w:color w:val="000000"/>
          <w:sz w:val="21"/>
          <w:szCs w:val="21"/>
          <w:highlight w:val="none"/>
          <w:lang w:val="zh-CN"/>
        </w:rPr>
        <w:t xml:space="preserve">（</w:t>
      </w:r>
      <w:r>
        <w:rPr>
          <w:rFonts w:hint="eastAsia"/>
          <w:bCs/>
          <w:color w:val="000000"/>
          <w:sz w:val="21"/>
          <w:szCs w:val="21"/>
          <w:highlight w:val="none"/>
        </w:rPr>
        <w:t xml:space="preserve">5</w:t>
      </w:r>
      <w:r>
        <w:rPr>
          <w:rFonts w:hint="eastAsia"/>
          <w:bCs/>
          <w:color w:val="000000"/>
          <w:sz w:val="21"/>
          <w:szCs w:val="21"/>
          <w:highlight w:val="none"/>
          <w:lang w:val="zh-CN"/>
        </w:rPr>
        <w:t xml:space="preserve">）提供本单位制造的货物、承担的工程或者服务（以下简称产品），或者提供其他残疾人福利性单位制造的货物（不包括使用非残疾人福利性单位注册商标的货物）。</w:t>
      </w:r>
      <w:r/>
    </w:p>
    <w:p>
      <w:pPr>
        <w:ind w:firstLine="420"/>
        <w:spacing w:line="440" w:lineRule="exact"/>
        <w:rPr>
          <w:rFonts w:hint="eastAsia"/>
          <w:bCs/>
          <w:color w:val="000000"/>
          <w:sz w:val="21"/>
          <w:szCs w:val="21"/>
          <w:highlight w:val="none"/>
          <w:lang w:val="zh-CN"/>
        </w:rPr>
      </w:pPr>
      <w:r>
        <w:rPr>
          <w:rFonts w:hint="eastAsia"/>
          <w:bCs/>
          <w:color w:val="000000"/>
          <w:sz w:val="21"/>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22"/>
        <w:spacing w:line="440" w:lineRule="exact"/>
        <w:rPr>
          <w:rFonts w:hint="eastAsia"/>
          <w:b/>
          <w:color w:val="000000"/>
          <w:sz w:val="21"/>
          <w:szCs w:val="21"/>
          <w:highlight w:val="none"/>
          <w:lang w:val="zh-CN"/>
        </w:rPr>
      </w:pPr>
      <w:r>
        <w:rPr>
          <w:rFonts w:hint="eastAsia"/>
          <w:b/>
          <w:color w:val="000000"/>
          <w:sz w:val="21"/>
          <w:szCs w:val="21"/>
          <w:highlight w:val="none"/>
          <w:lang w:val="zh-CN"/>
        </w:rPr>
        <w:t xml:space="preserve">2、中标单位为残疾人福利性单位的，《残疾人福利性单位声明函》将随中标结果同时公告。</w:t>
      </w:r>
      <w:r/>
    </w:p>
    <w:p>
      <w:pPr>
        <w:ind w:firstLine="422"/>
        <w:spacing w:line="440" w:lineRule="exact"/>
        <w:rPr>
          <w:rFonts w:cs="Times New Roman"/>
          <w:b/>
          <w:bCs/>
          <w:color w:val="000000"/>
          <w:highlight w:val="none"/>
        </w:rPr>
      </w:pPr>
      <w:r>
        <w:rPr>
          <w:rFonts w:hint="eastAsia"/>
          <w:b/>
          <w:color w:val="000000"/>
          <w:sz w:val="21"/>
          <w:szCs w:val="21"/>
          <w:highlight w:val="none"/>
          <w:lang w:val="zh-CN"/>
        </w:rPr>
        <w:t xml:space="preserve">3、供应商提供的《残疾人福利性单位声明函》与事实不符的，依照《政府采购法》第七十七条第一款的规定追究法律责任。</w:t>
      </w:r>
      <w:r/>
    </w:p>
    <w:p>
      <w:pPr>
        <w:jc w:val="left"/>
        <w:spacing w:line="440" w:lineRule="exact"/>
        <w:rPr>
          <w:rFonts w:hint="eastAsia"/>
          <w:b/>
          <w:bCs/>
          <w:color w:val="000000"/>
          <w:sz w:val="21"/>
          <w:szCs w:val="21"/>
          <w:highlight w:val="none"/>
        </w:rPr>
      </w:pPr>
      <w:r>
        <w:rPr>
          <w:rFonts w:hint="eastAsia"/>
          <w:b/>
          <w:bCs/>
          <w:color w:val="000000"/>
          <w:sz w:val="21"/>
          <w:szCs w:val="21"/>
          <w:highlight w:val="none"/>
        </w:rPr>
      </w:r>
      <w:r/>
    </w:p>
    <w:p>
      <w:pPr>
        <w:jc w:val="left"/>
        <w:spacing w:line="440" w:lineRule="exact"/>
        <w:rPr>
          <w:rFonts w:hint="eastAsia"/>
          <w:b/>
          <w:bCs/>
          <w:color w:val="000000"/>
          <w:sz w:val="21"/>
          <w:szCs w:val="21"/>
          <w:highlight w:val="none"/>
        </w:rPr>
      </w:pPr>
      <w:r>
        <w:rPr>
          <w:rFonts w:hint="eastAsia"/>
          <w:b/>
          <w:bCs/>
          <w:color w:val="000000"/>
          <w:sz w:val="21"/>
          <w:szCs w:val="21"/>
          <w:highlight w:val="none"/>
        </w:rPr>
      </w:r>
      <w:r/>
    </w:p>
    <w:p>
      <w:pPr>
        <w:jc w:val="left"/>
        <w:spacing w:line="440" w:lineRule="exact"/>
        <w:rPr>
          <w:rFonts w:hint="eastAsia"/>
          <w:b/>
          <w:bCs/>
          <w:color w:val="000000"/>
          <w:sz w:val="21"/>
          <w:szCs w:val="21"/>
          <w:highlight w:val="none"/>
        </w:rPr>
      </w:pPr>
      <w:r>
        <w:rPr>
          <w:rFonts w:hint="eastAsia"/>
          <w:b/>
          <w:bCs/>
          <w:color w:val="000000"/>
          <w:sz w:val="21"/>
          <w:szCs w:val="21"/>
          <w:highlight w:val="none"/>
        </w:rPr>
        <w:t xml:space="preserve">（6）监狱企业声明函</w:t>
      </w:r>
      <w:r/>
    </w:p>
    <w:p>
      <w:pPr>
        <w:jc w:val="center"/>
        <w:rPr>
          <w:rFonts w:hint="eastAsia"/>
          <w:color w:val="000000"/>
          <w:sz w:val="21"/>
          <w:szCs w:val="21"/>
          <w:highlight w:val="none"/>
        </w:rPr>
      </w:pPr>
      <w:r>
        <w:rPr>
          <w:rFonts w:hint="eastAsia"/>
          <w:color w:val="000000"/>
          <w:sz w:val="21"/>
          <w:szCs w:val="21"/>
          <w:highlight w:val="none"/>
        </w:rPr>
      </w:r>
      <w:r/>
    </w:p>
    <w:p>
      <w:pPr>
        <w:jc w:val="center"/>
        <w:rPr>
          <w:rFonts w:hint="eastAsia"/>
          <w:b/>
          <w:color w:val="000000"/>
          <w:sz w:val="21"/>
          <w:szCs w:val="21"/>
          <w:highlight w:val="none"/>
        </w:rPr>
      </w:pPr>
      <w:r>
        <w:rPr>
          <w:rFonts w:hint="eastAsia"/>
          <w:b/>
          <w:bCs/>
          <w:color w:val="000000"/>
          <w:sz w:val="21"/>
          <w:szCs w:val="21"/>
          <w:highlight w:val="none"/>
        </w:rPr>
        <w:t xml:space="preserve">监狱企业声明函</w:t>
      </w:r>
      <w:r/>
    </w:p>
    <w:p>
      <w:pPr>
        <w:pStyle w:val="882"/>
        <w:ind w:left="0" w:right="17"/>
        <w:spacing w:before="0" w:after="0"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882"/>
        <w:ind w:right="17" w:firstLine="480"/>
        <w:spacing w:before="0" w:after="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本企业（单位）郑重声明下列事项（按照实际情况勾选或填空）：</w:t>
      </w:r>
      <w:r/>
    </w:p>
    <w:p>
      <w:pPr>
        <w:pStyle w:val="882"/>
        <w:ind w:right="17" w:firstLine="480"/>
        <w:spacing w:before="0" w:after="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本企业（单位）为直接投标人提供本企业（单位）的服务。</w:t>
      </w:r>
      <w:r/>
    </w:p>
    <w:p>
      <w:pPr>
        <w:pStyle w:val="882"/>
        <w:ind w:right="17" w:firstLine="480"/>
        <w:spacing w:before="0" w:after="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（1）本企业（单位）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（请填写：是、不是）监狱企业。后附省级以上监狱管理局、戒毒管理局（含新疆生产建设兵团）出具的属于监狱企业的证明文件。</w:t>
      </w:r>
      <w:r/>
    </w:p>
    <w:p>
      <w:pPr>
        <w:pStyle w:val="882"/>
        <w:ind w:right="17" w:firstLine="480"/>
        <w:spacing w:before="0" w:after="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（2）本企业（单位）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p>
    <w:p>
      <w:pPr>
        <w:pStyle w:val="882"/>
        <w:ind w:right="17" w:firstLine="480"/>
        <w:spacing w:before="0" w:after="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本企业（单位）对上述声明的真实性负责。如有虚假，将依法承担相应责任。</w:t>
      </w:r>
      <w:r/>
    </w:p>
    <w:p>
      <w:pPr>
        <w:pStyle w:val="882"/>
        <w:ind w:firstLine="480"/>
        <w:spacing w:before="75" w:after="75"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882"/>
        <w:ind w:firstLine="480"/>
        <w:spacing w:before="75" w:after="75"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ind w:right="1560" w:firstLine="444"/>
        <w:jc w:val="center"/>
        <w:spacing w:line="360" w:lineRule="auto"/>
        <w:tabs>
          <w:tab w:val="left" w:pos="4860" w:leader="none"/>
        </w:tabs>
        <w:rPr>
          <w:color w:val="000000"/>
          <w:spacing w:val="6"/>
          <w:sz w:val="21"/>
          <w:szCs w:val="21"/>
          <w:highlight w:val="none"/>
        </w:rPr>
      </w:pPr>
      <w:r>
        <w:rPr>
          <w:rFonts w:hint="eastAsia"/>
          <w:color w:val="000000"/>
          <w:spacing w:val="6"/>
          <w:sz w:val="21"/>
          <w:szCs w:val="21"/>
          <w:highlight w:val="none"/>
        </w:rPr>
        <w:t xml:space="preserve">                                  单位名称（盖章）：</w:t>
      </w:r>
      <w:r/>
    </w:p>
    <w:p>
      <w:pPr>
        <w:pStyle w:val="851"/>
        <w:ind w:firstLine="444"/>
        <w:spacing w:line="360" w:lineRule="auto"/>
        <w:rPr>
          <w:rFonts w:hint="eastAsia"/>
          <w:color w:val="000000"/>
          <w:sz w:val="21"/>
          <w:szCs w:val="21"/>
          <w:highlight w:val="none"/>
        </w:rPr>
      </w:pPr>
      <w:r>
        <w:rPr>
          <w:rFonts w:hint="eastAsia" w:cs="宋体"/>
          <w:color w:val="000000"/>
          <w:spacing w:val="6"/>
          <w:sz w:val="21"/>
          <w:szCs w:val="21"/>
          <w:highlight w:val="none"/>
        </w:rPr>
        <w:t xml:space="preserve">                                           日  期：</w:t>
      </w:r>
      <w:r/>
    </w:p>
    <w:p>
      <w:pPr>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ind w:firstLine="2759"/>
        <w:rPr>
          <w:rFonts w:cs="Times New Roman"/>
          <w:b/>
          <w:bCs/>
          <w:color w:val="000000"/>
          <w:highlight w:val="none"/>
        </w:rPr>
      </w:pPr>
      <w:r>
        <w:rPr>
          <w:rFonts w:cs="Times New Roman"/>
          <w:b/>
          <w:bCs/>
          <w:color w:val="000000"/>
          <w:highlight w:val="none"/>
        </w:rPr>
      </w:r>
      <w:r/>
    </w:p>
    <w:p>
      <w:pPr>
        <w:ind w:firstLine="2759"/>
        <w:rPr>
          <w:rFonts w:hint="eastAsia" w:cs="Times New Roman"/>
          <w:b/>
          <w:bCs/>
          <w:color w:val="000000"/>
          <w:highlight w:val="none"/>
        </w:rPr>
      </w:pPr>
      <w:r>
        <w:rPr>
          <w:rFonts w:hint="eastAsia" w:cs="Times New Roman"/>
          <w:b/>
          <w:bCs/>
          <w:color w:val="000000"/>
          <w:highlight w:val="none"/>
        </w:rPr>
      </w:r>
      <w:r/>
    </w:p>
    <w:p>
      <w:pPr>
        <w:pStyle w:val="1035"/>
        <w:rPr>
          <w:rFonts w:hint="eastAsia" w:ascii="Calibri" w:hAnsi="Calibri" w:cs="Times New Roman"/>
          <w:color w:val="000000"/>
          <w:highlight w:val="none"/>
        </w:rPr>
      </w:pPr>
      <w:r>
        <w:rPr>
          <w:rFonts w:hint="eastAsia" w:ascii="Calibri" w:hAnsi="Calibri" w:cs="Times New Roman"/>
          <w:color w:val="000000"/>
          <w:highlight w:val="none"/>
        </w:rPr>
      </w:r>
      <w:r/>
    </w:p>
    <w:p>
      <w:pPr>
        <w:rPr>
          <w:rFonts w:hint="eastAsia" w:ascii="Calibri" w:hAnsi="Calibri" w:cs="Times New Roman"/>
          <w:color w:val="000000"/>
          <w:highlight w:val="none"/>
        </w:rPr>
      </w:pPr>
      <w:r>
        <w:rPr>
          <w:rFonts w:hint="eastAsia" w:ascii="Calibri" w:hAnsi="Calibri" w:cs="Times New Roman"/>
          <w:color w:val="000000"/>
          <w:highlight w:val="none"/>
        </w:rPr>
      </w:r>
      <w:r/>
    </w:p>
    <w:p>
      <w:pPr>
        <w:pStyle w:val="1035"/>
        <w:rPr>
          <w:rFonts w:hint="eastAsia" w:ascii="Calibri" w:hAnsi="Calibri" w:cs="Times New Roman"/>
          <w:color w:val="000000"/>
          <w:highlight w:val="none"/>
        </w:rPr>
      </w:pPr>
      <w:r>
        <w:rPr>
          <w:rFonts w:hint="eastAsia" w:ascii="Calibri" w:hAnsi="Calibri" w:cs="Times New Roman"/>
          <w:color w:val="000000"/>
          <w:highlight w:val="none"/>
        </w:rPr>
      </w:r>
      <w:r/>
    </w:p>
    <w:p>
      <w:pPr>
        <w:rPr>
          <w:rFonts w:hint="eastAsia" w:ascii="Calibri" w:hAnsi="Calibri" w:cs="Times New Roman"/>
          <w:color w:val="000000"/>
          <w:highlight w:val="none"/>
        </w:rPr>
      </w:pPr>
      <w:r>
        <w:rPr>
          <w:rFonts w:hint="eastAsia" w:ascii="Calibri" w:hAnsi="Calibri" w:cs="Times New Roman"/>
          <w:color w:val="000000"/>
          <w:highlight w:val="none"/>
        </w:rPr>
      </w:r>
      <w:r/>
    </w:p>
    <w:p>
      <w:pPr>
        <w:pStyle w:val="1035"/>
        <w:rPr>
          <w:rFonts w:hint="eastAsia" w:ascii="Calibri" w:hAnsi="Calibri" w:cs="Times New Roman"/>
          <w:color w:val="000000"/>
          <w:highlight w:val="none"/>
        </w:rPr>
      </w:pPr>
      <w:r>
        <w:rPr>
          <w:rFonts w:hint="eastAsia" w:ascii="Calibri" w:hAnsi="Calibri" w:cs="Times New Roman"/>
          <w:color w:val="000000"/>
          <w:highlight w:val="none"/>
        </w:rPr>
      </w:r>
      <w:r/>
    </w:p>
    <w:p>
      <w:pPr>
        <w:rPr>
          <w:rFonts w:hint="eastAsia" w:ascii="Calibri" w:hAnsi="Calibri" w:cs="Times New Roman"/>
          <w:color w:val="000000"/>
          <w:highlight w:val="none"/>
        </w:rPr>
      </w:pPr>
      <w:r>
        <w:rPr>
          <w:rFonts w:hint="eastAsia" w:ascii="Calibri" w:hAnsi="Calibri" w:cs="Times New Roman"/>
          <w:color w:val="000000"/>
          <w:highlight w:val="none"/>
        </w:rPr>
      </w:r>
      <w:r/>
    </w:p>
    <w:p>
      <w:pPr>
        <w:spacing w:line="400" w:lineRule="exact"/>
        <w:rPr>
          <w:rFonts w:hint="eastAsia"/>
          <w:b/>
          <w:bCs/>
          <w:color w:val="000000"/>
          <w:sz w:val="21"/>
          <w:szCs w:val="21"/>
          <w:highlight w:val="none"/>
          <w:lang w:val="zh-CN"/>
        </w:rPr>
      </w:pPr>
      <w:r>
        <w:rPr>
          <w:rFonts w:hint="eastAsia"/>
          <w:b/>
          <w:bCs/>
          <w:color w:val="000000"/>
          <w:sz w:val="21"/>
          <w:szCs w:val="21"/>
          <w:highlight w:val="none"/>
          <w:lang w:val="zh-CN"/>
        </w:rPr>
      </w:r>
      <w:r/>
    </w:p>
    <w:p>
      <w:pPr>
        <w:spacing w:line="400" w:lineRule="exact"/>
        <w:rPr>
          <w:rFonts w:hint="eastAsia"/>
          <w:b/>
          <w:bCs/>
          <w:color w:val="000000"/>
          <w:sz w:val="21"/>
          <w:szCs w:val="21"/>
          <w:highlight w:val="none"/>
          <w:lang w:val="zh-CN"/>
        </w:rPr>
      </w:pPr>
      <w:r>
        <w:rPr>
          <w:rFonts w:hint="eastAsia"/>
          <w:b/>
          <w:bCs/>
          <w:color w:val="000000"/>
          <w:sz w:val="21"/>
          <w:szCs w:val="21"/>
          <w:highlight w:val="none"/>
          <w:lang w:val="zh-CN"/>
        </w:rPr>
      </w:r>
      <w:r/>
    </w:p>
    <w:p>
      <w:pPr>
        <w:spacing w:line="400" w:lineRule="exact"/>
        <w:rPr>
          <w:rFonts w:hint="eastAsia"/>
          <w:b/>
          <w:bCs/>
          <w:color w:val="000000"/>
          <w:sz w:val="21"/>
          <w:szCs w:val="21"/>
          <w:highlight w:val="none"/>
          <w:lang w:val="zh-CN"/>
        </w:rPr>
      </w:pPr>
      <w:r>
        <w:rPr>
          <w:rFonts w:hint="eastAsia"/>
          <w:b/>
          <w:bCs/>
          <w:color w:val="000000"/>
          <w:sz w:val="21"/>
          <w:szCs w:val="21"/>
          <w:highlight w:val="none"/>
          <w:lang w:val="zh-CN"/>
        </w:rPr>
      </w:r>
      <w:r/>
    </w:p>
    <w:p>
      <w:pPr>
        <w:spacing w:line="400" w:lineRule="exact"/>
        <w:rPr>
          <w:rFonts w:hint="eastAsia"/>
          <w:b/>
          <w:bCs/>
          <w:color w:val="000000"/>
          <w:sz w:val="21"/>
          <w:szCs w:val="21"/>
          <w:highlight w:val="none"/>
          <w:lang w:val="zh-CN"/>
        </w:rPr>
      </w:pPr>
      <w:r>
        <w:rPr>
          <w:rFonts w:hint="eastAsia"/>
          <w:b/>
          <w:bCs/>
          <w:color w:val="000000"/>
          <w:sz w:val="21"/>
          <w:szCs w:val="21"/>
          <w:highlight w:val="none"/>
          <w:lang w:val="zh-CN"/>
        </w:rPr>
      </w:r>
      <w:r/>
    </w:p>
    <w:p>
      <w:pPr>
        <w:spacing w:line="400" w:lineRule="exact"/>
        <w:rPr>
          <w:rFonts w:hint="eastAsia"/>
          <w:b/>
          <w:bCs/>
          <w:color w:val="000000"/>
          <w:sz w:val="21"/>
          <w:szCs w:val="21"/>
          <w:highlight w:val="none"/>
          <w:lang w:val="zh-CN"/>
        </w:rPr>
      </w:pPr>
      <w:r>
        <w:rPr>
          <w:rFonts w:hint="eastAsia"/>
          <w:b/>
          <w:bCs/>
          <w:color w:val="000000"/>
          <w:sz w:val="21"/>
          <w:szCs w:val="21"/>
          <w:highlight w:val="none"/>
          <w:lang w:val="zh-CN"/>
        </w:rPr>
      </w:r>
      <w:r/>
    </w:p>
    <w:p>
      <w:pPr>
        <w:spacing w:line="400" w:lineRule="exact"/>
        <w:rPr>
          <w:rFonts w:hint="eastAsia"/>
          <w:b/>
          <w:bCs/>
          <w:color w:val="000000"/>
          <w:sz w:val="21"/>
          <w:szCs w:val="21"/>
          <w:highlight w:val="none"/>
          <w:lang w:val="zh-CN"/>
        </w:rPr>
      </w:pPr>
      <w:r>
        <w:rPr>
          <w:rFonts w:hint="eastAsia"/>
          <w:b/>
          <w:bCs/>
          <w:color w:val="000000"/>
          <w:sz w:val="21"/>
          <w:szCs w:val="21"/>
          <w:highlight w:val="none"/>
          <w:lang w:val="zh-CN"/>
        </w:rPr>
      </w:r>
      <w:r/>
    </w:p>
    <w:p>
      <w:pPr>
        <w:spacing w:line="400" w:lineRule="exact"/>
        <w:rPr>
          <w:rFonts w:hint="eastAsia"/>
          <w:b/>
          <w:bCs/>
          <w:color w:val="000000"/>
          <w:sz w:val="21"/>
          <w:szCs w:val="21"/>
          <w:highlight w:val="none"/>
        </w:rPr>
      </w:pPr>
      <w:r>
        <w:rPr>
          <w:rFonts w:hint="eastAsia"/>
          <w:b/>
          <w:bCs/>
          <w:color w:val="000000"/>
          <w:sz w:val="21"/>
          <w:szCs w:val="21"/>
          <w:highlight w:val="none"/>
          <w:lang w:val="zh-CN"/>
        </w:rPr>
        <w:t xml:space="preserve">附件</w:t>
      </w:r>
      <w:r>
        <w:rPr>
          <w:rFonts w:hint="eastAsia"/>
          <w:b/>
          <w:bCs/>
          <w:color w:val="000000"/>
          <w:sz w:val="21"/>
          <w:szCs w:val="21"/>
          <w:highlight w:val="none"/>
        </w:rPr>
        <w:t xml:space="preserve">13</w:t>
      </w:r>
      <w:r>
        <w:rPr>
          <w:rFonts w:hint="eastAsia"/>
          <w:b/>
          <w:bCs/>
          <w:color w:val="000000"/>
          <w:sz w:val="21"/>
          <w:szCs w:val="21"/>
          <w:highlight w:val="none"/>
          <w:lang w:val="zh-CN"/>
        </w:rPr>
        <w:t xml:space="preserve">、</w:t>
      </w:r>
      <w:r>
        <w:rPr>
          <w:rFonts w:hint="eastAsia"/>
          <w:b/>
          <w:bCs/>
          <w:color w:val="000000"/>
          <w:sz w:val="21"/>
          <w:szCs w:val="21"/>
          <w:highlight w:val="none"/>
        </w:rPr>
        <w:t xml:space="preserve">政府采购合同信用融资政策告知函（该项为通知内容，不需要作为投标文件组成）</w:t>
      </w:r>
      <w:r/>
    </w:p>
    <w:p>
      <w:pPr>
        <w:jc w:val="center"/>
        <w:spacing w:line="440" w:lineRule="exact"/>
        <w:rPr>
          <w:b/>
          <w:color w:val="000000"/>
          <w:sz w:val="28"/>
          <w:szCs w:val="28"/>
          <w:highlight w:val="none"/>
        </w:rPr>
      </w:pPr>
      <w:r>
        <w:rPr>
          <w:b/>
          <w:color w:val="000000"/>
          <w:sz w:val="28"/>
          <w:szCs w:val="28"/>
          <w:highlight w:val="none"/>
        </w:rPr>
      </w:r>
      <w:r/>
    </w:p>
    <w:p>
      <w:pPr>
        <w:jc w:val="center"/>
        <w:spacing w:line="440" w:lineRule="exact"/>
        <w:rPr>
          <w:b/>
          <w:color w:val="000000"/>
          <w:sz w:val="28"/>
          <w:szCs w:val="28"/>
          <w:highlight w:val="none"/>
        </w:rPr>
      </w:pPr>
      <w:r>
        <w:rPr>
          <w:rFonts w:hint="eastAsia"/>
          <w:b/>
          <w:color w:val="000000"/>
          <w:sz w:val="28"/>
          <w:szCs w:val="28"/>
          <w:highlight w:val="none"/>
        </w:rPr>
        <w:t xml:space="preserve">政府采购合同信用融资政策告知函</w:t>
      </w:r>
      <w:r/>
    </w:p>
    <w:p>
      <w:pPr>
        <w:spacing w:line="440" w:lineRule="exact"/>
        <w:rPr>
          <w:b/>
          <w:color w:val="000000"/>
          <w:sz w:val="21"/>
          <w:szCs w:val="21"/>
          <w:highlight w:val="none"/>
        </w:rPr>
      </w:pPr>
      <w:r>
        <w:rPr>
          <w:rFonts w:hint="eastAsia"/>
          <w:b/>
          <w:color w:val="000000"/>
          <w:sz w:val="21"/>
          <w:szCs w:val="21"/>
          <w:highlight w:val="none"/>
        </w:rPr>
        <w:t xml:space="preserve">各政府采购供应商：</w:t>
      </w:r>
      <w:r/>
    </w:p>
    <w:p>
      <w:pPr>
        <w:ind w:firstLine="420"/>
        <w:spacing w:line="440" w:lineRule="exact"/>
        <w:rPr>
          <w:color w:val="000000"/>
          <w:sz w:val="21"/>
          <w:szCs w:val="21"/>
          <w:highlight w:val="none"/>
        </w:rPr>
      </w:pPr>
      <w:r>
        <w:rPr>
          <w:rFonts w:hint="eastAsia"/>
          <w:color w:val="000000"/>
          <w:sz w:val="21"/>
          <w:szCs w:val="21"/>
          <w:highlight w:val="none"/>
        </w:rPr>
        <w:t xml:space="preserve">欢迎贵公司参加苏州市政府采购活动！</w:t>
      </w:r>
      <w:r/>
    </w:p>
    <w:p>
      <w:pPr>
        <w:pStyle w:val="825"/>
        <w:spacing w:line="440" w:lineRule="exact"/>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21"/>
        <w:ind w:left="431" w:right="-28" w:hanging="431"/>
        <w:jc w:val="center"/>
        <w:spacing w:after="0" w:line="360" w:lineRule="auto"/>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0"/>
        <w:ind w:firstLine="48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78"/>
        <w:ind w:firstLine="0"/>
        <w:spacing w:line="440" w:lineRule="exact"/>
        <w:rPr>
          <w:rFonts w:cs="宋体"/>
          <w:color w:val="000000"/>
          <w:sz w:val="21"/>
          <w:szCs w:val="21"/>
          <w:highlight w:val="none"/>
        </w:rPr>
      </w:pPr>
      <w:r>
        <w:rPr>
          <w:rFonts w:cs="宋体"/>
          <w:color w:val="000000"/>
          <w:sz w:val="21"/>
          <w:szCs w:val="21"/>
          <w:highlight w:val="none"/>
        </w:rPr>
      </w:r>
      <w:r/>
    </w:p>
    <w:p>
      <w:pPr>
        <w:ind w:left="431" w:right="-28" w:hanging="431"/>
        <w:jc w:val="center"/>
        <w:keepLines/>
        <w:keepNext/>
        <w:spacing w:line="360" w:lineRule="auto"/>
        <w:rPr>
          <w:rFonts w:ascii="Calibri" w:hAnsi="Calibri"/>
          <w:b/>
          <w:bCs/>
          <w:color w:val="000000"/>
          <w:sz w:val="21"/>
          <w:szCs w:val="21"/>
          <w:highlight w:val="none"/>
        </w:rPr>
        <w:outlineLvl w:val="0"/>
      </w:pPr>
      <w:r/>
      <w:bookmarkStart w:id="39" w:name="_Toc9104"/>
      <w:r>
        <w:rPr>
          <w:rFonts w:hint="eastAsia" w:ascii="Calibri" w:hAnsi="Calibri" w:cs="Times New Roman"/>
          <w:b/>
          <w:bCs/>
          <w:color w:val="000000"/>
          <w:sz w:val="44"/>
          <w:szCs w:val="44"/>
          <w:highlight w:val="none"/>
        </w:rPr>
        <w:t xml:space="preserve">第四章  招标书</w:t>
      </w:r>
      <w:r/>
    </w:p>
    <w:p>
      <w:pPr>
        <w:ind w:firstLine="420"/>
        <w:spacing w:line="400" w:lineRule="exact"/>
        <w:widowControl/>
        <w:rPr>
          <w:rFonts w:hint="eastAsia"/>
          <w:sz w:val="21"/>
          <w:szCs w:val="21"/>
          <w:highlight w:val="none"/>
        </w:rPr>
      </w:pPr>
      <w:r>
        <w:rPr>
          <w:rFonts w:hint="eastAsia"/>
          <w:color w:val="000000"/>
          <w:sz w:val="21"/>
          <w:szCs w:val="21"/>
          <w:highlight w:val="none"/>
        </w:rPr>
        <w:t xml:space="preserve">受苏州市吴江区第四人民医院的委托，苏州韵诚项目管理咨询有限公司作为招标机构，对该单位采购的吴江四院扩建工程-医用气体设备采购项目进行公开招标。</w:t>
      </w:r>
      <w:r/>
    </w:p>
    <w:p>
      <w:pPr>
        <w:numPr>
          <w:ilvl w:val="0"/>
          <w:numId w:val="5"/>
        </w:numPr>
        <w:ind w:firstLine="422"/>
        <w:jc w:val="left"/>
        <w:spacing w:line="400" w:lineRule="exact"/>
        <w:shd w:val="clear" w:color="auto" w:fill="ffffff"/>
        <w:widowControl/>
        <w:rPr>
          <w:rFonts w:hint="eastAsia"/>
          <w:sz w:val="21"/>
          <w:szCs w:val="21"/>
          <w:highlight w:val="none"/>
        </w:rPr>
      </w:pPr>
      <w:r>
        <w:rPr>
          <w:rFonts w:hint="eastAsia"/>
          <w:b/>
          <w:bCs/>
          <w:sz w:val="21"/>
          <w:szCs w:val="21"/>
          <w:highlight w:val="none"/>
        </w:rPr>
        <w:t xml:space="preserve">项目编号：</w:t>
      </w:r>
      <w:r>
        <w:rPr>
          <w:rFonts w:hint="eastAsia" w:ascii="宋体" w:hAnsi="宋体" w:eastAsia="宋体" w:cs="宋体"/>
          <w:i w:val="0"/>
          <w:iCs w:val="0"/>
          <w:caps w:val="0"/>
          <w:spacing w:val="0"/>
          <w:sz w:val="21"/>
          <w:szCs w:val="21"/>
          <w:highlight w:val="none"/>
          <w:shd w:val="clear" w:color="auto" w:fill="auto"/>
          <w:lang w:val="zh-CN"/>
        </w:rPr>
        <w:t xml:space="preserve">JSZC-320509-YCXM-G2026-0001</w:t>
      </w:r>
      <w:r/>
    </w:p>
    <w:p>
      <w:pPr>
        <w:numPr>
          <w:ilvl w:val="0"/>
          <w:numId w:val="5"/>
        </w:numPr>
        <w:ind w:firstLine="422"/>
        <w:jc w:val="left"/>
        <w:spacing w:line="400" w:lineRule="exact"/>
        <w:shd w:val="clear" w:color="auto" w:fill="ffffff"/>
        <w:widowControl/>
        <w:rPr>
          <w:rFonts w:hint="eastAsia"/>
          <w:b/>
          <w:bCs/>
          <w:sz w:val="21"/>
          <w:szCs w:val="21"/>
          <w:highlight w:val="none"/>
        </w:rPr>
      </w:pPr>
      <w:r>
        <w:rPr>
          <w:rFonts w:hint="eastAsia"/>
          <w:b/>
          <w:bCs/>
          <w:sz w:val="21"/>
          <w:szCs w:val="21"/>
          <w:highlight w:val="none"/>
          <w:lang w:val="zh-CN"/>
        </w:rPr>
        <w:t xml:space="preserve">招标内容：</w:t>
      </w:r>
      <w:r>
        <w:rPr>
          <w:rFonts w:hint="eastAsia"/>
          <w:sz w:val="21"/>
          <w:szCs w:val="21"/>
          <w:highlight w:val="none"/>
          <w:lang w:val="zh-CN"/>
        </w:rPr>
        <w:t xml:space="preserve">吴江四院扩建工程-医用气体设备采购</w:t>
      </w:r>
      <w:r/>
    </w:p>
    <w:p>
      <w:pPr>
        <w:ind w:firstLine="843"/>
        <w:jc w:val="left"/>
        <w:spacing w:line="400" w:lineRule="exact"/>
        <w:shd w:val="clear" w:color="auto" w:fill="ffffff"/>
        <w:widowControl/>
        <w:rPr>
          <w:rFonts w:hint="eastAsia"/>
          <w:sz w:val="21"/>
          <w:szCs w:val="21"/>
          <w:highlight w:val="none"/>
        </w:rPr>
      </w:pPr>
      <w:r>
        <w:rPr>
          <w:rFonts w:hint="eastAsia"/>
          <w:b/>
          <w:bCs/>
          <w:sz w:val="21"/>
          <w:szCs w:val="21"/>
          <w:highlight w:val="none"/>
        </w:rPr>
        <w:t xml:space="preserve">采购预算：</w:t>
      </w:r>
      <w:r>
        <w:rPr>
          <w:rFonts w:hint="eastAsia"/>
          <w:color w:val="000000"/>
          <w:sz w:val="21"/>
          <w:szCs w:val="21"/>
          <w:highlight w:val="none"/>
        </w:rPr>
        <w:t xml:space="preserve">人民币肆佰柒拾万零陆佰叁拾捌元整（¥4700638.00元）</w:t>
      </w:r>
      <w:r/>
    </w:p>
    <w:p>
      <w:pPr>
        <w:ind w:firstLine="843"/>
        <w:jc w:val="left"/>
        <w:spacing w:line="400" w:lineRule="exact"/>
        <w:shd w:val="clear" w:color="auto" w:fill="ffffff"/>
        <w:widowControl/>
        <w:rPr>
          <w:rFonts w:hint="eastAsia"/>
          <w:b/>
          <w:bCs/>
          <w:sz w:val="21"/>
          <w:szCs w:val="21"/>
          <w:highlight w:val="none"/>
        </w:rPr>
      </w:pPr>
      <w:r>
        <w:rPr>
          <w:rFonts w:hint="eastAsia"/>
          <w:b/>
          <w:bCs/>
          <w:sz w:val="21"/>
          <w:szCs w:val="21"/>
          <w:highlight w:val="none"/>
        </w:rPr>
        <w:t xml:space="preserve">最高限价：</w:t>
      </w:r>
      <w:r>
        <w:rPr>
          <w:rFonts w:hint="eastAsia"/>
          <w:color w:val="000000"/>
          <w:sz w:val="21"/>
          <w:szCs w:val="21"/>
          <w:highlight w:val="none"/>
        </w:rPr>
        <w:t xml:space="preserve">人民币肆佰柒拾万零陆佰叁拾捌元整（¥4700638.00元）</w:t>
      </w:r>
      <w:r/>
    </w:p>
    <w:p>
      <w:pPr>
        <w:ind w:firstLine="422"/>
        <w:spacing w:line="400" w:lineRule="exact"/>
        <w:widowControl/>
        <w:rPr>
          <w:rFonts w:hint="eastAsia"/>
          <w:b/>
          <w:bCs/>
          <w:sz w:val="21"/>
          <w:szCs w:val="21"/>
          <w:highlight w:val="none"/>
          <w:lang w:val="zh-CN"/>
        </w:rPr>
      </w:pPr>
      <w:r>
        <w:rPr>
          <w:rFonts w:hint="eastAsia"/>
          <w:b/>
          <w:bCs/>
          <w:sz w:val="21"/>
          <w:szCs w:val="21"/>
          <w:highlight w:val="none"/>
        </w:rPr>
        <w:t xml:space="preserve">三、招标范围及规范要求</w:t>
      </w:r>
      <w:r>
        <w:rPr>
          <w:rFonts w:hint="eastAsia"/>
          <w:b/>
          <w:bCs/>
          <w:sz w:val="21"/>
          <w:szCs w:val="21"/>
          <w:highlight w:val="none"/>
          <w:lang w:val="zh-CN"/>
        </w:rPr>
        <w:t xml:space="preserve">：</w:t>
      </w:r>
      <w:r/>
    </w:p>
    <w:p>
      <w:pPr>
        <w:ind w:firstLine="422"/>
        <w:spacing w:line="400" w:lineRule="exact"/>
        <w:widowControl/>
        <w:rPr>
          <w:rFonts w:hint="eastAsia"/>
          <w:sz w:val="21"/>
          <w:szCs w:val="21"/>
          <w:highlight w:val="none"/>
        </w:rPr>
      </w:pPr>
      <w:r>
        <w:rPr>
          <w:rFonts w:hint="eastAsia"/>
          <w:b/>
          <w:bCs/>
          <w:sz w:val="21"/>
          <w:szCs w:val="21"/>
          <w:highlight w:val="none"/>
        </w:rPr>
        <w:t xml:space="preserve">（一）项目概况</w:t>
      </w:r>
      <w:r/>
    </w:p>
    <w:p>
      <w:pPr>
        <w:ind w:firstLine="420"/>
        <w:spacing w:line="400" w:lineRule="exact"/>
        <w:widowControl/>
        <w:rPr>
          <w:rFonts w:hint="eastAsia"/>
          <w:sz w:val="21"/>
          <w:szCs w:val="21"/>
          <w:highlight w:val="none"/>
        </w:rPr>
      </w:pPr>
      <w:r>
        <w:rPr>
          <w:rFonts w:hint="eastAsia"/>
          <w:sz w:val="21"/>
          <w:szCs w:val="21"/>
          <w:highlight w:val="none"/>
        </w:rPr>
        <w:t xml:space="preserve">项目名称：吴江</w:t>
      </w:r>
      <w:r>
        <w:rPr>
          <w:rFonts w:hint="eastAsia"/>
          <w:sz w:val="21"/>
          <w:szCs w:val="21"/>
          <w:highlight w:val="none"/>
          <w:lang w:val="zh-CN"/>
        </w:rPr>
        <w:t xml:space="preserve">四院扩建工程-医用气体设备采购</w:t>
      </w:r>
      <w:r>
        <w:rPr>
          <w:rFonts w:hint="eastAsia"/>
          <w:sz w:val="21"/>
          <w:szCs w:val="21"/>
          <w:highlight w:val="none"/>
        </w:rPr>
        <w:t xml:space="preserve">。</w:t>
      </w:r>
      <w:r/>
    </w:p>
    <w:p>
      <w:pPr>
        <w:ind w:firstLine="420"/>
        <w:spacing w:line="400" w:lineRule="exact"/>
        <w:widowControl/>
        <w:rPr>
          <w:rFonts w:hint="eastAsia"/>
          <w:sz w:val="21"/>
          <w:szCs w:val="21"/>
          <w:highlight w:val="none"/>
        </w:rPr>
      </w:pPr>
      <w:r>
        <w:rPr>
          <w:rFonts w:hint="eastAsia"/>
          <w:sz w:val="21"/>
          <w:szCs w:val="21"/>
          <w:highlight w:val="none"/>
        </w:rPr>
        <w:t xml:space="preserve">项目内容：本工程包含医用中心供氧系统、医用中心吸引系统、医用空气集中供应系统、报警系统、汇流排、设备带及电气部分。</w:t>
      </w:r>
      <w:r/>
    </w:p>
    <w:p>
      <w:pPr>
        <w:ind w:firstLine="422"/>
        <w:spacing w:line="400" w:lineRule="exact"/>
        <w:widowControl/>
        <w:rPr>
          <w:rFonts w:hint="eastAsia"/>
          <w:b/>
          <w:bCs/>
          <w:sz w:val="21"/>
          <w:szCs w:val="21"/>
          <w:highlight w:val="none"/>
        </w:rPr>
      </w:pPr>
      <w:r>
        <w:rPr>
          <w:rFonts w:hint="eastAsia"/>
          <w:b/>
          <w:bCs/>
          <w:sz w:val="21"/>
          <w:szCs w:val="21"/>
          <w:highlight w:val="none"/>
        </w:rPr>
        <w:t xml:space="preserve">（二）技术规范</w:t>
      </w:r>
      <w:r/>
    </w:p>
    <w:p>
      <w:pPr>
        <w:ind w:firstLine="420"/>
        <w:spacing w:line="400" w:lineRule="exact"/>
        <w:widowControl/>
        <w:rPr>
          <w:rFonts w:hint="eastAsia"/>
          <w:sz w:val="21"/>
          <w:szCs w:val="21"/>
          <w:highlight w:val="none"/>
        </w:rPr>
      </w:pPr>
      <w:r>
        <w:rPr>
          <w:rFonts w:hint="eastAsia"/>
          <w:sz w:val="21"/>
          <w:szCs w:val="21"/>
          <w:highlight w:val="none"/>
        </w:rPr>
        <w:t xml:space="preserve">《医用气体工程技术规范》GB50751-2012</w:t>
      </w:r>
      <w:r/>
    </w:p>
    <w:p>
      <w:pPr>
        <w:ind w:firstLine="420"/>
        <w:spacing w:line="400" w:lineRule="exact"/>
        <w:widowControl/>
        <w:rPr>
          <w:rFonts w:hint="eastAsia"/>
          <w:sz w:val="21"/>
          <w:szCs w:val="21"/>
          <w:highlight w:val="none"/>
        </w:rPr>
      </w:pPr>
      <w:r>
        <w:rPr>
          <w:rFonts w:hint="eastAsia"/>
          <w:sz w:val="21"/>
          <w:szCs w:val="21"/>
          <w:highlight w:val="none"/>
        </w:rPr>
        <w:t xml:space="preserve">《医用气体管道系统》GB/T 44059.1-2024第1部分:压缩医用气体和真空管道系统</w:t>
      </w:r>
      <w:r/>
    </w:p>
    <w:p>
      <w:pPr>
        <w:ind w:firstLine="420"/>
        <w:spacing w:line="400" w:lineRule="exact"/>
        <w:widowControl/>
        <w:rPr>
          <w:rFonts w:hint="eastAsia"/>
          <w:sz w:val="21"/>
          <w:szCs w:val="21"/>
          <w:highlight w:val="none"/>
        </w:rPr>
      </w:pPr>
      <w:r>
        <w:rPr>
          <w:rFonts w:hint="eastAsia"/>
          <w:sz w:val="21"/>
          <w:szCs w:val="21"/>
          <w:highlight w:val="none"/>
        </w:rPr>
        <w:t xml:space="preserve">《氧气站设计规范》GB50030-2013 </w:t>
      </w:r>
      <w:r/>
    </w:p>
    <w:p>
      <w:pPr>
        <w:ind w:firstLine="420"/>
        <w:spacing w:line="400" w:lineRule="exact"/>
        <w:widowControl/>
        <w:rPr>
          <w:rFonts w:hint="eastAsia"/>
          <w:sz w:val="21"/>
          <w:szCs w:val="21"/>
          <w:highlight w:val="none"/>
        </w:rPr>
      </w:pPr>
      <w:r>
        <w:rPr>
          <w:rFonts w:hint="eastAsia"/>
          <w:sz w:val="21"/>
          <w:szCs w:val="21"/>
          <w:highlight w:val="none"/>
        </w:rPr>
        <w:t xml:space="preserve">《工业金属管道工程施工规范》GB50235-2010</w:t>
      </w:r>
      <w:r/>
    </w:p>
    <w:p>
      <w:pPr>
        <w:ind w:firstLine="420"/>
        <w:spacing w:line="400" w:lineRule="exact"/>
        <w:widowControl/>
        <w:rPr>
          <w:rFonts w:hint="eastAsia"/>
          <w:sz w:val="21"/>
          <w:szCs w:val="21"/>
          <w:highlight w:val="none"/>
        </w:rPr>
      </w:pPr>
      <w:r>
        <w:rPr>
          <w:rFonts w:hint="eastAsia"/>
          <w:sz w:val="21"/>
          <w:szCs w:val="21"/>
          <w:highlight w:val="none"/>
        </w:rPr>
        <w:t xml:space="preserve">《工业金属管道工程施工质量验收规范》GB50184-2011</w:t>
      </w:r>
      <w:r/>
    </w:p>
    <w:p>
      <w:pPr>
        <w:ind w:firstLine="420"/>
        <w:spacing w:line="400" w:lineRule="exact"/>
        <w:widowControl/>
        <w:rPr>
          <w:rFonts w:hint="eastAsia"/>
          <w:sz w:val="21"/>
          <w:szCs w:val="21"/>
          <w:highlight w:val="none"/>
        </w:rPr>
      </w:pPr>
      <w:r>
        <w:rPr>
          <w:rFonts w:hint="eastAsia"/>
          <w:sz w:val="21"/>
          <w:szCs w:val="21"/>
          <w:highlight w:val="none"/>
        </w:rPr>
        <w:t xml:space="preserve">《现场设备、工业管道焊接工程施工及验收规范》GB50236-2011</w:t>
      </w:r>
      <w:r/>
    </w:p>
    <w:p>
      <w:pPr>
        <w:ind w:firstLine="420"/>
        <w:spacing w:line="400" w:lineRule="exact"/>
        <w:widowControl/>
        <w:rPr>
          <w:rFonts w:hint="eastAsia"/>
          <w:sz w:val="21"/>
          <w:szCs w:val="21"/>
          <w:highlight w:val="none"/>
        </w:rPr>
      </w:pPr>
      <w:r>
        <w:rPr>
          <w:rFonts w:hint="eastAsia"/>
          <w:sz w:val="21"/>
          <w:szCs w:val="21"/>
          <w:highlight w:val="none"/>
        </w:rPr>
        <w:t xml:space="preserve">《工业金属管道设计规范》（2008年版）GB50316-2000</w:t>
      </w:r>
      <w:r/>
    </w:p>
    <w:p>
      <w:pPr>
        <w:ind w:firstLine="420"/>
        <w:spacing w:line="400" w:lineRule="exact"/>
        <w:widowControl/>
        <w:rPr>
          <w:rFonts w:hint="eastAsia"/>
          <w:sz w:val="21"/>
          <w:szCs w:val="21"/>
          <w:highlight w:val="none"/>
        </w:rPr>
      </w:pPr>
      <w:r>
        <w:rPr>
          <w:rFonts w:hint="eastAsia"/>
          <w:sz w:val="21"/>
          <w:szCs w:val="21"/>
          <w:highlight w:val="none"/>
        </w:rPr>
        <w:t xml:space="preserve">《流体输送用不锈钢无缝钢管》GB/T14976-2012</w:t>
      </w:r>
      <w:r/>
    </w:p>
    <w:p>
      <w:pPr>
        <w:ind w:firstLine="420"/>
        <w:spacing w:line="400" w:lineRule="exact"/>
        <w:widowControl/>
        <w:rPr>
          <w:rFonts w:hint="eastAsia"/>
          <w:sz w:val="21"/>
          <w:szCs w:val="21"/>
          <w:highlight w:val="none"/>
        </w:rPr>
      </w:pPr>
      <w:r>
        <w:rPr>
          <w:rFonts w:hint="eastAsia"/>
          <w:sz w:val="21"/>
          <w:szCs w:val="21"/>
          <w:highlight w:val="none"/>
        </w:rPr>
        <w:t xml:space="preserve">国家、地方颁发的其它相关标准、规范和规程。</w:t>
      </w:r>
      <w:r/>
    </w:p>
    <w:p>
      <w:pPr>
        <w:ind w:firstLine="420"/>
        <w:spacing w:line="400" w:lineRule="exact"/>
        <w:widowControl/>
        <w:rPr>
          <w:rFonts w:hint="eastAsia"/>
          <w:sz w:val="21"/>
          <w:szCs w:val="21"/>
          <w:highlight w:val="none"/>
        </w:rPr>
      </w:pPr>
      <w:r>
        <w:rPr>
          <w:rFonts w:hint="eastAsia"/>
          <w:sz w:val="21"/>
          <w:szCs w:val="21"/>
          <w:highlight w:val="none"/>
        </w:rPr>
        <w:t xml:space="preserve">招标图纸及院方的有关要求；</w:t>
      </w:r>
      <w:r/>
    </w:p>
    <w:p>
      <w:pPr>
        <w:ind w:firstLine="422"/>
        <w:spacing w:line="400" w:lineRule="exact"/>
        <w:widowControl/>
        <w:rPr>
          <w:rFonts w:hint="eastAsia"/>
          <w:b/>
          <w:bCs/>
          <w:sz w:val="21"/>
          <w:szCs w:val="21"/>
          <w:highlight w:val="none"/>
        </w:rPr>
      </w:pPr>
      <w:r>
        <w:rPr>
          <w:rFonts w:hint="eastAsia"/>
          <w:b/>
          <w:bCs/>
          <w:sz w:val="21"/>
          <w:szCs w:val="21"/>
          <w:highlight w:val="none"/>
        </w:rPr>
        <w:t xml:space="preserve">四、详细技术要求及清单参数要求</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rPr>
        <w:t xml:space="preserve">（一）医用气体供应系统</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rPr>
        <w:t xml:space="preserve">A、医用中心供氧系统</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医用中心供氧系统由氧源部分、氧气二级减压装置、压力监测报警装置、氧气流量计、氧气输送管道及氧气终端等组成。</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① 系统设计参数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（1）氧气主管道压力：0.5～0.6MPa（可调）；</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（2）氧气副管道压力：0.4～0.45MPa（可调）；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（3）氧气终端处额定压力：0.4MPa（区域可调）；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（4）氧气终端设计流量：手术室：100L/min，所有其他病房：10L/min；</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（5）氧气管道气体流速：≯10m/s；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（6）管道系统小时泄漏率＜0.2%；</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（7）氧气管道可靠接地，接地电阻&lt;10Ω；</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（8）在末端设计压力400～500Kpa下，管道压力损失不超过50kPa；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（9）管道强度试验压力为设计压力的1.15倍，气密性试验压力为设计压力；</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（10）声光报警要求在55dB(A)噪声环境下，在距1.5m范围内可以听到；</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② 氧源：</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（1）设备组成</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本项目氧气主氧源设计</w:t>
      </w:r>
      <w:r>
        <w:rPr>
          <w:rFonts w:hint="eastAsia" w:eastAsia="宋体"/>
          <w:sz w:val="21"/>
          <w:szCs w:val="21"/>
          <w:highlight w:val="none"/>
          <w:lang w:val="en-US" w:eastAsia="zh-CN"/>
        </w:rPr>
        <w:t xml:space="preserve">2</w:t>
      </w:r>
      <w:r>
        <w:rPr>
          <w:rFonts w:hint="eastAsia" w:eastAsia="宋体"/>
          <w:sz w:val="21"/>
          <w:szCs w:val="21"/>
          <w:highlight w:val="none"/>
        </w:rPr>
        <w:t xml:space="preserve">台</w:t>
      </w:r>
      <w:r>
        <w:rPr>
          <w:rFonts w:hint="eastAsia" w:eastAsia="宋体"/>
          <w:sz w:val="21"/>
          <w:szCs w:val="21"/>
          <w:highlight w:val="none"/>
          <w:lang w:val="en-US" w:eastAsia="zh-CN"/>
        </w:rPr>
        <w:t xml:space="preserve">4.99</w:t>
      </w:r>
      <w:r>
        <w:rPr>
          <w:rFonts w:hint="eastAsia" w:eastAsia="宋体"/>
          <w:sz w:val="21"/>
          <w:szCs w:val="21"/>
          <w:highlight w:val="none"/>
        </w:rPr>
        <w:t xml:space="preserve">m3液氧储罐，</w:t>
      </w:r>
      <w:r>
        <w:rPr>
          <w:rFonts w:hint="eastAsia" w:eastAsia="宋体"/>
          <w:sz w:val="21"/>
          <w:szCs w:val="21"/>
          <w:highlight w:val="none"/>
          <w:lang w:val="en-US" w:eastAsia="zh-CN"/>
        </w:rPr>
        <w:t xml:space="preserve">2</w:t>
      </w:r>
      <w:r>
        <w:rPr>
          <w:rFonts w:hint="eastAsia" w:eastAsia="宋体"/>
          <w:sz w:val="21"/>
          <w:szCs w:val="21"/>
          <w:highlight w:val="none"/>
        </w:rPr>
        <w:t xml:space="preserve">台300m3/h汽化器、1台氧气双路减压装置及1套分气缸。同时设计1套</w:t>
      </w:r>
      <w:r>
        <w:rPr>
          <w:rFonts w:hint="eastAsia" w:eastAsia="宋体"/>
          <w:sz w:val="21"/>
          <w:szCs w:val="21"/>
          <w:highlight w:val="none"/>
          <w:lang w:val="en-US" w:eastAsia="zh-CN"/>
        </w:rPr>
        <w:t xml:space="preserve">2*</w:t>
      </w:r>
      <w:r>
        <w:rPr>
          <w:rFonts w:hint="eastAsia" w:eastAsia="宋体"/>
          <w:sz w:val="21"/>
          <w:szCs w:val="21"/>
          <w:highlight w:val="none"/>
        </w:rPr>
        <w:t xml:space="preserve">10氧气钢瓶汇流排作为应急备用氧源，当液氧站保养或维修时代替供氧，保证氧气系统的不间断供应。</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（2）设备性能要求</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1）液氧罐须符合GB150规范，且生产厂家具有特种设备设计许可证（压力容器）、特种设备制造许可证（压力容器）。液氧罐单台容积</w:t>
      </w:r>
      <w:r>
        <w:rPr>
          <w:rFonts w:hint="eastAsia" w:eastAsia="宋体"/>
          <w:sz w:val="21"/>
          <w:szCs w:val="21"/>
          <w:highlight w:val="none"/>
          <w:lang w:val="en-US" w:eastAsia="zh-CN"/>
        </w:rPr>
        <w:t xml:space="preserve">4.99</w:t>
      </w:r>
      <w:r>
        <w:rPr>
          <w:rFonts w:hint="eastAsia" w:eastAsia="宋体"/>
          <w:sz w:val="21"/>
          <w:szCs w:val="21"/>
          <w:highlight w:val="none"/>
        </w:rPr>
        <w:t xml:space="preserve">m3，设计压力1.6MPa。</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2）氧气汇流排性能要求：</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a.规格：10+10；</w:t>
      </w:r>
      <w:r/>
    </w:p>
    <w:p>
      <w:pPr>
        <w:ind w:firstLine="420"/>
        <w:spacing w:line="400" w:lineRule="exact"/>
        <w:widowControl/>
        <w:rPr>
          <w:rFonts w:hint="eastAsia" w:eastAsia="宋体"/>
          <w:sz w:val="21"/>
          <w:szCs w:val="21"/>
          <w:highlight w:val="none"/>
          <w:lang w:val="en-US" w:eastAsia="zh-CN"/>
        </w:rPr>
      </w:pPr>
      <w:r>
        <w:rPr>
          <w:rFonts w:hint="eastAsia" w:eastAsia="宋体"/>
          <w:sz w:val="21"/>
          <w:szCs w:val="21"/>
          <w:highlight w:val="none"/>
        </w:rPr>
        <w:t xml:space="preserve">b.</w:t>
      </w:r>
      <w:r>
        <w:rPr>
          <w:rFonts w:hint="eastAsia" w:eastAsia="宋体"/>
          <w:sz w:val="21"/>
          <w:szCs w:val="21"/>
          <w:highlight w:val="none"/>
          <w:lang w:val="en-US" w:eastAsia="zh-CN"/>
        </w:rPr>
        <w:t xml:space="preserve">全自动触摸汇流排，先导式切换，带气维修</w:t>
      </w:r>
      <w:r>
        <w:rPr>
          <w:rFonts w:hint="eastAsia" w:eastAsia="宋体"/>
          <w:sz w:val="21"/>
          <w:szCs w:val="21"/>
          <w:highlight w:val="none"/>
        </w:rPr>
        <w:t xml:space="preserve">；</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c.标配RS485远程接口；</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d.</w:t>
      </w:r>
      <w:r>
        <w:rPr>
          <w:rFonts w:hint="eastAsia" w:eastAsia="宋体"/>
          <w:sz w:val="21"/>
          <w:szCs w:val="21"/>
          <w:highlight w:val="none"/>
        </w:rPr>
        <w:t xml:space="preserve">汇流排带温度监控依据GB/T2423.1-2008电工电子产品环境测试第2部分，环境温度40持续2小时测试，测试后依次按-“设置”-“声光报警”-报警功能应正常，当温度低于设置值，输出信号，达到设定值，停止输出信号，并提供第三方检测报告</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e.</w:t>
      </w:r>
      <w:r>
        <w:rPr>
          <w:rFonts w:hint="eastAsia" w:eastAsia="宋体"/>
          <w:sz w:val="21"/>
          <w:szCs w:val="21"/>
          <w:highlight w:val="none"/>
        </w:rPr>
        <w:t xml:space="preserve">全自动汇流排应符合医用设备电气安全标准YY9706-102-2021，适用气体应包括氧气</w:t>
      </w:r>
      <w:r>
        <w:rPr>
          <w:rFonts w:hint="eastAsia" w:eastAsia="宋体"/>
          <w:sz w:val="21"/>
          <w:szCs w:val="21"/>
          <w:highlight w:val="none"/>
          <w:lang w:val="en-US" w:eastAsia="zh-CN"/>
        </w:rPr>
        <w:t xml:space="preserve">等气源,</w:t>
      </w:r>
      <w:r>
        <w:rPr>
          <w:rFonts w:hint="eastAsia" w:eastAsia="宋体"/>
          <w:sz w:val="21"/>
          <w:szCs w:val="21"/>
          <w:highlight w:val="none"/>
        </w:rPr>
        <w:t xml:space="preserve">并提供国家承认带CMA或CNAS标记的第三方检测报告。</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rPr>
        <w:t xml:space="preserve">医用气体汇流排归二类医疗器械目录管理，须提供二类医疗器械注册证及医疗器械生产许可证,否则为无效投标。</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f.</w:t>
      </w:r>
      <w:r>
        <w:rPr>
          <w:rFonts w:hint="eastAsia" w:eastAsia="宋体"/>
          <w:sz w:val="21"/>
          <w:szCs w:val="21"/>
          <w:highlight w:val="none"/>
        </w:rPr>
        <w:t xml:space="preserve">全自动汇流排依据IEC62321-4:2017,限用物质必须达到相关规范要求，检测铅、镉、汞、六价铬等达到合格使用条件并且提供国家承认的官方检测报告。</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g.</w:t>
      </w:r>
      <w:r>
        <w:rPr>
          <w:rFonts w:hint="eastAsia" w:eastAsia="宋体"/>
          <w:sz w:val="21"/>
          <w:szCs w:val="21"/>
          <w:highlight w:val="none"/>
        </w:rPr>
        <w:t xml:space="preserve">全自动汇流排依据GB 4793.1-2007/1EC61010-1:2001《电气设备的安全要求第1部分:通用要求》，需满足电气安全测试要求需要提供设备第三方检测报告。</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h.</w:t>
      </w:r>
      <w:r>
        <w:rPr>
          <w:rFonts w:hint="eastAsia" w:eastAsia="宋体"/>
          <w:sz w:val="21"/>
          <w:szCs w:val="21"/>
          <w:highlight w:val="none"/>
        </w:rPr>
        <w:t xml:space="preserve">全自动汇流排依据GB/T12244-2006（减压阀一般要求）GB/T 13927-2008（工业阀门压力试验）减压阀需做连续运行试验，试验10000次，频率10-50 次/min后，满足调压性能，流量特性，压力特性，密封性能的规定需要提供设备第三方检测报告  </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i.</w:t>
      </w:r>
      <w:r>
        <w:rPr>
          <w:rFonts w:hint="eastAsia" w:eastAsia="宋体"/>
          <w:sz w:val="21"/>
          <w:szCs w:val="21"/>
          <w:highlight w:val="none"/>
        </w:rPr>
        <w:t xml:space="preserve">氧气供应：氧气从液氧站引</w:t>
      </w:r>
      <w:r>
        <w:rPr>
          <w:rFonts w:hint="eastAsia" w:eastAsia="宋体"/>
          <w:sz w:val="21"/>
          <w:szCs w:val="21"/>
          <w:highlight w:val="none"/>
          <w:lang w:val="en-US" w:eastAsia="zh-CN"/>
        </w:rPr>
        <w:t xml:space="preserve">2</w:t>
      </w:r>
      <w:r>
        <w:rPr>
          <w:rFonts w:hint="eastAsia" w:eastAsia="宋体"/>
          <w:sz w:val="21"/>
          <w:szCs w:val="21"/>
          <w:highlight w:val="none"/>
        </w:rPr>
        <w:t xml:space="preserve">路主管进大楼，第1路专供生命支持区域；第2路专供普通病房区域。</w:t>
      </w:r>
      <w:r/>
    </w:p>
    <w:p>
      <w:pPr>
        <w:ind w:firstLine="422"/>
        <w:spacing w:line="400" w:lineRule="exact"/>
        <w:widowControl/>
        <w:rPr>
          <w:rFonts w:eastAsia="宋体"/>
          <w:b/>
          <w:bCs/>
          <w:sz w:val="21"/>
          <w:szCs w:val="21"/>
          <w:highlight w:val="none"/>
          <w:lang w:val="en-US"/>
        </w:rPr>
      </w:pPr>
      <w:r>
        <w:rPr>
          <w:rFonts w:hint="eastAsia" w:eastAsia="宋体"/>
          <w:b/>
          <w:bCs/>
          <w:sz w:val="21"/>
          <w:szCs w:val="21"/>
          <w:highlight w:val="none"/>
        </w:rPr>
        <w:t xml:space="preserve">B、医用中心吸引系统</w:t>
      </w:r>
      <w:r/>
    </w:p>
    <w:p>
      <w:pPr>
        <w:pStyle w:val="993"/>
        <w:numPr>
          <w:ilvl w:val="0"/>
          <w:numId w:val="0"/>
        </w:numPr>
        <w:ind w:left="0" w:firstLine="420"/>
        <w:rPr>
          <w:rFonts w:hint="eastAsia" w:ascii="宋体" w:hAnsi="宋体" w:eastAsia="宋体" w:cs="宋体"/>
          <w:szCs w:val="21"/>
          <w:highlight w:val="none"/>
          <w:lang w:val="en-US" w:eastAsia="zh-CN"/>
        </w:rPr>
      </w:pPr>
      <w:r>
        <w:rPr>
          <w:rFonts w:hint="eastAsia" w:ascii="宋体" w:hAnsi="宋体" w:eastAsia="宋体" w:cs="宋体"/>
          <w:sz w:val="21"/>
          <w:szCs w:val="21"/>
          <w:highlight w:val="none"/>
        </w:rPr>
        <w:t xml:space="preserve">医用中心吸引系统由医用中心吸引站、压力监测报警装置、吸引管道、吸引终端等组成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医用真空系统设置细菌过滤器和排气消毒装置，细菌过滤器应符合GB50751-2012《医用气体工程技术规范》第5.2.16条的要求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负压机组</w:t>
      </w:r>
      <w:r>
        <w:rPr>
          <w:rFonts w:hint="eastAsia" w:ascii="宋体" w:hAnsi="宋体" w:eastAsia="宋体" w:cs="宋体"/>
          <w:sz w:val="21"/>
          <w:szCs w:val="21"/>
          <w:highlight w:val="none"/>
        </w:rPr>
        <w:t xml:space="preserve">排气消毒装置应符合T/CAME 13-2020《医用真空系统排气消毒装置通用技术规范》的要求</w:t>
      </w:r>
      <w:r>
        <w:rPr>
          <w:rFonts w:hint="eastAsia" w:ascii="宋体" w:hAnsi="宋体" w:eastAsia="宋体" w:cs="宋体"/>
          <w:sz w:val="21"/>
          <w:szCs w:val="21"/>
          <w:highlight w:val="none"/>
          <w:lang w:eastAsia="zh-CN"/>
        </w:rPr>
        <w:t xml:space="preserve">。</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① 系统设计参数</w:t>
      </w:r>
      <w:r/>
    </w:p>
    <w:p>
      <w:pPr>
        <w:ind w:firstLine="420"/>
        <w:spacing w:line="400" w:lineRule="exact"/>
        <w:widowControl/>
        <w:rPr>
          <w:rFonts w:hint="eastAsia" w:eastAsia="宋体"/>
          <w:sz w:val="21"/>
          <w:szCs w:val="21"/>
          <w:highlight w:val="none"/>
          <w:lang w:val="en-US" w:eastAsia="zh-CN"/>
        </w:rPr>
      </w:pPr>
      <w:r>
        <w:rPr>
          <w:rFonts w:hint="eastAsia" w:eastAsia="宋体"/>
          <w:sz w:val="21"/>
          <w:szCs w:val="21"/>
          <w:highlight w:val="none"/>
        </w:rPr>
        <w:t xml:space="preserve">（1）系统最大抽气量：</w:t>
      </w:r>
      <w:r>
        <w:rPr>
          <w:rFonts w:hint="eastAsia" w:eastAsia="宋体"/>
          <w:sz w:val="21"/>
          <w:szCs w:val="21"/>
          <w:highlight w:val="none"/>
          <w:lang w:val="en-US" w:eastAsia="zh-CN"/>
        </w:rPr>
        <w:t xml:space="preserve">4</w:t>
      </w:r>
      <w:r>
        <w:rPr>
          <w:rFonts w:hint="eastAsia" w:eastAsia="宋体"/>
          <w:sz w:val="21"/>
          <w:szCs w:val="21"/>
          <w:highlight w:val="none"/>
        </w:rPr>
        <w:t xml:space="preserve">00m3/h；</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（2）机房噪声：室内不超过80dB(A)，室外不超过60dB(A)；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（3）吸引终端设计流量：大手术室：80L/min，小手术室和所有病房床位：40L/min（可调）；</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（4）吸引终端处额定压力：40kPa（真空压力）；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（5）真空报警压力：真空汇压力低于48kPa启动欠压报警；区域真空压力低于37kPa启动欠压报警；</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（6）管道系统小时泄漏率＜1.0%；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（7）真空吸引系统接地电阻小于10，电控柜的绝缘电阻不小于2MΩ。</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（8）医用真空站应设置细菌过滤器，过滤精度应为0.01～0.2um，效率应过达到99.995%。</w:t>
      </w:r>
      <w:r/>
    </w:p>
    <w:p>
      <w:pPr>
        <w:ind w:firstLine="42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）PLC中央集成控制,追随运转和轮流运转双重模式,手动/自动切换,断电恢复自动启动。触摸屏人机操作界面,实时动态显示设备各组件运行流程和运行参数。具备就地故障报警功能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设备运行参数、保养提示、保养计划、</w:t>
      </w:r>
      <w:r>
        <w:rPr>
          <w:rFonts w:hint="eastAsia" w:ascii="宋体" w:hAnsi="宋体" w:eastAsia="宋体" w:cs="宋体"/>
          <w:sz w:val="21"/>
          <w:szCs w:val="21"/>
          <w:highlight w:val="none"/>
          <w:shd w:val="clear" w:color="auto" w:fill="auto"/>
          <w:lang w:val="en-US" w:eastAsia="zh-CN"/>
        </w:rPr>
        <w:t xml:space="preserve">报警信息、运行时间、运行状态、操作钮，数据库等，控制系统具有485、modbus协议端口，别与将上述信息鉴于值班系统，</w:t>
      </w:r>
      <w:r>
        <w:rPr>
          <w:rFonts w:hint="eastAsia" w:ascii="宋体" w:hAnsi="宋体" w:eastAsia="宋体" w:cs="宋体"/>
          <w:sz w:val="21"/>
          <w:szCs w:val="21"/>
          <w:highlight w:val="none"/>
        </w:rPr>
        <w:t xml:space="preserve">可为医用气体集中监测报警管理系统及远程维护提供实时数据信息传输。</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② 医用中心吸引站</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（1）负压吸引站设置</w:t>
      </w:r>
      <w:r>
        <w:rPr>
          <w:rFonts w:hint="eastAsia" w:eastAsia="宋体"/>
          <w:sz w:val="21"/>
          <w:szCs w:val="21"/>
          <w:highlight w:val="none"/>
          <w:lang w:val="en-US" w:eastAsia="zh-CN"/>
        </w:rPr>
        <w:t xml:space="preserve">2</w:t>
      </w:r>
      <w:r>
        <w:rPr>
          <w:rFonts w:hint="eastAsia" w:eastAsia="宋体"/>
          <w:sz w:val="21"/>
          <w:szCs w:val="21"/>
          <w:highlight w:val="none"/>
        </w:rPr>
        <w:t xml:space="preserve">台油润旋片式真空泵，</w:t>
      </w:r>
      <w:r>
        <w:rPr>
          <w:rFonts w:hint="eastAsia" w:eastAsia="宋体"/>
          <w:sz w:val="21"/>
          <w:szCs w:val="21"/>
          <w:highlight w:val="none"/>
          <w:lang w:val="en-US" w:eastAsia="zh-CN"/>
        </w:rPr>
        <w:t xml:space="preserve">1</w:t>
      </w:r>
      <w:r>
        <w:rPr>
          <w:rFonts w:hint="eastAsia" w:eastAsia="宋体"/>
          <w:sz w:val="21"/>
          <w:szCs w:val="21"/>
          <w:highlight w:val="none"/>
        </w:rPr>
        <w:t xml:space="preserve">用1备。单机功率</w:t>
      </w:r>
      <w:r>
        <w:rPr>
          <w:rFonts w:hint="eastAsia" w:eastAsia="宋体"/>
          <w:sz w:val="21"/>
          <w:szCs w:val="21"/>
          <w:highlight w:val="none"/>
          <w:lang w:val="en-US" w:eastAsia="zh-CN"/>
        </w:rPr>
        <w:t xml:space="preserve">5.5</w:t>
      </w:r>
      <w:r>
        <w:rPr>
          <w:rFonts w:hint="eastAsia" w:eastAsia="宋体"/>
          <w:sz w:val="21"/>
          <w:szCs w:val="21"/>
          <w:highlight w:val="none"/>
        </w:rPr>
        <w:t xml:space="preserve">KW，单机流量：</w:t>
      </w:r>
      <w:r>
        <w:rPr>
          <w:rFonts w:hint="eastAsia" w:eastAsia="宋体"/>
          <w:sz w:val="21"/>
          <w:szCs w:val="21"/>
          <w:highlight w:val="none"/>
          <w:lang w:val="en-US" w:eastAsia="zh-CN"/>
        </w:rPr>
        <w:t xml:space="preserve">2</w:t>
      </w:r>
      <w:r>
        <w:rPr>
          <w:rFonts w:hint="eastAsia" w:eastAsia="宋体"/>
          <w:sz w:val="21"/>
          <w:szCs w:val="21"/>
          <w:highlight w:val="none"/>
        </w:rPr>
        <w:t xml:space="preserve">00m3/h。配套2台</w:t>
      </w:r>
      <w:r>
        <w:rPr>
          <w:rFonts w:hint="eastAsia" w:eastAsia="宋体"/>
          <w:sz w:val="21"/>
          <w:szCs w:val="21"/>
          <w:highlight w:val="none"/>
          <w:lang w:val="en-US" w:eastAsia="zh-CN"/>
        </w:rPr>
        <w:t xml:space="preserve">1.5</w:t>
      </w:r>
      <w:r>
        <w:rPr>
          <w:rFonts w:hint="eastAsia" w:eastAsia="宋体"/>
          <w:sz w:val="21"/>
          <w:szCs w:val="21"/>
          <w:highlight w:val="none"/>
        </w:rPr>
        <w:t xml:space="preserve">m3真空储气罐、细菌过滤器等。</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（2）真空泵房内，当医用真空压力低于48KPa时，启动欠压报警。</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（3）医用真空分为两路供应，一路生命支持区域，另一路专供普通病房区域。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4</w:t>
      </w:r>
      <w:r>
        <w:rPr>
          <w:rFonts w:hint="eastAsia" w:eastAsia="宋体"/>
          <w:sz w:val="21"/>
          <w:szCs w:val="21"/>
          <w:highlight w:val="none"/>
        </w:rPr>
        <w:t xml:space="preserve">）应符合GB50751-2012及YY/T0186-1994规范要求，应设置应急备用电源，与医用气体接触的材料与相应气体不得产生有火灾危险、毒性或腐蚀性危害的物质；（提供国家承认带CMA或CNAS标记的第三方检测报告）</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5</w:t>
      </w:r>
      <w:r>
        <w:rPr>
          <w:rFonts w:hint="eastAsia" w:eastAsia="宋体"/>
          <w:sz w:val="21"/>
          <w:szCs w:val="21"/>
          <w:highlight w:val="none"/>
        </w:rPr>
        <w:t xml:space="preserve">）应符合医用电器环境要求及实验方法GB/T14710，满足高、低温，温湿度，震动、碰撞实验要求（提供国家承认带CMA或CNAS标记的第三方检测报告）</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6</w:t>
      </w:r>
      <w:r>
        <w:rPr>
          <w:rFonts w:hint="eastAsia" w:eastAsia="宋体"/>
          <w:sz w:val="21"/>
          <w:szCs w:val="21"/>
          <w:highlight w:val="none"/>
        </w:rPr>
        <w:t xml:space="preserve">）为在极端温度条件下正常工作运行，需做高低温试验（-20℃~60℃），提供第三方检测机构测试报告</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7</w:t>
      </w:r>
      <w:r>
        <w:rPr>
          <w:rFonts w:hint="eastAsia" w:eastAsia="宋体"/>
          <w:sz w:val="21"/>
          <w:szCs w:val="21"/>
          <w:highlight w:val="none"/>
        </w:rPr>
        <w:t xml:space="preserve">）应符合医用设备电气安全标准YY9706-102-2021，满足电磁兼容要求</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8</w:t>
      </w:r>
      <w:r>
        <w:rPr>
          <w:rFonts w:hint="eastAsia" w:eastAsia="宋体"/>
          <w:sz w:val="21"/>
          <w:szCs w:val="21"/>
          <w:highlight w:val="none"/>
        </w:rPr>
        <w:t xml:space="preserve">）为保护知识产权，保证使用单位安全、长期可靠，需提供控制系统的软件著作权证书证明</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9</w:t>
      </w:r>
      <w:r>
        <w:rPr>
          <w:rFonts w:hint="eastAsia" w:eastAsia="宋体"/>
          <w:sz w:val="21"/>
          <w:szCs w:val="21"/>
          <w:highlight w:val="none"/>
        </w:rPr>
        <w:t xml:space="preserve">）可以显示信息：报警信息，保养计划，运行时间、运行状态、操作钮，数据库</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10</w:t>
      </w:r>
      <w:r>
        <w:rPr>
          <w:rFonts w:hint="eastAsia" w:eastAsia="宋体"/>
          <w:sz w:val="21"/>
          <w:szCs w:val="21"/>
          <w:highlight w:val="none"/>
        </w:rPr>
        <w:t xml:space="preserve">）多用一备，循环使用，自动运行时监控各泵的使用状态，如果某一台发生故障，设备会自动识别同时发出报警，并跨越故障机头继续循环工作，保证不停气</w:t>
      </w:r>
      <w:r/>
    </w:p>
    <w:p>
      <w:pPr>
        <w:ind w:firstLine="422"/>
        <w:spacing w:line="400" w:lineRule="exact"/>
        <w:widowControl/>
        <w:rPr>
          <w:rFonts w:hint="eastAsia" w:eastAsia="宋体"/>
          <w:b/>
          <w:bCs/>
          <w:sz w:val="21"/>
          <w:szCs w:val="21"/>
          <w:highlight w:val="none"/>
          <w:lang w:eastAsia="zh-CN"/>
        </w:rPr>
      </w:pPr>
      <w:r>
        <w:rPr>
          <w:rFonts w:hint="eastAsia" w:eastAsia="宋体"/>
          <w:b/>
          <w:bCs/>
          <w:sz w:val="21"/>
          <w:szCs w:val="21"/>
          <w:highlight w:val="none"/>
        </w:rPr>
        <w:t xml:space="preserve">医用负压机归二类医疗器械目录管理，须提供二类医疗器械注册证及医疗器械生产许可证</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rPr>
        <w:t xml:space="preserve">否则为无效投标</w:t>
      </w:r>
      <w:r>
        <w:rPr>
          <w:rFonts w:hint="eastAsia" w:eastAsia="宋体"/>
          <w:b/>
          <w:bCs/>
          <w:color w:val="000000"/>
          <w:sz w:val="21"/>
          <w:szCs w:val="21"/>
          <w:highlight w:val="none"/>
          <w:lang w:eastAsia="zh-CN"/>
        </w:rPr>
        <w:t xml:space="preserve">。</w:t>
      </w:r>
      <w:r/>
    </w:p>
    <w:p>
      <w:pPr>
        <w:ind w:firstLine="422"/>
        <w:spacing w:line="400" w:lineRule="exact"/>
        <w:widowControl/>
        <w:rPr>
          <w:rFonts w:eastAsia="宋体"/>
          <w:b/>
          <w:bCs/>
          <w:sz w:val="21"/>
          <w:szCs w:val="21"/>
          <w:highlight w:val="none"/>
          <w:lang w:val="en-US" w:eastAsia="zh-CN"/>
        </w:rPr>
      </w:pPr>
      <w:r>
        <w:rPr>
          <w:rFonts w:hint="eastAsia" w:eastAsia="宋体"/>
          <w:b/>
          <w:bCs/>
          <w:sz w:val="21"/>
          <w:szCs w:val="21"/>
          <w:highlight w:val="none"/>
        </w:rPr>
        <w:t xml:space="preserve">C、医疗压缩空气系统</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医疗压缩空气系统主要由压缩空气站、压力监测报警装置、压缩空气管路和压缩空气终端等组成。</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① 系统设计参数：</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（1）空气副管道压力:0.4～0.45MPa（可调）；</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（2）空气终端处额定压力：0.4MPa（区域可调）；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（3）空气终端设计流量：手术室：40L/min，重症病房、新生儿、高护病房80L/min，其他病房床位 20L/min；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（4）空气管道气体流速：≯10m/s；</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（5）系统小时泄漏率＜0.2%；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（6）压缩空气管路系统在末端设计400～500Kpa下，设计允许压力损失为50Kpa；</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（7）空气管道可靠接地，接地电阻&lt;10Ω。</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（8）设置不少于两级的空气过滤器，每级过滤器均应设置备用。系统过滤精度不低于0.01μm，且过滤效率大于98%。   </w:t>
      </w:r>
      <w:r/>
    </w:p>
    <w:p>
      <w:pPr>
        <w:ind w:firstLine="420"/>
        <w:spacing w:line="400" w:lineRule="exact"/>
        <w:widowControl/>
        <w:rPr>
          <w:rFonts w:hint="eastAsia"/>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）PLC中央集成控制,追随运转和轮流运转双重模式,手动/自动切换,断电恢复自动启动。触摸屏人机操作界面,实时动态显示设备各组件运行流程和运行参数。具备就地故障报警功能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设备运行参数、保养提示、保养计划、</w:t>
      </w:r>
      <w:r>
        <w:rPr>
          <w:rFonts w:hint="eastAsia" w:ascii="宋体" w:hAnsi="宋体" w:eastAsia="宋体" w:cs="宋体"/>
          <w:sz w:val="21"/>
          <w:szCs w:val="21"/>
          <w:highlight w:val="none"/>
          <w:shd w:val="clear" w:color="auto" w:fill="auto"/>
          <w:lang w:val="en-US" w:eastAsia="zh-CN"/>
        </w:rPr>
        <w:t xml:space="preserve">报警信息、运行时间、运行状态、操作钮，数据库等，控制系统具有485、modbus协议端口，别与将上述信息鉴于值班系统，</w:t>
      </w:r>
      <w:r>
        <w:rPr>
          <w:rFonts w:hint="eastAsia" w:ascii="宋体" w:hAnsi="宋体" w:eastAsia="宋体" w:cs="宋体"/>
          <w:sz w:val="21"/>
          <w:szCs w:val="21"/>
          <w:highlight w:val="none"/>
        </w:rPr>
        <w:t xml:space="preserve">可为医用气体集中监测报警管理系统及远程维护提供实时数据信息传输。</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② 压缩空气站</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（1）机房内设排气量≥1.</w:t>
      </w:r>
      <w:r>
        <w:rPr>
          <w:rFonts w:hint="eastAsia" w:eastAsia="宋体"/>
          <w:sz w:val="21"/>
          <w:szCs w:val="21"/>
          <w:highlight w:val="none"/>
          <w:lang w:val="en-US" w:eastAsia="zh-CN"/>
        </w:rPr>
        <w:t xml:space="preserve">43</w:t>
      </w:r>
      <w:r>
        <w:rPr>
          <w:rFonts w:hint="eastAsia" w:eastAsia="宋体"/>
          <w:sz w:val="21"/>
          <w:szCs w:val="21"/>
          <w:highlight w:val="none"/>
        </w:rPr>
        <w:t xml:space="preserve">m3/min无油涡旋空气压缩机</w:t>
      </w:r>
      <w:r>
        <w:rPr>
          <w:rFonts w:hint="eastAsia" w:eastAsia="宋体"/>
          <w:sz w:val="21"/>
          <w:szCs w:val="21"/>
          <w:highlight w:val="none"/>
          <w:lang w:val="en-US" w:eastAsia="zh-CN"/>
        </w:rPr>
        <w:t xml:space="preserve">3</w:t>
      </w:r>
      <w:r>
        <w:rPr>
          <w:rFonts w:hint="eastAsia" w:eastAsia="宋体"/>
          <w:sz w:val="21"/>
          <w:szCs w:val="21"/>
          <w:highlight w:val="none"/>
        </w:rPr>
        <w:t xml:space="preserve">台，</w:t>
      </w:r>
      <w:r>
        <w:rPr>
          <w:rFonts w:hint="eastAsia" w:eastAsia="宋体"/>
          <w:sz w:val="21"/>
          <w:szCs w:val="21"/>
          <w:highlight w:val="none"/>
          <w:lang w:val="en-US" w:eastAsia="zh-CN"/>
        </w:rPr>
        <w:t xml:space="preserve">2</w:t>
      </w:r>
      <w:r>
        <w:rPr>
          <w:rFonts w:hint="eastAsia" w:eastAsia="宋体"/>
          <w:sz w:val="21"/>
          <w:szCs w:val="21"/>
          <w:highlight w:val="none"/>
        </w:rPr>
        <w:t xml:space="preserve">用1备，单机功率≤</w:t>
      </w:r>
      <w:r>
        <w:rPr>
          <w:rFonts w:hint="eastAsia" w:eastAsia="宋体"/>
          <w:sz w:val="21"/>
          <w:szCs w:val="21"/>
          <w:highlight w:val="none"/>
          <w:lang w:val="en-US" w:eastAsia="zh-CN"/>
        </w:rPr>
        <w:t xml:space="preserve">5.5</w:t>
      </w:r>
      <w:r>
        <w:rPr>
          <w:rFonts w:hint="eastAsia" w:eastAsia="宋体"/>
          <w:sz w:val="21"/>
          <w:szCs w:val="21"/>
          <w:highlight w:val="none"/>
        </w:rPr>
        <w:t xml:space="preserve">KW。空压机最大排气压力为0.8MPa。空压机房内，当气源压力超出允许上限和额定压力欠压15%时，启动超压欠压报警。</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（2）医疗空气经储气罐缓冲、空气干燥装置干燥、过滤、除味后，使其空气质量达到医疗空气标准后供应。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（3）医疗空气分为两路供应，一路专生命支持区域，另一路专供普通病房区域。</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（4）压缩空气站主要技术要求：</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1）医用空气压缩机在单一故障状态时，应能持续工作供气。（需提供第三方检验机构出具的检验报告）</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2）气密性：医用空气压缩机所有紧固件连接应牢靠,不得有任何松动,各种管道、管汇及阀门排列应整齐,其连接处不得漏气。</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3）所有紧固件连接应牢靠，不得有任何松动，各种管道、管汇及阀门排列应整齐,其连接处不得漏气。（需提供第三方检验机构出具的检验报告）</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▲4）医用空气压缩机所制取的压缩空气理化指标要求（需提供第三方检验机构出具的检验报告）：</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5）水分含量（露点）≤50mg/Nm³（-52℃）。 </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6）一氧化碳含量≤0.0005％。二氧化碳含量≤0.05％。</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7）一氧化氮和二氧化氮含量≤0.0002％。二氧化硫含量≤0.0001％。</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8）气味：压缩空气应无异味。</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9）颗粒物：2级。</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10）含油量≤0.1mg/Nm³。 </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11） 医用空气压缩机的排气压力在0.4-0.8Mpa内可调。（需提供第三方检验机构出具的检验报告）</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▲12）产品安全要求应符合GB 9706.1-2020标准规定要求。（需提供第三方检验机构出具的检验报告）</w:t>
      </w:r>
      <w:r/>
    </w:p>
    <w:p>
      <w:pPr>
        <w:ind w:firstLine="630"/>
        <w:spacing w:line="400" w:lineRule="exact"/>
        <w:widowControl/>
        <w:rPr>
          <w:rFonts w:hint="eastAsia" w:eastAsia="宋体"/>
          <w:sz w:val="21"/>
          <w:szCs w:val="21"/>
          <w:highlight w:val="none"/>
        </w:rPr>
      </w:pPr>
      <w:r>
        <w:rPr>
          <w:rFonts w:hint="eastAsia" w:eastAsia="宋体"/>
          <w:sz w:val="21"/>
          <w:szCs w:val="21"/>
          <w:highlight w:val="none"/>
        </w:rPr>
        <w:t xml:space="preserve">13）电磁兼容应符合YY 9706.102-2021标准的要求。（需提供第三方检验机构出具的检验报告）</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rPr>
        <w:t xml:space="preserve">空压机组归二类医疗器械目录管理，须提供二类医疗器械注册证及医疗器械生产许可证,否则为无效投标</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lang w:val="en-US" w:eastAsia="zh-CN"/>
        </w:rPr>
        <w:t xml:space="preserve">D</w:t>
      </w:r>
      <w:r>
        <w:rPr>
          <w:rFonts w:hint="eastAsia" w:eastAsia="宋体"/>
          <w:b/>
          <w:bCs/>
          <w:sz w:val="21"/>
          <w:szCs w:val="21"/>
          <w:highlight w:val="none"/>
        </w:rPr>
        <w:t xml:space="preserve">、区域压力监测报警装置</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1</w:t>
      </w:r>
      <w:r>
        <w:rPr>
          <w:rFonts w:hint="eastAsia" w:eastAsia="宋体"/>
          <w:sz w:val="21"/>
          <w:szCs w:val="21"/>
          <w:highlight w:val="none"/>
          <w:lang w:eastAsia="zh-CN"/>
        </w:rPr>
        <w:t xml:space="preserve">）</w:t>
      </w:r>
      <w:r>
        <w:rPr>
          <w:rFonts w:hint="eastAsia" w:eastAsia="宋体"/>
          <w:sz w:val="21"/>
          <w:szCs w:val="21"/>
          <w:highlight w:val="none"/>
        </w:rPr>
        <w:t xml:space="preserve">为保证系统供气安全,在每病区设有压力监测报警装置，当供气系统压力低于或高于设定压力时,应有声、光同时报警。</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2</w:t>
      </w:r>
      <w:r>
        <w:rPr>
          <w:rFonts w:hint="eastAsia" w:eastAsia="宋体"/>
          <w:sz w:val="21"/>
          <w:szCs w:val="21"/>
          <w:highlight w:val="none"/>
          <w:lang w:eastAsia="zh-CN"/>
        </w:rPr>
        <w:t xml:space="preserve">）</w:t>
      </w:r>
      <w:r>
        <w:rPr>
          <w:rFonts w:hint="eastAsia" w:eastAsia="宋体"/>
          <w:sz w:val="21"/>
          <w:szCs w:val="21"/>
          <w:highlight w:val="none"/>
        </w:rPr>
        <w:t xml:space="preserve">区域压力监测报警装置应具备如下功能：</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w:t>
      </w:r>
      <w:r>
        <w:rPr>
          <w:rFonts w:hint="eastAsia" w:eastAsia="宋体"/>
          <w:sz w:val="21"/>
          <w:szCs w:val="21"/>
          <w:highlight w:val="none"/>
          <w:lang w:val="en-US" w:eastAsia="zh-CN"/>
        </w:rPr>
        <w:t xml:space="preserve">a.</w:t>
      </w:r>
      <w:r>
        <w:rPr>
          <w:rFonts w:hint="eastAsia" w:eastAsia="宋体"/>
          <w:sz w:val="21"/>
          <w:szCs w:val="21"/>
          <w:highlight w:val="none"/>
        </w:rPr>
        <w:t xml:space="preserve">对每一监视项目必须要有声光报警，每一报警器均须有可静音(蜂鸣器可暂时关闭)的警示装置。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w:t>
      </w:r>
      <w:r>
        <w:rPr>
          <w:rFonts w:hint="eastAsia" w:eastAsia="宋体"/>
          <w:sz w:val="21"/>
          <w:szCs w:val="21"/>
          <w:highlight w:val="none"/>
          <w:lang w:val="en-US" w:eastAsia="zh-CN"/>
        </w:rPr>
        <w:t xml:space="preserve">b.</w:t>
      </w:r>
      <w:r>
        <w:rPr>
          <w:rFonts w:hint="eastAsia" w:eastAsia="宋体"/>
          <w:sz w:val="21"/>
          <w:szCs w:val="21"/>
          <w:highlight w:val="none"/>
        </w:rPr>
        <w:t xml:space="preserve">报警器的灯光报警显示应维持在报警状态直至异常现象消除为止。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w:t>
      </w:r>
      <w:r>
        <w:rPr>
          <w:rFonts w:hint="eastAsia" w:eastAsia="宋体"/>
          <w:sz w:val="21"/>
          <w:szCs w:val="21"/>
          <w:highlight w:val="none"/>
          <w:lang w:val="en-US" w:eastAsia="zh-CN"/>
        </w:rPr>
        <w:t xml:space="preserve">c.</w:t>
      </w:r>
      <w:r>
        <w:rPr>
          <w:rFonts w:hint="eastAsia" w:eastAsia="宋体"/>
          <w:sz w:val="21"/>
          <w:szCs w:val="21"/>
          <w:highlight w:val="none"/>
        </w:rPr>
        <w:t xml:space="preserve">声音报警在静音时，如果有其它新警示状况产生时，应立即重新启动。</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e.</w:t>
      </w:r>
      <w:r>
        <w:rPr>
          <w:rFonts w:hint="eastAsia" w:eastAsia="宋体"/>
          <w:sz w:val="21"/>
          <w:szCs w:val="21"/>
          <w:highlight w:val="none"/>
        </w:rPr>
        <w:t xml:space="preserve">可显示各路气体管路的压力。气体管路压力超出额定压力±20%时超压、欠压声光报警。</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lang w:val="en-US" w:eastAsia="zh-CN"/>
        </w:rPr>
        <w:t xml:space="preserve">E</w:t>
      </w:r>
      <w:r>
        <w:rPr>
          <w:rFonts w:hint="eastAsia" w:eastAsia="宋体"/>
          <w:b/>
          <w:bCs/>
          <w:sz w:val="21"/>
          <w:szCs w:val="21"/>
          <w:highlight w:val="none"/>
        </w:rPr>
        <w:t xml:space="preserve">、二级减压箱</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为保证各病区末端终端压力、流量稳定，在各病区管井副管道上设置氧气二级减压箱，二级减压箱具有如下特点：</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w:t>
      </w: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1</w:t>
      </w:r>
      <w:r>
        <w:rPr>
          <w:rFonts w:hint="eastAsia" w:eastAsia="宋体"/>
          <w:sz w:val="21"/>
          <w:szCs w:val="21"/>
          <w:highlight w:val="none"/>
          <w:lang w:eastAsia="zh-CN"/>
        </w:rPr>
        <w:t xml:space="preserve">）</w:t>
      </w:r>
      <w:r>
        <w:rPr>
          <w:rFonts w:hint="eastAsia" w:eastAsia="宋体"/>
          <w:sz w:val="21"/>
          <w:szCs w:val="21"/>
          <w:highlight w:val="none"/>
        </w:rPr>
        <w:t xml:space="preserve">采用双路设计，保证一路检修时另一路正常工作，在流量大时还可双路同时供气；</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w:t>
      </w: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2</w:t>
      </w:r>
      <w:r>
        <w:rPr>
          <w:rFonts w:hint="eastAsia" w:eastAsia="宋体"/>
          <w:sz w:val="21"/>
          <w:szCs w:val="21"/>
          <w:highlight w:val="none"/>
          <w:lang w:eastAsia="zh-CN"/>
        </w:rPr>
        <w:t xml:space="preserve">）</w:t>
      </w:r>
      <w:r>
        <w:rPr>
          <w:rFonts w:hint="eastAsia" w:eastAsia="宋体"/>
          <w:sz w:val="21"/>
          <w:szCs w:val="21"/>
          <w:highlight w:val="none"/>
        </w:rPr>
        <w:t xml:space="preserve">减压功能，保证氧气输出压力在0.2～0.5MPa范围内可调。</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w:t>
      </w: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3</w:t>
      </w:r>
      <w:r>
        <w:rPr>
          <w:rFonts w:hint="eastAsia" w:eastAsia="宋体"/>
          <w:sz w:val="21"/>
          <w:szCs w:val="21"/>
          <w:highlight w:val="none"/>
          <w:lang w:eastAsia="zh-CN"/>
        </w:rPr>
        <w:t xml:space="preserve">）</w:t>
      </w:r>
      <w:r>
        <w:rPr>
          <w:rFonts w:hint="eastAsia" w:eastAsia="宋体"/>
          <w:sz w:val="21"/>
          <w:szCs w:val="21"/>
          <w:highlight w:val="none"/>
        </w:rPr>
        <w:t xml:space="preserve">安全可靠，二级减压箱出口设有安全阀，在分管道压力超过最高工作压力的1.1～1.25倍时自动排气泄压。</w:t>
      </w:r>
      <w:r/>
    </w:p>
    <w:p>
      <w:pPr>
        <w:ind w:firstLine="422"/>
        <w:spacing w:line="400" w:lineRule="exact"/>
        <w:widowControl/>
        <w:rPr>
          <w:rFonts w:hint="eastAsia" w:eastAsia="宋体"/>
          <w:b/>
          <w:bCs/>
          <w:sz w:val="21"/>
          <w:szCs w:val="21"/>
          <w:highlight w:val="none"/>
          <w:lang w:eastAsia="zh-CN"/>
        </w:rPr>
      </w:pPr>
      <w:r>
        <w:rPr>
          <w:rFonts w:hint="eastAsia" w:eastAsia="宋体"/>
          <w:b/>
          <w:bCs/>
          <w:sz w:val="21"/>
          <w:szCs w:val="21"/>
          <w:highlight w:val="none"/>
          <w:lang w:val="en-US" w:eastAsia="zh-CN"/>
        </w:rPr>
        <w:t xml:space="preserve">F</w:t>
      </w:r>
      <w:r>
        <w:rPr>
          <w:rFonts w:hint="eastAsia" w:eastAsia="宋体"/>
          <w:b/>
          <w:bCs/>
          <w:sz w:val="21"/>
          <w:szCs w:val="21"/>
          <w:highlight w:val="none"/>
        </w:rPr>
        <w:t xml:space="preserve">、氧气流量计</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1</w:t>
      </w:r>
      <w:r>
        <w:rPr>
          <w:rFonts w:hint="eastAsia" w:eastAsia="宋体"/>
          <w:sz w:val="21"/>
          <w:szCs w:val="21"/>
          <w:highlight w:val="none"/>
          <w:lang w:eastAsia="zh-CN"/>
        </w:rPr>
        <w:t xml:space="preserve">）</w:t>
      </w:r>
      <w:r>
        <w:rPr>
          <w:rFonts w:hint="eastAsia" w:eastAsia="宋体"/>
          <w:sz w:val="21"/>
          <w:szCs w:val="21"/>
          <w:highlight w:val="none"/>
        </w:rPr>
        <w:t xml:space="preserve">氧气流量计内嵌在氧气二级减压箱内</w:t>
      </w: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通过485远程接口、传输到护士站、通过流量显示面板进行实时显示</w:t>
      </w:r>
      <w:r>
        <w:rPr>
          <w:rFonts w:hint="eastAsia" w:eastAsia="宋体"/>
          <w:sz w:val="21"/>
          <w:szCs w:val="21"/>
          <w:highlight w:val="none"/>
        </w:rPr>
        <w:t xml:space="preserve">，能就地显示氧气流量，流量范围：0～300L/min。</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2</w:t>
      </w:r>
      <w:r>
        <w:rPr>
          <w:rFonts w:hint="eastAsia" w:eastAsia="宋体"/>
          <w:sz w:val="21"/>
          <w:szCs w:val="21"/>
          <w:highlight w:val="none"/>
          <w:lang w:eastAsia="zh-CN"/>
        </w:rPr>
        <w:t xml:space="preserve">）</w:t>
      </w:r>
      <w:r>
        <w:rPr>
          <w:rFonts w:hint="eastAsia" w:eastAsia="宋体"/>
          <w:sz w:val="21"/>
          <w:szCs w:val="21"/>
          <w:highlight w:val="none"/>
        </w:rPr>
        <w:t xml:space="preserve">氧气流量计能对各科室（病区）用氧量进行准确计量，便于科室进行成本核算。氧气流量计采用LED显示，4位瞬时流量和8位总流量显示。氧气流量计标配RS485通讯接口。</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lang w:val="en-US" w:eastAsia="zh-CN"/>
        </w:rPr>
        <w:t xml:space="preserve">G</w:t>
      </w:r>
      <w:r>
        <w:rPr>
          <w:rFonts w:hint="eastAsia" w:eastAsia="宋体"/>
          <w:b/>
          <w:bCs/>
          <w:sz w:val="21"/>
          <w:szCs w:val="21"/>
          <w:highlight w:val="none"/>
        </w:rPr>
        <w:t xml:space="preserve">、医用设备带</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1</w:t>
      </w:r>
      <w:r>
        <w:rPr>
          <w:rFonts w:hint="eastAsia" w:eastAsia="宋体"/>
          <w:sz w:val="21"/>
          <w:szCs w:val="21"/>
          <w:highlight w:val="none"/>
          <w:lang w:eastAsia="zh-CN"/>
        </w:rPr>
        <w:t xml:space="preserve">）</w:t>
      </w:r>
      <w:r>
        <w:rPr>
          <w:rFonts w:hint="eastAsia" w:eastAsia="宋体"/>
          <w:sz w:val="21"/>
          <w:szCs w:val="21"/>
          <w:highlight w:val="none"/>
        </w:rPr>
        <w:t xml:space="preserve">医用设备带要求铝制一体成型，设备带高度≥220mm，厚度≥</w:t>
      </w:r>
      <w:r>
        <w:rPr>
          <w:rFonts w:hint="eastAsia" w:eastAsia="宋体"/>
          <w:sz w:val="21"/>
          <w:szCs w:val="21"/>
          <w:highlight w:val="none"/>
          <w:lang w:val="en-US" w:eastAsia="zh-CN"/>
        </w:rPr>
        <w:t xml:space="preserve">68</w:t>
      </w:r>
      <w:r>
        <w:rPr>
          <w:rFonts w:hint="eastAsia" w:eastAsia="宋体"/>
          <w:sz w:val="21"/>
          <w:szCs w:val="21"/>
          <w:highlight w:val="none"/>
        </w:rPr>
        <w:t xml:space="preserve">mm，铝材壁厚≥</w:t>
      </w:r>
      <w:r>
        <w:rPr>
          <w:rFonts w:hint="eastAsia" w:eastAsia="宋体"/>
          <w:sz w:val="21"/>
          <w:szCs w:val="21"/>
          <w:highlight w:val="none"/>
          <w:lang w:val="en-US" w:eastAsia="zh-CN"/>
        </w:rPr>
        <w:t xml:space="preserve">1.5</w:t>
      </w:r>
      <w:r>
        <w:rPr>
          <w:rFonts w:hint="eastAsia" w:eastAsia="宋体"/>
          <w:sz w:val="21"/>
          <w:szCs w:val="21"/>
          <w:highlight w:val="none"/>
        </w:rPr>
        <w:t xml:space="preserve">mm，表面采用静电喷涂处理,颜色及款式可由院方选择。</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2</w:t>
      </w:r>
      <w:r>
        <w:rPr>
          <w:rFonts w:hint="eastAsia" w:eastAsia="宋体"/>
          <w:sz w:val="21"/>
          <w:szCs w:val="21"/>
          <w:highlight w:val="none"/>
          <w:lang w:eastAsia="zh-CN"/>
        </w:rPr>
        <w:t xml:space="preserve">）</w:t>
      </w:r>
      <w:r>
        <w:rPr>
          <w:rFonts w:hint="eastAsia" w:eastAsia="宋体"/>
          <w:sz w:val="21"/>
          <w:szCs w:val="21"/>
          <w:highlight w:val="none"/>
        </w:rPr>
        <w:t xml:space="preserve">医用设备带为三腔或四腔结构，面板可采用活动扣板式设计或整体式设计。</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3</w:t>
      </w:r>
      <w:r>
        <w:rPr>
          <w:rFonts w:hint="eastAsia" w:eastAsia="宋体"/>
          <w:sz w:val="21"/>
          <w:szCs w:val="21"/>
          <w:highlight w:val="none"/>
          <w:lang w:eastAsia="zh-CN"/>
        </w:rPr>
        <w:t xml:space="preserve">）</w:t>
      </w:r>
      <w:r>
        <w:rPr>
          <w:rFonts w:hint="eastAsia" w:eastAsia="宋体"/>
          <w:sz w:val="21"/>
          <w:szCs w:val="21"/>
          <w:highlight w:val="none"/>
        </w:rPr>
        <w:t xml:space="preserve">病房医用设备带靠床头墙壁安装，便于护士操作。设备带安装高度为中心距地1.4米。设备带内部电源由大楼引入设备带处预留。  </w:t>
      </w:r>
      <w:r/>
    </w:p>
    <w:p>
      <w:pPr>
        <w:ind w:firstLine="420"/>
        <w:spacing w:line="400" w:lineRule="exact"/>
        <w:widowControl/>
        <w:rPr>
          <w:rFonts w:hint="eastAsia" w:eastAsia="宋体"/>
          <w:sz w:val="21"/>
          <w:szCs w:val="21"/>
          <w:highlight w:val="none"/>
        </w:rPr>
      </w:pPr>
      <w:r>
        <w:rPr>
          <w:rFonts w:hint="eastAsia" w:eastAsia="宋体"/>
          <w:sz w:val="21"/>
          <w:szCs w:val="21"/>
          <w:highlight w:val="none"/>
          <w:lang w:eastAsia="zh-CN"/>
        </w:rPr>
        <w:t xml:space="preserve">（</w:t>
      </w:r>
      <w:r>
        <w:rPr>
          <w:rFonts w:hint="eastAsia" w:eastAsia="宋体"/>
          <w:sz w:val="21"/>
          <w:szCs w:val="21"/>
          <w:highlight w:val="none"/>
          <w:lang w:val="en-US" w:eastAsia="zh-CN"/>
        </w:rPr>
        <w:t xml:space="preserve">4</w:t>
      </w:r>
      <w:r>
        <w:rPr>
          <w:rFonts w:hint="eastAsia" w:eastAsia="宋体"/>
          <w:sz w:val="21"/>
          <w:szCs w:val="21"/>
          <w:highlight w:val="none"/>
          <w:lang w:eastAsia="zh-CN"/>
        </w:rPr>
        <w:t xml:space="preserve">）</w:t>
      </w:r>
      <w:r>
        <w:rPr>
          <w:rFonts w:hint="eastAsia" w:eastAsia="宋体"/>
          <w:sz w:val="21"/>
          <w:szCs w:val="21"/>
          <w:highlight w:val="none"/>
        </w:rPr>
        <w:t xml:space="preserve">医用气体终端：</w:t>
      </w:r>
      <w:r/>
    </w:p>
    <w:p>
      <w:pPr>
        <w:ind w:firstLine="63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1</w:t>
      </w:r>
      <w:r>
        <w:rPr>
          <w:rFonts w:hint="eastAsia" w:eastAsia="宋体"/>
          <w:sz w:val="21"/>
          <w:szCs w:val="21"/>
          <w:highlight w:val="none"/>
        </w:rPr>
        <w:t xml:space="preserve">）采用快速插拔自封式接头，德标制式，可带气维修；所有气体的终端插头不可互换,并用不同颜色和不同插口形状来区分气体种类。</w:t>
      </w:r>
      <w:r/>
    </w:p>
    <w:p>
      <w:pPr>
        <w:ind w:firstLine="63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2</w:t>
      </w:r>
      <w:r>
        <w:rPr>
          <w:rFonts w:hint="eastAsia" w:eastAsia="宋体"/>
          <w:sz w:val="21"/>
          <w:szCs w:val="21"/>
          <w:highlight w:val="none"/>
        </w:rPr>
        <w:t xml:space="preserve">）带气维修功能，内部具有截止阀芯，可以在气体终端内锁紧关闭供气，维修时可以不必关闭终端外供气管路。</w:t>
      </w:r>
      <w:r/>
    </w:p>
    <w:p>
      <w:pPr>
        <w:ind w:firstLine="63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3</w:t>
      </w:r>
      <w:r>
        <w:rPr>
          <w:rFonts w:hint="eastAsia" w:eastAsia="宋体"/>
          <w:sz w:val="21"/>
          <w:szCs w:val="21"/>
          <w:highlight w:val="none"/>
        </w:rPr>
        <w:t xml:space="preserve">）气体终端产品外观采用ISO9170-1规范颜色，以便医护人员通用规范认知，防止误操作。</w:t>
      </w:r>
      <w:r/>
    </w:p>
    <w:p>
      <w:pPr>
        <w:ind w:firstLine="63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4</w:t>
      </w:r>
      <w:r>
        <w:rPr>
          <w:rFonts w:hint="eastAsia" w:eastAsia="宋体"/>
          <w:sz w:val="21"/>
          <w:szCs w:val="21"/>
          <w:highlight w:val="none"/>
        </w:rPr>
        <w:t xml:space="preserve">）德式国际标准，插销符合DIN13260-2标准，通配式国际标准接头。</w:t>
      </w:r>
      <w:r/>
    </w:p>
    <w:p>
      <w:pPr>
        <w:ind w:firstLine="63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5</w:t>
      </w:r>
      <w:r>
        <w:rPr>
          <w:rFonts w:hint="eastAsia" w:eastAsia="宋体"/>
          <w:sz w:val="21"/>
          <w:szCs w:val="21"/>
          <w:highlight w:val="none"/>
        </w:rPr>
        <w:t xml:space="preserve">）不同气体端口具有特定对应的专用插头，专用插头不能通用其它气体终端，防止误操作导致事故发生,除密封件，其他所有零件为全金属结构，强度可靠,底座进气口为一体式成型，强度可靠。</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6</w:t>
      </w:r>
      <w:r>
        <w:rPr>
          <w:rFonts w:hint="eastAsia" w:eastAsia="宋体"/>
          <w:sz w:val="21"/>
          <w:szCs w:val="21"/>
          <w:highlight w:val="none"/>
        </w:rPr>
        <w:t xml:space="preserve">）为在极端温度条件下正常工作运行，依据GB/T2423.22-2012需做高低温试验（-40℃~80℃），提供第三方检测机构测试报告；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7</w:t>
      </w:r>
      <w:r>
        <w:rPr>
          <w:rFonts w:hint="eastAsia" w:eastAsia="宋体"/>
          <w:sz w:val="21"/>
          <w:szCs w:val="21"/>
          <w:highlight w:val="none"/>
        </w:rPr>
        <w:t xml:space="preserve">）大于20万次插拔无泄漏（提供国家承认带CMA或CNAS标记的第三方检测报告）；</w:t>
      </w:r>
      <w:r/>
    </w:p>
    <w:p>
      <w:pPr>
        <w:ind w:firstLine="630"/>
        <w:spacing w:line="400" w:lineRule="exact"/>
        <w:widowControl/>
        <w:rPr>
          <w:rFonts w:hint="eastAsia" w:eastAsia="宋体"/>
          <w:sz w:val="21"/>
          <w:szCs w:val="21"/>
          <w:highlight w:val="none"/>
        </w:rPr>
      </w:pPr>
      <w:r>
        <w:rPr>
          <w:rFonts w:hint="eastAsia" w:eastAsia="宋体"/>
          <w:sz w:val="21"/>
          <w:szCs w:val="21"/>
          <w:highlight w:val="none"/>
          <w:lang w:val="en-US" w:eastAsia="zh-CN"/>
        </w:rPr>
        <w:t xml:space="preserve">8</w:t>
      </w:r>
      <w:r>
        <w:rPr>
          <w:rFonts w:hint="eastAsia" w:eastAsia="宋体"/>
          <w:sz w:val="21"/>
          <w:szCs w:val="21"/>
          <w:highlight w:val="none"/>
          <w:lang w:eastAsia="zh-CN"/>
        </w:rPr>
        <w:t xml:space="preserve">）</w:t>
      </w:r>
      <w:r>
        <w:rPr>
          <w:rFonts w:hint="eastAsia" w:eastAsia="宋体"/>
          <w:sz w:val="21"/>
          <w:szCs w:val="21"/>
          <w:highlight w:val="none"/>
        </w:rPr>
        <w:t xml:space="preserve">依据GB/T4208-2017气体终端外壳具有防尘保护</w:t>
      </w:r>
      <w:r/>
    </w:p>
    <w:p>
      <w:pPr>
        <w:ind w:firstLine="630"/>
        <w:spacing w:line="400" w:lineRule="exact"/>
        <w:widowControl/>
        <w:rPr>
          <w:rFonts w:hint="eastAsia" w:eastAsia="宋体"/>
          <w:sz w:val="21"/>
          <w:szCs w:val="21"/>
          <w:highlight w:val="none"/>
          <w:lang w:eastAsia="zh-CN"/>
        </w:rPr>
      </w:pPr>
      <w:r>
        <w:rPr>
          <w:rFonts w:hint="eastAsia" w:eastAsia="宋体"/>
          <w:sz w:val="21"/>
          <w:szCs w:val="21"/>
          <w:highlight w:val="none"/>
          <w:lang w:val="en-US" w:eastAsia="zh-CN"/>
        </w:rPr>
        <w:t xml:space="preserve">9</w:t>
      </w:r>
      <w:r>
        <w:rPr>
          <w:rFonts w:hint="eastAsia" w:eastAsia="宋体"/>
          <w:sz w:val="21"/>
          <w:szCs w:val="21"/>
          <w:highlight w:val="none"/>
        </w:rPr>
        <w:t xml:space="preserve">）气体终端压盖，通过盐雾中性标准检测</w:t>
      </w:r>
      <w:r>
        <w:rPr>
          <w:rFonts w:hint="eastAsia" w:eastAsia="宋体"/>
          <w:sz w:val="21"/>
          <w:szCs w:val="21"/>
          <w:highlight w:val="none"/>
          <w:lang w:eastAsia="zh-CN"/>
        </w:rPr>
        <w:t xml:space="preserve">。</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10</w:t>
      </w:r>
      <w:r>
        <w:rPr>
          <w:rFonts w:hint="eastAsia" w:eastAsia="宋体"/>
          <w:sz w:val="21"/>
          <w:szCs w:val="21"/>
          <w:highlight w:val="none"/>
        </w:rPr>
        <w:t xml:space="preserve">）氧气终端应通过YY0801.1-2010检测（检验依据：YY0801.1-2010《医用气体管道系统终端第1部分：用于压缩医用气体和真空的终端》标准）泄漏不应超过0.17mL/min</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（提供国家食品药品监督管理局质量检验中心认可的医疗器械质量监督检验机构出具的产品检测报告复印件）</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11</w:t>
      </w:r>
      <w:r>
        <w:rPr>
          <w:rFonts w:hint="eastAsia" w:eastAsia="宋体"/>
          <w:sz w:val="21"/>
          <w:szCs w:val="21"/>
          <w:highlight w:val="none"/>
        </w:rPr>
        <w:t xml:space="preserve">）真空吸引终端应通过YY 0801.1-2010检测（检验依据：YY0801.1-2010《医用气体管道系统终端第1部分：用于压缩医用气体和真空的终端》标准）泄漏不应超过0.05mL/min</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（提供国家食品药品监督管理局质量检验中心认可的医疗器械质量监督检验机构出具的产品检测报告复印件）</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w:t>
      </w:r>
      <w:r>
        <w:rPr>
          <w:rFonts w:hint="eastAsia" w:eastAsia="宋体"/>
          <w:sz w:val="21"/>
          <w:szCs w:val="21"/>
          <w:highlight w:val="none"/>
          <w:lang w:val="en-US" w:eastAsia="zh-CN"/>
        </w:rPr>
        <w:t xml:space="preserve">12</w:t>
      </w:r>
      <w:r>
        <w:rPr>
          <w:rFonts w:hint="eastAsia" w:eastAsia="宋体"/>
          <w:sz w:val="21"/>
          <w:szCs w:val="21"/>
          <w:highlight w:val="none"/>
        </w:rPr>
        <w:t xml:space="preserve">）医用空气终端应通过YY 0801.1-2010检测（检验依据：YY 0801.1-2010《医用气体管道系统终端 第1部分：用于压缩医用气体和真空的终端》标准）泄漏不应超过0.17mL/min</w:t>
      </w:r>
      <w:r/>
    </w:p>
    <w:p>
      <w:pPr>
        <w:ind w:firstLine="420"/>
        <w:spacing w:line="400" w:lineRule="exact"/>
        <w:widowControl/>
        <w:rPr>
          <w:rFonts w:hint="eastAsia" w:eastAsia="宋体"/>
          <w:highlight w:val="none"/>
        </w:rPr>
      </w:pPr>
      <w:r>
        <w:rPr>
          <w:rFonts w:hint="eastAsia" w:eastAsia="宋体"/>
          <w:sz w:val="21"/>
          <w:szCs w:val="21"/>
          <w:highlight w:val="none"/>
        </w:rPr>
        <w:t xml:space="preserve">（提供国家食品药品监督管理局质量检验中心认可的医疗器械质量监督检验机构出具的产品检测报告复印件）</w:t>
      </w:r>
      <w:r/>
    </w:p>
    <w:p>
      <w:pPr>
        <w:ind w:firstLine="422"/>
        <w:spacing w:line="400" w:lineRule="exact"/>
        <w:widowControl/>
        <w:rPr>
          <w:rFonts w:hint="eastAsia" w:eastAsia="宋体"/>
          <w:b/>
          <w:bCs/>
          <w:sz w:val="21"/>
          <w:szCs w:val="21"/>
          <w:highlight w:val="none"/>
        </w:rPr>
      </w:pPr>
      <w:r>
        <w:rPr>
          <w:rFonts w:hint="eastAsia" w:eastAsia="宋体"/>
          <w:b/>
          <w:bCs/>
          <w:sz w:val="21"/>
          <w:szCs w:val="21"/>
          <w:highlight w:val="none"/>
          <w:lang w:val="en-US" w:eastAsia="zh-CN"/>
        </w:rPr>
        <w:t xml:space="preserve">H、</w:t>
      </w:r>
      <w:r>
        <w:rPr>
          <w:rFonts w:hint="eastAsia" w:eastAsia="宋体"/>
          <w:b/>
          <w:bCs/>
          <w:sz w:val="21"/>
          <w:szCs w:val="21"/>
          <w:highlight w:val="none"/>
        </w:rPr>
        <w:t xml:space="preserve">电器配件</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①电源插座、电源开关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电源开关：采用86型220V、10A单控大板开关。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电源插座：采用86型220V、10A五孔插座。</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电源插座：采用86型220V、1</w:t>
      </w:r>
      <w:r>
        <w:rPr>
          <w:rFonts w:hint="eastAsia" w:eastAsia="宋体"/>
          <w:sz w:val="21"/>
          <w:szCs w:val="21"/>
          <w:highlight w:val="none"/>
          <w:lang w:val="en-US" w:eastAsia="zh-CN"/>
        </w:rPr>
        <w:t xml:space="preserve">6</w:t>
      </w:r>
      <w:r>
        <w:rPr>
          <w:rFonts w:hint="eastAsia" w:eastAsia="宋体"/>
          <w:sz w:val="21"/>
          <w:szCs w:val="21"/>
          <w:highlight w:val="none"/>
        </w:rPr>
        <w:t xml:space="preserve">A</w:t>
      </w:r>
      <w:r>
        <w:rPr>
          <w:rFonts w:hint="eastAsia" w:eastAsia="宋体"/>
          <w:sz w:val="21"/>
          <w:szCs w:val="21"/>
          <w:highlight w:val="none"/>
          <w:lang w:val="en-US" w:eastAsia="zh-CN"/>
        </w:rPr>
        <w:t xml:space="preserve">三</w:t>
      </w:r>
      <w:r>
        <w:rPr>
          <w:rFonts w:hint="eastAsia" w:eastAsia="宋体"/>
          <w:sz w:val="21"/>
          <w:szCs w:val="21"/>
          <w:highlight w:val="none"/>
        </w:rPr>
        <w:t xml:space="preserve">孔插座。</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②嵌入式日光灯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采用LED照明灯，嵌入设备带内安装，规格：T5，</w:t>
      </w:r>
      <w:r>
        <w:rPr>
          <w:rFonts w:hint="eastAsia" w:eastAsia="宋体"/>
          <w:sz w:val="21"/>
          <w:szCs w:val="21"/>
          <w:highlight w:val="none"/>
          <w:lang w:val="en-US" w:eastAsia="zh-CN"/>
        </w:rPr>
        <w:t xml:space="preserve">4</w:t>
      </w:r>
      <w:r>
        <w:rPr>
          <w:rFonts w:hint="eastAsia" w:eastAsia="宋体"/>
          <w:sz w:val="21"/>
          <w:szCs w:val="21"/>
          <w:highlight w:val="none"/>
        </w:rPr>
        <w:t xml:space="preserve">W。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③电线  </w:t>
      </w:r>
      <w:r/>
    </w:p>
    <w:p>
      <w:pPr>
        <w:ind w:firstLine="420"/>
        <w:spacing w:line="400" w:lineRule="exact"/>
        <w:widowControl/>
        <w:rPr>
          <w:rFonts w:hint="eastAsia" w:eastAsia="宋体"/>
          <w:sz w:val="21"/>
          <w:szCs w:val="21"/>
          <w:highlight w:val="none"/>
        </w:rPr>
      </w:pPr>
      <w:r>
        <w:rPr>
          <w:rFonts w:hint="eastAsia" w:eastAsia="宋体"/>
          <w:sz w:val="21"/>
          <w:szCs w:val="21"/>
          <w:highlight w:val="none"/>
        </w:rPr>
        <w:t xml:space="preserve">  设备带内电源线采用BV-2.5mm2铜芯电线（接插座）和BV-1.5mm2铜芯电线（接开关和灯）。院方需预留≥2.5mm2电源线接线头至需要安装设备带的每间病房墙面上（中心离地1.4m）。   </w:t>
      </w:r>
      <w:r/>
    </w:p>
    <w:p>
      <w:pPr>
        <w:ind w:firstLine="420"/>
        <w:spacing w:line="400" w:lineRule="exact"/>
        <w:widowControl/>
        <w:rPr>
          <w:rFonts w:hint="eastAsia"/>
          <w:sz w:val="21"/>
          <w:szCs w:val="21"/>
          <w:highlight w:val="none"/>
        </w:rPr>
      </w:pPr>
      <w:r>
        <w:rPr>
          <w:rFonts w:hint="eastAsia" w:eastAsia="宋体"/>
          <w:sz w:val="21"/>
          <w:szCs w:val="21"/>
          <w:highlight w:val="none"/>
        </w:rPr>
        <w:t xml:space="preserve">④设备带电器配置：</w:t>
      </w:r>
      <w:r>
        <w:rPr>
          <w:rFonts w:hint="eastAsia" w:eastAsia="宋体"/>
          <w:sz w:val="21"/>
          <w:szCs w:val="21"/>
          <w:highlight w:val="none"/>
          <w:lang w:val="en-US" w:eastAsia="zh-CN"/>
        </w:rPr>
        <w:t xml:space="preserve">普通病房配置：1开关、2插座、1床头灯，抢救室配置：1开关、4插座、1三孔（16A）插座、1床头灯。</w:t>
      </w:r>
      <w:r/>
    </w:p>
    <w:p>
      <w:pPr>
        <w:numPr>
          <w:ilvl w:val="0"/>
          <w:numId w:val="6"/>
        </w:numPr>
        <w:ind w:firstLine="422"/>
        <w:spacing w:line="400" w:lineRule="exact"/>
        <w:widowControl/>
        <w:rPr>
          <w:rFonts w:hint="eastAsia"/>
          <w:b/>
          <w:bCs/>
          <w:sz w:val="21"/>
          <w:szCs w:val="21"/>
          <w:highlight w:val="none"/>
          <w:lang w:val="zh-CN"/>
        </w:rPr>
      </w:pPr>
      <w:r>
        <w:rPr>
          <w:rFonts w:hint="eastAsia"/>
          <w:b/>
          <w:bCs/>
          <w:sz w:val="21"/>
          <w:szCs w:val="21"/>
          <w:highlight w:val="none"/>
          <w:lang w:val="zh-CN"/>
        </w:rPr>
        <w:t xml:space="preserve">采购清单及参数：</w:t>
      </w:r>
      <w:bookmarkStart w:id="58" w:name="_GoBack"/>
      <w:r/>
      <w:bookmarkEnd w:id="58"/>
      <w:r/>
      <w:r/>
    </w:p>
    <w:tbl>
      <w:tblPr>
        <w:tblStyle w:val="651"/>
        <w:tblpPr w:horzAnchor="page" w:tblpX="780" w:vertAnchor="text" w:tblpY="482" w:leftFromText="180" w:topFromText="0" w:rightFromText="180" w:bottomFromText="0"/>
        <w:tblW w:w="10692" w:type="dxa"/>
        <w:tblInd w:w="0" w:type="dxa"/>
        <w:tblLayout w:type="fixed"/>
        <w:tblCellMar>
          <w:left w:w="108" w:type="dxa"/>
          <w:top w:w="0" w:type="dxa"/>
          <w:right w:w="108" w:type="dxa"/>
          <w:bottom w:w="0" w:type="dxa"/>
        </w:tblCellMar>
        <w:tblLook w:val="04A0" w:firstRow="1" w:lastRow="0" w:firstColumn="1" w:lastColumn="0" w:noHBand="0" w:noVBand="1"/>
      </w:tblPr>
      <w:tblGrid>
        <w:gridCol w:w="814"/>
        <w:gridCol w:w="2293"/>
        <w:gridCol w:w="5823"/>
        <w:gridCol w:w="946"/>
        <w:gridCol w:w="816"/>
      </w:tblGrid>
      <w:tr>
        <w:trPr>
          <w:tblHeade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center"/>
              <w:keepNext/>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Next/>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bidi="ar"/>
              </w:rPr>
              <w:t xml:space="preserve">数量</w:t>
            </w:r>
            <w:r/>
          </w:p>
        </w:tc>
      </w:tr>
      <w:tr>
        <w:trPr>
          <w:tblHeader/>
        </w:trPr>
        <w:tc>
          <w:tcPr>
            <w:gridSpan w:val="5"/>
            <w:tcBorders>
              <w:top w:val="single" w:color="000000" w:sz="4" w:space="0"/>
              <w:left w:val="single" w:color="000000" w:sz="4" w:space="0"/>
              <w:bottom w:val="single" w:color="000000" w:sz="4" w:space="0"/>
              <w:right w:val="single" w:color="000000" w:sz="4" w:space="0"/>
            </w:tcBorders>
            <w:tcW w:w="10692" w:type="dxa"/>
            <w:vAlign w:val="center"/>
            <w:textDirection w:val="lrTb"/>
            <w:noWrap/>
          </w:tcPr>
          <w:p>
            <w:pPr>
              <w:jc w:val="center"/>
              <w:keepNext/>
              <w:widowControl/>
              <w:rPr>
                <w:rFonts w:hint="default" w:ascii="宋体" w:hAnsi="宋体" w:eastAsia="宋体" w:cs="宋体"/>
                <w:b/>
                <w:color w:val="000000"/>
                <w:sz w:val="22"/>
                <w:szCs w:val="22"/>
                <w:highlight w:val="none"/>
                <w:lang w:val="en-US" w:eastAsia="zh-CN" w:bidi="ar"/>
              </w:rPr>
            </w:pPr>
            <w:r>
              <w:rPr>
                <w:rFonts w:hint="eastAsia" w:ascii="宋体" w:hAnsi="宋体" w:eastAsia="宋体" w:cs="宋体"/>
                <w:b/>
                <w:color w:val="000000"/>
                <w:sz w:val="22"/>
                <w:szCs w:val="22"/>
                <w:highlight w:val="none"/>
                <w:lang w:val="en-US" w:eastAsia="zh-CN" w:bidi="ar"/>
              </w:rPr>
              <w:t xml:space="preserve">中心供氧系统</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液氧罐</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bidi="ar"/>
              </w:rPr>
              <w:t xml:space="preserve">规格型号：CFL3/0.8  工作介质: 液氧、液氮、液氩</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有效容积：</w:t>
            </w:r>
            <w:r>
              <w:rPr>
                <w:rFonts w:hint="eastAsia" w:ascii="宋体" w:hAnsi="宋体" w:eastAsia="宋体" w:cs="宋体"/>
                <w:color w:val="000000"/>
                <w:sz w:val="22"/>
                <w:szCs w:val="22"/>
                <w:highlight w:val="none"/>
                <w:lang w:val="en-US" w:eastAsia="zh-CN" w:bidi="ar"/>
              </w:rPr>
              <w:t xml:space="preserve">4.99</w:t>
            </w:r>
            <w:r>
              <w:rPr>
                <w:rFonts w:hint="eastAsia" w:ascii="宋体" w:hAnsi="宋体" w:eastAsia="宋体" w:cs="宋体"/>
                <w:color w:val="000000"/>
                <w:sz w:val="22"/>
                <w:szCs w:val="22"/>
                <w:highlight w:val="none"/>
                <w:lang w:bidi="ar"/>
              </w:rPr>
              <w:t xml:space="preserve">m³  工作压力：</w:t>
            </w:r>
            <w:r>
              <w:rPr>
                <w:rFonts w:hint="eastAsia" w:ascii="宋体" w:hAnsi="宋体" w:eastAsia="宋体" w:cs="宋体"/>
                <w:color w:val="000000"/>
                <w:sz w:val="22"/>
                <w:szCs w:val="22"/>
                <w:highlight w:val="none"/>
                <w:lang w:val="en-US" w:eastAsia="zh-CN" w:bidi="ar"/>
              </w:rPr>
              <w:t xml:space="preserve">1.5</w:t>
            </w:r>
            <w:r>
              <w:rPr>
                <w:rFonts w:hint="eastAsia" w:ascii="宋体" w:hAnsi="宋体" w:eastAsia="宋体" w:cs="宋体"/>
                <w:color w:val="000000"/>
                <w:sz w:val="22"/>
                <w:szCs w:val="22"/>
                <w:highlight w:val="none"/>
                <w:lang w:bidi="ar"/>
              </w:rPr>
              <w:t xml:space="preserve">MPa</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设计压力：1.6</w:t>
            </w:r>
            <w:r>
              <w:rPr>
                <w:rFonts w:hint="eastAsia" w:ascii="宋体" w:hAnsi="宋体" w:eastAsia="宋体" w:cs="宋体"/>
                <w:color w:val="000000"/>
                <w:sz w:val="22"/>
                <w:szCs w:val="22"/>
                <w:highlight w:val="none"/>
                <w:lang w:bidi="ar"/>
              </w:rPr>
              <w:t xml:space="preserve">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内筒体：S30408  外筒体：S30408</w:t>
            </w:r>
            <w:r>
              <w:rPr>
                <w:rFonts w:hint="eastAsia" w:ascii="宋体" w:hAnsi="宋体" w:eastAsia="宋体" w:cs="宋体"/>
                <w:color w:val="000000"/>
                <w:sz w:val="22"/>
                <w:szCs w:val="22"/>
                <w:highlight w:val="none"/>
                <w:lang w:val="en-US" w:eastAsia="zh-CN" w:bidi="ar"/>
              </w:rPr>
              <w:t xml:space="preserve"> </w:t>
            </w:r>
            <w:r/>
          </w:p>
          <w:p>
            <w:pPr>
              <w:jc w:val="both"/>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color w:val="000000"/>
                <w:sz w:val="22"/>
                <w:szCs w:val="22"/>
                <w:highlight w:val="none"/>
                <w:lang w:val="en-US" w:eastAsia="zh-CN" w:bidi="ar"/>
              </w:rPr>
              <w:t xml:space="preserve">材质要求：不锈钢材质</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空温式汽化器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规格型号：KQ150/3.0  工作介质: 液氧、液氮、液氩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工作压力：3.0MPa  气化量：</w:t>
            </w:r>
            <w:r>
              <w:rPr>
                <w:rFonts w:hint="eastAsia" w:ascii="宋体" w:hAnsi="宋体" w:eastAsia="宋体" w:cs="宋体"/>
                <w:color w:val="000000"/>
                <w:sz w:val="22"/>
                <w:szCs w:val="22"/>
                <w:highlight w:val="none"/>
                <w:lang w:val="en-US" w:eastAsia="zh-CN" w:bidi="ar"/>
              </w:rPr>
              <w:t xml:space="preserve">300</w:t>
            </w:r>
            <w:r>
              <w:rPr>
                <w:rFonts w:hint="eastAsia" w:ascii="宋体" w:hAnsi="宋体" w:eastAsia="宋体" w:cs="宋体"/>
                <w:color w:val="000000"/>
                <w:sz w:val="22"/>
                <w:szCs w:val="22"/>
                <w:highlight w:val="none"/>
                <w:lang w:bidi="ar"/>
              </w:rPr>
              <w:t xml:space="preserve">m³/h</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材质：6063-T5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自动调压装置</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规格型号：DN25（双路）  工作介质: 氧气</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进口压力：1.6MPa  出口压力：0.3-0.6MPa</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氧气全自动切换柜</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进口压力15MPa，出口压力0.3-0.6MPa连续可调。</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控制器采用液晶触摸屏，具备远程物联网功</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能，具有RS232/RS485 通讯及控制功能；</w:t>
            </w:r>
            <w:r/>
          </w:p>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通过压力传感器控制自动运行，逆转保护，断</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电自恢复功能。</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bidi="ar"/>
              </w:rPr>
              <w:t xml:space="preserve">）汇流排带温度监控依据GB/T2423.1-2008电工电子产品环境测试第2部分，环境温度40持续2小时测试，测试后依次按-“设置”-“声光报警”-报警功能应正常，当温度低于设置值，输出信号，达到设定值，停止输出信号</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）全自动汇流排应符合医用设备电气安全标准YY9706-102-2021，适用气体应包括氧气</w:t>
            </w:r>
            <w:r>
              <w:rPr>
                <w:rFonts w:hint="eastAsia" w:ascii="宋体" w:hAnsi="宋体" w:eastAsia="宋体" w:cs="宋体"/>
                <w:color w:val="000000"/>
                <w:sz w:val="22"/>
                <w:szCs w:val="22"/>
                <w:highlight w:val="none"/>
                <w:lang w:val="en-US" w:eastAsia="zh-CN" w:bidi="ar"/>
              </w:rPr>
              <w:t xml:space="preserve">等气源</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6</w:t>
            </w:r>
            <w:r>
              <w:rPr>
                <w:rFonts w:hint="eastAsia" w:ascii="宋体" w:hAnsi="宋体" w:eastAsia="宋体" w:cs="宋体"/>
                <w:color w:val="000000"/>
                <w:sz w:val="22"/>
                <w:szCs w:val="22"/>
                <w:highlight w:val="none"/>
                <w:lang w:bidi="ar"/>
              </w:rPr>
              <w:t xml:space="preserve">）全自动汇流排依据IEC62321-4:2017,限用物质必须达到相关规范要求，检测铅、镉、汞、六价铬等</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bidi="ar"/>
              </w:rPr>
              <w:t xml:space="preserve">）全自动汇流排依据GB 4793.1-2007/1EC61010-1:2001《电气设备的安全要求第1部分:通用要求》</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bidi="ar"/>
              </w:rPr>
              <w:t xml:space="preserve">）全自动汇流排依据GB/T12244-2006（减压阀一般要求）GB/T 13927-2008（工业阀门压力试验）减压阀需做连续运行试验，试验10000次，频率10-50 次/min后，满足调压性能，流量特性，压力特性，密封性能的规定</w:t>
            </w:r>
            <w:r/>
          </w:p>
          <w:p>
            <w:pPr>
              <w:spacing w:line="400" w:lineRule="exact"/>
              <w:widowControl/>
              <w:rPr>
                <w:rFonts w:hint="eastAsia" w:ascii="宋体" w:hAnsi="宋体" w:eastAsia="宋体" w:cs="宋体"/>
                <w:highlight w:val="none"/>
              </w:rPr>
            </w:pPr>
            <w:r>
              <w:rPr>
                <w:rFonts w:hint="eastAsia" w:ascii="宋体" w:hAnsi="宋体" w:eastAsia="宋体" w:cs="宋体"/>
                <w:b/>
                <w:bCs/>
                <w:color w:val="000000"/>
                <w:sz w:val="22"/>
                <w:szCs w:val="22"/>
                <w:highlight w:val="none"/>
                <w:lang w:bidi="ar"/>
              </w:rPr>
              <w:t xml:space="preserve">医用气体汇流排具备Ⅱ类医疗器械注册证；</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氧气汇流排</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2×10瓶组氧气汇流排、配套高压软管、阀门、管道和支架组成。</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氧气分气缸</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不锈钢材质</w:t>
            </w:r>
            <w:r/>
          </w:p>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2进3出</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集中监控软件</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监测报警装置、氧气流量计、信号线、压力传感器等</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监控软件信号线</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报警系统专用信号线、带屏蔽</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1000</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氧气楼层阀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铜</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规格：</w:t>
            </w:r>
            <w:r>
              <w:rPr>
                <w:rFonts w:hint="eastAsia" w:ascii="宋体" w:hAnsi="宋体" w:eastAsia="宋体" w:cs="宋体"/>
                <w:color w:val="000000"/>
                <w:sz w:val="22"/>
                <w:szCs w:val="22"/>
                <w:highlight w:val="none"/>
                <w:lang w:bidi="ar"/>
              </w:rPr>
              <w:t xml:space="preserve">φ16</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6</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氧气楼层阀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铜</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规格：</w:t>
            </w:r>
            <w:r>
              <w:rPr>
                <w:rFonts w:hint="eastAsia" w:ascii="宋体" w:hAnsi="宋体" w:eastAsia="宋体" w:cs="宋体"/>
                <w:color w:val="000000"/>
                <w:sz w:val="22"/>
                <w:szCs w:val="22"/>
                <w:highlight w:val="none"/>
                <w:lang w:bidi="ar"/>
              </w:rPr>
              <w:t xml:space="preserve">φ25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3</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氧气减压箱</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氧气二级稳压箱采用双回路设计，即箱体内设计2套减压阀，一路发生故障时，可切换到另一路；可以在不影响压力情况下，实现不停气维修，满足GB 50751-2012《医用气体工程技术规范》规定“单一故障下，能够实现连续供气”的要求。</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（1）组成部分：压力表（显示减压前后压力）、手动截止阀、减压器、安全阀（泄压阀）</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（2）技术参数</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双回路设计</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进口压力：0.8～1.2MPa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出口压力：0.35～0.5MPa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安全阀开启压力：0.52MPa</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氧气流量计</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 测量范围：0~通径允许的流量内任意流量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准确度等级：2.5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显示方式：7位LED数码管显示；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显示分辨率：本次、累计：0.001L~1m³（用户自定义）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瞬时：0.001L/min~1m³/h（用户自定义）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工作压力&lt;1.6MPa</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流量显示面板</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流量计数字显示面板</w:t>
            </w:r>
            <w:r/>
          </w:p>
          <w:p>
            <w:pPr>
              <w:jc w:val="left"/>
              <w:keepNext/>
              <w:widowControl/>
              <w:rPr>
                <w:rFonts w:hint="default" w:ascii="宋体" w:hAnsi="宋体" w:eastAsia="宋体" w:cs="宋体"/>
                <w:color w:val="000000"/>
                <w:sz w:val="22"/>
                <w:szCs w:val="22"/>
                <w:highlight w:val="none"/>
                <w:lang w:val="en-US" w:eastAsia="zh-CN" w:bidi="ar"/>
              </w:rPr>
            </w:pPr>
            <w:r>
              <w:rPr>
                <w:rFonts w:hint="default" w:ascii="宋体" w:hAnsi="宋体" w:eastAsia="宋体" w:cs="宋体"/>
                <w:color w:val="000000"/>
                <w:sz w:val="22"/>
                <w:szCs w:val="22"/>
                <w:highlight w:val="none"/>
                <w:lang w:bidi="ar"/>
              </w:rPr>
              <w:t xml:space="preserve">·显示方式：7位LED数码管显示；</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气体报警箱</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数字显示、带485通讯接口</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 氧气压力监测范围：0-1.6MPa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吸引压力监测范围：-0.1-0MPa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空气压力监测范围：0-1.6MPa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过压、欠压声光报警</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电源适配器供电压：AC100V~240VAC,主机供电电压：DC9V±5%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整体功耗：4W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支持传感器正负压通用，支持每路气压状态的开关量输出。</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8</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气体报警箱</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数字显示、带485通讯接口</w:t>
            </w:r>
            <w:r/>
          </w:p>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 氧气压力监测范围：0-1.6MPa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吸引压力监测范围：-0.1-0MPa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空气压力监测范围：0-1.6MPa</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 二氧化碳压力监测范围：0-1.6MPa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过压、欠压声光报警</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电源适配器供电压：AC100V~240VAC,主机供电电压：DC9V±5%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整体功耗：4W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 支持传感器正负压通用，支持每路气压状态的开关量输出。</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rHeight w:val="262"/>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氧气维修阀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链接方式：</w:t>
            </w:r>
            <w:r>
              <w:rPr>
                <w:rFonts w:hint="eastAsia" w:ascii="宋体" w:hAnsi="宋体" w:eastAsia="宋体" w:cs="宋体"/>
                <w:color w:val="000000"/>
                <w:sz w:val="22"/>
                <w:szCs w:val="22"/>
                <w:highlight w:val="none"/>
                <w:lang w:bidi="ar"/>
              </w:rPr>
              <w:t xml:space="preserve">铜焊接</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规格：φ10</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109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病房设备带</w:t>
            </w:r>
            <w:r>
              <w:rPr>
                <w:rFonts w:hint="eastAsia" w:ascii="宋体" w:hAnsi="宋体" w:eastAsia="宋体" w:cs="宋体"/>
                <w:bCs/>
                <w:color w:val="000000"/>
                <w:sz w:val="22"/>
                <w:szCs w:val="22"/>
                <w:highlight w:val="none"/>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铝合金静电喷涂</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设备带面板可从正面直接拆卸，安装维修方便</w:t>
            </w:r>
            <w:r/>
          </w:p>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内部分隔设计，严格保证强电、弱电、气体管道在设备带内分道敷设</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安装高度（中心线标高）：1400mm                           设备带材质有害物质（铅、镉、汞、六价铬）</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四项重金属成份检测达到合格标准。</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抗大肠杆菌和金黄色葡萄球菌均达到标准。</w:t>
            </w:r>
            <w:r/>
          </w:p>
          <w:p>
            <w:pPr>
              <w:jc w:val="left"/>
              <w:keepNext/>
              <w:widowControl/>
              <w:rPr>
                <w:rFonts w:hint="eastAsia" w:ascii="宋体" w:hAnsi="宋体" w:eastAsia="宋体" w:cs="宋体"/>
                <w:color w:val="ff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抗霉达到0级。</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500</w:t>
            </w:r>
            <w:r/>
          </w:p>
        </w:tc>
      </w:tr>
      <w:tr>
        <w:trPr>
          <w:trHeight w:val="9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设备带侧堵</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与设备带配套</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210</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氧气终端</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终端选用德式终端。</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带脱卸保护的压盖式，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具备通，断，拔三段式状态。</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气体终端采用一体式全金属、带气维修。</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）带气维修功能，内部具有截止阀芯，可以在气体终端内锁紧关闭供气，维修时可以不必关闭终端外供气管路。</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6</w:t>
            </w:r>
            <w:r>
              <w:rPr>
                <w:rFonts w:hint="eastAsia" w:ascii="宋体" w:hAnsi="宋体" w:eastAsia="宋体" w:cs="宋体"/>
                <w:color w:val="000000"/>
                <w:sz w:val="22"/>
                <w:szCs w:val="22"/>
                <w:highlight w:val="none"/>
                <w:lang w:bidi="ar"/>
              </w:rPr>
              <w:t xml:space="preserve">）气体终端产品外观采用ISO9170-1规范颜色，以便医护人员通用规范认知，防止误操作。</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bidi="ar"/>
              </w:rPr>
              <w:t xml:space="preserve">）德式国际标准，插销符合DIN13260-2标准，通配式国际标准接头。</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bidi="ar"/>
              </w:rPr>
              <w:t xml:space="preserve">）不同气体端口具有特定对应的专用插头，专用插头不能通用其它气体终端，防止误操作导致事故发生,除密封件，其他所有零件为全金属结构，强度可靠,底座进气口为一体式成型，强度可靠。</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9</w:t>
            </w:r>
            <w:r>
              <w:rPr>
                <w:rFonts w:hint="eastAsia" w:ascii="宋体" w:hAnsi="宋体" w:eastAsia="宋体" w:cs="宋体"/>
                <w:color w:val="000000"/>
                <w:sz w:val="22"/>
                <w:szCs w:val="22"/>
                <w:highlight w:val="none"/>
                <w:lang w:bidi="ar"/>
              </w:rPr>
              <w:t xml:space="preserve">）为在极端温度条件下正常工作运行，依据GB/T2423.22-2012需做高低温试验（-40℃~80℃）</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bidi="ar"/>
              </w:rPr>
              <w:t xml:space="preserve">）大于20万次插拔无泄漏</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11</w:t>
            </w:r>
            <w:r>
              <w:rPr>
                <w:rFonts w:hint="eastAsia" w:ascii="宋体" w:hAnsi="宋体" w:eastAsia="宋体" w:cs="宋体"/>
                <w:color w:val="000000"/>
                <w:sz w:val="22"/>
                <w:szCs w:val="22"/>
                <w:highlight w:val="none"/>
                <w:lang w:bidi="ar"/>
              </w:rPr>
              <w:t xml:space="preserve">）气体终端压盖，通过盐雾中性标准检测</w:t>
            </w:r>
            <w:r/>
          </w:p>
          <w:p>
            <w:pPr>
              <w:jc w:val="left"/>
              <w:keepNex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12</w:t>
            </w:r>
            <w:r>
              <w:rPr>
                <w:rFonts w:hint="eastAsia" w:ascii="宋体" w:hAnsi="宋体" w:eastAsia="宋体" w:cs="宋体"/>
                <w:color w:val="000000"/>
                <w:sz w:val="22"/>
                <w:szCs w:val="22"/>
                <w:highlight w:val="none"/>
                <w:lang w:bidi="ar"/>
              </w:rPr>
              <w:t xml:space="preserve">）氧气终端应通过YY 0801.1-2010检测（检验依据：YY 0801.1-2010《医用气体管道系统终端 第1部分：用于压缩医用气体和真空的终端》标准） 泄 漏 不 应 超 过 0.17mL/min</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285</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脱脂紫铜管φ32*2</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52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脱脂紫铜管φ25*2.0</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239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脱脂紫铜管φ16*1.5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458</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脱脂紫铜管φ8*1</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565</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氧气管道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脱脂紫铜管φ10*1</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228</w:t>
            </w:r>
            <w:r/>
          </w:p>
        </w:tc>
      </w:tr>
      <w:tr>
        <w:trPr/>
        <w:tc>
          <w:tcPr>
            <w:gridSpan w:val="5"/>
            <w:tcBorders>
              <w:top w:val="single" w:color="000000" w:sz="4" w:space="0"/>
              <w:left w:val="single" w:color="000000" w:sz="4" w:space="0"/>
              <w:bottom w:val="single" w:color="000000" w:sz="4" w:space="0"/>
              <w:right w:val="single" w:color="000000" w:sz="4" w:space="0"/>
            </w:tcBorders>
            <w:tcW w:w="10692"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中心吸引系统</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油润式真空泵</w:t>
            </w:r>
            <w:r>
              <w:rPr>
                <w:rFonts w:hint="default" w:ascii="宋体" w:hAnsi="宋体" w:eastAsia="宋体" w:cs="宋体"/>
                <w:color w:val="000000"/>
                <w:sz w:val="22"/>
                <w:szCs w:val="22"/>
                <w:highlight w:val="none"/>
                <w:lang w:bidi="ar"/>
              </w:rPr>
              <w:t xml:space="preserve">机组</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（1）机组</w:t>
            </w:r>
            <w:r>
              <w:rPr>
                <w:rFonts w:hint="eastAsia" w:ascii="宋体" w:hAnsi="宋体" w:eastAsia="宋体" w:cs="宋体"/>
                <w:color w:val="000000"/>
                <w:sz w:val="22"/>
                <w:szCs w:val="22"/>
                <w:highlight w:val="none"/>
                <w:lang w:bidi="ar"/>
              </w:rPr>
              <w:t xml:space="preserve">流量：</w:t>
            </w:r>
            <w:r>
              <w:rPr>
                <w:rFonts w:hint="eastAsia" w:ascii="宋体" w:hAnsi="宋体" w:eastAsia="宋体" w:cs="宋体"/>
                <w:color w:val="000000"/>
                <w:sz w:val="22"/>
                <w:szCs w:val="22"/>
                <w:highlight w:val="none"/>
                <w:lang w:val="en-US" w:eastAsia="zh-CN" w:bidi="ar"/>
              </w:rPr>
              <w:t xml:space="preserve">400</w:t>
            </w:r>
            <w:r>
              <w:rPr>
                <w:rFonts w:hint="eastAsia" w:ascii="宋体" w:hAnsi="宋体" w:eastAsia="宋体" w:cs="宋体"/>
                <w:color w:val="000000"/>
                <w:sz w:val="22"/>
                <w:szCs w:val="22"/>
                <w:highlight w:val="none"/>
                <w:lang w:bidi="ar"/>
              </w:rPr>
              <w:t xml:space="preserve">m³/h</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2台200立方真空泵组成</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机组</w:t>
            </w:r>
            <w:r>
              <w:rPr>
                <w:rFonts w:hint="eastAsia" w:ascii="宋体" w:hAnsi="宋体" w:eastAsia="宋体" w:cs="宋体"/>
                <w:color w:val="000000"/>
                <w:sz w:val="22"/>
                <w:szCs w:val="22"/>
                <w:highlight w:val="none"/>
                <w:lang w:bidi="ar"/>
              </w:rPr>
              <w:t xml:space="preserve">功率：</w:t>
            </w:r>
            <w:r>
              <w:rPr>
                <w:rFonts w:hint="eastAsia" w:ascii="宋体" w:hAnsi="宋体" w:eastAsia="宋体" w:cs="宋体"/>
                <w:color w:val="000000"/>
                <w:sz w:val="22"/>
                <w:szCs w:val="22"/>
                <w:highlight w:val="none"/>
                <w:lang w:val="en-US" w:eastAsia="zh-CN" w:bidi="ar"/>
              </w:rPr>
              <w:t xml:space="preserve">≥11</w:t>
            </w:r>
            <w:r>
              <w:rPr>
                <w:rFonts w:hint="eastAsia" w:ascii="宋体" w:hAnsi="宋体" w:eastAsia="宋体" w:cs="宋体"/>
                <w:color w:val="000000"/>
                <w:sz w:val="22"/>
                <w:szCs w:val="22"/>
                <w:highlight w:val="none"/>
                <w:lang w:bidi="ar"/>
              </w:rPr>
              <w:t xml:space="preserve">kw</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设计压力：-0.1Mpa；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出口口径：DN50。</w:t>
            </w:r>
            <w:r/>
          </w:p>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医用负压机组应</w:t>
            </w:r>
            <w:r>
              <w:rPr>
                <w:rFonts w:hint="eastAsia" w:ascii="宋体" w:hAnsi="宋体" w:eastAsia="宋体" w:cs="宋体"/>
                <w:color w:val="000000"/>
                <w:sz w:val="22"/>
                <w:szCs w:val="22"/>
                <w:highlight w:val="none"/>
                <w:lang w:bidi="ar"/>
              </w:rPr>
              <w:t xml:space="preserve">符合GB50751-2012及YY/T0186-1994规范要求，应设置应急备用电源，与医用气体接触的材料与相应气体不得产生有火灾危险、毒性或腐蚀性危害的物质</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6</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医用负压机组</w:t>
            </w:r>
            <w:r>
              <w:rPr>
                <w:rFonts w:hint="eastAsia" w:ascii="宋体" w:hAnsi="宋体" w:eastAsia="宋体" w:cs="宋体"/>
                <w:color w:val="000000"/>
                <w:sz w:val="22"/>
                <w:szCs w:val="22"/>
                <w:highlight w:val="none"/>
                <w:lang w:bidi="ar"/>
              </w:rPr>
              <w:t xml:space="preserve">应符合医用电器环境要求及实验方法GB/T14710，满足高、低温，温湿度，震动、碰撞实验要求</w:t>
            </w:r>
            <w:r/>
          </w:p>
          <w:p>
            <w:pPr>
              <w:jc w:val="left"/>
              <w:keepNext/>
              <w:spacing w:line="240" w:lineRule="auto"/>
              <w:widowControl/>
              <w:rPr>
                <w:rFonts w:hint="eastAsia" w:ascii="宋体" w:hAnsi="宋体" w:eastAsia="宋体" w:cs="宋体"/>
                <w:b w:val="0"/>
                <w:bCs w:val="0"/>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医用负压机组</w:t>
            </w:r>
            <w:r>
              <w:rPr>
                <w:rFonts w:hint="eastAsia" w:ascii="宋体" w:hAnsi="宋体" w:eastAsia="宋体" w:cs="宋体"/>
                <w:color w:val="000000"/>
                <w:sz w:val="22"/>
                <w:szCs w:val="22"/>
                <w:highlight w:val="none"/>
                <w:lang w:bidi="ar"/>
              </w:rPr>
              <w:t xml:space="preserve">为在极端温度条件下正常工作运行，需做高低温试验（-20℃~60℃）</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医用负压机组</w:t>
            </w:r>
            <w:r>
              <w:rPr>
                <w:rFonts w:hint="eastAsia" w:ascii="宋体" w:hAnsi="宋体" w:eastAsia="宋体" w:cs="宋体"/>
                <w:color w:val="000000"/>
                <w:sz w:val="22"/>
                <w:szCs w:val="22"/>
                <w:highlight w:val="none"/>
                <w:lang w:bidi="ar"/>
              </w:rPr>
              <w:t xml:space="preserve">应符合医用设备电气安全标准YY9706-102-2021，满足电磁兼容要求</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9</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医用负压机组控制系统</w:t>
            </w:r>
            <w:r>
              <w:rPr>
                <w:rFonts w:hint="eastAsia" w:ascii="宋体" w:hAnsi="宋体" w:eastAsia="宋体" w:cs="宋体"/>
                <w:color w:val="000000"/>
                <w:sz w:val="22"/>
                <w:szCs w:val="22"/>
                <w:highlight w:val="none"/>
                <w:lang w:bidi="ar"/>
              </w:rPr>
              <w:t xml:space="preserve">可以显示信息：报警信息，保养计划，运行时间、运行状态、操作钮，数据库</w:t>
            </w:r>
            <w:r/>
          </w:p>
          <w:p>
            <w:pPr>
              <w:jc w:val="left"/>
              <w:keepNex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医用负压机组</w:t>
            </w:r>
            <w:r>
              <w:rPr>
                <w:rFonts w:hint="eastAsia" w:ascii="宋体" w:hAnsi="宋体" w:eastAsia="宋体" w:cs="宋体"/>
                <w:color w:val="000000"/>
                <w:sz w:val="22"/>
                <w:szCs w:val="22"/>
                <w:highlight w:val="none"/>
                <w:lang w:bidi="ar"/>
              </w:rPr>
              <w:t xml:space="preserve">保证不停气</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开启模式为</w:t>
            </w:r>
            <w:r>
              <w:rPr>
                <w:rFonts w:hint="eastAsia" w:ascii="宋体" w:hAnsi="宋体" w:eastAsia="宋体" w:cs="宋体"/>
                <w:color w:val="000000"/>
                <w:sz w:val="22"/>
                <w:szCs w:val="22"/>
                <w:highlight w:val="none"/>
                <w:lang w:bidi="ar"/>
              </w:rPr>
              <w:t xml:space="preserve">多用一备</w:t>
            </w:r>
            <w:r>
              <w:rPr>
                <w:rFonts w:hint="eastAsia" w:ascii="宋体" w:hAnsi="宋体" w:eastAsia="宋体" w:cs="宋体"/>
                <w:color w:val="000000"/>
                <w:sz w:val="22"/>
                <w:szCs w:val="22"/>
                <w:highlight w:val="none"/>
                <w:lang w:val="en-US" w:eastAsia="zh-CN" w:bidi="ar"/>
              </w:rPr>
              <w:t xml:space="preserve">或者医用两备</w:t>
            </w:r>
            <w:r>
              <w:rPr>
                <w:rFonts w:hint="eastAsia" w:ascii="宋体" w:hAnsi="宋体" w:eastAsia="宋体" w:cs="宋体"/>
                <w:color w:val="000000"/>
                <w:sz w:val="22"/>
                <w:szCs w:val="22"/>
                <w:highlight w:val="none"/>
                <w:lang w:bidi="ar"/>
              </w:rPr>
              <w:t xml:space="preserve">循环使用，自动运行时监控各泵的使用状态，如果某一台发生故障，设备会自动识别同时发出报警，并跨越故障机头继续循环工作，保证不停气</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default"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细菌过滤器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225m³/h</w:t>
            </w:r>
            <w:r/>
          </w:p>
          <w:p>
            <w:p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质保期内免费更换</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真空罐</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体积：</w:t>
            </w:r>
            <w:r>
              <w:rPr>
                <w:rFonts w:hint="eastAsia" w:ascii="宋体" w:hAnsi="宋体" w:eastAsia="宋体" w:cs="宋体"/>
                <w:color w:val="000000"/>
                <w:sz w:val="22"/>
                <w:szCs w:val="22"/>
                <w:highlight w:val="none"/>
                <w:lang w:bidi="ar"/>
              </w:rPr>
              <w:t xml:space="preserve">1.5m³</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碳钢材质</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集污罐</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体积：</w:t>
            </w:r>
            <w:r>
              <w:rPr>
                <w:rFonts w:hint="eastAsia" w:ascii="宋体" w:hAnsi="宋体" w:eastAsia="宋体" w:cs="宋体"/>
                <w:color w:val="000000"/>
                <w:sz w:val="22"/>
                <w:szCs w:val="22"/>
                <w:highlight w:val="none"/>
                <w:lang w:bidi="ar"/>
              </w:rPr>
              <w:t xml:space="preserve">0.03m³</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碳钢材质</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负压机组控制柜</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①一用一备，循环使用，排气汇集、单点连接，</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一体化撬装式冗余设计；</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②通过压力传感器控制自动运行，逆转保护，断</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电自恢复功能</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负压机组灭菌装置</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由消毒箱体、不锈钢管路、智能控制等组成</w:t>
            </w:r>
            <w:r/>
          </w:p>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采用高温、紫外线、臭氧离子三种方式提高消毒灭菌效果，达到消毒、杀菌、除异味的效果</w:t>
            </w:r>
            <w:r/>
          </w:p>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 灭菌效率≥99.999%</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负压集气缸</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不锈钢材质，1进3出</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负压楼层阀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不锈钢</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规格：</w:t>
            </w:r>
            <w:r>
              <w:rPr>
                <w:rFonts w:hint="eastAsia" w:ascii="宋体" w:hAnsi="宋体" w:eastAsia="宋体" w:cs="宋体"/>
                <w:color w:val="000000"/>
                <w:sz w:val="22"/>
                <w:szCs w:val="22"/>
                <w:highlight w:val="none"/>
                <w:lang w:bidi="ar"/>
              </w:rPr>
              <w:t xml:space="preserve">φ38</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3</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负压楼层阀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不锈钢</w:t>
            </w:r>
            <w:r/>
          </w:p>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
              </w:rPr>
              <w:t xml:space="preserve">规格：</w:t>
            </w:r>
            <w:r>
              <w:rPr>
                <w:rFonts w:hint="eastAsia" w:ascii="宋体" w:hAnsi="宋体" w:eastAsia="宋体" w:cs="宋体"/>
                <w:color w:val="000000"/>
                <w:sz w:val="22"/>
                <w:szCs w:val="22"/>
                <w:highlight w:val="none"/>
                <w:lang w:bidi="ar"/>
              </w:rPr>
              <w:t xml:space="preserve">φ32</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8</w:t>
            </w:r>
            <w:r/>
          </w:p>
        </w:tc>
      </w:tr>
      <w:tr>
        <w:trPr>
          <w:trHeight w:val="9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负压维修阀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链接方式：</w:t>
            </w:r>
            <w:r>
              <w:rPr>
                <w:rFonts w:hint="eastAsia" w:ascii="宋体" w:hAnsi="宋体" w:eastAsia="宋体" w:cs="宋体"/>
                <w:color w:val="000000"/>
                <w:sz w:val="22"/>
                <w:szCs w:val="22"/>
                <w:highlight w:val="none"/>
                <w:lang w:bidi="ar"/>
              </w:rPr>
              <w:t xml:space="preserve">铜焊接</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规格：φ10</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4</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负压终端</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终端选用德式终端。</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带脱卸保护的压盖式，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具备通，断，拔三段式状态。</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bidi="ar"/>
              </w:rPr>
              <w:t xml:space="preserve">）</w:t>
            </w:r>
            <w:r>
              <w:rPr>
                <w:rFonts w:hint="default" w:ascii="宋体" w:hAnsi="宋体" w:eastAsia="宋体" w:cs="宋体"/>
                <w:color w:val="000000"/>
                <w:sz w:val="22"/>
                <w:szCs w:val="22"/>
                <w:highlight w:val="none"/>
                <w:lang w:bidi="ar"/>
              </w:rPr>
              <w:t xml:space="preserve">气体终端采用一体式全金属、带气维修</w:t>
            </w:r>
            <w:r>
              <w:rPr>
                <w:rFonts w:hint="eastAsia" w:ascii="宋体" w:hAnsi="宋体" w:eastAsia="宋体" w:cs="宋体"/>
                <w:color w:val="000000"/>
                <w:sz w:val="22"/>
                <w:szCs w:val="22"/>
                <w:highlight w:val="none"/>
                <w:lang w:bidi="ar"/>
              </w:rPr>
              <w:t xml:space="preserve">。</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sz w:val="21"/>
                <w:szCs w:val="21"/>
                <w:highlight w:val="none"/>
              </w:rPr>
              <w:t xml:space="preserve">（</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）带气维修功能，内部具有截止阀芯，可以在气体终端内锁紧关闭供气，维修时可以不必关闭终端外供气管路。</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6</w:t>
            </w:r>
            <w:r>
              <w:rPr>
                <w:rFonts w:hint="eastAsia" w:ascii="宋体" w:hAnsi="宋体" w:eastAsia="宋体" w:cs="宋体"/>
                <w:color w:val="000000"/>
                <w:sz w:val="22"/>
                <w:szCs w:val="22"/>
                <w:highlight w:val="none"/>
                <w:lang w:bidi="ar"/>
              </w:rPr>
              <w:t xml:space="preserve">）气体终端产品外观采用ISO9170-1规范颜色，以便医护人员通用规范认知，防止误操作。</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bidi="ar"/>
              </w:rPr>
              <w:t xml:space="preserve">）德式国际标准，插销符合DIN13260-2标准，通配式国际标准接头。</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bidi="ar"/>
              </w:rPr>
              <w:t xml:space="preserve">）不同气体端口具有特定对应的专用插头，专用插头不能通用其它气体终端，防止误操作导致事故发生,除密封件，其他所有零件为全金属结构，强度可靠,底座进气口为一体式成型，强度可靠。</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9</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为在极端温度条件下正常工作运行，依据GB/T2423.22-2012需做高低温试验（-40℃~80℃）</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bidi="ar"/>
              </w:rPr>
              <w:t xml:space="preserve">）大于20万次插拔无泄漏</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11</w:t>
            </w:r>
            <w:r>
              <w:rPr>
                <w:rFonts w:hint="eastAsia" w:ascii="宋体" w:hAnsi="宋体" w:eastAsia="宋体" w:cs="宋体"/>
                <w:color w:val="000000"/>
                <w:sz w:val="22"/>
                <w:szCs w:val="22"/>
                <w:highlight w:val="none"/>
                <w:lang w:bidi="ar"/>
              </w:rPr>
              <w:t xml:space="preserve">）气体终端压盖，通过盐雾中性标准检测</w:t>
            </w:r>
            <w:r/>
          </w:p>
          <w:p>
            <w:pPr>
              <w:jc w:val="left"/>
              <w:keepNex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12</w:t>
            </w:r>
            <w:r>
              <w:rPr>
                <w:rFonts w:hint="eastAsia" w:ascii="宋体" w:hAnsi="宋体" w:eastAsia="宋体" w:cs="宋体"/>
                <w:color w:val="000000"/>
                <w:sz w:val="22"/>
                <w:szCs w:val="22"/>
                <w:highlight w:val="none"/>
                <w:lang w:bidi="ar"/>
              </w:rPr>
              <w:t xml:space="preserve">）真空吸引终端应通过YY 0801.1-2010检测</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28</w:t>
            </w:r>
            <w:r>
              <w:rPr>
                <w:rFonts w:hint="default" w:ascii="宋体" w:hAnsi="宋体" w:eastAsia="宋体" w:cs="宋体"/>
                <w:color w:val="000000"/>
                <w:sz w:val="22"/>
                <w:szCs w:val="22"/>
                <w:highlight w:val="none"/>
                <w:lang w:bidi="ar"/>
              </w:rPr>
              <w:t xml:space="preserve">5</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脱脂紫铜管DN50</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63</w:t>
            </w:r>
            <w:r/>
          </w:p>
        </w:tc>
      </w:tr>
      <w:tr>
        <w:trPr>
          <w:trHeight w:val="9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脱脂紫铜管φ76*3.0</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35</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脱脂紫铜管φ57*2.5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62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脱脂紫铜管φ45*2.5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36</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脱脂紫铜管φ32*2</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458</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脱脂紫铜管φ10*1</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565</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脱脂紫铜管φ12*1.5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213</w:t>
            </w:r>
            <w:r/>
          </w:p>
        </w:tc>
      </w:tr>
      <w:tr>
        <w:trPr>
          <w:trHeight w:val="242"/>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脱脂紫铜管φ38*2.5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168</w:t>
            </w:r>
            <w:r/>
          </w:p>
        </w:tc>
      </w:tr>
      <w:tr>
        <w:trPr>
          <w:trHeight w:val="242"/>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负压管道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脱脂紫铜管φ10*1</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137</w:t>
            </w:r>
            <w:r/>
          </w:p>
        </w:tc>
      </w:tr>
      <w:tr>
        <w:trPr>
          <w:trHeight w:val="262"/>
        </w:trPr>
        <w:tc>
          <w:tcPr>
            <w:gridSpan w:val="5"/>
            <w:tcBorders>
              <w:top w:val="single" w:color="000000" w:sz="4" w:space="0"/>
              <w:left w:val="single" w:color="000000" w:sz="4" w:space="0"/>
              <w:bottom w:val="single" w:color="000000" w:sz="4" w:space="0"/>
              <w:right w:val="single" w:color="000000" w:sz="4" w:space="0"/>
            </w:tcBorders>
            <w:tcW w:w="10692"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压缩空气系统</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空气压缩机</w:t>
            </w:r>
            <w:r>
              <w:rPr>
                <w:rFonts w:hint="default" w:ascii="宋体" w:hAnsi="宋体" w:eastAsia="宋体" w:cs="宋体"/>
                <w:color w:val="000000"/>
                <w:sz w:val="22"/>
                <w:szCs w:val="22"/>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系统流量：</w:t>
            </w:r>
            <w:r>
              <w:rPr>
                <w:rFonts w:hint="default"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23</w:t>
            </w:r>
            <w:r>
              <w:rPr>
                <w:rFonts w:hint="eastAsia" w:ascii="宋体" w:hAnsi="宋体" w:eastAsia="宋体" w:cs="宋体"/>
                <w:color w:val="000000"/>
                <w:sz w:val="22"/>
                <w:szCs w:val="22"/>
                <w:highlight w:val="none"/>
                <w:lang w:bidi="ar"/>
              </w:rPr>
              <w:t xml:space="preserve">m³/min</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系统功率：</w:t>
            </w:r>
            <w:r>
              <w:rPr>
                <w:rFonts w:hint="eastAsia" w:ascii="宋体" w:hAnsi="宋体" w:eastAsia="宋体" w:cs="宋体"/>
                <w:color w:val="000000"/>
                <w:sz w:val="22"/>
                <w:szCs w:val="22"/>
                <w:highlight w:val="none"/>
                <w:lang w:val="en-US" w:eastAsia="zh-CN" w:bidi="ar"/>
              </w:rPr>
              <w:t xml:space="preserve">≤16.5kw</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设计压力：0.8Mpa；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出口口径：DN25。</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（医用空气压缩机在单一故障状态时，应能持续工作供气。</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6</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气密性：医用空气压缩机所有紧固件连接应牢靠,不得有任何松动,各种管道、管汇及阀门排列应整齐,其连接处不得漏气。</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所有紧固件连接应牢靠，不得有任何松动，各种管道、管汇及阀门排列应整齐,其连接处不得漏气。</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bidi="ar"/>
              </w:rPr>
              <w:t xml:space="preserve">）水分含量（露点）≤50mg/Nm³（-52℃）。 </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9</w:t>
            </w:r>
            <w:r>
              <w:rPr>
                <w:rFonts w:hint="eastAsia" w:ascii="宋体" w:hAnsi="宋体" w:eastAsia="宋体" w:cs="宋体"/>
                <w:color w:val="000000"/>
                <w:sz w:val="22"/>
                <w:szCs w:val="22"/>
                <w:highlight w:val="none"/>
                <w:lang w:bidi="ar"/>
              </w:rPr>
              <w:t xml:space="preserve">）一氧化碳含量≤0.0005％。二氧化碳含量≤0.05％。</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bidi="ar"/>
              </w:rPr>
              <w:t xml:space="preserve">）一氧化氮和二氧化氮含量≤0.0002％。二氧化硫含量≤0.0001％。</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11</w:t>
            </w:r>
            <w:r>
              <w:rPr>
                <w:rFonts w:hint="eastAsia" w:ascii="宋体" w:hAnsi="宋体" w:eastAsia="宋体" w:cs="宋体"/>
                <w:color w:val="000000"/>
                <w:sz w:val="22"/>
                <w:szCs w:val="22"/>
                <w:highlight w:val="none"/>
                <w:lang w:bidi="ar"/>
              </w:rPr>
              <w:t xml:space="preserve">）气味：压缩空气应无异味。</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12</w:t>
            </w:r>
            <w:r>
              <w:rPr>
                <w:rFonts w:hint="eastAsia" w:ascii="宋体" w:hAnsi="宋体" w:eastAsia="宋体" w:cs="宋体"/>
                <w:color w:val="000000"/>
                <w:sz w:val="22"/>
                <w:szCs w:val="22"/>
                <w:highlight w:val="none"/>
                <w:lang w:bidi="ar"/>
              </w:rPr>
              <w:t xml:space="preserve">）颗粒物：2级。</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13</w:t>
            </w:r>
            <w:r>
              <w:rPr>
                <w:rFonts w:hint="eastAsia" w:ascii="宋体" w:hAnsi="宋体" w:eastAsia="宋体" w:cs="宋体"/>
                <w:color w:val="000000"/>
                <w:sz w:val="22"/>
                <w:szCs w:val="22"/>
                <w:highlight w:val="none"/>
                <w:lang w:bidi="ar"/>
              </w:rPr>
              <w:t xml:space="preserve">）含油量≤0.1mg/Nm³。 </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 医用空气压缩机的排气压力在0.4-0.8Mpa内可调。</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产品安全要求应符合GB 9706.1-2020标准规定要求。</w:t>
            </w:r>
            <w:r/>
          </w:p>
          <w:p>
            <w:pPr>
              <w:jc w:val="left"/>
              <w:keepNext/>
              <w:widowControl/>
              <w:rPr>
                <w:rFonts w:hint="eastAsia" w:ascii="宋体" w:hAnsi="宋体" w:eastAsia="宋体" w:cs="Times New Roman"/>
                <w:sz w:val="24"/>
                <w:szCs w:val="24"/>
                <w:highlight w:val="none"/>
                <w:lang w:val="en-US" w:eastAsia="zh-CN" w:bidi="ar-SA"/>
              </w:rPr>
            </w:pPr>
            <w:r>
              <w:rPr>
                <w:rFonts w:hint="eastAsia" w:ascii="宋体" w:hAnsi="宋体" w:eastAsia="宋体" w:cs="宋体"/>
                <w:color w:val="000000"/>
                <w:sz w:val="22"/>
                <w:szCs w:val="22"/>
                <w:highlight w:val="none"/>
                <w:lang w:bidi="ar"/>
              </w:rPr>
              <w:t xml:space="preserve">电磁兼容应符合YY 9706.102-2021标准的要求。</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default" w:ascii="宋体" w:hAnsi="宋体" w:eastAsia="宋体" w:cs="宋体"/>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default" w:ascii="宋体" w:hAnsi="宋体" w:eastAsia="宋体" w:cs="宋体"/>
                <w:color w:val="000000"/>
                <w:sz w:val="22"/>
                <w:szCs w:val="22"/>
                <w:highlight w:val="none"/>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吸附式干燥机</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空气处理量：</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m³/min</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电压：220V/50HZ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压力:0.8Mpa</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bidi="ar"/>
              </w:rPr>
              <w:t xml:space="preserve">4</w:t>
            </w:r>
            <w:r>
              <w:rPr>
                <w:rFonts w:hint="eastAsia" w:ascii="宋体" w:hAnsi="宋体" w:eastAsia="宋体" w:cs="宋体"/>
                <w:color w:val="000000"/>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分离精密过滤器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处理气量:</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1.5m/min</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压力:0.8Mpa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颗粒精度:0.01μm</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油分含量：0.01ppm</w:t>
            </w:r>
            <w:r/>
          </w:p>
          <w:p>
            <w:pPr>
              <w:jc w:val="both"/>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质保期内免费更换</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bidi="ar"/>
              </w:rPr>
              <w:t xml:space="preserve">4</w:t>
            </w:r>
            <w:r>
              <w:rPr>
                <w:rFonts w:hint="eastAsia" w:ascii="宋体" w:hAnsi="宋体" w:eastAsia="宋体" w:cs="宋体"/>
                <w:color w:val="000000"/>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主管路精密过滤器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处理气量:</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1.5m/min</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压力:0.8Mpa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颗粒精度:0.01μm</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油分含量：0.01ppm</w:t>
            </w:r>
            <w:r/>
          </w:p>
          <w:p>
            <w:p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质保期内免费更换</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高效精密过滤器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处理气量:</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1.5m/min</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压力:0.8Mpa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颗粒精度:0.01μm</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油分含量：0.01ppm</w:t>
            </w:r>
            <w:r/>
          </w:p>
          <w:p>
            <w:p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质保期内免费更换</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超高效精密过滤器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处理气量:</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1.5m/min</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压力:0.8Mpa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颗粒精度:0.01μm</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油分含量：0.01ppm</w:t>
            </w:r>
            <w:r/>
          </w:p>
          <w:p>
            <w:p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质保期内免费更换</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活性炭过滤器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处理气量:1.5m/min</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压力:0.8Mpa</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颗粒精度:0.01μm</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油分含量：0.01ppm</w:t>
            </w:r>
            <w:r/>
          </w:p>
          <w:p>
            <w:p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质保期内免费更换</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空气储罐</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容量：</w:t>
            </w:r>
            <w:r>
              <w:rPr>
                <w:rFonts w:hint="eastAsia" w:ascii="宋体" w:hAnsi="宋体" w:eastAsia="宋体" w:cs="宋体"/>
                <w:color w:val="000000"/>
                <w:sz w:val="22"/>
                <w:szCs w:val="22"/>
                <w:highlight w:val="none"/>
                <w:lang w:bidi="ar"/>
              </w:rPr>
              <w:t xml:space="preserve">2m³</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碳钢</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空气机组控制柜</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①控制器采用液晶触摸屏，具备远程物联网功</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能，具有RS232/RS485 通讯及控制功能；</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②通过</w:t>
            </w:r>
            <w:r>
              <w:rPr>
                <w:rFonts w:hint="eastAsia" w:ascii="宋体" w:hAnsi="宋体" w:eastAsia="宋体" w:cs="宋体"/>
                <w:color w:val="000000"/>
                <w:sz w:val="22"/>
                <w:szCs w:val="22"/>
                <w:highlight w:val="none"/>
                <w:lang w:val="en-US" w:eastAsia="zh-CN" w:bidi="ar"/>
              </w:rPr>
              <w:t xml:space="preserve"> </w:t>
            </w:r>
            <w:r>
              <w:rPr>
                <w:rFonts w:hint="eastAsia" w:ascii="宋体" w:hAnsi="宋体" w:eastAsia="宋体" w:cs="宋体"/>
                <w:color w:val="000000"/>
                <w:sz w:val="22"/>
                <w:szCs w:val="22"/>
                <w:highlight w:val="none"/>
                <w:lang w:bidi="ar"/>
              </w:rPr>
              <w:t xml:space="preserve">压力传感器控制自动运行，逆转保护，断</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bidi="ar"/>
              </w:rPr>
              <w:t xml:space="preserve">电自恢复功能。医用空气压缩机具备Ⅱ类医疗器械注册证；</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空气分气缸</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不锈钢材质，1进3出</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空气楼层阀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铜</w:t>
            </w:r>
            <w:r/>
          </w:p>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规格：</w:t>
            </w:r>
            <w:r>
              <w:rPr>
                <w:rFonts w:hint="eastAsia" w:ascii="宋体" w:hAnsi="宋体" w:eastAsia="宋体" w:cs="宋体"/>
                <w:color w:val="000000"/>
                <w:sz w:val="22"/>
                <w:szCs w:val="22"/>
                <w:highlight w:val="none"/>
                <w:lang w:bidi="ar"/>
              </w:rPr>
              <w:t xml:space="preserve">φ14</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7</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空气楼层阀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val="en-US" w:eastAsia="zh-CN" w:bidi="ar"/>
              </w:rPr>
              <w:t xml:space="preserve">材质：</w:t>
            </w:r>
            <w:r>
              <w:rPr>
                <w:rFonts w:hint="eastAsia" w:ascii="宋体" w:hAnsi="宋体" w:eastAsia="宋体" w:cs="宋体"/>
                <w:color w:val="000000"/>
                <w:sz w:val="22"/>
                <w:szCs w:val="22"/>
                <w:highlight w:val="none"/>
                <w:lang w:bidi="ar"/>
              </w:rPr>
              <w:t xml:space="preserve">铜</w:t>
            </w:r>
            <w:r/>
          </w:p>
          <w:p>
            <w:pPr>
              <w:jc w:val="left"/>
              <w:keepNext/>
              <w:widowControl/>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规格：</w:t>
            </w:r>
            <w:r>
              <w:rPr>
                <w:rFonts w:hint="eastAsia" w:ascii="宋体" w:hAnsi="宋体" w:eastAsia="宋体" w:cs="宋体"/>
                <w:color w:val="000000"/>
                <w:sz w:val="22"/>
                <w:szCs w:val="22"/>
                <w:highlight w:val="none"/>
                <w:lang w:bidi="ar"/>
              </w:rPr>
              <w:t xml:space="preserve">φ</w:t>
            </w:r>
            <w:r>
              <w:rPr>
                <w:rFonts w:hint="eastAsia" w:ascii="宋体" w:hAnsi="宋体" w:eastAsia="宋体" w:cs="宋体"/>
                <w:color w:val="000000"/>
                <w:sz w:val="22"/>
                <w:szCs w:val="22"/>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空气终端</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终端选用德式终端。</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带脱卸保护的压盖式，  。</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具备通，断，拔三段式状态。</w:t>
            </w:r>
            <w:r>
              <w:rPr>
                <w:rFonts w:hint="eastAsia" w:ascii="宋体" w:hAnsi="宋体" w:eastAsia="宋体" w:cs="宋体"/>
                <w:color w:val="000000"/>
                <w:sz w:val="22"/>
                <w:szCs w:val="22"/>
                <w:highlight w:val="none"/>
                <w:lang w:bidi="ar"/>
              </w:rPr>
              <w:br/>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bidi="ar"/>
              </w:rPr>
              <w:t xml:space="preserve">）</w:t>
            </w:r>
            <w:r>
              <w:rPr>
                <w:rFonts w:hint="default" w:ascii="宋体" w:hAnsi="宋体" w:eastAsia="宋体" w:cs="宋体"/>
                <w:color w:val="000000"/>
                <w:sz w:val="22"/>
                <w:szCs w:val="22"/>
                <w:highlight w:val="none"/>
                <w:lang w:bidi="ar"/>
              </w:rPr>
              <w:t xml:space="preserve">气体终端采用一体式全金属、带气维修</w:t>
            </w:r>
            <w:r>
              <w:rPr>
                <w:rFonts w:hint="eastAsia" w:ascii="宋体" w:hAnsi="宋体" w:eastAsia="宋体" w:cs="宋体"/>
                <w:color w:val="000000"/>
                <w:sz w:val="22"/>
                <w:szCs w:val="22"/>
                <w:highlight w:val="none"/>
                <w:lang w:bidi="ar"/>
              </w:rPr>
              <w:t xml:space="preserve">。</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）带气维修功能，内部具有截止阀芯，可以在气体终端内锁紧关闭供气，维修时可以不必关闭终端外供气管路。</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6</w:t>
            </w:r>
            <w:r>
              <w:rPr>
                <w:rFonts w:hint="eastAsia" w:ascii="宋体" w:hAnsi="宋体" w:eastAsia="宋体" w:cs="宋体"/>
                <w:color w:val="000000"/>
                <w:sz w:val="22"/>
                <w:szCs w:val="22"/>
                <w:highlight w:val="none"/>
                <w:lang w:bidi="ar"/>
              </w:rPr>
              <w:t xml:space="preserve">）气体终端产品外观采用ISO9170-1规范颜色，以便医护人员通用规范认知，防止误操作。</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bidi="ar"/>
              </w:rPr>
              <w:t xml:space="preserve">）德式国际标准，插销符合DIN13260-2标准，通配式国际标准接头。</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bidi="ar"/>
              </w:rPr>
              <w:t xml:space="preserve">）不同气体端口具有特定对应的专用插头，专用插头不能通用其它气体终端，防止误操作导致事故发生,除密封件，其他所有零件为全金属结构，强度可靠,底座进气口为一体式成型，强度可靠。</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9</w:t>
            </w:r>
            <w:r>
              <w:rPr>
                <w:rFonts w:hint="eastAsia" w:ascii="宋体" w:hAnsi="宋体" w:eastAsia="宋体" w:cs="宋体"/>
                <w:color w:val="000000"/>
                <w:sz w:val="22"/>
                <w:szCs w:val="22"/>
                <w:highlight w:val="none"/>
                <w:lang w:bidi="ar"/>
              </w:rPr>
              <w:t xml:space="preserve">）为在极端温度条件下正常工作运行，依据GB/T2423.22-2012需做高低温试验（-40℃~80℃）</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bidi="ar"/>
              </w:rPr>
              <w:t xml:space="preserve">）大于20万次插拔无泄漏</w:t>
            </w:r>
            <w:r/>
          </w:p>
          <w:p>
            <w:pPr>
              <w:jc w:val="left"/>
              <w:keepNex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val="en-US" w:eastAsia="zh-CN" w:bidi="ar"/>
              </w:rPr>
              <w:t xml:space="preserve">11</w:t>
            </w:r>
            <w:r>
              <w:rPr>
                <w:rFonts w:hint="eastAsia" w:ascii="宋体" w:hAnsi="宋体" w:eastAsia="宋体" w:cs="宋体"/>
                <w:color w:val="000000"/>
                <w:sz w:val="22"/>
                <w:szCs w:val="22"/>
                <w:highlight w:val="none"/>
                <w:lang w:bidi="ar"/>
              </w:rPr>
              <w:t xml:space="preserve">）气体终端压盖，通过盐雾中性标准检测</w:t>
            </w:r>
            <w:r/>
          </w:p>
          <w:p>
            <w:pPr>
              <w:jc w:val="left"/>
              <w:keepNext/>
              <w:widowControl/>
              <w:rPr>
                <w:rFonts w:hint="eastAsia" w:ascii="宋体" w:hAnsi="宋体" w:eastAsia="宋体" w:cs="Times New Roman"/>
                <w:sz w:val="24"/>
                <w:szCs w:val="24"/>
                <w:highlight w:val="none"/>
                <w:lang w:val="en-US" w:eastAsia="zh-CN" w:bidi="ar-SA"/>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）医用空气终端应通过YY 0801.1-2010检测</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49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空气维修阀</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链接方式：</w:t>
            </w:r>
            <w:r>
              <w:rPr>
                <w:rFonts w:hint="eastAsia" w:ascii="宋体" w:hAnsi="宋体" w:eastAsia="宋体" w:cs="宋体"/>
                <w:color w:val="000000"/>
                <w:sz w:val="22"/>
                <w:szCs w:val="22"/>
                <w:highlight w:val="none"/>
                <w:lang w:bidi="ar"/>
              </w:rPr>
              <w:t xml:space="preserve">铜焊接</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规格：φ10</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20</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脱脂紫铜管φ25*2.0</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56</w:t>
            </w:r>
            <w:r/>
          </w:p>
        </w:tc>
      </w:tr>
      <w:tr>
        <w:trPr>
          <w:trHeight w:val="1889"/>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脱脂紫铜管φ16*1.5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66</w:t>
            </w:r>
            <w:r/>
          </w:p>
        </w:tc>
      </w:tr>
      <w:tr>
        <w:trPr>
          <w:trHeight w:val="1889"/>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脱脂紫铜管φ14*1</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263</w:t>
            </w:r>
            <w:r/>
          </w:p>
        </w:tc>
      </w:tr>
      <w:tr>
        <w:trPr>
          <w:trHeight w:val="1889"/>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脱脂紫铜管φ10*1</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213</w:t>
            </w:r>
            <w:r/>
          </w:p>
        </w:tc>
      </w:tr>
      <w:tr>
        <w:trPr>
          <w:trHeight w:val="292"/>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空气管道</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脱脂紫铜管φ16*1.5</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69</w:t>
            </w:r>
            <w:r/>
          </w:p>
        </w:tc>
      </w:tr>
      <w:tr>
        <w:trPr/>
        <w:tc>
          <w:tcPr>
            <w:gridSpan w:val="5"/>
            <w:tcBorders>
              <w:top w:val="single" w:color="000000" w:sz="4" w:space="0"/>
              <w:left w:val="single" w:color="000000" w:sz="4" w:space="0"/>
              <w:bottom w:val="single" w:color="000000" w:sz="4" w:space="0"/>
              <w:right w:val="single" w:color="000000" w:sz="4" w:space="0"/>
            </w:tcBorders>
            <w:tcW w:w="10692"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床头配电系统</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漏电保护器</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极数：1P+N；电流：16A</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10</w:t>
            </w:r>
            <w:r>
              <w:rPr>
                <w:rFonts w:hint="eastAsia" w:ascii="宋体" w:hAnsi="宋体" w:eastAsia="宋体" w:cs="宋体"/>
                <w:color w:val="000000"/>
                <w:sz w:val="22"/>
                <w:szCs w:val="22"/>
                <w:highlight w:val="none"/>
                <w:lang w:val="en-US" w:eastAsia="zh-CN" w:bidi="ar"/>
              </w:rPr>
              <w:t xml:space="preserve">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开关</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86系列大板开关</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257</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2孔3孔单相插座</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570</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3孔单相插座、16A </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床头灯</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LED床头灯；型号：</w:t>
            </w:r>
            <w:r>
              <w:rPr>
                <w:rFonts w:hint="eastAsia" w:ascii="宋体" w:hAnsi="宋体" w:eastAsia="宋体" w:cs="宋体"/>
                <w:color w:val="000000"/>
                <w:sz w:val="22"/>
                <w:szCs w:val="22"/>
                <w:highlight w:val="none"/>
                <w:lang w:bidi="ar"/>
              </w:rPr>
              <w:t xml:space="preserve">T5</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功率：</w:t>
            </w:r>
            <w:r>
              <w:rPr>
                <w:rFonts w:hint="eastAsia" w:ascii="宋体" w:hAnsi="宋体" w:eastAsia="宋体" w:cs="宋体"/>
                <w:color w:val="000000"/>
                <w:sz w:val="22"/>
                <w:szCs w:val="22"/>
                <w:highlight w:val="none"/>
                <w:lang w:bidi="ar"/>
              </w:rPr>
              <w:t xml:space="preserve">4W</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257</w:t>
            </w:r>
            <w:r/>
          </w:p>
        </w:tc>
      </w:tr>
      <w:tr>
        <w:trPr>
          <w:trHeight w:val="235"/>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灯罩</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材质：PVC、长度30CM、与设备带配套</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257</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铜芯线、</w:t>
            </w:r>
            <w:r>
              <w:rPr>
                <w:rFonts w:hint="eastAsia" w:ascii="宋体" w:hAnsi="宋体" w:eastAsia="宋体" w:cs="宋体"/>
                <w:color w:val="000000"/>
                <w:sz w:val="22"/>
                <w:szCs w:val="22"/>
                <w:highlight w:val="none"/>
                <w:lang w:bidi="ar"/>
              </w:rPr>
              <w:t xml:space="preserve">ZR-BV-2.5MM</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1509</w:t>
            </w:r>
            <w:r/>
          </w:p>
        </w:tc>
      </w:tr>
      <w:tr>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keepNext/>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扣槽</w:t>
            </w:r>
            <w:r/>
          </w:p>
        </w:tc>
        <w:tc>
          <w:tcPr>
            <w:tcBorders>
              <w:top w:val="single" w:color="000000" w:sz="4" w:space="0"/>
              <w:left w:val="single" w:color="000000" w:sz="4" w:space="0"/>
              <w:bottom w:val="single" w:color="000000" w:sz="4" w:space="0"/>
              <w:right w:val="single" w:color="000000" w:sz="4" w:space="0"/>
            </w:tcBorders>
            <w:tcW w:w="5823" w:type="dxa"/>
            <w:vAlign w:val="center"/>
            <w:textDirection w:val="lrTb"/>
            <w:noWrap w:val="false"/>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大扣槽、铝合金</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left"/>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Nex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bidi="ar"/>
              </w:rPr>
              <w:t xml:space="preserve">210</w:t>
            </w:r>
            <w:r/>
          </w:p>
        </w:tc>
      </w:tr>
    </w:tbl>
    <w:p>
      <w:pPr>
        <w:pStyle w:val="851"/>
        <w:numPr>
          <w:ilvl w:val="0"/>
          <w:numId w:val="0"/>
        </w:numPr>
        <w:rPr>
          <w:rFonts w:hint="eastAsia"/>
          <w:highlight w:val="none"/>
          <w:lang w:val="zh-CN"/>
        </w:rPr>
      </w:pPr>
      <w:r>
        <w:rPr>
          <w:rFonts w:hint="eastAsia"/>
          <w:highlight w:val="none"/>
          <w:lang w:val="zh-CN"/>
        </w:rPr>
      </w:r>
      <w:r/>
    </w:p>
    <w:p>
      <w:pPr>
        <w:pStyle w:val="821"/>
        <w:ind w:left="0" w:firstLine="420"/>
        <w:jc w:val="left"/>
        <w:spacing w:before="0" w:after="0" w:line="240" w:lineRule="auto"/>
        <w:rPr>
          <w:color w:val="ff0000"/>
          <w:sz w:val="21"/>
          <w:szCs w:val="21"/>
          <w:highlight w:val="none"/>
        </w:rPr>
      </w:pPr>
      <w:r>
        <w:rPr>
          <w:rFonts w:hint="eastAsia" w:ascii="宋体" w:hAnsi="宋体"/>
          <w:b w:val="0"/>
          <w:sz w:val="21"/>
          <w:szCs w:val="21"/>
          <w:highlight w:val="none"/>
        </w:rPr>
        <w:t xml:space="preserve">本项目确定核心产品为：病房设备带</w:t>
      </w:r>
      <w:r>
        <w:rPr>
          <w:b w:val="0"/>
          <w:sz w:val="21"/>
          <w:szCs w:val="21"/>
          <w:highlight w:val="none"/>
        </w:rPr>
        <w:t xml:space="preserve"> </w:t>
      </w:r>
      <w:r>
        <w:rPr>
          <w:rFonts w:hint="eastAsia"/>
          <w:b w:val="0"/>
          <w:sz w:val="21"/>
          <w:szCs w:val="21"/>
          <w:highlight w:val="none"/>
        </w:rPr>
        <w:t xml:space="preserve">。</w:t>
      </w:r>
      <w:r>
        <w:rPr>
          <w:rFonts w:hint="eastAsia" w:ascii="宋体" w:hAnsi="宋体" w:cs="宋体"/>
          <w:b w:val="0"/>
          <w:bCs w:val="0"/>
          <w:sz w:val="21"/>
          <w:szCs w:val="21"/>
          <w:highlight w:val="non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非单一产品采购项目，多家投标人提供的核心设备（标注）品牌相同的，按上述规定处理。</w:t>
      </w:r>
      <w:r>
        <w:rPr>
          <w:rFonts w:ascii="宋体" w:hAnsi="宋体" w:cs="宋体"/>
          <w:b w:val="0"/>
          <w:bCs w:val="0"/>
          <w:sz w:val="21"/>
          <w:szCs w:val="21"/>
          <w:highlight w:val="none"/>
        </w:rPr>
        <w:t xml:space="preserve"> </w:t>
      </w:r>
      <w:r/>
    </w:p>
    <w:p>
      <w:pPr>
        <w:ind w:firstLine="422"/>
        <w:spacing w:line="400" w:lineRule="exact"/>
        <w:widowControl/>
        <w:rPr>
          <w:rFonts w:hint="eastAsia"/>
          <w:b/>
          <w:bCs/>
          <w:sz w:val="21"/>
          <w:szCs w:val="21"/>
          <w:highlight w:val="none"/>
        </w:rPr>
      </w:pPr>
      <w:r>
        <w:rPr>
          <w:rFonts w:hint="eastAsia"/>
          <w:b/>
          <w:bCs/>
          <w:sz w:val="21"/>
          <w:szCs w:val="21"/>
          <w:highlight w:val="none"/>
        </w:rPr>
        <w:t xml:space="preserve">注：</w:t>
      </w:r>
      <w:r/>
    </w:p>
    <w:p>
      <w:pPr>
        <w:ind w:firstLine="420"/>
        <w:spacing w:line="400" w:lineRule="exact"/>
        <w:widowControl/>
        <w:rPr>
          <w:rFonts w:hint="eastAsia"/>
          <w:sz w:val="21"/>
          <w:szCs w:val="21"/>
          <w:highlight w:val="none"/>
        </w:rPr>
      </w:pPr>
      <w:r>
        <w:rPr>
          <w:rFonts w:hint="eastAsia"/>
          <w:sz w:val="21"/>
          <w:szCs w:val="21"/>
          <w:highlight w:val="none"/>
        </w:rPr>
        <w:t xml:space="preserve">1.投标单位所响应产品应能够达到以上技术参数要求，同时必须明确所响应产品的品牌、型号、规格和外形、尺寸、重量及一些必须说明的技术参数，所投产品的规格尺寸允许±</w:t>
      </w:r>
      <w:r>
        <w:rPr>
          <w:rFonts w:hint="eastAsia"/>
          <w:sz w:val="21"/>
          <w:szCs w:val="21"/>
          <w:highlight w:val="none"/>
          <w:lang w:val="en-US" w:eastAsia="zh-CN"/>
        </w:rPr>
        <w:t xml:space="preserve">5</w:t>
      </w:r>
      <w:r>
        <w:rPr>
          <w:rFonts w:hint="eastAsia"/>
          <w:sz w:val="21"/>
          <w:szCs w:val="21"/>
          <w:highlight w:val="none"/>
        </w:rPr>
        <w:t xml:space="preserve">%内的偏离。供应商应保证中标后提供的所有产品的技术参数指标与投标文件响应的技术参数指标相一致。</w:t>
      </w:r>
      <w:r/>
    </w:p>
    <w:p>
      <w:pPr>
        <w:ind w:firstLine="420"/>
        <w:spacing w:line="400" w:lineRule="exact"/>
        <w:widowControl/>
        <w:rPr>
          <w:rFonts w:hint="eastAsia"/>
          <w:sz w:val="21"/>
          <w:szCs w:val="21"/>
          <w:highlight w:val="none"/>
        </w:rPr>
      </w:pPr>
      <w:r>
        <w:rPr>
          <w:rFonts w:hint="eastAsia"/>
          <w:sz w:val="21"/>
          <w:szCs w:val="21"/>
          <w:highlight w:val="none"/>
        </w:rPr>
        <w:t xml:space="preserve">2.本招标文件中的产品若涉及品牌的仅为参考品牌，供各投标人投标时的参考，凡能达到技术规范中的技术指标且档次不低于以上参考品牌的产品均可接受，投标人须承诺招标文件中提出的全部技术规格与要求；如果有其中某些条款不响应时，应在文件中逐条列出，未列出的视同响应。</w:t>
      </w:r>
      <w:r/>
    </w:p>
    <w:p>
      <w:pPr>
        <w:ind w:firstLine="420"/>
        <w:spacing w:line="400" w:lineRule="exact"/>
        <w:widowControl/>
        <w:rPr>
          <w:rFonts w:hint="eastAsia"/>
          <w:sz w:val="21"/>
          <w:szCs w:val="21"/>
          <w:highlight w:val="none"/>
        </w:rPr>
      </w:pPr>
      <w:r>
        <w:rPr>
          <w:rFonts w:hint="eastAsia"/>
          <w:sz w:val="21"/>
          <w:szCs w:val="21"/>
          <w:highlight w:val="none"/>
        </w:rPr>
        <w:t xml:space="preserve">3.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400" w:lineRule="exact"/>
        <w:widowControl/>
        <w:rPr>
          <w:rFonts w:hint="eastAsia"/>
          <w:sz w:val="21"/>
          <w:szCs w:val="21"/>
          <w:highlight w:val="none"/>
        </w:rPr>
      </w:pPr>
      <w:r>
        <w:rPr>
          <w:rFonts w:hint="eastAsia"/>
          <w:sz w:val="21"/>
          <w:szCs w:val="21"/>
          <w:highlight w:val="none"/>
        </w:rPr>
        <w:t xml:space="preserve">4.投标人须具备独立完成本项目的能力，具有较强售后服务能力。投标人可在投标前自行进行调研，了解项目情况及详细需求，但投标人不得因此使采购人承担有关的责任和蒙受损失。投标人应承担前期调研的责任和风险。投标人中标后，不得以不了解项目情况及详细需求为理由而向采购人提出任何索赔的要求，对此采购人不再承担任何责任。</w:t>
      </w:r>
      <w:r/>
    </w:p>
    <w:p>
      <w:pPr>
        <w:ind w:firstLine="422"/>
        <w:spacing w:line="400" w:lineRule="exact"/>
        <w:widowControl/>
        <w:rPr>
          <w:rFonts w:hint="eastAsia"/>
          <w:highlight w:val="none"/>
        </w:rPr>
      </w:pPr>
      <w:r>
        <w:rPr>
          <w:rFonts w:hint="eastAsia"/>
          <w:b/>
          <w:bCs/>
          <w:sz w:val="21"/>
          <w:szCs w:val="21"/>
          <w:highlight w:val="none"/>
        </w:rPr>
        <w:t xml:space="preserve">5、本次采购货物中如涉及医疗器械产品，须提供投标单位或制造商《医疗器械生产许可证》和《医疗器械注册证》复印件，否则投标无效。</w:t>
      </w:r>
      <w:r/>
    </w:p>
    <w:p>
      <w:pPr>
        <w:ind w:firstLine="422"/>
        <w:jc w:val="left"/>
        <w:spacing w:line="400" w:lineRule="exact"/>
        <w:shd w:val="clear" w:color="auto" w:fill="ffffff"/>
        <w:widowControl/>
        <w:rPr>
          <w:rFonts w:hint="eastAsia"/>
          <w:b/>
          <w:bCs/>
          <w:sz w:val="21"/>
          <w:szCs w:val="21"/>
          <w:highlight w:val="none"/>
        </w:rPr>
      </w:pPr>
      <w:r>
        <w:rPr>
          <w:rFonts w:hint="eastAsia"/>
          <w:b/>
          <w:bCs/>
          <w:sz w:val="21"/>
          <w:szCs w:val="21"/>
          <w:highlight w:val="none"/>
        </w:rPr>
        <w:t xml:space="preserve">五、产品质量要求</w:t>
      </w:r>
      <w:r/>
    </w:p>
    <w:p>
      <w:pPr>
        <w:ind w:firstLine="420"/>
        <w:spacing w:line="400" w:lineRule="exact"/>
        <w:widowControl/>
        <w:rPr>
          <w:rFonts w:hint="eastAsia"/>
          <w:sz w:val="21"/>
          <w:szCs w:val="21"/>
          <w:highlight w:val="none"/>
        </w:rPr>
      </w:pPr>
      <w:r>
        <w:rPr>
          <w:rFonts w:hint="eastAsia"/>
          <w:sz w:val="21"/>
          <w:szCs w:val="21"/>
          <w:highlight w:val="none"/>
        </w:rPr>
        <w:t xml:space="preserve">1.产品质量符合国家质量标准和验收规范，并响应招标文件所规定技术性能要求，以及中标人承诺的其他指标。</w:t>
      </w:r>
      <w:r/>
    </w:p>
    <w:p>
      <w:pPr>
        <w:ind w:firstLine="420"/>
        <w:spacing w:line="400" w:lineRule="exact"/>
        <w:widowControl/>
        <w:rPr>
          <w:rFonts w:hint="eastAsia"/>
          <w:sz w:val="21"/>
          <w:szCs w:val="21"/>
          <w:highlight w:val="none"/>
        </w:rPr>
      </w:pPr>
      <w:r>
        <w:rPr>
          <w:rFonts w:hint="eastAsia"/>
          <w:sz w:val="21"/>
          <w:szCs w:val="21"/>
          <w:highlight w:val="none"/>
        </w:rPr>
        <w:t xml:space="preserve">2.国家具有强制性标准的，所投产品须符合国家强制性标准。 </w:t>
      </w:r>
      <w:r/>
    </w:p>
    <w:p>
      <w:pPr>
        <w:ind w:firstLine="420"/>
        <w:spacing w:line="400" w:lineRule="exact"/>
        <w:widowControl/>
        <w:rPr>
          <w:rFonts w:hint="eastAsia"/>
          <w:sz w:val="21"/>
          <w:szCs w:val="21"/>
          <w:highlight w:val="none"/>
        </w:rPr>
      </w:pPr>
      <w:r>
        <w:rPr>
          <w:rFonts w:hint="eastAsia"/>
          <w:sz w:val="21"/>
          <w:szCs w:val="21"/>
          <w:highlight w:val="none"/>
        </w:rPr>
        <w:t xml:space="preserve">3.所有设备在到达现场时须经采购单位技术人员记录验收，验货时须提交该产品的原厂质量合格证明及服务质保证明文件。</w:t>
      </w:r>
      <w:r/>
    </w:p>
    <w:p>
      <w:pPr>
        <w:ind w:firstLine="420"/>
        <w:spacing w:line="400" w:lineRule="exact"/>
        <w:widowControl/>
        <w:rPr>
          <w:rFonts w:hint="eastAsia"/>
          <w:sz w:val="21"/>
          <w:szCs w:val="21"/>
          <w:highlight w:val="none"/>
        </w:rPr>
      </w:pPr>
      <w:r>
        <w:rPr>
          <w:rFonts w:hint="eastAsia"/>
          <w:sz w:val="21"/>
          <w:szCs w:val="21"/>
          <w:highlight w:val="none"/>
        </w:rPr>
        <w:t xml:space="preserve">4.所有设备、附（配）件应具备该类产品的功能要求，无瑕疵和缺陷，质量为合格产品，同时有明确的生产厂商或制造厂商。 </w:t>
      </w:r>
      <w:r/>
    </w:p>
    <w:p>
      <w:pPr>
        <w:ind w:firstLine="420"/>
        <w:spacing w:line="400" w:lineRule="exact"/>
        <w:widowControl/>
        <w:rPr>
          <w:rFonts w:hint="eastAsia"/>
          <w:sz w:val="21"/>
          <w:szCs w:val="21"/>
          <w:highlight w:val="none"/>
        </w:rPr>
      </w:pPr>
      <w:r>
        <w:rPr>
          <w:rFonts w:hint="eastAsia"/>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400" w:lineRule="exact"/>
        <w:widowControl/>
        <w:rPr>
          <w:rFonts w:hint="eastAsia"/>
          <w:sz w:val="21"/>
          <w:szCs w:val="21"/>
          <w:highlight w:val="none"/>
        </w:rPr>
      </w:pPr>
      <w:r>
        <w:rPr>
          <w:rFonts w:hint="eastAsia"/>
          <w:sz w:val="21"/>
          <w:szCs w:val="21"/>
          <w:highlight w:val="none"/>
        </w:rPr>
        <w:t xml:space="preserve">6.如果是超出投标人的责任范围的疏忽、误操作等情况而导致的更换修正，应由投标人进行修理，其额外费用由双方协商承担。</w:t>
      </w:r>
      <w:r/>
    </w:p>
    <w:p>
      <w:pPr>
        <w:ind w:firstLine="422"/>
        <w:jc w:val="left"/>
        <w:spacing w:line="400" w:lineRule="exact"/>
        <w:shd w:val="clear" w:color="auto" w:fill="ffffff"/>
        <w:widowControl/>
        <w:rPr>
          <w:rFonts w:hint="eastAsia"/>
          <w:b/>
          <w:bCs/>
          <w:sz w:val="21"/>
          <w:szCs w:val="21"/>
          <w:highlight w:val="none"/>
        </w:rPr>
      </w:pPr>
      <w:r>
        <w:rPr>
          <w:rFonts w:hint="eastAsia"/>
          <w:b/>
          <w:bCs/>
          <w:sz w:val="21"/>
          <w:szCs w:val="21"/>
          <w:highlight w:val="none"/>
        </w:rPr>
        <w:t xml:space="preserve">六、安装及调试要求</w:t>
      </w:r>
      <w:r/>
    </w:p>
    <w:p>
      <w:pPr>
        <w:ind w:firstLine="420"/>
        <w:spacing w:line="400" w:lineRule="exact"/>
        <w:widowControl/>
        <w:rPr>
          <w:rFonts w:hint="eastAsia"/>
          <w:sz w:val="21"/>
          <w:szCs w:val="21"/>
          <w:highlight w:val="none"/>
        </w:rPr>
      </w:pPr>
      <w:r>
        <w:rPr>
          <w:rFonts w:hint="eastAsia"/>
          <w:sz w:val="21"/>
          <w:szCs w:val="21"/>
          <w:highlight w:val="none"/>
        </w:rPr>
        <w:t xml:space="preserve">1.中标单位应遵守现场的一切规章制度，文明作业；</w:t>
      </w:r>
      <w:r/>
    </w:p>
    <w:p>
      <w:pPr>
        <w:ind w:firstLine="420"/>
        <w:spacing w:line="400" w:lineRule="exact"/>
        <w:widowControl/>
        <w:rPr>
          <w:rFonts w:hint="eastAsia"/>
          <w:sz w:val="21"/>
          <w:szCs w:val="21"/>
          <w:highlight w:val="none"/>
        </w:rPr>
      </w:pPr>
      <w:r>
        <w:rPr>
          <w:rFonts w:hint="eastAsia"/>
          <w:sz w:val="21"/>
          <w:szCs w:val="21"/>
          <w:highlight w:val="none"/>
        </w:rPr>
        <w:t xml:space="preserve">2.中标单位负责保管、看护进场的设备及附配件直至完成安装调试后交付采购单位；</w:t>
      </w:r>
      <w:r/>
    </w:p>
    <w:p>
      <w:pPr>
        <w:ind w:firstLine="420"/>
        <w:spacing w:line="400" w:lineRule="exact"/>
        <w:widowControl/>
        <w:rPr>
          <w:rFonts w:hint="eastAsia"/>
          <w:sz w:val="21"/>
          <w:szCs w:val="21"/>
          <w:highlight w:val="none"/>
        </w:rPr>
      </w:pPr>
      <w:r>
        <w:rPr>
          <w:rFonts w:hint="eastAsia"/>
          <w:sz w:val="21"/>
          <w:szCs w:val="21"/>
          <w:highlight w:val="none"/>
        </w:rPr>
        <w:t xml:space="preserve">3.中标单位负责设备、安装设备（工具）等提供适当的保护、包装或覆盖等处理，直至验收合格，以免受损；</w:t>
      </w:r>
      <w:r/>
    </w:p>
    <w:p>
      <w:pPr>
        <w:ind w:firstLine="420"/>
        <w:spacing w:line="400" w:lineRule="exact"/>
        <w:widowControl/>
        <w:rPr>
          <w:rFonts w:hint="eastAsia"/>
          <w:sz w:val="21"/>
          <w:szCs w:val="21"/>
          <w:highlight w:val="none"/>
        </w:rPr>
      </w:pPr>
      <w:r>
        <w:rPr>
          <w:rFonts w:hint="eastAsia"/>
          <w:sz w:val="21"/>
          <w:szCs w:val="21"/>
          <w:highlight w:val="none"/>
        </w:rPr>
        <w:t xml:space="preserve">4.中标单位作业工人、作业机械或在运输装卸途中对其他工程及邻近设备、管线等造成损坏，应由中标单位负责修复及承担一切费用；</w:t>
      </w:r>
      <w:r/>
    </w:p>
    <w:p>
      <w:pPr>
        <w:ind w:firstLine="420"/>
        <w:spacing w:line="400" w:lineRule="exact"/>
        <w:widowControl/>
        <w:rPr>
          <w:rFonts w:hint="eastAsia"/>
          <w:sz w:val="21"/>
          <w:szCs w:val="21"/>
          <w:highlight w:val="none"/>
        </w:rPr>
      </w:pPr>
      <w:r>
        <w:rPr>
          <w:rFonts w:hint="eastAsia"/>
          <w:sz w:val="21"/>
          <w:szCs w:val="21"/>
          <w:highlight w:val="none"/>
        </w:rPr>
        <w:t xml:space="preserve">5.无论调试期间或保修过程中，中标单位负责及时清理垃圾；</w:t>
      </w:r>
      <w:r/>
    </w:p>
    <w:p>
      <w:pPr>
        <w:ind w:firstLine="420"/>
        <w:spacing w:line="400" w:lineRule="exact"/>
        <w:widowControl/>
        <w:rPr>
          <w:rFonts w:hint="eastAsia"/>
          <w:sz w:val="21"/>
          <w:szCs w:val="21"/>
          <w:highlight w:val="none"/>
        </w:rPr>
      </w:pPr>
      <w:r>
        <w:rPr>
          <w:rFonts w:hint="eastAsia"/>
          <w:sz w:val="21"/>
          <w:szCs w:val="21"/>
          <w:highlight w:val="none"/>
        </w:rPr>
        <w:t xml:space="preserve">6.做好与安装、装饰等队伍的配合工作（如涉及）。</w:t>
      </w:r>
      <w:r/>
    </w:p>
    <w:p>
      <w:pPr>
        <w:ind w:firstLine="422"/>
        <w:jc w:val="left"/>
        <w:spacing w:line="400" w:lineRule="exact"/>
        <w:shd w:val="clear" w:color="auto" w:fill="ffffff"/>
        <w:widowControl/>
        <w:rPr>
          <w:rFonts w:hint="eastAsia"/>
          <w:b/>
          <w:bCs/>
          <w:sz w:val="21"/>
          <w:szCs w:val="21"/>
          <w:highlight w:val="none"/>
        </w:rPr>
      </w:pPr>
      <w:r>
        <w:rPr>
          <w:rFonts w:hint="eastAsia"/>
          <w:b/>
          <w:bCs/>
          <w:sz w:val="21"/>
          <w:szCs w:val="21"/>
          <w:highlight w:val="none"/>
        </w:rPr>
        <w:t xml:space="preserve">七、验收要求及标准：</w:t>
      </w:r>
      <w:r/>
    </w:p>
    <w:p>
      <w:pPr>
        <w:ind w:firstLine="420"/>
        <w:spacing w:line="400" w:lineRule="exact"/>
        <w:widowControl/>
        <w:rPr>
          <w:sz w:val="21"/>
          <w:szCs w:val="21"/>
          <w:highlight w:val="none"/>
        </w:rPr>
      </w:pPr>
      <w:r>
        <w:rPr>
          <w:rFonts w:hint="eastAsia"/>
          <w:sz w:val="21"/>
          <w:szCs w:val="21"/>
          <w:highlight w:val="none"/>
        </w:rPr>
        <w:t xml:space="preserve">1、投标单位应在投标文件中提供一份验收大纲，在采购方确认后作为采购方验收的依据；</w:t>
      </w:r>
      <w:r/>
    </w:p>
    <w:p>
      <w:pPr>
        <w:ind w:firstLine="420"/>
        <w:spacing w:line="400" w:lineRule="exact"/>
        <w:widowControl/>
        <w:rPr>
          <w:sz w:val="21"/>
          <w:szCs w:val="21"/>
          <w:highlight w:val="none"/>
        </w:rPr>
      </w:pPr>
      <w:r>
        <w:rPr>
          <w:rFonts w:hint="eastAsia"/>
          <w:sz w:val="21"/>
          <w:szCs w:val="21"/>
          <w:highlight w:val="none"/>
        </w:rPr>
        <w:t xml:space="preserve">2、投标设备由采购方及有关部门进行验收。</w:t>
      </w:r>
      <w:r/>
    </w:p>
    <w:p>
      <w:pPr>
        <w:ind w:firstLine="420"/>
        <w:spacing w:line="400" w:lineRule="exact"/>
        <w:widowControl/>
        <w:rPr>
          <w:sz w:val="21"/>
          <w:szCs w:val="21"/>
          <w:highlight w:val="none"/>
        </w:rPr>
      </w:pPr>
      <w:r>
        <w:rPr>
          <w:rFonts w:hint="eastAsia"/>
          <w:sz w:val="21"/>
          <w:szCs w:val="21"/>
          <w:highlight w:val="none"/>
        </w:rPr>
        <w:t xml:space="preserve">3、设备到达采购方指定地点，应提前通知采购方，由采购方会同专业人员根据有关清单进行验收。</w:t>
      </w:r>
      <w:r/>
    </w:p>
    <w:p>
      <w:pPr>
        <w:ind w:firstLine="420"/>
        <w:spacing w:line="400" w:lineRule="exact"/>
        <w:widowControl/>
        <w:rPr>
          <w:sz w:val="21"/>
          <w:szCs w:val="21"/>
          <w:highlight w:val="none"/>
        </w:rPr>
      </w:pPr>
      <w:r>
        <w:rPr>
          <w:rFonts w:hint="eastAsia"/>
          <w:sz w:val="21"/>
          <w:szCs w:val="21"/>
          <w:highlight w:val="none"/>
        </w:rPr>
        <w:t xml:space="preserve">4、中标方需提供质保书、保修证明等书面资料，项目整体按国家有关标准、规范要求进行验收，并需通过国家有关部门的验收，费用由中标人支付。</w:t>
      </w:r>
      <w:r/>
    </w:p>
    <w:p>
      <w:pPr>
        <w:ind w:firstLine="420"/>
        <w:spacing w:line="400" w:lineRule="exact"/>
        <w:widowControl/>
        <w:rPr>
          <w:sz w:val="21"/>
          <w:szCs w:val="21"/>
          <w:highlight w:val="none"/>
        </w:rPr>
      </w:pPr>
      <w:r>
        <w:rPr>
          <w:rFonts w:hint="eastAsia"/>
          <w:sz w:val="21"/>
          <w:szCs w:val="21"/>
          <w:highlight w:val="none"/>
        </w:rPr>
        <w:t xml:space="preserve">5、验收标准：设备到达后，需按国家标准、厂方标准及采购人要求进行质量验收。供方应向需方提供详细的验收标准、验收手册。当双方对验收标准有争议时，可委托双方一致认可的国家相关权威检测中心进行检测，费用由中标人承担，只有在设备完全正常运转和采购人确认后，本项目工作才能认为已全部完成。</w:t>
      </w:r>
      <w:r/>
    </w:p>
    <w:p>
      <w:pPr>
        <w:ind w:firstLine="420"/>
        <w:spacing w:line="400" w:lineRule="exact"/>
        <w:widowControl/>
        <w:rPr>
          <w:sz w:val="21"/>
          <w:szCs w:val="21"/>
          <w:highlight w:val="none"/>
        </w:rPr>
      </w:pPr>
      <w:r>
        <w:rPr>
          <w:rFonts w:hint="eastAsia"/>
          <w:sz w:val="21"/>
          <w:szCs w:val="21"/>
          <w:highlight w:val="none"/>
        </w:rPr>
        <w:t xml:space="preserve">6、本项目货物检测及验收须提前通知采购方，将货物交到采购方指定地点由采购单位指定部门对货物数量、质量、材质、规格、性能、外观（有破损或划痕的均不予验收通过）、包装、出厂产品检验合格证、装箱单进行查验，所送产品必须为生产厂家原厂包装，包装箱上须有生产厂家的厂名及商标，否则采购单位有权不予接收。</w:t>
      </w:r>
      <w:r/>
    </w:p>
    <w:p>
      <w:pPr>
        <w:ind w:firstLine="420"/>
        <w:spacing w:line="400" w:lineRule="exact"/>
        <w:widowControl/>
        <w:rPr>
          <w:sz w:val="21"/>
          <w:szCs w:val="21"/>
          <w:highlight w:val="none"/>
        </w:rPr>
      </w:pPr>
      <w:r>
        <w:rPr>
          <w:rFonts w:hint="eastAsia"/>
          <w:sz w:val="21"/>
          <w:szCs w:val="21"/>
          <w:highlight w:val="none"/>
        </w:rPr>
        <w:t xml:space="preserve">7、验收期限：特殊情况需延长的，双方特别约定。</w:t>
      </w:r>
      <w:r/>
    </w:p>
    <w:p>
      <w:pPr>
        <w:ind w:firstLine="420"/>
        <w:spacing w:line="400" w:lineRule="exact"/>
        <w:widowControl/>
        <w:rPr>
          <w:rFonts w:hint="eastAsia"/>
          <w:sz w:val="21"/>
          <w:szCs w:val="21"/>
          <w:highlight w:val="none"/>
        </w:rPr>
      </w:pPr>
      <w:r>
        <w:rPr>
          <w:rFonts w:hint="eastAsia"/>
          <w:sz w:val="21"/>
          <w:szCs w:val="21"/>
          <w:highlight w:val="none"/>
        </w:rPr>
        <w:t xml:space="preserve">8、以上验收项或检测项不符合采购要求及国家标准要求的，采购单位书面通知中标单位15天内进行整改，若中标单位未按时完成整改或整改后再次抽检仍不合格的，则采购单位有权终止合同，并不予支付货款，相关检测费用等由中标单位承担，同时对采购单位造成的损失，采购单位保留追溯权，中标单位自行承担由此造成的一切损失。</w:t>
      </w:r>
      <w:r/>
    </w:p>
    <w:p>
      <w:pPr>
        <w:ind w:firstLine="422"/>
        <w:jc w:val="left"/>
        <w:spacing w:line="400" w:lineRule="exact"/>
        <w:shd w:val="clear" w:color="auto" w:fill="ffffff"/>
        <w:widowControl/>
        <w:rPr>
          <w:rFonts w:hint="eastAsia"/>
          <w:b/>
          <w:bCs/>
          <w:sz w:val="21"/>
          <w:szCs w:val="21"/>
          <w:highlight w:val="none"/>
        </w:rPr>
      </w:pPr>
      <w:r>
        <w:rPr>
          <w:rFonts w:hint="eastAsia"/>
          <w:b/>
          <w:bCs/>
          <w:sz w:val="21"/>
          <w:szCs w:val="21"/>
          <w:highlight w:val="none"/>
        </w:rPr>
        <w:t xml:space="preserve">八、其他要求：</w:t>
      </w:r>
      <w:r/>
    </w:p>
    <w:p>
      <w:pPr>
        <w:ind w:firstLine="420"/>
        <w:spacing w:line="400" w:lineRule="exact"/>
        <w:widowControl/>
        <w:rPr>
          <w:rFonts w:hint="eastAsia"/>
          <w:sz w:val="21"/>
          <w:szCs w:val="21"/>
          <w:highlight w:val="none"/>
        </w:rPr>
      </w:pPr>
      <w:r>
        <w:rPr>
          <w:rFonts w:hint="eastAsia"/>
          <w:sz w:val="21"/>
          <w:szCs w:val="21"/>
          <w:highlight w:val="none"/>
        </w:rPr>
        <w:t xml:space="preserve">1.交货时间：100日内安装调试完毕并交付使用，进场时间以采购人书面通知为准，如因投标人的问题影响交货时间的，将由投标人承担一切责任。</w:t>
      </w:r>
      <w:r/>
    </w:p>
    <w:p>
      <w:pPr>
        <w:ind w:firstLine="420"/>
        <w:spacing w:line="400" w:lineRule="exact"/>
        <w:widowControl/>
        <w:rPr>
          <w:rFonts w:hint="eastAsia"/>
          <w:sz w:val="21"/>
          <w:szCs w:val="21"/>
          <w:highlight w:val="none"/>
        </w:rPr>
      </w:pPr>
      <w:r>
        <w:rPr>
          <w:rFonts w:hint="eastAsia"/>
          <w:sz w:val="21"/>
          <w:szCs w:val="21"/>
          <w:highlight w:val="none"/>
        </w:rPr>
        <w:t xml:space="preserve">2.交货地点：采购人指定地点。</w:t>
      </w:r>
      <w:r/>
    </w:p>
    <w:p>
      <w:pPr>
        <w:pStyle w:val="851"/>
        <w:ind w:firstLine="420"/>
        <w:rPr>
          <w:rFonts w:hint="eastAsia"/>
          <w:sz w:val="21"/>
          <w:szCs w:val="21"/>
          <w:highlight w:val="none"/>
        </w:rPr>
      </w:pPr>
      <w:r>
        <w:rPr>
          <w:rFonts w:hint="eastAsia"/>
          <w:sz w:val="21"/>
          <w:szCs w:val="21"/>
          <w:highlight w:val="none"/>
        </w:rPr>
        <w:t xml:space="preserve">3.售后服务：项目整体免费质保期</w:t>
      </w:r>
      <w:r>
        <w:rPr>
          <w:rFonts w:hint="eastAsia" w:ascii="宋体" w:hAnsi="宋体" w:eastAsia="宋体" w:cs="宋体"/>
          <w:sz w:val="21"/>
          <w:szCs w:val="21"/>
          <w:highlight w:val="none"/>
          <w:u w:val="single"/>
        </w:rPr>
        <w:t xml:space="preserve">不低于叁</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年</w:t>
      </w:r>
      <w:r>
        <w:rPr>
          <w:rFonts w:hint="eastAsia"/>
          <w:sz w:val="21"/>
          <w:szCs w:val="21"/>
          <w:highlight w:val="none"/>
        </w:rPr>
        <w:t xml:space="preserve">；</w:t>
      </w:r>
      <w:r>
        <w:rPr>
          <w:rFonts w:hint="eastAsia" w:ascii="宋体" w:hAnsi="宋体" w:eastAsia="宋体" w:cs="宋体"/>
          <w:sz w:val="21"/>
          <w:szCs w:val="21"/>
          <w:highlight w:val="none"/>
        </w:rPr>
        <w:t xml:space="preserve">质保期自项目整体验收合格之日起计算</w:t>
      </w:r>
      <w:r>
        <w:rPr>
          <w:rFonts w:hint="eastAsia"/>
          <w:sz w:val="21"/>
          <w:szCs w:val="21"/>
          <w:highlight w:val="none"/>
        </w:rPr>
        <w:t xml:space="preserve">，质保期</w:t>
      </w:r>
      <w:r>
        <w:rPr>
          <w:rFonts w:hint="eastAsia"/>
          <w:sz w:val="21"/>
          <w:szCs w:val="21"/>
          <w:highlight w:val="none"/>
          <w:lang w:val="en-US" w:eastAsia="zh-CN"/>
        </w:rPr>
        <w:t xml:space="preserve">内</w:t>
      </w:r>
      <w:r>
        <w:rPr>
          <w:rFonts w:hint="eastAsia"/>
          <w:sz w:val="21"/>
          <w:szCs w:val="21"/>
          <w:highlight w:val="none"/>
        </w:rPr>
        <w:t xml:space="preserve">，一旦响应产品发生质量问题，中标单位应以优良的服务态度2小时内响应，8小时内到达现场，24小时内</w:t>
      </w:r>
      <w:r>
        <w:rPr>
          <w:rFonts w:hint="eastAsia"/>
          <w:sz w:val="21"/>
          <w:szCs w:val="21"/>
          <w:highlight w:val="none"/>
        </w:rPr>
        <w:t xml:space="preserve">解决采购方提出的问题。如供应商在接到通知后24小时内没有答复或处理问题，则视为供应商承认质量问题并承担由此而发生的一切费用。保修期间内一切质量问题造成的直接经济损失应全部由供应商自行负责。保质期内，中标人对故障负责，货物更换、维修所涉及的有关费用及由此引起的相关损失由中标人承担，同时相应延长更换和修补零件的质量保证期。质保期后，投标人必须对所提供的设备及系统定期进行检查和保养。对于损坏的零部件，投标人应保证以最优惠价格提供给采购人（主要零配件在投标时注明供应价格，详见投标文件格式《备品备件、易损件一览表》）</w:t>
      </w:r>
      <w:r>
        <w:rPr>
          <w:rFonts w:hint="eastAsia"/>
          <w:sz w:val="21"/>
          <w:szCs w:val="21"/>
          <w:highlight w:val="none"/>
          <w:lang w:eastAsia="zh-CN"/>
        </w:rPr>
        <w:t xml:space="preserve">；</w:t>
      </w:r>
      <w:r>
        <w:rPr>
          <w:rFonts w:hint="eastAsia"/>
          <w:sz w:val="21"/>
          <w:szCs w:val="21"/>
          <w:highlight w:val="none"/>
          <w:lang w:val="en-US" w:eastAsia="zh-CN"/>
        </w:rPr>
        <w:t xml:space="preserve">质保期内确保所有设备上的压力表、安全阀、爆破片等安全部件在有效期内。</w:t>
      </w:r>
      <w:r/>
    </w:p>
    <w:p>
      <w:pPr>
        <w:ind w:firstLine="420"/>
        <w:spacing w:line="400" w:lineRule="exact"/>
        <w:widowControl/>
        <w:rPr>
          <w:rFonts w:hint="eastAsia"/>
          <w:sz w:val="21"/>
          <w:szCs w:val="21"/>
          <w:highlight w:val="none"/>
        </w:rPr>
      </w:pPr>
      <w:r>
        <w:rPr>
          <w:rFonts w:hint="eastAsia"/>
          <w:sz w:val="21"/>
          <w:szCs w:val="21"/>
          <w:highlight w:val="none"/>
        </w:rPr>
        <w:t xml:space="preserve">4.运维服务要求</w:t>
      </w:r>
      <w:r/>
    </w:p>
    <w:p>
      <w:pPr>
        <w:ind w:firstLine="420"/>
        <w:spacing w:line="400" w:lineRule="exact"/>
        <w:widowControl/>
        <w:rPr>
          <w:rFonts w:hint="eastAsia"/>
          <w:sz w:val="21"/>
          <w:szCs w:val="21"/>
          <w:highlight w:val="none"/>
        </w:rPr>
      </w:pPr>
      <w:r>
        <w:rPr>
          <w:rFonts w:hint="eastAsia"/>
          <w:sz w:val="21"/>
          <w:szCs w:val="21"/>
          <w:highlight w:val="none"/>
        </w:rPr>
        <w:t xml:space="preserve">4.1提供的运维服务总体应满足业务需求，确保本项目设施设备平台安全、稳定、可靠运行。</w:t>
      </w:r>
      <w:r/>
    </w:p>
    <w:p>
      <w:pPr>
        <w:ind w:firstLine="420"/>
        <w:spacing w:line="400" w:lineRule="exact"/>
        <w:widowControl/>
        <w:rPr>
          <w:rFonts w:hint="eastAsia"/>
          <w:sz w:val="21"/>
          <w:szCs w:val="21"/>
          <w:highlight w:val="none"/>
        </w:rPr>
      </w:pPr>
      <w:r>
        <w:rPr>
          <w:rFonts w:hint="eastAsia"/>
          <w:sz w:val="21"/>
          <w:szCs w:val="21"/>
          <w:highlight w:val="none"/>
        </w:rPr>
        <w:t xml:space="preserve">4.2投标人建立健全配套制度标准，提供管理办法、运维制度、应急预案等。</w:t>
      </w:r>
      <w:r/>
    </w:p>
    <w:p>
      <w:pPr>
        <w:ind w:firstLine="420"/>
        <w:spacing w:line="400" w:lineRule="exact"/>
        <w:widowControl/>
        <w:rPr>
          <w:rFonts w:hint="eastAsia"/>
          <w:sz w:val="21"/>
          <w:szCs w:val="21"/>
          <w:highlight w:val="none"/>
        </w:rPr>
      </w:pPr>
      <w:r>
        <w:rPr>
          <w:rFonts w:hint="eastAsia"/>
          <w:sz w:val="21"/>
          <w:szCs w:val="21"/>
          <w:highlight w:val="none"/>
        </w:rPr>
        <w:t xml:space="preserve">5.运维缺陷保修：如果设备交付使用后，缺陷多次反复出现，中标单位必须提出分析报告和解决方案，直到最后纠正缺陷、中标单位提供的质保从纠正之日起重新计算质保期。</w:t>
      </w:r>
      <w:r/>
    </w:p>
    <w:p>
      <w:pPr>
        <w:ind w:firstLine="420"/>
        <w:spacing w:line="400" w:lineRule="exact"/>
        <w:widowControl/>
        <w:rPr>
          <w:rFonts w:hint="eastAsia"/>
          <w:sz w:val="21"/>
          <w:szCs w:val="21"/>
          <w:highlight w:val="none"/>
        </w:rPr>
      </w:pPr>
      <w:r>
        <w:rPr>
          <w:rFonts w:hint="eastAsia"/>
          <w:sz w:val="21"/>
          <w:szCs w:val="21"/>
          <w:highlight w:val="none"/>
        </w:rPr>
        <w:t xml:space="preserve">6.中标单位应充分保证售后服务点主要硬件维修所需的备件供应。更换的备件的型号和规格应与被更换的完全一样或更优。</w:t>
      </w:r>
      <w:r/>
    </w:p>
    <w:p>
      <w:pPr>
        <w:ind w:firstLine="420"/>
        <w:spacing w:line="400" w:lineRule="exact"/>
        <w:widowControl/>
        <w:rPr>
          <w:rFonts w:hint="eastAsia"/>
          <w:sz w:val="21"/>
          <w:szCs w:val="21"/>
          <w:highlight w:val="none"/>
        </w:rPr>
      </w:pPr>
      <w:r>
        <w:rPr>
          <w:rFonts w:hint="eastAsia"/>
          <w:sz w:val="21"/>
          <w:szCs w:val="21"/>
          <w:highlight w:val="none"/>
        </w:rPr>
        <w:t xml:space="preserve">7.中标单位应严格遵守服务合约的目标在最短时间内恢复系统正常运行。</w:t>
      </w:r>
      <w:r/>
    </w:p>
    <w:p>
      <w:pPr>
        <w:ind w:firstLine="420"/>
        <w:spacing w:line="400" w:lineRule="exact"/>
        <w:widowControl/>
        <w:rPr>
          <w:rFonts w:hint="eastAsia"/>
          <w:sz w:val="21"/>
          <w:szCs w:val="21"/>
          <w:highlight w:val="none"/>
        </w:rPr>
      </w:pPr>
      <w:r>
        <w:rPr>
          <w:rFonts w:hint="eastAsia"/>
          <w:sz w:val="21"/>
          <w:szCs w:val="21"/>
          <w:highlight w:val="none"/>
        </w:rPr>
        <w:t xml:space="preserve">8.伴随服务要求（包括售后服务）：</w:t>
      </w:r>
      <w:r/>
    </w:p>
    <w:p>
      <w:pPr>
        <w:ind w:firstLine="420"/>
        <w:spacing w:line="400" w:lineRule="exact"/>
        <w:widowControl/>
        <w:rPr>
          <w:rFonts w:hint="eastAsia"/>
          <w:sz w:val="21"/>
          <w:szCs w:val="21"/>
          <w:highlight w:val="none"/>
        </w:rPr>
      </w:pPr>
      <w:r>
        <w:rPr>
          <w:rFonts w:hint="eastAsia"/>
          <w:sz w:val="21"/>
          <w:szCs w:val="21"/>
          <w:highlight w:val="none"/>
        </w:rPr>
        <w:t xml:space="preserve">（1）供方须向需方提供中文操作手册和维修手册；</w:t>
      </w:r>
      <w:r/>
    </w:p>
    <w:p>
      <w:pPr>
        <w:ind w:firstLine="420"/>
        <w:spacing w:line="400" w:lineRule="exact"/>
        <w:widowControl/>
        <w:rPr>
          <w:rFonts w:hint="eastAsia"/>
          <w:sz w:val="21"/>
          <w:szCs w:val="21"/>
          <w:highlight w:val="none"/>
        </w:rPr>
      </w:pPr>
      <w:r>
        <w:rPr>
          <w:rFonts w:hint="eastAsia"/>
          <w:sz w:val="21"/>
          <w:szCs w:val="21"/>
          <w:highlight w:val="none"/>
        </w:rPr>
        <w:t xml:space="preserve">（2）列出随货物免费提供的配件、易损易耗件、工具等清单；</w:t>
      </w:r>
      <w:r/>
    </w:p>
    <w:p>
      <w:pPr>
        <w:ind w:firstLine="420"/>
        <w:spacing w:line="400" w:lineRule="exact"/>
        <w:widowControl/>
        <w:rPr>
          <w:rFonts w:hint="eastAsia"/>
          <w:sz w:val="21"/>
          <w:szCs w:val="21"/>
          <w:highlight w:val="none"/>
        </w:rPr>
      </w:pPr>
      <w:r>
        <w:rPr>
          <w:rFonts w:hint="eastAsia"/>
          <w:sz w:val="21"/>
          <w:szCs w:val="21"/>
          <w:highlight w:val="none"/>
        </w:rPr>
        <w:t xml:space="preserve">（3）投标文件中明确免费质保期限及质保期内的服务内容等；</w:t>
      </w:r>
      <w:r/>
    </w:p>
    <w:p>
      <w:pPr>
        <w:ind w:firstLine="420"/>
        <w:spacing w:line="400" w:lineRule="exact"/>
        <w:widowControl/>
        <w:rPr>
          <w:rFonts w:hint="eastAsia"/>
          <w:sz w:val="21"/>
          <w:szCs w:val="21"/>
          <w:highlight w:val="none"/>
        </w:rPr>
      </w:pPr>
      <w:r>
        <w:rPr>
          <w:rFonts w:hint="eastAsia"/>
          <w:sz w:val="21"/>
          <w:szCs w:val="21"/>
          <w:highlight w:val="none"/>
        </w:rPr>
        <w:t xml:space="preserve">（4）投标文件中明确质保期满后，主要配件、易损易耗件的报价；</w:t>
      </w:r>
      <w:r/>
    </w:p>
    <w:p>
      <w:pPr>
        <w:ind w:firstLine="420"/>
        <w:spacing w:line="400" w:lineRule="exact"/>
        <w:widowControl/>
        <w:rPr>
          <w:rFonts w:hint="eastAsia"/>
          <w:sz w:val="21"/>
          <w:szCs w:val="21"/>
          <w:highlight w:val="none"/>
        </w:rPr>
      </w:pPr>
      <w:r>
        <w:rPr>
          <w:rFonts w:hint="eastAsia"/>
          <w:sz w:val="21"/>
          <w:szCs w:val="21"/>
          <w:highlight w:val="none"/>
        </w:rPr>
        <w:t xml:space="preserve">（5）投标文件中明确维修服务的响应时间和解决维修的时间。</w:t>
      </w:r>
      <w:r/>
    </w:p>
    <w:p>
      <w:pPr>
        <w:ind w:firstLine="420"/>
        <w:spacing w:line="400" w:lineRule="exact"/>
        <w:widowControl/>
        <w:rPr>
          <w:rFonts w:hint="eastAsia"/>
          <w:sz w:val="21"/>
          <w:szCs w:val="21"/>
          <w:highlight w:val="none"/>
        </w:rPr>
      </w:pPr>
      <w:r>
        <w:rPr>
          <w:rFonts w:hint="eastAsia"/>
          <w:sz w:val="21"/>
          <w:szCs w:val="21"/>
          <w:highlight w:val="none"/>
        </w:rPr>
        <w:t xml:space="preserve">9.投标总报价一次报定，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招标代理服务费以及供应商企业利润和政策性文件规定及合同包含的所有风险、责任等各项应有费用以及投标人认为应纳入的其它一切费用。</w:t>
      </w:r>
      <w:r/>
    </w:p>
    <w:p>
      <w:pPr>
        <w:ind w:firstLine="420"/>
        <w:spacing w:line="400" w:lineRule="exact"/>
        <w:widowControl/>
        <w:rPr>
          <w:rFonts w:hint="eastAsia"/>
          <w:sz w:val="21"/>
          <w:szCs w:val="21"/>
          <w:highlight w:val="none"/>
        </w:rPr>
      </w:pPr>
      <w:r>
        <w:rPr>
          <w:rFonts w:hint="eastAsia"/>
          <w:sz w:val="21"/>
          <w:szCs w:val="21"/>
          <w:highlight w:val="none"/>
        </w:rPr>
        <w:t xml:space="preserve">10.本项目为交钥匙项目，中标单位的投标报价包含了在采购人现有场地条件下，进行中标设备的安装调试达到可使用状态，现场保洁及环境检测费用和验收合格前的所有费用及现场所有的配套管理费用。中标设备的安装数量以本招标文件为准。中标后须按采购人要求进行安装，因设计变更等可能的变化而引起的设备安装数量变化，以实际安装数量进行结算，变化部分的单价按中标价执行。此外需特别说明，在原设计方案未作变更的前提下，设备数量按实际使用量结算。</w:t>
      </w:r>
      <w:r/>
    </w:p>
    <w:p>
      <w:pPr>
        <w:ind w:firstLine="420"/>
        <w:spacing w:line="400" w:lineRule="exact"/>
        <w:widowControl/>
        <w:rPr>
          <w:rFonts w:hint="eastAsia"/>
          <w:sz w:val="21"/>
          <w:szCs w:val="21"/>
          <w:highlight w:val="none"/>
        </w:rPr>
      </w:pPr>
      <w:r>
        <w:rPr>
          <w:rFonts w:hint="eastAsia"/>
          <w:sz w:val="21"/>
          <w:szCs w:val="21"/>
          <w:highlight w:val="none"/>
        </w:rPr>
        <w:t xml:space="preserve">11.中标方承担安装调试期间安装场所的安全以及设备和安装调试人员的安全责任。与本次采购项目有关的质量、安全问题均由中标单位负责，相关的人员、财产责任风险均由中标单位承担。</w:t>
      </w:r>
      <w:r/>
    </w:p>
    <w:p>
      <w:pPr>
        <w:ind w:firstLine="420"/>
        <w:spacing w:line="400" w:lineRule="exact"/>
        <w:widowControl/>
        <w:rPr>
          <w:rFonts w:hint="eastAsia"/>
          <w:sz w:val="21"/>
          <w:szCs w:val="21"/>
          <w:highlight w:val="none"/>
        </w:rPr>
      </w:pPr>
      <w:r>
        <w:rPr>
          <w:rFonts w:hint="eastAsia"/>
          <w:sz w:val="21"/>
          <w:szCs w:val="21"/>
          <w:highlight w:val="none"/>
        </w:rPr>
        <w:t xml:space="preserve">12.知识产权：供方应保证需方免除且供方承担由于需方在其本国使用该产品或产品任何一部分时而引起第三方提出的侵犯其专利权、商标权或工业设计权的起诉、行动、行政程序索赔、请求等以及需方为此而产生的损失和损害、费用和支出，包括律师费用。</w:t>
      </w:r>
      <w:r/>
    </w:p>
    <w:p>
      <w:pPr>
        <w:ind w:firstLine="422"/>
        <w:spacing w:line="360" w:lineRule="auto"/>
        <w:rPr>
          <w:rFonts w:hint="eastAsia"/>
          <w:highlight w:val="none"/>
        </w:rPr>
      </w:pPr>
      <w:r>
        <w:rPr>
          <w:rFonts w:hint="eastAsia" w:cs="Times New Roman"/>
          <w:b/>
          <w:bCs/>
          <w:sz w:val="21"/>
          <w:szCs w:val="21"/>
          <w:highlight w:val="none"/>
        </w:rPr>
        <w:t xml:space="preserve">13、本项目相关图纸请在致电代理公司获取。</w:t>
      </w:r>
      <w:r/>
    </w:p>
    <w:p>
      <w:pPr>
        <w:ind w:firstLine="422"/>
        <w:spacing w:line="400" w:lineRule="exact"/>
        <w:widowControl/>
        <w:rPr>
          <w:rFonts w:hint="eastAsia"/>
          <w:b/>
          <w:bCs/>
          <w:sz w:val="21"/>
          <w:szCs w:val="21"/>
          <w:highlight w:val="none"/>
        </w:rPr>
      </w:pPr>
      <w:r>
        <w:rPr>
          <w:rFonts w:hint="eastAsia"/>
          <w:b/>
          <w:bCs/>
          <w:sz w:val="21"/>
          <w:szCs w:val="21"/>
          <w:highlight w:val="none"/>
        </w:rPr>
        <w:t xml:space="preserve">九、综合说明：</w:t>
      </w:r>
      <w:r/>
    </w:p>
    <w:p>
      <w:pPr>
        <w:ind w:firstLine="420"/>
        <w:spacing w:line="400" w:lineRule="exact"/>
        <w:widowControl/>
        <w:rPr>
          <w:rFonts w:hint="eastAsia"/>
          <w:sz w:val="21"/>
          <w:szCs w:val="21"/>
          <w:highlight w:val="none"/>
        </w:rPr>
      </w:pPr>
      <w:r>
        <w:rPr>
          <w:rFonts w:hint="eastAsia"/>
          <w:sz w:val="21"/>
          <w:szCs w:val="21"/>
          <w:highlight w:val="none"/>
        </w:rPr>
        <w:t xml:space="preserve">1.投标报价还应考虑的费用：</w:t>
      </w:r>
      <w:r/>
    </w:p>
    <w:p>
      <w:pPr>
        <w:ind w:firstLine="420"/>
        <w:spacing w:line="400" w:lineRule="exact"/>
        <w:widowControl/>
        <w:rPr>
          <w:rFonts w:hint="eastAsia"/>
          <w:sz w:val="21"/>
          <w:szCs w:val="21"/>
          <w:highlight w:val="none"/>
        </w:rPr>
      </w:pPr>
      <w:r>
        <w:rPr>
          <w:rFonts w:hint="eastAsia"/>
          <w:sz w:val="21"/>
          <w:szCs w:val="21"/>
          <w:highlight w:val="none"/>
        </w:rPr>
        <w:t xml:space="preserve">（1）与本项目相关各承包商间的协调、配合、通信关系，由投标人自行解决，招标人不再另行支付任何涉及工序交叉影响的费用。投标人必须相互做好成品保护工作，费用含在投标报价中。</w:t>
      </w:r>
      <w:r/>
    </w:p>
    <w:p>
      <w:pPr>
        <w:ind w:firstLine="420"/>
        <w:spacing w:line="400" w:lineRule="exact"/>
        <w:widowControl/>
        <w:rPr>
          <w:rFonts w:hint="eastAsia"/>
          <w:sz w:val="21"/>
          <w:szCs w:val="21"/>
          <w:highlight w:val="none"/>
        </w:rPr>
      </w:pPr>
      <w:r>
        <w:rPr>
          <w:rFonts w:hint="eastAsia"/>
          <w:sz w:val="21"/>
          <w:szCs w:val="21"/>
          <w:highlight w:val="none"/>
        </w:rPr>
        <w:t xml:space="preserve">（2）本项目所用的材料/货物（除甲供外）均由投标人负责采购，由投标人和材料/货物供应商签订供货合同，并承担全部责任。材料/货物按相关规定送到招标人认可的质检部门送检，合格后方可使用。检验或试验合格的，检验或试验费用由中标单位承担，检验或试验不合格的，检验或试验费用由中标人承担。</w:t>
      </w:r>
      <w:r/>
    </w:p>
    <w:p>
      <w:pPr>
        <w:ind w:firstLine="420"/>
        <w:spacing w:line="400" w:lineRule="exact"/>
        <w:widowControl/>
        <w:rPr>
          <w:rFonts w:hint="eastAsia"/>
          <w:sz w:val="21"/>
          <w:szCs w:val="21"/>
          <w:highlight w:val="none"/>
        </w:rPr>
      </w:pPr>
      <w:r>
        <w:rPr>
          <w:rFonts w:hint="eastAsia"/>
          <w:sz w:val="21"/>
          <w:szCs w:val="21"/>
          <w:highlight w:val="none"/>
        </w:rPr>
        <w:t xml:space="preserve">（3）因安装场地狭小而发生的一切费用由投标人自行考虑，所有费用包含在投标报价中，结算时一律不作调整。</w:t>
      </w:r>
      <w:r/>
    </w:p>
    <w:p>
      <w:pPr>
        <w:ind w:firstLine="420"/>
        <w:spacing w:line="400" w:lineRule="exact"/>
        <w:widowControl/>
        <w:rPr>
          <w:rFonts w:hint="eastAsia"/>
          <w:sz w:val="21"/>
          <w:szCs w:val="21"/>
          <w:highlight w:val="none"/>
        </w:rPr>
      </w:pPr>
      <w:r>
        <w:rPr>
          <w:rFonts w:hint="eastAsia"/>
          <w:sz w:val="21"/>
          <w:szCs w:val="21"/>
          <w:highlight w:val="none"/>
        </w:rPr>
        <w:t xml:space="preserve">2.付款方式：详见合同条款。</w:t>
      </w:r>
      <w:r/>
    </w:p>
    <w:p>
      <w:pPr>
        <w:ind w:firstLine="420"/>
        <w:spacing w:line="400" w:lineRule="exact"/>
        <w:widowControl/>
        <w:rPr>
          <w:rFonts w:hint="eastAsia"/>
          <w:sz w:val="21"/>
          <w:szCs w:val="21"/>
          <w:highlight w:val="none"/>
        </w:rPr>
      </w:pPr>
      <w:r>
        <w:rPr>
          <w:rFonts w:hint="eastAsia"/>
          <w:sz w:val="21"/>
          <w:szCs w:val="21"/>
          <w:highlight w:val="none"/>
        </w:rPr>
        <w:t xml:space="preserve">3.勘察现场：投标单位根据自身投标需要，可对有关现场和周围环境进行勘察，以获取编制投标文件和签署合同所需的信息。勘察现场所发生的费用由投标人自己承担。招标单位向投标人提供的有关现场的资料和数据，是招标单位现有的并认为能使投标人可利用的资料。招标单位对投标人由此而做出的推论、理解和结论概不负责。经招标单位允许，投标人可为勘察目的进入招标单位的项目现场，但投标人不得因此使招标单位承担有关的责任和蒙受损失。投标人应承担勘察现场的责任和风险。</w:t>
      </w:r>
      <w:r/>
    </w:p>
    <w:p>
      <w:pPr>
        <w:ind w:firstLine="420"/>
        <w:spacing w:line="400" w:lineRule="exact"/>
        <w:widowControl/>
        <w:rPr>
          <w:rFonts w:hint="eastAsia"/>
          <w:sz w:val="21"/>
          <w:szCs w:val="21"/>
          <w:highlight w:val="none"/>
        </w:rPr>
      </w:pPr>
      <w:r>
        <w:rPr>
          <w:rFonts w:hint="eastAsia"/>
          <w:sz w:val="21"/>
          <w:szCs w:val="21"/>
          <w:highlight w:val="none"/>
        </w:rPr>
        <w:t xml:space="preserve">4.投标单位在投标技术文件中必须对所有招标技术要求逐一做出技术应答，如果有其中某些条款不响应时，应在投标文件中明确列出，未列出的视同响应。对投标单位的技术应答中的负偏离，如经评标小组一致判定为实质性负偏离的，则该投标文件为无效投标文件，无效投标文件不进行评审也不得中标。</w:t>
      </w:r>
      <w:r/>
    </w:p>
    <w:p>
      <w:pPr>
        <w:ind w:firstLine="422"/>
        <w:spacing w:line="360" w:lineRule="auto"/>
        <w:rPr>
          <w:rFonts w:hint="eastAsia" w:cs="Times New Roman"/>
          <w:b/>
          <w:bCs/>
          <w:sz w:val="21"/>
          <w:szCs w:val="21"/>
          <w:highlight w:val="none"/>
        </w:rPr>
      </w:pPr>
      <w:r>
        <w:rPr>
          <w:rFonts w:hint="eastAsia" w:cs="Times New Roman"/>
          <w:b/>
          <w:bCs/>
          <w:sz w:val="21"/>
          <w:szCs w:val="21"/>
          <w:highlight w:val="none"/>
        </w:rPr>
        <w:t xml:space="preserve">十、政策执行</w:t>
      </w:r>
      <w:r/>
    </w:p>
    <w:p>
      <w:pPr>
        <w:ind w:firstLine="420"/>
        <w:spacing w:line="360" w:lineRule="auto"/>
        <w:rPr>
          <w:rFonts w:hint="eastAsia" w:cs="Times New Roman"/>
          <w:sz w:val="21"/>
          <w:szCs w:val="21"/>
          <w:highlight w:val="none"/>
        </w:rPr>
      </w:pPr>
      <w:r>
        <w:rPr>
          <w:rFonts w:hint="eastAsia" w:cs="Times New Roman"/>
          <w:sz w:val="21"/>
          <w:szCs w:val="21"/>
          <w:highlight w:val="none"/>
        </w:rPr>
        <w:t xml:space="preserve">1、</w:t>
      </w:r>
      <w:r>
        <w:rPr>
          <w:rFonts w:hint="eastAsia" w:ascii="Times New Roman" w:hAnsi="Times New Roman" w:cs="Times New Roman"/>
          <w:sz w:val="21"/>
          <w:szCs w:val="21"/>
          <w:highlight w:val="none"/>
        </w:rPr>
        <w:t xml:space="preserve">本次招标</w:t>
      </w:r>
      <w:r>
        <w:rPr>
          <w:rFonts w:hint="eastAsia" w:cs="Times New Roman"/>
          <w:sz w:val="21"/>
          <w:szCs w:val="21"/>
          <w:highlight w:val="none"/>
        </w:rPr>
        <w:t xml:space="preserve">均</w:t>
      </w:r>
      <w:r>
        <w:rPr>
          <w:rFonts w:hint="eastAsia" w:ascii="Times New Roman" w:hAnsi="Times New Roman" w:cs="Times New Roman"/>
          <w:sz w:val="21"/>
          <w:szCs w:val="21"/>
          <w:highlight w:val="none"/>
        </w:rPr>
        <w:t xml:space="preserve">不接受全进口设备的投标，进口产品的定义为：指通过中国海关报关验收进入中国境内且产自境外的产品，具体按照苏财购〔2008〕14号江苏省财政厅转发财政部</w:t>
      </w:r>
      <w:r>
        <w:rPr>
          <w:rFonts w:hint="eastAsia" w:cs="Times New Roman"/>
          <w:sz w:val="21"/>
          <w:szCs w:val="21"/>
          <w:highlight w:val="none"/>
        </w:rPr>
        <w:t xml:space="preserve">办公厅关于政府采购进口产品管理有关问题的通知的规定。</w:t>
      </w:r>
      <w:r/>
    </w:p>
    <w:p>
      <w:pPr>
        <w:ind w:firstLine="420"/>
        <w:spacing w:line="360" w:lineRule="auto"/>
        <w:tabs>
          <w:tab w:val="left" w:pos="567" w:leader="none"/>
        </w:tabs>
        <w:rPr>
          <w:rFonts w:hint="eastAsia"/>
          <w:sz w:val="21"/>
          <w:szCs w:val="21"/>
          <w:highlight w:val="none"/>
        </w:rPr>
      </w:pPr>
      <w:r>
        <w:rPr>
          <w:rFonts w:hint="eastAsia" w:cs="Times New Roman"/>
          <w:sz w:val="21"/>
          <w:szCs w:val="21"/>
          <w:highlight w:val="none"/>
        </w:rPr>
        <w:t xml:space="preserve">2、</w:t>
      </w:r>
      <w:r>
        <w:rPr>
          <w:rFonts w:hint="eastAsia"/>
          <w:sz w:val="21"/>
          <w:szCs w:val="21"/>
          <w:highlight w:val="none"/>
        </w:rPr>
        <w:t xml:space="preserve">中、小、微企业</w:t>
      </w:r>
      <w:r>
        <w:rPr>
          <w:rFonts w:hint="eastAsia"/>
          <w:b/>
          <w:bCs/>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cs="Times New Roman"/>
          <w:sz w:val="21"/>
          <w:highlight w:val="none"/>
        </w:rPr>
      </w:pPr>
      <w:r>
        <w:rPr>
          <w:rFonts w:hint="eastAsia" w:cs="Times New Roman"/>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cs="Times New Roman"/>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cs="Times New Roman"/>
          <w:sz w:val="21"/>
          <w:szCs w:val="21"/>
          <w:highlight w:val="none"/>
        </w:rPr>
      </w:pPr>
      <w:r>
        <w:rPr>
          <w:rFonts w:hint="eastAsia" w:cs="Times New Roman"/>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rFonts w:ascii="Times New Roman" w:hAnsi="Times New Roman" w:cs="Times New Roman"/>
          <w:b/>
          <w:sz w:val="21"/>
          <w:highlight w:val="none"/>
        </w:rPr>
      </w:pPr>
      <w:r>
        <w:rPr>
          <w:rFonts w:hint="eastAsia" w:cs="Times New Roman"/>
          <w:b/>
          <w:sz w:val="21"/>
          <w:szCs w:val="21"/>
          <w:highlight w:val="none"/>
        </w:rPr>
        <w:t xml:space="preserve">其中，供应商提供的货物既有中小企业制造货物，也有大型企业制造货物的，不享受中小企业扶持政策。</w:t>
      </w:r>
      <w:r/>
    </w:p>
    <w:p>
      <w:pPr>
        <w:ind w:firstLine="420"/>
        <w:spacing w:line="360" w:lineRule="auto"/>
        <w:tabs>
          <w:tab w:val="left" w:pos="420" w:leader="none"/>
          <w:tab w:val="left" w:pos="1260" w:leader="none"/>
          <w:tab w:val="left" w:pos="1440" w:leader="none"/>
        </w:tabs>
        <w:rPr>
          <w:rFonts w:ascii="Times New Roman" w:hAnsi="Times New Roman" w:cs="Times New Roman"/>
          <w:b/>
          <w:sz w:val="21"/>
          <w:highlight w:val="none"/>
        </w:rPr>
      </w:pPr>
      <w:r>
        <w:rPr>
          <w:rFonts w:hint="eastAsia" w:ascii="Times New Roman" w:hAnsi="Times New Roman" w:cs="Times New Roman"/>
          <w:sz w:val="21"/>
          <w:highlight w:val="none"/>
        </w:rPr>
        <w:t xml:space="preserve">根据《政府采购促进中小企业发展管理办法》（财库〔2020〕46号）及《中小企业划型标准规定》（工信部联企业〔2011〕300号），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（3）残疾人福利性单位</w:t>
      </w:r>
      <w:r>
        <w:rPr>
          <w:rFonts w:hint="eastAsia"/>
          <w:b/>
          <w:bCs/>
          <w:sz w:val="21"/>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（4）监狱企业</w:t>
      </w:r>
      <w:r>
        <w:rPr>
          <w:rFonts w:hint="eastAsia"/>
          <w:b/>
          <w:bCs/>
          <w:sz w:val="21"/>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（5）绿色采购</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1）根据《关于调整优化节能产品、环境标志产品政府采购执行机制的通知》（财库〔2019〕9号）等相关文件的规定，</w:t>
      </w:r>
      <w:r>
        <w:rPr>
          <w:rFonts w:hint="eastAsia"/>
          <w:b/>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hint="eastAsia"/>
          <w:b/>
          <w:bCs/>
          <w:sz w:val="21"/>
          <w:szCs w:val="21"/>
          <w:highlight w:val="none"/>
        </w:rPr>
      </w:pPr>
      <w:r>
        <w:rPr>
          <w:rFonts w:hint="eastAsia"/>
          <w:sz w:val="21"/>
          <w:szCs w:val="21"/>
          <w:highlight w:val="none"/>
        </w:rPr>
        <w:t xml:space="preserve">（6）</w:t>
      </w:r>
      <w:r>
        <w:rPr>
          <w:rFonts w:hint="eastAsia"/>
          <w:b/>
          <w:bCs/>
          <w:sz w:val="21"/>
          <w:szCs w:val="21"/>
          <w:highlight w:val="none"/>
        </w:rPr>
        <w:t xml:space="preserve">对本国产品的支持政策</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1）根据《国务院办公厅关于在</w:t>
      </w:r>
      <w:r>
        <w:rPr>
          <w:rFonts w:hint="eastAsia"/>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hint="eastAsia"/>
          <w:sz w:val="21"/>
          <w:szCs w:val="21"/>
          <w:highlight w:val="none"/>
        </w:rPr>
      </w:pPr>
      <w:r>
        <w:rPr>
          <w:rFonts w:hint="eastAsia"/>
          <w:sz w:val="21"/>
          <w:szCs w:val="21"/>
          <w:highlight w:val="none"/>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971"/>
        <w:rPr>
          <w:rFonts w:hint="eastAsia" w:ascii="宋体"/>
          <w:b/>
          <w:sz w:val="21"/>
          <w:szCs w:val="21"/>
          <w:highlight w:val="none"/>
          <w:lang w:val="zh-CN"/>
        </w:rPr>
      </w:pPr>
      <w:r>
        <w:rPr>
          <w:rFonts w:hint="eastAsia" w:ascii="宋体"/>
          <w:b/>
          <w:sz w:val="21"/>
          <w:szCs w:val="21"/>
          <w:highlight w:val="none"/>
          <w:lang w:val="zh-CN"/>
        </w:rPr>
      </w:r>
      <w:r/>
    </w:p>
    <w:p>
      <w:pPr>
        <w:pStyle w:val="971"/>
        <w:rPr>
          <w:rFonts w:hint="eastAsia" w:ascii="宋体"/>
          <w:b/>
          <w:sz w:val="21"/>
          <w:szCs w:val="21"/>
          <w:highlight w:val="none"/>
          <w:lang w:val="zh-CN"/>
        </w:rPr>
      </w:pPr>
      <w:r>
        <w:rPr>
          <w:rFonts w:hint="eastAsia" w:ascii="宋体"/>
          <w:b/>
          <w:sz w:val="21"/>
          <w:szCs w:val="21"/>
          <w:highlight w:val="none"/>
          <w:lang w:val="zh-CN"/>
        </w:rPr>
      </w:r>
      <w:r/>
    </w:p>
    <w:p>
      <w:pPr>
        <w:pStyle w:val="971"/>
        <w:rPr>
          <w:rFonts w:hint="eastAsia" w:ascii="宋体"/>
          <w:b/>
          <w:sz w:val="21"/>
          <w:szCs w:val="21"/>
          <w:highlight w:val="none"/>
          <w:lang w:val="zh-CN"/>
        </w:rPr>
      </w:pPr>
      <w:r>
        <w:rPr>
          <w:rFonts w:hint="eastAsia" w:ascii="宋体"/>
          <w:b/>
          <w:sz w:val="21"/>
          <w:szCs w:val="21"/>
          <w:highlight w:val="none"/>
          <w:lang w:val="zh-CN"/>
        </w:rPr>
      </w:r>
      <w:r/>
    </w:p>
    <w:p>
      <w:pPr>
        <w:ind w:firstLine="883"/>
        <w:jc w:val="center"/>
        <w:pageBreakBefore/>
        <w:rPr>
          <w:rFonts w:cs="Times New Roman"/>
          <w:b/>
          <w:sz w:val="44"/>
          <w:highlight w:val="none"/>
        </w:rPr>
      </w:pPr>
      <w:r>
        <w:rPr>
          <w:rFonts w:hint="eastAsia" w:cs="Times New Roman"/>
          <w:b/>
          <w:sz w:val="44"/>
          <w:highlight w:val="none"/>
        </w:rPr>
        <w:t xml:space="preserve">第五章合同一般条款</w:t>
      </w:r>
      <w:bookmarkStart w:id="40" w:name="_Toc13543213"/>
      <w:r/>
      <w:r/>
    </w:p>
    <w:p>
      <w:pPr>
        <w:ind w:firstLine="420"/>
        <w:rPr>
          <w:rFonts w:cs="Times New Roman"/>
          <w:b/>
          <w:sz w:val="21"/>
          <w:highlight w:val="none"/>
        </w:rPr>
      </w:pPr>
      <w:r>
        <w:rPr>
          <w:rFonts w:cs="Times New Roman"/>
          <w:b/>
          <w:sz w:val="21"/>
          <w:highlight w:val="none"/>
        </w:rPr>
      </w:r>
      <w:bookmarkEnd w:id="40"/>
      <w:r/>
    </w:p>
    <w:p>
      <w:pPr>
        <w:spacing w:line="360" w:lineRule="auto"/>
        <w:rPr>
          <w:rFonts w:cs="Times New Roman"/>
          <w:b/>
          <w:sz w:val="21"/>
          <w:szCs w:val="21"/>
          <w:highlight w:val="none"/>
        </w:rPr>
      </w:pPr>
      <w:r/>
      <w:bookmarkStart w:id="41" w:name="_Toc13642117"/>
      <w:r/>
      <w:bookmarkStart w:id="42" w:name="_Toc13889377"/>
      <w:r>
        <w:rPr>
          <w:rFonts w:hint="eastAsia" w:cs="Times New Roman"/>
          <w:b/>
          <w:sz w:val="21"/>
          <w:szCs w:val="21"/>
          <w:highlight w:val="none"/>
        </w:rPr>
        <w:t xml:space="preserve">一、合同文件</w:t>
      </w:r>
      <w:r/>
    </w:p>
    <w:p>
      <w:pPr>
        <w:spacing w:line="360" w:lineRule="auto"/>
        <w:rPr>
          <w:rFonts w:cs="Times New Roman"/>
          <w:b/>
          <w:sz w:val="21"/>
          <w:szCs w:val="21"/>
          <w:highlight w:val="none"/>
        </w:rPr>
      </w:pPr>
      <w:r>
        <w:rPr>
          <w:rFonts w:cs="Times New Roman"/>
          <w:b/>
          <w:sz w:val="21"/>
          <w:szCs w:val="21"/>
          <w:highlight w:val="none"/>
        </w:rPr>
        <w:t xml:space="preserve">3</w:t>
      </w:r>
      <w:r>
        <w:rPr>
          <w:rFonts w:hint="eastAsia" w:cs="Times New Roman"/>
          <w:b/>
          <w:sz w:val="21"/>
          <w:szCs w:val="21"/>
          <w:highlight w:val="none"/>
        </w:rPr>
        <w:t xml:space="preserve">8</w:t>
      </w:r>
      <w:r>
        <w:rPr>
          <w:rFonts w:cs="Times New Roman"/>
          <w:b/>
          <w:sz w:val="21"/>
          <w:szCs w:val="21"/>
          <w:highlight w:val="none"/>
        </w:rPr>
        <w:t xml:space="preserve">.  </w:t>
      </w:r>
      <w:r>
        <w:rPr>
          <w:rFonts w:hint="eastAsia" w:cs="Times New Roman"/>
          <w:b/>
          <w:sz w:val="21"/>
          <w:szCs w:val="21"/>
          <w:highlight w:val="none"/>
        </w:rPr>
        <w:t xml:space="preserve">合同文件适用法律</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8</w:t>
      </w:r>
      <w:r>
        <w:rPr>
          <w:rFonts w:cs="Times New Roman"/>
          <w:sz w:val="21"/>
          <w:szCs w:val="21"/>
          <w:highlight w:val="none"/>
        </w:rPr>
        <w:t xml:space="preserve">.1  </w:t>
      </w:r>
      <w:r>
        <w:rPr>
          <w:rFonts w:hint="eastAsia" w:cs="Times New Roman"/>
          <w:sz w:val="21"/>
          <w:szCs w:val="21"/>
          <w:highlight w:val="none"/>
        </w:rPr>
        <w:t xml:space="preserve">适用于合同文件的法律是中华人民共和国现行法律、法规及甲方所在地的地方性法规。</w:t>
      </w:r>
      <w:r/>
    </w:p>
    <w:p>
      <w:pPr>
        <w:spacing w:line="360" w:lineRule="auto"/>
        <w:rPr>
          <w:rFonts w:cs="Times New Roman"/>
          <w:b/>
          <w:sz w:val="21"/>
          <w:szCs w:val="21"/>
          <w:highlight w:val="none"/>
        </w:rPr>
      </w:pPr>
      <w:r>
        <w:rPr>
          <w:rFonts w:cs="Times New Roman"/>
          <w:b/>
          <w:sz w:val="21"/>
          <w:szCs w:val="21"/>
          <w:highlight w:val="none"/>
        </w:rPr>
        <w:t xml:space="preserve">3</w:t>
      </w:r>
      <w:r>
        <w:rPr>
          <w:rFonts w:hint="eastAsia" w:cs="Times New Roman"/>
          <w:b/>
          <w:sz w:val="21"/>
          <w:szCs w:val="21"/>
          <w:highlight w:val="none"/>
        </w:rPr>
        <w:t xml:space="preserve">9</w:t>
      </w:r>
      <w:r>
        <w:rPr>
          <w:rFonts w:cs="Times New Roman"/>
          <w:b/>
          <w:sz w:val="21"/>
          <w:szCs w:val="21"/>
          <w:highlight w:val="none"/>
        </w:rPr>
        <w:t xml:space="preserve">.  </w:t>
      </w:r>
      <w:r>
        <w:rPr>
          <w:rFonts w:hint="eastAsia" w:cs="Times New Roman"/>
          <w:b/>
          <w:sz w:val="21"/>
          <w:szCs w:val="21"/>
          <w:highlight w:val="none"/>
        </w:rPr>
        <w:t xml:space="preserve">合同文件组成和解释顺序</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.1  </w:t>
      </w:r>
      <w:r>
        <w:rPr>
          <w:rFonts w:hint="eastAsia" w:cs="Times New Roman"/>
          <w:sz w:val="21"/>
          <w:szCs w:val="21"/>
          <w:highlight w:val="none"/>
        </w:rPr>
        <w:t xml:space="preserve">合同文件的组成和解释顺序如下：</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.1.1 </w:t>
      </w:r>
      <w:r>
        <w:rPr>
          <w:rFonts w:hint="eastAsia" w:cs="Times New Roman"/>
          <w:sz w:val="21"/>
          <w:szCs w:val="21"/>
          <w:highlight w:val="none"/>
        </w:rPr>
        <w:t xml:space="preserve">合同的特殊性条款</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.1.2 </w:t>
      </w:r>
      <w:r>
        <w:rPr>
          <w:rFonts w:hint="eastAsia" w:cs="Times New Roman"/>
          <w:sz w:val="21"/>
          <w:szCs w:val="21"/>
          <w:highlight w:val="none"/>
        </w:rPr>
        <w:t xml:space="preserve">合同的一般性条款</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.1.3 </w:t>
      </w:r>
      <w:r>
        <w:rPr>
          <w:rFonts w:hint="eastAsia" w:cs="Times New Roman"/>
          <w:sz w:val="21"/>
          <w:szCs w:val="21"/>
          <w:highlight w:val="none"/>
        </w:rPr>
        <w:t xml:space="preserve">洽商、变更等明确双方权利义务的纪要、协议</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.1.4 </w:t>
      </w:r>
      <w:r>
        <w:rPr>
          <w:rFonts w:hint="eastAsia" w:cs="Times New Roman"/>
          <w:sz w:val="21"/>
          <w:szCs w:val="21"/>
          <w:highlight w:val="none"/>
        </w:rPr>
        <w:t xml:space="preserve">中标通知书、投标书和招标文件</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.1.5 </w:t>
      </w:r>
      <w:r>
        <w:rPr>
          <w:rFonts w:hint="eastAsia" w:cs="Times New Roman"/>
          <w:sz w:val="21"/>
          <w:szCs w:val="21"/>
          <w:highlight w:val="none"/>
        </w:rPr>
        <w:t xml:space="preserve">有关图纸</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.1.6 </w:t>
      </w:r>
      <w:r>
        <w:rPr>
          <w:rFonts w:hint="eastAsia" w:cs="Times New Roman"/>
          <w:sz w:val="21"/>
          <w:szCs w:val="21"/>
          <w:highlight w:val="none"/>
        </w:rPr>
        <w:t xml:space="preserve">标准、规范和其它有关技术资料、技术要求</w:t>
      </w:r>
      <w:r/>
    </w:p>
    <w:p>
      <w:pPr>
        <w:ind w:firstLine="422"/>
        <w:spacing w:line="360" w:lineRule="auto"/>
        <w:rPr>
          <w:rFonts w:cs="Times New Roman"/>
          <w:sz w:val="21"/>
          <w:szCs w:val="21"/>
          <w:highlight w:val="none"/>
        </w:rPr>
      </w:pPr>
      <w:r>
        <w:rPr>
          <w:rFonts w:cs="Times New Roman"/>
          <w:sz w:val="21"/>
          <w:szCs w:val="21"/>
          <w:highlight w:val="none"/>
        </w:rPr>
        <w:t xml:space="preserve">3</w:t>
      </w:r>
      <w:r>
        <w:rPr>
          <w:rFonts w:hint="eastAsia" w:cs="Times New Roman"/>
          <w:sz w:val="21"/>
          <w:szCs w:val="21"/>
          <w:highlight w:val="none"/>
        </w:rPr>
        <w:t xml:space="preserve">9</w:t>
      </w:r>
      <w:r>
        <w:rPr>
          <w:rFonts w:cs="Times New Roman"/>
          <w:sz w:val="21"/>
          <w:szCs w:val="21"/>
          <w:highlight w:val="none"/>
        </w:rPr>
        <w:t xml:space="preserve">.2 </w:t>
      </w:r>
      <w:r>
        <w:rPr>
          <w:rFonts w:hint="eastAsia" w:cs="Times New Roman"/>
          <w:sz w:val="21"/>
          <w:szCs w:val="21"/>
          <w:highlight w:val="none"/>
        </w:rPr>
        <w:t xml:space="preserve">合同的特殊性条款的效力优于合同的一般性条款的效力</w:t>
      </w:r>
      <w:r/>
    </w:p>
    <w:p>
      <w:pPr>
        <w:spacing w:line="360" w:lineRule="auto"/>
        <w:rPr>
          <w:rFonts w:cs="Times New Roman"/>
          <w:b/>
          <w:sz w:val="21"/>
          <w:szCs w:val="21"/>
          <w:highlight w:val="none"/>
        </w:rPr>
      </w:pPr>
      <w:r>
        <w:rPr>
          <w:rFonts w:hint="eastAsia" w:cs="Times New Roman"/>
          <w:b/>
          <w:sz w:val="21"/>
          <w:szCs w:val="21"/>
          <w:highlight w:val="none"/>
        </w:rPr>
        <w:t xml:space="preserve">40</w:t>
      </w:r>
      <w:r>
        <w:rPr>
          <w:rFonts w:cs="Times New Roman"/>
          <w:b/>
          <w:sz w:val="21"/>
          <w:szCs w:val="21"/>
          <w:highlight w:val="none"/>
        </w:rPr>
        <w:t xml:space="preserve">. </w:t>
      </w:r>
      <w:r>
        <w:rPr>
          <w:rFonts w:hint="eastAsia" w:cs="Times New Roman"/>
          <w:b/>
          <w:sz w:val="21"/>
          <w:szCs w:val="21"/>
          <w:highlight w:val="none"/>
        </w:rPr>
        <w:t xml:space="preserve">合同文件使用文字</w:t>
      </w:r>
      <w:r/>
    </w:p>
    <w:p>
      <w:pPr>
        <w:ind w:firstLine="422"/>
        <w:spacing w:line="360" w:lineRule="auto"/>
        <w:rPr>
          <w:rFonts w:cs="Times New Roman"/>
          <w:sz w:val="21"/>
          <w:szCs w:val="21"/>
          <w:highlight w:val="none"/>
        </w:rPr>
      </w:pPr>
      <w:r>
        <w:rPr>
          <w:rFonts w:hint="eastAsia" w:cs="Times New Roman"/>
          <w:sz w:val="21"/>
          <w:szCs w:val="21"/>
          <w:highlight w:val="none"/>
        </w:rPr>
        <w:t xml:space="preserve">40</w:t>
      </w:r>
      <w:r>
        <w:rPr>
          <w:rFonts w:cs="Times New Roman"/>
          <w:sz w:val="21"/>
          <w:szCs w:val="21"/>
          <w:highlight w:val="none"/>
        </w:rPr>
        <w:t xml:space="preserve">.1 </w:t>
      </w:r>
      <w:r>
        <w:rPr>
          <w:rFonts w:hint="eastAsia" w:cs="Times New Roman"/>
          <w:sz w:val="21"/>
          <w:szCs w:val="21"/>
          <w:highlight w:val="none"/>
        </w:rPr>
        <w:t xml:space="preserve">合同文件使用中文书写、解释和说明</w:t>
      </w:r>
      <w:r/>
    </w:p>
    <w:p>
      <w:pPr>
        <w:ind w:firstLine="422"/>
        <w:spacing w:line="360" w:lineRule="auto"/>
        <w:rPr>
          <w:rFonts w:cs="Times New Roman"/>
          <w:sz w:val="21"/>
          <w:szCs w:val="21"/>
          <w:highlight w:val="none"/>
        </w:rPr>
      </w:pPr>
      <w:r>
        <w:rPr>
          <w:rFonts w:hint="eastAsia" w:cs="Times New Roman"/>
          <w:sz w:val="21"/>
          <w:szCs w:val="21"/>
          <w:highlight w:val="none"/>
        </w:rPr>
        <w:t xml:space="preserve">40</w:t>
      </w:r>
      <w:r>
        <w:rPr>
          <w:rFonts w:cs="Times New Roman"/>
          <w:sz w:val="21"/>
          <w:szCs w:val="21"/>
          <w:highlight w:val="none"/>
        </w:rPr>
        <w:t xml:space="preserve">.2 </w:t>
      </w:r>
      <w:r>
        <w:rPr>
          <w:rFonts w:hint="eastAsia" w:cs="Times New Roman"/>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cs="Times New Roman"/>
          <w:b/>
          <w:sz w:val="21"/>
          <w:szCs w:val="21"/>
          <w:highlight w:val="none"/>
        </w:rPr>
      </w:pPr>
      <w:r/>
      <w:bookmarkStart w:id="43" w:name="_Toc13543214"/>
      <w:r>
        <w:rPr>
          <w:rFonts w:hint="eastAsia" w:cs="Times New Roman"/>
          <w:b/>
          <w:sz w:val="21"/>
          <w:szCs w:val="21"/>
          <w:highlight w:val="none"/>
        </w:rPr>
        <w:t xml:space="preserve">二、标的物的一般条款</w:t>
      </w:r>
      <w:bookmarkEnd w:id="43"/>
      <w:r/>
      <w:r/>
    </w:p>
    <w:p>
      <w:pPr>
        <w:spacing w:line="360" w:lineRule="auto"/>
        <w:rPr>
          <w:rFonts w:cs="Times New Roman"/>
          <w:b/>
          <w:sz w:val="21"/>
          <w:szCs w:val="21"/>
          <w:highlight w:val="none"/>
        </w:rPr>
      </w:pPr>
      <w:r>
        <w:rPr>
          <w:rFonts w:hint="eastAsia" w:cs="Times New Roman"/>
          <w:b/>
          <w:sz w:val="21"/>
          <w:szCs w:val="21"/>
          <w:highlight w:val="none"/>
        </w:rPr>
        <w:t xml:space="preserve">41</w:t>
      </w:r>
      <w:r>
        <w:rPr>
          <w:rFonts w:cs="Times New Roman"/>
          <w:b/>
          <w:sz w:val="21"/>
          <w:szCs w:val="21"/>
          <w:highlight w:val="none"/>
        </w:rPr>
        <w:t xml:space="preserve">.  </w:t>
      </w:r>
      <w:r>
        <w:rPr>
          <w:rFonts w:hint="eastAsia" w:cs="Times New Roman"/>
          <w:b/>
          <w:sz w:val="21"/>
          <w:szCs w:val="21"/>
          <w:highlight w:val="none"/>
        </w:rPr>
        <w:t xml:space="preserve">完整物权</w:t>
      </w:r>
      <w:r/>
    </w:p>
    <w:p>
      <w:pPr>
        <w:ind w:firstLine="422"/>
        <w:spacing w:line="360" w:lineRule="auto"/>
        <w:rPr>
          <w:rFonts w:cs="Times New Roman"/>
          <w:sz w:val="21"/>
          <w:szCs w:val="21"/>
          <w:highlight w:val="none"/>
        </w:rPr>
      </w:pPr>
      <w:r>
        <w:rPr>
          <w:rFonts w:cs="Times New Roman"/>
          <w:sz w:val="21"/>
          <w:szCs w:val="21"/>
          <w:highlight w:val="none"/>
        </w:rPr>
        <w:tab/>
      </w:r>
      <w:r>
        <w:rPr>
          <w:rFonts w:hint="eastAsia" w:cs="Times New Roman"/>
          <w:sz w:val="21"/>
          <w:szCs w:val="21"/>
          <w:highlight w:val="none"/>
        </w:rPr>
        <w:t xml:space="preserve">对于出卖的标的物，乙方应当拥有完整物权，并且乙方负有保证第三人不得向甲方主张任何权利（包括知识产权）的义务。</w:t>
      </w:r>
      <w:r/>
    </w:p>
    <w:p>
      <w:pPr>
        <w:spacing w:line="360" w:lineRule="auto"/>
        <w:rPr>
          <w:rFonts w:cs="Times New Roman"/>
          <w:b/>
          <w:sz w:val="21"/>
          <w:szCs w:val="21"/>
          <w:highlight w:val="none"/>
        </w:rPr>
      </w:pPr>
      <w:r>
        <w:rPr>
          <w:rFonts w:hint="eastAsia" w:cs="Times New Roman"/>
          <w:b/>
          <w:sz w:val="21"/>
          <w:szCs w:val="21"/>
          <w:highlight w:val="none"/>
        </w:rPr>
        <w:t xml:space="preserve">42</w:t>
      </w:r>
      <w:r>
        <w:rPr>
          <w:rFonts w:cs="Times New Roman"/>
          <w:b/>
          <w:sz w:val="21"/>
          <w:szCs w:val="21"/>
          <w:highlight w:val="none"/>
        </w:rPr>
        <w:t xml:space="preserve">.  </w:t>
      </w:r>
      <w:r>
        <w:rPr>
          <w:rFonts w:hint="eastAsia" w:cs="Times New Roman"/>
          <w:b/>
          <w:sz w:val="21"/>
          <w:szCs w:val="21"/>
          <w:highlight w:val="none"/>
        </w:rPr>
        <w:t xml:space="preserve">质量保证</w:t>
      </w:r>
      <w:r/>
    </w:p>
    <w:p>
      <w:pPr>
        <w:ind w:firstLine="422"/>
        <w:spacing w:line="360" w:lineRule="auto"/>
        <w:rPr>
          <w:rFonts w:cs="Times New Roman"/>
          <w:sz w:val="21"/>
          <w:szCs w:val="21"/>
          <w:highlight w:val="none"/>
        </w:rPr>
      </w:pPr>
      <w:r>
        <w:rPr>
          <w:rFonts w:hint="eastAsia" w:cs="Times New Roman"/>
          <w:sz w:val="21"/>
          <w:szCs w:val="21"/>
          <w:highlight w:val="none"/>
        </w:rPr>
        <w:t xml:space="preserve">42</w:t>
      </w:r>
      <w:r>
        <w:rPr>
          <w:rFonts w:cs="Times New Roman"/>
          <w:sz w:val="21"/>
          <w:szCs w:val="21"/>
          <w:highlight w:val="none"/>
        </w:rPr>
        <w:t xml:space="preserve">.1 </w:t>
      </w:r>
      <w:r>
        <w:rPr>
          <w:rFonts w:hint="eastAsia" w:cs="Times New Roman"/>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22"/>
        <w:spacing w:line="360" w:lineRule="auto"/>
        <w:rPr>
          <w:rFonts w:cs="Times New Roman"/>
          <w:sz w:val="21"/>
          <w:szCs w:val="21"/>
          <w:highlight w:val="none"/>
        </w:rPr>
      </w:pPr>
      <w:r>
        <w:rPr>
          <w:rFonts w:hint="eastAsia" w:cs="Times New Roman"/>
          <w:sz w:val="21"/>
          <w:szCs w:val="21"/>
          <w:highlight w:val="none"/>
        </w:rPr>
        <w:t xml:space="preserve">42</w:t>
      </w:r>
      <w:r>
        <w:rPr>
          <w:rFonts w:cs="Times New Roman"/>
          <w:sz w:val="21"/>
          <w:szCs w:val="21"/>
          <w:highlight w:val="none"/>
        </w:rPr>
        <w:t xml:space="preserve">.2 </w:t>
      </w:r>
      <w:r>
        <w:rPr>
          <w:rFonts w:hint="eastAsia" w:cs="Times New Roman"/>
          <w:sz w:val="21"/>
          <w:szCs w:val="21"/>
          <w:highlight w:val="non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spacing w:line="360" w:lineRule="auto"/>
        <w:rPr>
          <w:rFonts w:cs="Times New Roman"/>
          <w:sz w:val="21"/>
          <w:szCs w:val="21"/>
          <w:highlight w:val="none"/>
        </w:rPr>
      </w:pPr>
      <w:r>
        <w:rPr>
          <w:rFonts w:hint="eastAsia" w:cs="Times New Roman"/>
          <w:sz w:val="21"/>
          <w:szCs w:val="21"/>
          <w:highlight w:val="none"/>
        </w:rPr>
        <w:t xml:space="preserve">42</w:t>
      </w:r>
      <w:r>
        <w:rPr>
          <w:rFonts w:cs="Times New Roman"/>
          <w:sz w:val="21"/>
          <w:szCs w:val="21"/>
          <w:highlight w:val="none"/>
        </w:rPr>
        <w:t xml:space="preserve">.3</w:t>
      </w:r>
      <w:r>
        <w:rPr>
          <w:rFonts w:hint="eastAsia" w:cs="Times New Roman"/>
          <w:sz w:val="21"/>
          <w:szCs w:val="21"/>
          <w:highlight w:val="non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cs="Times New Roman"/>
          <w:b/>
          <w:sz w:val="21"/>
          <w:szCs w:val="21"/>
          <w:highlight w:val="none"/>
        </w:rPr>
      </w:pPr>
      <w:r>
        <w:rPr>
          <w:rFonts w:hint="eastAsia" w:cs="Times New Roman"/>
          <w:b/>
          <w:sz w:val="21"/>
          <w:szCs w:val="21"/>
          <w:highlight w:val="none"/>
        </w:rPr>
        <w:t xml:space="preserve">43</w:t>
      </w:r>
      <w:r>
        <w:rPr>
          <w:rFonts w:cs="Times New Roman"/>
          <w:b/>
          <w:sz w:val="21"/>
          <w:szCs w:val="21"/>
          <w:highlight w:val="none"/>
        </w:rPr>
        <w:t xml:space="preserve">.  </w:t>
      </w:r>
      <w:r>
        <w:rPr>
          <w:rFonts w:hint="eastAsia" w:cs="Times New Roman"/>
          <w:b/>
          <w:sz w:val="21"/>
          <w:szCs w:val="21"/>
          <w:highlight w:val="none"/>
        </w:rPr>
        <w:t xml:space="preserve">包装</w:t>
      </w:r>
      <w:r/>
    </w:p>
    <w:p>
      <w:pPr>
        <w:ind w:firstLine="422"/>
        <w:spacing w:line="360" w:lineRule="auto"/>
        <w:rPr>
          <w:rFonts w:cs="Times New Roman"/>
          <w:sz w:val="21"/>
          <w:szCs w:val="21"/>
          <w:highlight w:val="none"/>
        </w:rPr>
      </w:pPr>
      <w:r>
        <w:rPr>
          <w:rFonts w:hint="eastAsia" w:cs="Times New Roman"/>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cs="Times New Roman"/>
          <w:b/>
          <w:sz w:val="21"/>
          <w:szCs w:val="21"/>
          <w:highlight w:val="none"/>
        </w:rPr>
      </w:pPr>
      <w:r>
        <w:rPr>
          <w:rFonts w:cs="Times New Roman"/>
          <w:b/>
          <w:sz w:val="21"/>
          <w:szCs w:val="21"/>
          <w:highlight w:val="none"/>
        </w:rPr>
        <w:t xml:space="preserve">4</w:t>
      </w:r>
      <w:r>
        <w:rPr>
          <w:rFonts w:hint="eastAsia" w:cs="Times New Roman"/>
          <w:b/>
          <w:sz w:val="21"/>
          <w:szCs w:val="21"/>
          <w:highlight w:val="none"/>
        </w:rPr>
        <w:t xml:space="preserve">4</w:t>
      </w:r>
      <w:r>
        <w:rPr>
          <w:rFonts w:cs="Times New Roman"/>
          <w:b/>
          <w:sz w:val="21"/>
          <w:szCs w:val="21"/>
          <w:highlight w:val="none"/>
        </w:rPr>
        <w:t xml:space="preserve">.  </w:t>
      </w:r>
      <w:r>
        <w:rPr>
          <w:rFonts w:hint="eastAsia" w:cs="Times New Roman"/>
          <w:b/>
          <w:sz w:val="21"/>
          <w:szCs w:val="21"/>
          <w:highlight w:val="none"/>
        </w:rPr>
        <w:t xml:space="preserve">伴随服务</w:t>
      </w:r>
      <w:r/>
    </w:p>
    <w:p>
      <w:pPr>
        <w:ind w:firstLine="420"/>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4</w:t>
      </w:r>
      <w:r>
        <w:rPr>
          <w:rFonts w:cs="Times New Roman"/>
          <w:sz w:val="21"/>
          <w:szCs w:val="21"/>
          <w:highlight w:val="none"/>
        </w:rPr>
        <w:t xml:space="preserve">.1  </w:t>
      </w:r>
      <w:r>
        <w:rPr>
          <w:rFonts w:hint="eastAsia" w:cs="Times New Roman"/>
          <w:sz w:val="21"/>
          <w:szCs w:val="21"/>
          <w:highlight w:val="none"/>
        </w:rPr>
        <w:t xml:space="preserve">乙方除应履行按期按量交付合格标的物的义务之外，还应提供下列服务。</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4</w:t>
      </w:r>
      <w:r>
        <w:rPr>
          <w:rFonts w:cs="Times New Roman"/>
          <w:sz w:val="21"/>
          <w:szCs w:val="21"/>
          <w:highlight w:val="none"/>
        </w:rPr>
        <w:t xml:space="preserve">.1.1  </w:t>
      </w:r>
      <w:r>
        <w:rPr>
          <w:rFonts w:hint="eastAsia" w:cs="Times New Roman"/>
          <w:sz w:val="21"/>
          <w:szCs w:val="21"/>
          <w:highlight w:val="none"/>
        </w:rPr>
        <w:t xml:space="preserve">标的物的现场启动、调试、监督；</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4</w:t>
      </w:r>
      <w:r>
        <w:rPr>
          <w:rFonts w:cs="Times New Roman"/>
          <w:sz w:val="21"/>
          <w:szCs w:val="21"/>
          <w:highlight w:val="none"/>
        </w:rPr>
        <w:t xml:space="preserve">.1.2  </w:t>
      </w:r>
      <w:r>
        <w:rPr>
          <w:rFonts w:hint="eastAsia" w:cs="Times New Roman"/>
          <w:sz w:val="21"/>
          <w:szCs w:val="21"/>
          <w:highlight w:val="none"/>
        </w:rPr>
        <w:t xml:space="preserve">提供标的物组装和一般维修所必须的工具；</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4</w:t>
      </w:r>
      <w:r>
        <w:rPr>
          <w:rFonts w:cs="Times New Roman"/>
          <w:sz w:val="21"/>
          <w:szCs w:val="21"/>
          <w:highlight w:val="none"/>
        </w:rPr>
        <w:t xml:space="preserve">.1.3  </w:t>
      </w:r>
      <w:r>
        <w:rPr>
          <w:rFonts w:hint="eastAsia" w:cs="Times New Roman"/>
          <w:sz w:val="21"/>
          <w:szCs w:val="21"/>
          <w:highlight w:val="none"/>
        </w:rPr>
        <w:t xml:space="preserve">在合同规定的期限内对所提供标的物实行运行监督、维修服务的前提条件是该服务并不能免除乙方在质量保证期内所承担的义务；</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4</w:t>
      </w:r>
      <w:r>
        <w:rPr>
          <w:rFonts w:cs="Times New Roman"/>
          <w:sz w:val="21"/>
          <w:szCs w:val="21"/>
          <w:highlight w:val="none"/>
        </w:rPr>
        <w:t xml:space="preserve">.1.4  </w:t>
      </w:r>
      <w:r>
        <w:rPr>
          <w:rFonts w:hint="eastAsia" w:cs="Times New Roman"/>
          <w:sz w:val="21"/>
          <w:szCs w:val="21"/>
          <w:highlight w:val="none"/>
        </w:rPr>
        <w:t xml:space="preserve">对甲方技术人员的技术指导或培训。</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4</w:t>
      </w:r>
      <w:r>
        <w:rPr>
          <w:rFonts w:cs="Times New Roman"/>
          <w:sz w:val="21"/>
          <w:szCs w:val="21"/>
          <w:highlight w:val="none"/>
        </w:rPr>
        <w:t xml:space="preserve">.2  </w:t>
      </w:r>
      <w:r>
        <w:rPr>
          <w:rFonts w:hint="eastAsia" w:cs="Times New Roman"/>
          <w:sz w:val="21"/>
          <w:szCs w:val="21"/>
          <w:highlight w:val="none"/>
        </w:rPr>
        <w:t xml:space="preserve">除合同另有规定之外，伴随服务的费用均已含在合同价款中，甲方不再另行进行支付。</w:t>
      </w:r>
      <w:r/>
    </w:p>
    <w:p>
      <w:pPr>
        <w:spacing w:line="360" w:lineRule="auto"/>
        <w:rPr>
          <w:rFonts w:cs="Times New Roman"/>
          <w:b/>
          <w:sz w:val="21"/>
          <w:szCs w:val="21"/>
          <w:highlight w:val="none"/>
        </w:rPr>
      </w:pPr>
      <w:r/>
      <w:bookmarkStart w:id="44" w:name="_Toc13543215"/>
      <w:r>
        <w:rPr>
          <w:rFonts w:hint="eastAsia" w:cs="Times New Roman"/>
          <w:b/>
          <w:sz w:val="21"/>
          <w:szCs w:val="21"/>
          <w:highlight w:val="none"/>
        </w:rPr>
        <w:t xml:space="preserve">三、标的物的交付、检验和验收</w:t>
      </w:r>
      <w:bookmarkEnd w:id="44"/>
      <w:r/>
      <w:r/>
    </w:p>
    <w:p>
      <w:pPr>
        <w:spacing w:line="360" w:lineRule="auto"/>
        <w:rPr>
          <w:rFonts w:cs="Times New Roman"/>
          <w:b/>
          <w:sz w:val="21"/>
          <w:szCs w:val="21"/>
          <w:highlight w:val="none"/>
        </w:rPr>
      </w:pPr>
      <w:r>
        <w:rPr>
          <w:rFonts w:cs="Times New Roman"/>
          <w:b/>
          <w:sz w:val="21"/>
          <w:szCs w:val="21"/>
          <w:highlight w:val="none"/>
        </w:rPr>
        <w:t xml:space="preserve">4</w:t>
      </w:r>
      <w:r>
        <w:rPr>
          <w:rFonts w:hint="eastAsia" w:cs="Times New Roman"/>
          <w:b/>
          <w:sz w:val="21"/>
          <w:szCs w:val="21"/>
          <w:highlight w:val="none"/>
        </w:rPr>
        <w:t xml:space="preserve">5</w:t>
      </w:r>
      <w:r>
        <w:rPr>
          <w:rFonts w:cs="Times New Roman"/>
          <w:b/>
          <w:sz w:val="21"/>
          <w:szCs w:val="21"/>
          <w:highlight w:val="none"/>
        </w:rPr>
        <w:t xml:space="preserve">.  </w:t>
      </w:r>
      <w:r>
        <w:rPr>
          <w:rFonts w:hint="eastAsia" w:cs="Times New Roman"/>
          <w:b/>
          <w:sz w:val="21"/>
          <w:szCs w:val="21"/>
          <w:highlight w:val="none"/>
        </w:rPr>
        <w:t xml:space="preserve">标的物的交付</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5</w:t>
      </w:r>
      <w:r>
        <w:rPr>
          <w:rFonts w:cs="Times New Roman"/>
          <w:sz w:val="21"/>
          <w:szCs w:val="21"/>
          <w:highlight w:val="none"/>
        </w:rPr>
        <w:t xml:space="preserve">.1  </w:t>
      </w:r>
      <w:r>
        <w:rPr>
          <w:rFonts w:hint="eastAsia" w:cs="Times New Roman"/>
          <w:sz w:val="21"/>
          <w:szCs w:val="21"/>
          <w:highlight w:val="none"/>
        </w:rPr>
        <w:t xml:space="preserve">标的物的所有权自标的物交付时转移。</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5</w:t>
      </w:r>
      <w:r>
        <w:rPr>
          <w:rFonts w:cs="Times New Roman"/>
          <w:sz w:val="21"/>
          <w:szCs w:val="21"/>
          <w:highlight w:val="none"/>
        </w:rPr>
        <w:t xml:space="preserve">.2  </w:t>
      </w:r>
      <w:r>
        <w:rPr>
          <w:rFonts w:hint="eastAsia" w:cs="Times New Roman"/>
          <w:sz w:val="21"/>
          <w:szCs w:val="21"/>
          <w:highlight w:val="none"/>
        </w:rPr>
        <w:t xml:space="preserve">乙方应当按照约定的期限和约定的地点交付标的物。</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5</w:t>
      </w:r>
      <w:r>
        <w:rPr>
          <w:rFonts w:cs="Times New Roman"/>
          <w:sz w:val="21"/>
          <w:szCs w:val="21"/>
          <w:highlight w:val="none"/>
        </w:rPr>
        <w:t xml:space="preserve">.3  </w:t>
      </w:r>
      <w:r>
        <w:rPr>
          <w:rFonts w:hint="eastAsia" w:cs="Times New Roman"/>
          <w:sz w:val="21"/>
          <w:szCs w:val="21"/>
          <w:highlight w:val="none"/>
        </w:rPr>
        <w:t xml:space="preserve">乙方应当按照约定或者交易习惯向甲方交付提取标的物单证以外的有关单证和资料。</w:t>
      </w:r>
      <w:r/>
    </w:p>
    <w:p>
      <w:pPr>
        <w:spacing w:line="360" w:lineRule="auto"/>
        <w:rPr>
          <w:rFonts w:cs="Times New Roman"/>
          <w:b/>
          <w:sz w:val="21"/>
          <w:szCs w:val="21"/>
          <w:highlight w:val="none"/>
        </w:rPr>
      </w:pPr>
      <w:r>
        <w:rPr>
          <w:rFonts w:cs="Times New Roman"/>
          <w:b/>
          <w:sz w:val="21"/>
          <w:szCs w:val="21"/>
          <w:highlight w:val="none"/>
        </w:rPr>
        <w:t xml:space="preserve">4</w:t>
      </w:r>
      <w:r>
        <w:rPr>
          <w:rFonts w:hint="eastAsia" w:cs="Times New Roman"/>
          <w:b/>
          <w:sz w:val="21"/>
          <w:szCs w:val="21"/>
          <w:highlight w:val="none"/>
        </w:rPr>
        <w:t xml:space="preserve">6</w:t>
      </w:r>
      <w:r>
        <w:rPr>
          <w:rFonts w:cs="Times New Roman"/>
          <w:b/>
          <w:sz w:val="21"/>
          <w:szCs w:val="21"/>
          <w:highlight w:val="none"/>
        </w:rPr>
        <w:t xml:space="preserve">.  </w:t>
      </w:r>
      <w:r>
        <w:rPr>
          <w:rFonts w:hint="eastAsia" w:cs="Times New Roman"/>
          <w:b/>
          <w:sz w:val="21"/>
          <w:szCs w:val="21"/>
          <w:highlight w:val="none"/>
        </w:rPr>
        <w:t xml:space="preserve">检验和验收</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6</w:t>
      </w:r>
      <w:r>
        <w:rPr>
          <w:rFonts w:cs="Times New Roman"/>
          <w:sz w:val="21"/>
          <w:szCs w:val="21"/>
          <w:highlight w:val="none"/>
        </w:rPr>
        <w:t xml:space="preserve">.1  </w:t>
      </w:r>
      <w:r>
        <w:rPr>
          <w:rFonts w:hint="eastAsia" w:cs="Times New Roman"/>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6</w:t>
      </w:r>
      <w:r>
        <w:rPr>
          <w:rFonts w:cs="Times New Roman"/>
          <w:sz w:val="21"/>
          <w:szCs w:val="21"/>
          <w:highlight w:val="none"/>
        </w:rPr>
        <w:t xml:space="preserve">.2  </w:t>
      </w:r>
      <w:r>
        <w:rPr>
          <w:rFonts w:hint="eastAsia" w:cs="Times New Roman"/>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6</w:t>
      </w:r>
      <w:r>
        <w:rPr>
          <w:rFonts w:cs="Times New Roman"/>
          <w:sz w:val="21"/>
          <w:szCs w:val="21"/>
          <w:highlight w:val="none"/>
        </w:rPr>
        <w:t xml:space="preserve">.3  </w:t>
      </w:r>
      <w:r>
        <w:rPr>
          <w:rFonts w:hint="eastAsia" w:cs="Times New Roman"/>
          <w:sz w:val="21"/>
          <w:szCs w:val="21"/>
          <w:highlight w:val="none"/>
        </w:rPr>
        <w:t xml:space="preserve">验收期限自标的物交付之日起30日内。特殊情况需延长的，双方应在合同的特殊条款中约定。</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6</w:t>
      </w:r>
      <w:r>
        <w:rPr>
          <w:rFonts w:cs="Times New Roman"/>
          <w:sz w:val="21"/>
          <w:szCs w:val="21"/>
          <w:highlight w:val="none"/>
        </w:rPr>
        <w:t xml:space="preserve">.4  </w:t>
      </w:r>
      <w:r>
        <w:rPr>
          <w:rFonts w:hint="eastAsia" w:cs="Times New Roman"/>
          <w:sz w:val="21"/>
          <w:szCs w:val="21"/>
          <w:highlight w:val="none"/>
        </w:rPr>
        <w:t xml:space="preserve">如双方对验收结果有分歧，则以苏州市市场监督管理局下属法定检验机构的检验结果为准，检验费用由有过失的一方支付。</w:t>
      </w:r>
      <w:r/>
    </w:p>
    <w:p>
      <w:pPr>
        <w:spacing w:line="360" w:lineRule="auto"/>
        <w:rPr>
          <w:rFonts w:cs="Times New Roman"/>
          <w:b/>
          <w:sz w:val="21"/>
          <w:szCs w:val="21"/>
          <w:highlight w:val="none"/>
        </w:rPr>
      </w:pPr>
      <w:r/>
      <w:bookmarkStart w:id="45" w:name="_Toc13543216"/>
      <w:r>
        <w:rPr>
          <w:rFonts w:hint="eastAsia" w:cs="Times New Roman"/>
          <w:b/>
          <w:sz w:val="21"/>
          <w:szCs w:val="21"/>
          <w:highlight w:val="none"/>
        </w:rPr>
        <w:t xml:space="preserve">四、对标的物提出异议的时间和办法</w:t>
      </w:r>
      <w:bookmarkEnd w:id="45"/>
      <w:r/>
      <w:r/>
    </w:p>
    <w:p>
      <w:pPr>
        <w:spacing w:line="360" w:lineRule="auto"/>
        <w:rPr>
          <w:rFonts w:cs="Times New Roman"/>
          <w:b/>
          <w:sz w:val="21"/>
          <w:szCs w:val="21"/>
          <w:highlight w:val="none"/>
        </w:rPr>
      </w:pPr>
      <w:r>
        <w:rPr>
          <w:rFonts w:cs="Times New Roman"/>
          <w:b/>
          <w:sz w:val="21"/>
          <w:szCs w:val="21"/>
          <w:highlight w:val="none"/>
        </w:rPr>
        <w:t xml:space="preserve">4</w:t>
      </w:r>
      <w:r>
        <w:rPr>
          <w:rFonts w:hint="eastAsia" w:cs="Times New Roman"/>
          <w:b/>
          <w:sz w:val="21"/>
          <w:szCs w:val="21"/>
          <w:highlight w:val="none"/>
        </w:rPr>
        <w:t xml:space="preserve">7</w:t>
      </w:r>
      <w:r>
        <w:rPr>
          <w:rFonts w:cs="Times New Roman"/>
          <w:b/>
          <w:sz w:val="21"/>
          <w:szCs w:val="21"/>
          <w:highlight w:val="none"/>
        </w:rPr>
        <w:t xml:space="preserve">.  </w:t>
      </w:r>
      <w:r>
        <w:rPr>
          <w:rFonts w:hint="eastAsia" w:cs="Times New Roman"/>
          <w:b/>
          <w:sz w:val="21"/>
          <w:szCs w:val="21"/>
          <w:highlight w:val="none"/>
        </w:rPr>
        <w:t xml:space="preserve">对标的物提出异议的时间和办法</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7</w:t>
      </w:r>
      <w:r>
        <w:rPr>
          <w:rFonts w:cs="Times New Roman"/>
          <w:sz w:val="21"/>
          <w:szCs w:val="21"/>
          <w:highlight w:val="none"/>
        </w:rPr>
        <w:t xml:space="preserve">.1  </w:t>
      </w:r>
      <w:r>
        <w:rPr>
          <w:rFonts w:hint="eastAsia" w:cs="Times New Roman"/>
          <w:sz w:val="21"/>
          <w:szCs w:val="21"/>
          <w:highlight w:val="none"/>
        </w:rPr>
        <w:t xml:space="preserve">甲方在验收过程中，应当于双方约定的检验期间内将标的物的数量或质量不符合约定的情形及处理方式以书面形式通知乙方。</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7</w:t>
      </w:r>
      <w:r>
        <w:rPr>
          <w:rFonts w:cs="Times New Roman"/>
          <w:sz w:val="21"/>
          <w:szCs w:val="21"/>
          <w:highlight w:val="none"/>
        </w:rPr>
        <w:t xml:space="preserve">.2  </w:t>
      </w:r>
      <w:r>
        <w:rPr>
          <w:rFonts w:hint="eastAsia" w:cs="Times New Roman"/>
          <w:sz w:val="21"/>
          <w:szCs w:val="21"/>
          <w:highlight w:val="none"/>
        </w:rPr>
        <w:t xml:space="preserve">如甲方在验收期满后既不出具验收合格证明又未提出书面异议的视为乙方所交标的物符合合同规定。</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7</w:t>
      </w:r>
      <w:r>
        <w:rPr>
          <w:rFonts w:cs="Times New Roman"/>
          <w:sz w:val="21"/>
          <w:szCs w:val="21"/>
          <w:highlight w:val="none"/>
        </w:rPr>
        <w:t xml:space="preserve">.3  </w:t>
      </w:r>
      <w:r>
        <w:rPr>
          <w:rFonts w:hint="eastAsia" w:cs="Times New Roman"/>
          <w:sz w:val="21"/>
          <w:szCs w:val="21"/>
          <w:highlight w:val="none"/>
        </w:rPr>
        <w:t xml:space="preserve">乙方应在收到甲方书面异议后2天内（双方在合同特殊条款另行规定的除外）负责处理问题，否则将视为默认甲方提出的异议和处理意见。</w:t>
      </w:r>
      <w:r/>
    </w:p>
    <w:p>
      <w:pPr>
        <w:spacing w:line="360" w:lineRule="auto"/>
        <w:rPr>
          <w:rFonts w:cs="Times New Roman"/>
          <w:b/>
          <w:sz w:val="21"/>
          <w:szCs w:val="21"/>
          <w:highlight w:val="none"/>
        </w:rPr>
      </w:pPr>
      <w:r/>
      <w:bookmarkStart w:id="46" w:name="_Toc13543217"/>
      <w:r>
        <w:rPr>
          <w:rFonts w:hint="eastAsia" w:cs="Times New Roman"/>
          <w:b/>
          <w:sz w:val="21"/>
          <w:szCs w:val="21"/>
          <w:highlight w:val="none"/>
        </w:rPr>
        <w:t xml:space="preserve">五、合同价款和支付</w:t>
      </w:r>
      <w:bookmarkEnd w:id="46"/>
      <w:r/>
      <w:r/>
    </w:p>
    <w:p>
      <w:pPr>
        <w:spacing w:line="360" w:lineRule="auto"/>
        <w:rPr>
          <w:rFonts w:cs="Times New Roman"/>
          <w:b/>
          <w:sz w:val="21"/>
          <w:szCs w:val="21"/>
          <w:highlight w:val="none"/>
        </w:rPr>
      </w:pPr>
      <w:r>
        <w:rPr>
          <w:rFonts w:cs="Times New Roman"/>
          <w:b/>
          <w:sz w:val="21"/>
          <w:szCs w:val="21"/>
          <w:highlight w:val="none"/>
        </w:rPr>
        <w:t xml:space="preserve">4</w:t>
      </w:r>
      <w:r>
        <w:rPr>
          <w:rFonts w:hint="eastAsia" w:cs="Times New Roman"/>
          <w:b/>
          <w:sz w:val="21"/>
          <w:szCs w:val="21"/>
          <w:highlight w:val="none"/>
        </w:rPr>
        <w:t xml:space="preserve">8</w:t>
      </w:r>
      <w:r>
        <w:rPr>
          <w:rFonts w:cs="Times New Roman"/>
          <w:b/>
          <w:sz w:val="21"/>
          <w:szCs w:val="21"/>
          <w:highlight w:val="none"/>
        </w:rPr>
        <w:t xml:space="preserve">.  </w:t>
      </w:r>
      <w:r>
        <w:rPr>
          <w:rFonts w:hint="eastAsia" w:cs="Times New Roman"/>
          <w:b/>
          <w:sz w:val="21"/>
          <w:szCs w:val="21"/>
          <w:highlight w:val="none"/>
        </w:rPr>
        <w:t xml:space="preserve">合同价款和支付</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8</w:t>
      </w:r>
      <w:r>
        <w:rPr>
          <w:rFonts w:cs="Times New Roman"/>
          <w:sz w:val="21"/>
          <w:szCs w:val="21"/>
          <w:highlight w:val="none"/>
        </w:rPr>
        <w:t xml:space="preserve">.1 </w:t>
      </w:r>
      <w:r>
        <w:rPr>
          <w:rFonts w:hint="eastAsia" w:cs="Times New Roman"/>
          <w:sz w:val="21"/>
          <w:szCs w:val="21"/>
          <w:highlight w:val="none"/>
        </w:rPr>
        <w:t xml:space="preserve">本合同的结算货币为人民币，单位元。</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8</w:t>
      </w:r>
      <w:r>
        <w:rPr>
          <w:rFonts w:cs="Times New Roman"/>
          <w:sz w:val="21"/>
          <w:szCs w:val="21"/>
          <w:highlight w:val="none"/>
        </w:rPr>
        <w:t xml:space="preserve">.2 </w:t>
      </w:r>
      <w:r>
        <w:rPr>
          <w:rFonts w:hint="eastAsia" w:cs="Times New Roman"/>
          <w:sz w:val="21"/>
          <w:szCs w:val="21"/>
          <w:highlight w:val="none"/>
        </w:rPr>
        <w:t xml:space="preserve">乙方应按照双方签订的合同规定交货并在合同特殊条款规定的期限内持下列单据结算货款。</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8</w:t>
      </w:r>
      <w:r>
        <w:rPr>
          <w:rFonts w:cs="Times New Roman"/>
          <w:sz w:val="21"/>
          <w:szCs w:val="21"/>
          <w:highlight w:val="none"/>
        </w:rPr>
        <w:t xml:space="preserve">.2.1 </w:t>
      </w:r>
      <w:r>
        <w:rPr>
          <w:rFonts w:hint="eastAsia" w:cs="Times New Roman"/>
          <w:sz w:val="21"/>
          <w:szCs w:val="21"/>
          <w:highlight w:val="none"/>
        </w:rPr>
        <w:t xml:space="preserve">正式的发票。</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8</w:t>
      </w:r>
      <w:r>
        <w:rPr>
          <w:rFonts w:cs="Times New Roman"/>
          <w:sz w:val="21"/>
          <w:szCs w:val="21"/>
          <w:highlight w:val="none"/>
        </w:rPr>
        <w:t xml:space="preserve">.2.2 </w:t>
      </w:r>
      <w:r>
        <w:rPr>
          <w:rFonts w:hint="eastAsia" w:cs="Times New Roman"/>
          <w:sz w:val="21"/>
          <w:szCs w:val="21"/>
          <w:highlight w:val="none"/>
        </w:rPr>
        <w:t xml:space="preserve">甲方盖章签收后的送货回单和验收合格证明。</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8</w:t>
      </w:r>
      <w:r>
        <w:rPr>
          <w:rFonts w:cs="Times New Roman"/>
          <w:sz w:val="21"/>
          <w:szCs w:val="21"/>
          <w:highlight w:val="none"/>
        </w:rPr>
        <w:t xml:space="preserve">.3 </w:t>
      </w:r>
      <w:r>
        <w:rPr>
          <w:rFonts w:hint="eastAsia" w:cs="Times New Roman"/>
          <w:sz w:val="21"/>
          <w:szCs w:val="21"/>
          <w:highlight w:val="none"/>
        </w:rPr>
        <w:t xml:space="preserve">甲方应按合同特殊条款规定的期限和方式付款。</w:t>
      </w:r>
      <w:r/>
    </w:p>
    <w:p>
      <w:pPr>
        <w:ind w:firstLine="422"/>
        <w:spacing w:line="360" w:lineRule="auto"/>
        <w:rPr>
          <w:rFonts w:cs="Times New Roman"/>
          <w:sz w:val="21"/>
          <w:szCs w:val="21"/>
          <w:highlight w:val="none"/>
        </w:rPr>
      </w:pPr>
      <w:r>
        <w:rPr>
          <w:rFonts w:cs="Times New Roman"/>
          <w:sz w:val="21"/>
          <w:szCs w:val="21"/>
          <w:highlight w:val="none"/>
        </w:rPr>
        <w:t xml:space="preserve">4</w:t>
      </w:r>
      <w:r>
        <w:rPr>
          <w:rFonts w:hint="eastAsia" w:cs="Times New Roman"/>
          <w:sz w:val="21"/>
          <w:szCs w:val="21"/>
          <w:highlight w:val="none"/>
        </w:rPr>
        <w:t xml:space="preserve">8</w:t>
      </w:r>
      <w:r>
        <w:rPr>
          <w:rFonts w:cs="Times New Roman"/>
          <w:sz w:val="21"/>
          <w:szCs w:val="21"/>
          <w:highlight w:val="none"/>
        </w:rPr>
        <w:t xml:space="preserve">.4 </w:t>
      </w:r>
      <w:r>
        <w:rPr>
          <w:rFonts w:hint="eastAsia" w:cs="Times New Roman"/>
          <w:sz w:val="21"/>
          <w:szCs w:val="21"/>
          <w:highlight w:val="none"/>
        </w:rPr>
        <w:t xml:space="preserve">根据现行税法对甲方征收的与本合同有关的一切税费均由甲方承担；根据现行税法对乙方征收的与本合同有关的一切税费均由乙方承担。</w:t>
      </w:r>
      <w:r/>
    </w:p>
    <w:p>
      <w:pPr>
        <w:spacing w:line="360" w:lineRule="auto"/>
        <w:rPr>
          <w:rFonts w:cs="Times New Roman"/>
          <w:b/>
          <w:sz w:val="21"/>
          <w:szCs w:val="21"/>
          <w:highlight w:val="none"/>
        </w:rPr>
      </w:pPr>
      <w:r/>
      <w:bookmarkStart w:id="47" w:name="_Toc13543218"/>
      <w:r>
        <w:rPr>
          <w:rFonts w:hint="eastAsia" w:cs="Times New Roman"/>
          <w:b/>
          <w:sz w:val="21"/>
          <w:szCs w:val="21"/>
          <w:highlight w:val="none"/>
        </w:rPr>
        <w:t xml:space="preserve">六、违约责任</w:t>
      </w:r>
      <w:bookmarkEnd w:id="47"/>
      <w:r/>
      <w:r/>
    </w:p>
    <w:p>
      <w:pPr>
        <w:spacing w:line="360" w:lineRule="auto"/>
        <w:rPr>
          <w:rFonts w:cs="Times New Roman"/>
          <w:b/>
          <w:sz w:val="21"/>
          <w:szCs w:val="21"/>
          <w:highlight w:val="none"/>
        </w:rPr>
      </w:pPr>
      <w:r>
        <w:rPr>
          <w:rFonts w:cs="Times New Roman"/>
          <w:b/>
          <w:sz w:val="21"/>
          <w:szCs w:val="21"/>
          <w:highlight w:val="none"/>
        </w:rPr>
        <w:t xml:space="preserve">4</w:t>
      </w:r>
      <w:r>
        <w:rPr>
          <w:rFonts w:hint="eastAsia" w:cs="Times New Roman"/>
          <w:b/>
          <w:sz w:val="21"/>
          <w:szCs w:val="21"/>
          <w:highlight w:val="none"/>
        </w:rPr>
        <w:t xml:space="preserve">9</w:t>
      </w:r>
      <w:r>
        <w:rPr>
          <w:rFonts w:cs="Times New Roman"/>
          <w:b/>
          <w:sz w:val="21"/>
          <w:szCs w:val="21"/>
          <w:highlight w:val="none"/>
        </w:rPr>
        <w:t xml:space="preserve">.  </w:t>
      </w:r>
      <w:r>
        <w:rPr>
          <w:rFonts w:hint="eastAsia" w:cs="Times New Roman"/>
          <w:b/>
          <w:sz w:val="21"/>
          <w:szCs w:val="21"/>
          <w:highlight w:val="none"/>
        </w:rPr>
        <w:t xml:space="preserve">违约责任</w:t>
      </w:r>
      <w:r/>
    </w:p>
    <w:p>
      <w:pPr>
        <w:ind w:firstLine="422"/>
        <w:spacing w:line="360" w:lineRule="auto"/>
        <w:rPr>
          <w:rFonts w:cs="Times New Roman"/>
          <w:sz w:val="21"/>
          <w:szCs w:val="21"/>
          <w:highlight w:val="none"/>
        </w:rPr>
      </w:pPr>
      <w:r>
        <w:rPr>
          <w:rFonts w:hint="eastAsia" w:cs="Times New Roman"/>
          <w:sz w:val="21"/>
          <w:szCs w:val="21"/>
          <w:highlight w:val="none"/>
        </w:rPr>
        <w:t xml:space="preserve">合同一方不履行合同义务或者履行合同义务不符合约定的，应当承担继续履行、采取补救措施或者赔偿损失等违约责任。</w:t>
      </w:r>
      <w:r/>
    </w:p>
    <w:p>
      <w:pPr>
        <w:spacing w:line="360" w:lineRule="auto"/>
        <w:rPr>
          <w:rFonts w:cs="Times New Roman"/>
          <w:b/>
          <w:sz w:val="21"/>
          <w:szCs w:val="21"/>
          <w:highlight w:val="none"/>
        </w:rPr>
      </w:pPr>
      <w:r>
        <w:rPr>
          <w:rFonts w:hint="eastAsia" w:cs="Times New Roman"/>
          <w:b/>
          <w:sz w:val="21"/>
          <w:szCs w:val="21"/>
          <w:highlight w:val="none"/>
        </w:rPr>
        <w:t xml:space="preserve">50</w:t>
      </w:r>
      <w:r>
        <w:rPr>
          <w:rFonts w:cs="Times New Roman"/>
          <w:b/>
          <w:sz w:val="21"/>
          <w:szCs w:val="21"/>
          <w:highlight w:val="none"/>
        </w:rPr>
        <w:t xml:space="preserve">.  </w:t>
      </w:r>
      <w:r>
        <w:rPr>
          <w:rFonts w:hint="eastAsia" w:cs="Times New Roman"/>
          <w:b/>
          <w:sz w:val="21"/>
          <w:szCs w:val="21"/>
          <w:highlight w:val="none"/>
        </w:rPr>
        <w:t xml:space="preserve">甲方违约责任</w:t>
      </w:r>
      <w:r/>
    </w:p>
    <w:p>
      <w:pPr>
        <w:ind w:left="199" w:firstLine="210"/>
        <w:jc w:val="left"/>
        <w:spacing w:line="360" w:lineRule="auto"/>
        <w:rPr>
          <w:rFonts w:cs="Times New Roman"/>
          <w:sz w:val="21"/>
          <w:szCs w:val="21"/>
          <w:highlight w:val="none"/>
        </w:rPr>
      </w:pPr>
      <w:r>
        <w:rPr>
          <w:rFonts w:hint="eastAsia" w:cs="Times New Roman"/>
          <w:sz w:val="21"/>
          <w:szCs w:val="21"/>
          <w:highlight w:val="none"/>
        </w:rPr>
        <w:t xml:space="preserve">50</w:t>
      </w:r>
      <w:r>
        <w:rPr>
          <w:rFonts w:cs="Times New Roman"/>
          <w:sz w:val="21"/>
          <w:szCs w:val="21"/>
          <w:highlight w:val="none"/>
        </w:rPr>
        <w:t xml:space="preserve">.1  </w:t>
      </w:r>
      <w:r>
        <w:rPr>
          <w:rFonts w:hint="eastAsia" w:cs="Times New Roman"/>
          <w:sz w:val="21"/>
          <w:szCs w:val="21"/>
          <w:highlight w:val="none"/>
        </w:rPr>
        <w:t xml:space="preserve">甲方逾期付款的（正当拒付、供方同意延期付款时除外），应按同期银行贷款利率支付拖欠材料款的利息。但乙方不得因拖欠材料款而停止供货。</w:t>
      </w:r>
      <w:r/>
    </w:p>
    <w:p>
      <w:pPr>
        <w:ind w:firstLine="422"/>
        <w:spacing w:line="360" w:lineRule="auto"/>
        <w:rPr>
          <w:rFonts w:cs="Times New Roman"/>
          <w:sz w:val="21"/>
          <w:szCs w:val="21"/>
          <w:highlight w:val="none"/>
        </w:rPr>
      </w:pPr>
      <w:r>
        <w:rPr>
          <w:rFonts w:hint="eastAsia" w:cs="Times New Roman"/>
          <w:sz w:val="21"/>
          <w:szCs w:val="21"/>
          <w:highlight w:val="none"/>
        </w:rPr>
        <w:t xml:space="preserve">50</w:t>
      </w:r>
      <w:r>
        <w:rPr>
          <w:rFonts w:cs="Times New Roman"/>
          <w:sz w:val="21"/>
          <w:szCs w:val="21"/>
          <w:highlight w:val="none"/>
        </w:rPr>
        <w:t xml:space="preserve">.</w:t>
      </w:r>
      <w:r>
        <w:rPr>
          <w:rFonts w:hint="eastAsia" w:cs="Times New Roman"/>
          <w:sz w:val="21"/>
          <w:szCs w:val="21"/>
          <w:highlight w:val="none"/>
        </w:rPr>
        <w:t xml:space="preserve">2甲方违反合同规定，拒绝接收乙方交付的合格标的物，应当承担乙方由此造成的损失，包括运输部门的罚款。</w:t>
      </w:r>
      <w:r/>
    </w:p>
    <w:p>
      <w:pPr>
        <w:spacing w:line="360" w:lineRule="auto"/>
        <w:rPr>
          <w:rFonts w:cs="Times New Roman"/>
          <w:b/>
          <w:sz w:val="21"/>
          <w:szCs w:val="21"/>
          <w:highlight w:val="none"/>
        </w:rPr>
      </w:pPr>
      <w:r>
        <w:rPr>
          <w:rFonts w:hint="eastAsia" w:cs="Times New Roman"/>
          <w:b/>
          <w:sz w:val="21"/>
          <w:szCs w:val="21"/>
          <w:highlight w:val="none"/>
        </w:rPr>
        <w:t xml:space="preserve">51</w:t>
      </w:r>
      <w:r>
        <w:rPr>
          <w:rFonts w:cs="Times New Roman"/>
          <w:b/>
          <w:sz w:val="21"/>
          <w:szCs w:val="21"/>
          <w:highlight w:val="none"/>
        </w:rPr>
        <w:t xml:space="preserve">.  </w:t>
      </w:r>
      <w:r>
        <w:rPr>
          <w:rFonts w:hint="eastAsia" w:cs="Times New Roman"/>
          <w:b/>
          <w:sz w:val="21"/>
          <w:szCs w:val="21"/>
          <w:highlight w:val="none"/>
        </w:rPr>
        <w:t xml:space="preserve">乙方违约责任</w:t>
      </w:r>
      <w:r/>
    </w:p>
    <w:p>
      <w:pPr>
        <w:ind w:firstLine="422"/>
        <w:spacing w:line="360" w:lineRule="auto"/>
        <w:rPr>
          <w:rFonts w:cs="Times New Roman"/>
          <w:sz w:val="21"/>
          <w:szCs w:val="21"/>
          <w:highlight w:val="none"/>
        </w:rPr>
      </w:pPr>
      <w:r>
        <w:rPr>
          <w:rFonts w:hint="eastAsia" w:cs="Times New Roman"/>
          <w:sz w:val="21"/>
          <w:szCs w:val="21"/>
          <w:highlight w:val="none"/>
        </w:rPr>
        <w:t xml:space="preserve">51</w:t>
      </w:r>
      <w:r>
        <w:rPr>
          <w:rFonts w:cs="Times New Roman"/>
          <w:sz w:val="21"/>
          <w:szCs w:val="21"/>
          <w:highlight w:val="none"/>
        </w:rPr>
        <w:t xml:space="preserve">.1  </w:t>
      </w:r>
      <w:r>
        <w:rPr>
          <w:rFonts w:hint="eastAsia" w:cs="Times New Roman"/>
          <w:sz w:val="21"/>
          <w:szCs w:val="21"/>
          <w:highlight w:val="none"/>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ind w:firstLine="422"/>
        <w:spacing w:line="360" w:lineRule="auto"/>
        <w:rPr>
          <w:rFonts w:cs="Times New Roman"/>
          <w:sz w:val="21"/>
          <w:szCs w:val="21"/>
          <w:highlight w:val="none"/>
        </w:rPr>
      </w:pPr>
      <w:r>
        <w:rPr>
          <w:rFonts w:hint="eastAsia" w:cs="Times New Roman"/>
          <w:sz w:val="21"/>
          <w:szCs w:val="21"/>
          <w:highlight w:val="none"/>
        </w:rPr>
        <w:t xml:space="preserve">51</w:t>
      </w:r>
      <w:r>
        <w:rPr>
          <w:rFonts w:cs="Times New Roman"/>
          <w:sz w:val="21"/>
          <w:szCs w:val="21"/>
          <w:highlight w:val="none"/>
        </w:rPr>
        <w:t xml:space="preserve">.2  乙方逾期完工</w:t>
      </w:r>
      <w:r>
        <w:rPr>
          <w:rFonts w:hint="eastAsia" w:cs="Times New Roman"/>
          <w:sz w:val="21"/>
          <w:szCs w:val="21"/>
          <w:highlight w:val="none"/>
        </w:rPr>
        <w:t xml:space="preserve">（</w:t>
      </w:r>
      <w:r>
        <w:rPr>
          <w:rFonts w:cs="Times New Roman"/>
          <w:sz w:val="21"/>
          <w:szCs w:val="21"/>
          <w:highlight w:val="none"/>
        </w:rPr>
        <w:t xml:space="preserve">即项目全部安装调试完成，整体验收合格并提交竣工资料）</w:t>
      </w:r>
      <w:r>
        <w:rPr>
          <w:rFonts w:hint="eastAsia" w:cs="Times New Roman"/>
          <w:sz w:val="21"/>
          <w:szCs w:val="21"/>
          <w:highlight w:val="non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ind w:firstLine="422"/>
        <w:spacing w:line="360" w:lineRule="auto"/>
        <w:rPr>
          <w:rFonts w:cs="Times New Roman"/>
          <w:sz w:val="21"/>
          <w:szCs w:val="21"/>
          <w:highlight w:val="none"/>
        </w:rPr>
      </w:pPr>
      <w:r>
        <w:rPr>
          <w:rFonts w:hint="eastAsia" w:cs="Times New Roman"/>
          <w:sz w:val="21"/>
          <w:szCs w:val="21"/>
          <w:highlight w:val="none"/>
        </w:rPr>
        <w:t xml:space="preserve">51.3乙方提前交货的，须经甲方同意，接货后，仍可按合同规定的付款时间付款。</w:t>
      </w:r>
      <w:r/>
    </w:p>
    <w:p>
      <w:pPr>
        <w:ind w:firstLine="422"/>
        <w:spacing w:line="360" w:lineRule="auto"/>
        <w:rPr>
          <w:rFonts w:cs="Times New Roman"/>
          <w:sz w:val="21"/>
          <w:szCs w:val="21"/>
          <w:highlight w:val="none"/>
        </w:rPr>
      </w:pPr>
      <w:r>
        <w:rPr>
          <w:rFonts w:hint="eastAsia" w:cs="Times New Roman"/>
          <w:sz w:val="21"/>
          <w:szCs w:val="21"/>
          <w:highlight w:val="none"/>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ind w:firstLine="422"/>
        <w:spacing w:line="360" w:lineRule="auto"/>
        <w:rPr>
          <w:rFonts w:cs="Times New Roman"/>
          <w:sz w:val="21"/>
          <w:szCs w:val="21"/>
          <w:highlight w:val="none"/>
        </w:rPr>
      </w:pPr>
      <w:r>
        <w:rPr>
          <w:rFonts w:hint="eastAsia" w:cs="Times New Roman"/>
          <w:sz w:val="21"/>
          <w:szCs w:val="21"/>
          <w:highlight w:val="none"/>
        </w:rPr>
        <w:t xml:space="preserve">51.4.1另行采购相应标的物、开挖、重新铺埋等所发生的一切费用均由乙方承担，乙方并应赔偿甲方的其他损失。</w:t>
      </w:r>
      <w:r/>
    </w:p>
    <w:p>
      <w:pPr>
        <w:ind w:firstLine="422"/>
        <w:spacing w:line="360" w:lineRule="auto"/>
        <w:rPr>
          <w:rFonts w:cs="Times New Roman"/>
          <w:sz w:val="21"/>
          <w:szCs w:val="21"/>
          <w:highlight w:val="none"/>
        </w:rPr>
      </w:pPr>
      <w:r>
        <w:rPr>
          <w:rFonts w:hint="eastAsia" w:cs="Times New Roman"/>
          <w:sz w:val="21"/>
          <w:szCs w:val="21"/>
          <w:highlight w:val="none"/>
        </w:rPr>
        <w:t xml:space="preserve">51.4.2乙方向甲方一次性赔偿相当于被证明不符合合同规定批次标的物价款的300%的赔偿金。</w:t>
      </w:r>
      <w:r/>
    </w:p>
    <w:p>
      <w:pPr>
        <w:spacing w:line="360" w:lineRule="auto"/>
        <w:rPr>
          <w:rFonts w:cs="Times New Roman"/>
          <w:b/>
          <w:sz w:val="21"/>
          <w:szCs w:val="21"/>
          <w:highlight w:val="none"/>
        </w:rPr>
      </w:pPr>
      <w:r>
        <w:rPr>
          <w:rFonts w:hint="eastAsia" w:cs="Times New Roman"/>
          <w:b/>
          <w:sz w:val="21"/>
          <w:szCs w:val="21"/>
          <w:highlight w:val="none"/>
        </w:rPr>
        <w:t xml:space="preserve">52</w:t>
      </w:r>
      <w:r>
        <w:rPr>
          <w:rFonts w:cs="Times New Roman"/>
          <w:b/>
          <w:sz w:val="21"/>
          <w:szCs w:val="21"/>
          <w:highlight w:val="none"/>
        </w:rPr>
        <w:t xml:space="preserve">.  </w:t>
      </w:r>
      <w:r>
        <w:rPr>
          <w:rFonts w:hint="eastAsia" w:cs="Times New Roman"/>
          <w:b/>
          <w:sz w:val="21"/>
          <w:szCs w:val="21"/>
          <w:highlight w:val="none"/>
        </w:rPr>
        <w:t xml:space="preserve">不可抗力</w:t>
      </w:r>
      <w:r/>
    </w:p>
    <w:p>
      <w:pPr>
        <w:ind w:firstLine="422"/>
        <w:spacing w:line="360" w:lineRule="auto"/>
        <w:rPr>
          <w:rFonts w:cs="Times New Roman"/>
          <w:sz w:val="21"/>
          <w:szCs w:val="21"/>
          <w:highlight w:val="none"/>
        </w:rPr>
      </w:pPr>
      <w:r>
        <w:rPr>
          <w:rFonts w:hint="eastAsia" w:cs="Times New Roman"/>
          <w:sz w:val="21"/>
          <w:szCs w:val="21"/>
          <w:highlight w:val="none"/>
        </w:rPr>
        <w:t xml:space="preserve">52</w:t>
      </w:r>
      <w:r>
        <w:rPr>
          <w:rFonts w:cs="Times New Roman"/>
          <w:sz w:val="21"/>
          <w:szCs w:val="21"/>
          <w:highlight w:val="none"/>
        </w:rPr>
        <w:t xml:space="preserve">.1  </w:t>
      </w:r>
      <w:r>
        <w:rPr>
          <w:rFonts w:hint="eastAsia" w:cs="Times New Roman"/>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ind w:firstLine="422"/>
        <w:spacing w:line="360" w:lineRule="auto"/>
        <w:rPr>
          <w:rFonts w:cs="Times New Roman"/>
          <w:sz w:val="21"/>
          <w:szCs w:val="21"/>
          <w:highlight w:val="none"/>
        </w:rPr>
      </w:pPr>
      <w:r>
        <w:rPr>
          <w:rFonts w:hint="eastAsia" w:cs="Times New Roman"/>
          <w:sz w:val="21"/>
          <w:szCs w:val="21"/>
          <w:highlight w:val="none"/>
        </w:rPr>
        <w:t xml:space="preserve">52</w:t>
      </w:r>
      <w:r>
        <w:rPr>
          <w:rFonts w:cs="Times New Roman"/>
          <w:sz w:val="21"/>
          <w:szCs w:val="21"/>
          <w:highlight w:val="none"/>
        </w:rPr>
        <w:t xml:space="preserve">.2 </w:t>
      </w:r>
      <w:r>
        <w:rPr>
          <w:rFonts w:hint="eastAsia" w:cs="Times New Roman"/>
          <w:sz w:val="21"/>
          <w:szCs w:val="21"/>
          <w:highlight w:val="none"/>
        </w:rPr>
        <w:t xml:space="preserve">受不可抗力影响的一方应在不可抗力发生后以尽快的方式通知另一方，如果不可抗力的时间超过14日，双方有权终止履行合同。</w:t>
      </w:r>
      <w:r/>
    </w:p>
    <w:p>
      <w:pPr>
        <w:spacing w:line="360" w:lineRule="auto"/>
        <w:rPr>
          <w:rFonts w:cs="Times New Roman"/>
          <w:b/>
          <w:sz w:val="21"/>
          <w:szCs w:val="21"/>
          <w:highlight w:val="none"/>
        </w:rPr>
      </w:pPr>
      <w:r/>
      <w:bookmarkStart w:id="48" w:name="_Toc13543219"/>
      <w:r>
        <w:rPr>
          <w:rFonts w:hint="eastAsia" w:cs="Times New Roman"/>
          <w:b/>
          <w:sz w:val="21"/>
          <w:szCs w:val="21"/>
          <w:highlight w:val="none"/>
        </w:rPr>
        <w:t xml:space="preserve">七、索赔</w:t>
      </w:r>
      <w:bookmarkEnd w:id="48"/>
      <w:r/>
      <w:r/>
    </w:p>
    <w:p>
      <w:pPr>
        <w:spacing w:line="360" w:lineRule="auto"/>
        <w:rPr>
          <w:rFonts w:cs="Times New Roman"/>
          <w:b/>
          <w:sz w:val="21"/>
          <w:szCs w:val="21"/>
          <w:highlight w:val="none"/>
        </w:rPr>
      </w:pPr>
      <w:r>
        <w:rPr>
          <w:rFonts w:hint="eastAsia" w:cs="Times New Roman"/>
          <w:b/>
          <w:sz w:val="21"/>
          <w:szCs w:val="21"/>
          <w:highlight w:val="none"/>
        </w:rPr>
        <w:t xml:space="preserve">53</w:t>
      </w:r>
      <w:r>
        <w:rPr>
          <w:rFonts w:cs="Times New Roman"/>
          <w:b/>
          <w:sz w:val="21"/>
          <w:szCs w:val="21"/>
          <w:highlight w:val="none"/>
        </w:rPr>
        <w:t xml:space="preserve">.  </w:t>
      </w:r>
      <w:r>
        <w:rPr>
          <w:rFonts w:hint="eastAsia" w:cs="Times New Roman"/>
          <w:b/>
          <w:sz w:val="21"/>
          <w:szCs w:val="21"/>
          <w:highlight w:val="none"/>
        </w:rPr>
        <w:t xml:space="preserve">索赔</w:t>
      </w:r>
      <w:r/>
    </w:p>
    <w:p>
      <w:pPr>
        <w:ind w:firstLine="422"/>
        <w:spacing w:line="360" w:lineRule="auto"/>
        <w:rPr>
          <w:rFonts w:cs="Times New Roman"/>
          <w:sz w:val="21"/>
          <w:szCs w:val="21"/>
          <w:highlight w:val="none"/>
        </w:rPr>
      </w:pPr>
      <w:r>
        <w:rPr>
          <w:rFonts w:hint="eastAsia" w:cs="Times New Roman"/>
          <w:sz w:val="21"/>
          <w:szCs w:val="21"/>
          <w:highlight w:val="none"/>
        </w:rPr>
        <w:t xml:space="preserve">53</w:t>
      </w:r>
      <w:r>
        <w:rPr>
          <w:rFonts w:cs="Times New Roman"/>
          <w:sz w:val="21"/>
          <w:szCs w:val="21"/>
          <w:highlight w:val="none"/>
        </w:rPr>
        <w:t xml:space="preserve">.1  </w:t>
      </w:r>
      <w:r>
        <w:rPr>
          <w:rFonts w:hint="eastAsia" w:cs="Times New Roman"/>
          <w:sz w:val="21"/>
          <w:szCs w:val="21"/>
          <w:highlight w:val="none"/>
        </w:rPr>
        <w:t xml:space="preserve">甲方有权根据当地产品质量检验机构或其它有权部门出具的检验证书向乙方提出索赔。</w:t>
      </w:r>
      <w:r/>
    </w:p>
    <w:p>
      <w:pPr>
        <w:ind w:firstLine="422"/>
        <w:spacing w:line="360" w:lineRule="auto"/>
        <w:rPr>
          <w:rFonts w:cs="Times New Roman"/>
          <w:sz w:val="21"/>
          <w:szCs w:val="21"/>
          <w:highlight w:val="none"/>
        </w:rPr>
      </w:pPr>
      <w:r>
        <w:rPr>
          <w:rFonts w:hint="eastAsia" w:cs="Times New Roman"/>
          <w:sz w:val="21"/>
          <w:szCs w:val="21"/>
          <w:highlight w:val="none"/>
        </w:rPr>
        <w:t xml:space="preserve">53</w:t>
      </w:r>
      <w:r>
        <w:rPr>
          <w:rFonts w:cs="Times New Roman"/>
          <w:sz w:val="21"/>
          <w:szCs w:val="21"/>
          <w:highlight w:val="none"/>
        </w:rPr>
        <w:t xml:space="preserve">.2  </w:t>
      </w:r>
      <w:r>
        <w:rPr>
          <w:rFonts w:hint="eastAsia" w:cs="Times New Roman"/>
          <w:sz w:val="21"/>
          <w:szCs w:val="21"/>
          <w:highlight w:val="none"/>
        </w:rPr>
        <w:t xml:space="preserve">在本合同规定的检验期和质量保证期内，如果乙方对甲方提出的索赔或差异有责任，则乙方应按甲方同意的下列一种或多种方式解决索赔事宜：</w:t>
      </w:r>
      <w:r/>
    </w:p>
    <w:p>
      <w:pPr>
        <w:ind w:firstLine="422"/>
        <w:spacing w:line="360" w:lineRule="auto"/>
        <w:rPr>
          <w:rFonts w:cs="Times New Roman"/>
          <w:sz w:val="21"/>
          <w:szCs w:val="21"/>
          <w:highlight w:val="none"/>
        </w:rPr>
      </w:pPr>
      <w:r>
        <w:rPr>
          <w:rFonts w:hint="eastAsia" w:cs="Times New Roman"/>
          <w:sz w:val="21"/>
          <w:szCs w:val="21"/>
          <w:highlight w:val="none"/>
        </w:rPr>
        <w:t xml:space="preserve">53</w:t>
      </w:r>
      <w:r>
        <w:rPr>
          <w:rFonts w:cs="Times New Roman"/>
          <w:sz w:val="21"/>
          <w:szCs w:val="21"/>
          <w:highlight w:val="none"/>
        </w:rPr>
        <w:t xml:space="preserve">.2.1  </w:t>
      </w:r>
      <w:r>
        <w:rPr>
          <w:rFonts w:hint="eastAsia" w:cs="Times New Roman"/>
          <w:sz w:val="21"/>
          <w:szCs w:val="21"/>
          <w:highlight w:val="non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ind w:firstLine="422"/>
        <w:spacing w:line="360" w:lineRule="auto"/>
        <w:rPr>
          <w:rFonts w:cs="Times New Roman"/>
          <w:sz w:val="21"/>
          <w:szCs w:val="21"/>
          <w:highlight w:val="none"/>
        </w:rPr>
      </w:pPr>
      <w:r>
        <w:rPr>
          <w:rFonts w:hint="eastAsia" w:cs="Times New Roman"/>
          <w:sz w:val="21"/>
          <w:szCs w:val="21"/>
          <w:highlight w:val="none"/>
        </w:rPr>
        <w:t xml:space="preserve">53</w:t>
      </w:r>
      <w:r>
        <w:rPr>
          <w:rFonts w:cs="Times New Roman"/>
          <w:sz w:val="21"/>
          <w:szCs w:val="21"/>
          <w:highlight w:val="none"/>
        </w:rPr>
        <w:t xml:space="preserve">.2.2  </w:t>
      </w:r>
      <w:r>
        <w:rPr>
          <w:rFonts w:hint="eastAsia" w:cs="Times New Roman"/>
          <w:sz w:val="21"/>
          <w:szCs w:val="21"/>
          <w:highlight w:val="none"/>
        </w:rPr>
        <w:t xml:space="preserve">根据标的物的低劣程度、损坏程度以及甲方遭受损失的数额，经供需双方可商定降低标的物的价格，对已交付的货款多退少补。</w:t>
      </w:r>
      <w:r/>
    </w:p>
    <w:p>
      <w:pPr>
        <w:ind w:firstLine="422"/>
        <w:spacing w:line="360" w:lineRule="auto"/>
        <w:rPr>
          <w:rFonts w:cs="Times New Roman"/>
          <w:sz w:val="21"/>
          <w:szCs w:val="21"/>
          <w:highlight w:val="none"/>
        </w:rPr>
      </w:pPr>
      <w:r>
        <w:rPr>
          <w:rFonts w:hint="eastAsia" w:cs="Times New Roman"/>
          <w:sz w:val="21"/>
          <w:szCs w:val="21"/>
          <w:highlight w:val="none"/>
        </w:rPr>
        <w:t xml:space="preserve">53</w:t>
      </w:r>
      <w:r>
        <w:rPr>
          <w:rFonts w:cs="Times New Roman"/>
          <w:sz w:val="21"/>
          <w:szCs w:val="21"/>
          <w:highlight w:val="none"/>
        </w:rPr>
        <w:t xml:space="preserve">.2.3</w:t>
      </w:r>
      <w:r>
        <w:rPr>
          <w:rFonts w:hint="eastAsia" w:cs="Times New Roman"/>
          <w:sz w:val="21"/>
          <w:szCs w:val="21"/>
          <w:highlight w:val="non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ind w:firstLine="422"/>
        <w:spacing w:line="360" w:lineRule="auto"/>
        <w:rPr>
          <w:rFonts w:cs="Times New Roman"/>
          <w:sz w:val="21"/>
          <w:szCs w:val="21"/>
          <w:highlight w:val="none"/>
        </w:rPr>
      </w:pPr>
      <w:r>
        <w:rPr>
          <w:rFonts w:hint="eastAsia" w:cs="Times New Roman"/>
          <w:sz w:val="21"/>
          <w:szCs w:val="21"/>
          <w:highlight w:val="none"/>
        </w:rPr>
        <w:t xml:space="preserve">53</w:t>
      </w:r>
      <w:r>
        <w:rPr>
          <w:rFonts w:cs="Times New Roman"/>
          <w:sz w:val="21"/>
          <w:szCs w:val="21"/>
          <w:highlight w:val="none"/>
        </w:rPr>
        <w:t xml:space="preserve">.3  </w:t>
      </w:r>
      <w:r>
        <w:rPr>
          <w:rFonts w:hint="eastAsia" w:cs="Times New Roman"/>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cs="Times New Roman"/>
          <w:b/>
          <w:sz w:val="21"/>
          <w:szCs w:val="21"/>
          <w:highlight w:val="none"/>
        </w:rPr>
      </w:pPr>
      <w:r/>
      <w:bookmarkStart w:id="49" w:name="_Toc13543220"/>
      <w:r>
        <w:rPr>
          <w:rFonts w:hint="eastAsia" w:cs="Times New Roman"/>
          <w:b/>
          <w:sz w:val="21"/>
          <w:szCs w:val="21"/>
          <w:highlight w:val="none"/>
        </w:rPr>
        <w:t xml:space="preserve">八、履约保证金</w:t>
      </w:r>
      <w:bookmarkEnd w:id="49"/>
      <w:r/>
      <w:r/>
    </w:p>
    <w:p>
      <w:pPr>
        <w:spacing w:line="360" w:lineRule="auto"/>
        <w:rPr>
          <w:rFonts w:eastAsia="宋体" w:cs="Times New Roman"/>
          <w:b/>
          <w:sz w:val="21"/>
          <w:szCs w:val="21"/>
          <w:highlight w:val="none"/>
          <w:lang w:val="en-US" w:eastAsia="zh-CN"/>
        </w:rPr>
      </w:pPr>
      <w:r>
        <w:rPr>
          <w:rFonts w:hint="eastAsia" w:cs="Times New Roman"/>
          <w:b/>
          <w:sz w:val="21"/>
          <w:szCs w:val="21"/>
          <w:highlight w:val="none"/>
        </w:rPr>
        <w:t xml:space="preserve">54</w:t>
      </w:r>
      <w:r>
        <w:rPr>
          <w:rFonts w:cs="Times New Roman"/>
          <w:b/>
          <w:sz w:val="21"/>
          <w:szCs w:val="21"/>
          <w:highlight w:val="none"/>
        </w:rPr>
        <w:t xml:space="preserve">.  </w:t>
      </w:r>
      <w:r>
        <w:rPr>
          <w:rFonts w:hint="eastAsia" w:cs="Times New Roman"/>
          <w:b/>
          <w:sz w:val="21"/>
          <w:szCs w:val="21"/>
          <w:highlight w:val="none"/>
        </w:rPr>
        <w:t xml:space="preserve">履约保证金：</w:t>
      </w:r>
      <w:r>
        <w:rPr>
          <w:rFonts w:hint="eastAsia" w:eastAsia="宋体" w:cs="宋体"/>
          <w:b/>
          <w:bCs/>
          <w:color w:val="000000"/>
          <w:sz w:val="21"/>
          <w:szCs w:val="21"/>
          <w:highlight w:val="none"/>
          <w:lang w:val="en-US" w:eastAsia="zh-CN"/>
        </w:rPr>
        <w:t xml:space="preserve">详见合同特殊条款</w:t>
      </w:r>
      <w:r/>
    </w:p>
    <w:p>
      <w:pPr>
        <w:spacing w:line="360" w:lineRule="auto"/>
        <w:rPr>
          <w:rFonts w:cs="Times New Roman"/>
          <w:b/>
          <w:sz w:val="21"/>
          <w:szCs w:val="21"/>
          <w:highlight w:val="none"/>
        </w:rPr>
      </w:pPr>
      <w:r/>
      <w:bookmarkStart w:id="50" w:name="_Toc13543221"/>
      <w:r>
        <w:rPr>
          <w:rFonts w:hint="eastAsia" w:cs="Times New Roman"/>
          <w:b/>
          <w:sz w:val="21"/>
          <w:szCs w:val="21"/>
          <w:highlight w:val="none"/>
        </w:rPr>
        <w:t xml:space="preserve">九、合同的解除和转让</w:t>
      </w:r>
      <w:bookmarkEnd w:id="50"/>
      <w:r/>
      <w:r/>
    </w:p>
    <w:p>
      <w:pPr>
        <w:spacing w:line="360" w:lineRule="auto"/>
        <w:rPr>
          <w:rFonts w:cs="Times New Roman"/>
          <w:b/>
          <w:sz w:val="21"/>
          <w:szCs w:val="21"/>
          <w:highlight w:val="none"/>
        </w:rPr>
      </w:pPr>
      <w:r>
        <w:rPr>
          <w:rFonts w:cs="Times New Roman"/>
          <w:b/>
          <w:sz w:val="21"/>
          <w:szCs w:val="21"/>
          <w:highlight w:val="none"/>
        </w:rPr>
        <w:t xml:space="preserve">5</w:t>
      </w:r>
      <w:r>
        <w:rPr>
          <w:rFonts w:hint="eastAsia" w:cs="Times New Roman"/>
          <w:b/>
          <w:sz w:val="21"/>
          <w:szCs w:val="21"/>
          <w:highlight w:val="none"/>
        </w:rPr>
        <w:t xml:space="preserve">5</w:t>
      </w:r>
      <w:r>
        <w:rPr>
          <w:rFonts w:cs="Times New Roman"/>
          <w:b/>
          <w:sz w:val="21"/>
          <w:szCs w:val="21"/>
          <w:highlight w:val="none"/>
        </w:rPr>
        <w:t xml:space="preserve">.  </w:t>
      </w:r>
      <w:r>
        <w:rPr>
          <w:rFonts w:hint="eastAsia" w:cs="Times New Roman"/>
          <w:b/>
          <w:sz w:val="21"/>
          <w:szCs w:val="21"/>
          <w:highlight w:val="none"/>
        </w:rPr>
        <w:t xml:space="preserve">合同的解除</w:t>
      </w:r>
      <w:r/>
    </w:p>
    <w:p>
      <w:pPr>
        <w:ind w:firstLine="420"/>
        <w:spacing w:line="360" w:lineRule="auto"/>
        <w:tabs>
          <w:tab w:val="left" w:pos="630" w:leader="none"/>
        </w:tabs>
        <w:rPr>
          <w:rFonts w:cs="Times New Roman"/>
          <w:sz w:val="21"/>
          <w:szCs w:val="21"/>
          <w:highlight w:val="none"/>
        </w:rPr>
      </w:pPr>
      <w:r>
        <w:rPr>
          <w:rFonts w:cs="Times New Roman"/>
          <w:sz w:val="21"/>
          <w:szCs w:val="21"/>
          <w:highlight w:val="none"/>
        </w:rPr>
        <w:t xml:space="preserve">5</w:t>
      </w:r>
      <w:r>
        <w:rPr>
          <w:rFonts w:hint="eastAsia" w:cs="Times New Roman"/>
          <w:sz w:val="21"/>
          <w:szCs w:val="21"/>
          <w:highlight w:val="none"/>
        </w:rPr>
        <w:t xml:space="preserve">5</w:t>
      </w:r>
      <w:r>
        <w:rPr>
          <w:rFonts w:cs="Times New Roman"/>
          <w:sz w:val="21"/>
          <w:szCs w:val="21"/>
          <w:highlight w:val="none"/>
        </w:rPr>
        <w:t xml:space="preserve">.1 </w:t>
      </w:r>
      <w:r>
        <w:rPr>
          <w:rFonts w:hint="eastAsia" w:cs="Times New Roman"/>
          <w:sz w:val="21"/>
          <w:szCs w:val="21"/>
          <w:highlight w:val="none"/>
        </w:rPr>
        <w:t xml:space="preserve">甲方和乙方协商一致，可以解除合同；</w:t>
      </w:r>
      <w:r/>
    </w:p>
    <w:p>
      <w:pPr>
        <w:ind w:firstLine="420"/>
        <w:spacing w:line="360" w:lineRule="auto"/>
        <w:tabs>
          <w:tab w:val="left" w:pos="630" w:leader="none"/>
        </w:tabs>
        <w:rPr>
          <w:rFonts w:cs="Times New Roman"/>
          <w:sz w:val="21"/>
          <w:szCs w:val="21"/>
          <w:highlight w:val="none"/>
        </w:rPr>
      </w:pPr>
      <w:r>
        <w:rPr>
          <w:rFonts w:cs="Times New Roman"/>
          <w:sz w:val="21"/>
          <w:szCs w:val="21"/>
          <w:highlight w:val="none"/>
        </w:rPr>
        <w:t xml:space="preserve">5</w:t>
      </w:r>
      <w:r>
        <w:rPr>
          <w:rFonts w:hint="eastAsia" w:cs="Times New Roman"/>
          <w:sz w:val="21"/>
          <w:szCs w:val="21"/>
          <w:highlight w:val="none"/>
        </w:rPr>
        <w:t xml:space="preserve">5</w:t>
      </w:r>
      <w:r>
        <w:rPr>
          <w:rFonts w:cs="Times New Roman"/>
          <w:sz w:val="21"/>
          <w:szCs w:val="21"/>
          <w:highlight w:val="none"/>
        </w:rPr>
        <w:t xml:space="preserve">.2 </w:t>
      </w:r>
      <w:r>
        <w:rPr>
          <w:rFonts w:hint="eastAsia" w:cs="Times New Roman"/>
          <w:sz w:val="21"/>
          <w:szCs w:val="21"/>
          <w:highlight w:val="none"/>
        </w:rPr>
        <w:t xml:space="preserve">有下列情形之一，合同一方可以解除合同：</w:t>
      </w:r>
      <w:r/>
    </w:p>
    <w:p>
      <w:pPr>
        <w:ind w:firstLine="420"/>
        <w:spacing w:line="360" w:lineRule="auto"/>
        <w:tabs>
          <w:tab w:val="left" w:pos="630" w:leader="none"/>
        </w:tabs>
        <w:rPr>
          <w:rFonts w:cs="Times New Roman"/>
          <w:sz w:val="21"/>
          <w:szCs w:val="21"/>
          <w:highlight w:val="none"/>
        </w:rPr>
      </w:pPr>
      <w:r>
        <w:rPr>
          <w:rFonts w:cs="Times New Roman"/>
          <w:sz w:val="21"/>
          <w:szCs w:val="21"/>
          <w:highlight w:val="none"/>
        </w:rPr>
        <w:t xml:space="preserve">5</w:t>
      </w:r>
      <w:r>
        <w:rPr>
          <w:rFonts w:hint="eastAsia" w:cs="Times New Roman"/>
          <w:sz w:val="21"/>
          <w:szCs w:val="21"/>
          <w:highlight w:val="none"/>
        </w:rPr>
        <w:t xml:space="preserve">5</w:t>
      </w:r>
      <w:r>
        <w:rPr>
          <w:rFonts w:cs="Times New Roman"/>
          <w:sz w:val="21"/>
          <w:szCs w:val="21"/>
          <w:highlight w:val="none"/>
        </w:rPr>
        <w:t xml:space="preserve">.2.1 </w:t>
      </w:r>
      <w:r>
        <w:rPr>
          <w:rFonts w:hint="eastAsia" w:cs="Times New Roman"/>
          <w:sz w:val="21"/>
          <w:szCs w:val="21"/>
          <w:highlight w:val="none"/>
        </w:rPr>
        <w:t xml:space="preserve">因不可抗力致使不能实现合同目的，未受不可抗力影响的一方有权解除合同；</w:t>
      </w:r>
      <w:r/>
    </w:p>
    <w:p>
      <w:pPr>
        <w:ind w:firstLine="420"/>
        <w:spacing w:line="360" w:lineRule="auto"/>
        <w:tabs>
          <w:tab w:val="left" w:pos="630" w:leader="none"/>
        </w:tabs>
        <w:rPr>
          <w:rFonts w:cs="Times New Roman"/>
          <w:sz w:val="21"/>
          <w:szCs w:val="21"/>
          <w:highlight w:val="none"/>
        </w:rPr>
      </w:pPr>
      <w:r>
        <w:rPr>
          <w:rFonts w:cs="Times New Roman"/>
          <w:sz w:val="21"/>
          <w:szCs w:val="21"/>
          <w:highlight w:val="none"/>
        </w:rPr>
        <w:t xml:space="preserve">5</w:t>
      </w:r>
      <w:r>
        <w:rPr>
          <w:rFonts w:hint="eastAsia" w:cs="Times New Roman"/>
          <w:sz w:val="21"/>
          <w:szCs w:val="21"/>
          <w:highlight w:val="none"/>
        </w:rPr>
        <w:t xml:space="preserve">5</w:t>
      </w:r>
      <w:r>
        <w:rPr>
          <w:rFonts w:cs="Times New Roman"/>
          <w:sz w:val="21"/>
          <w:szCs w:val="21"/>
          <w:highlight w:val="none"/>
        </w:rPr>
        <w:t xml:space="preserve">.2.2 </w:t>
      </w:r>
      <w:r>
        <w:rPr>
          <w:rFonts w:hint="eastAsia" w:cs="Times New Roman"/>
          <w:sz w:val="21"/>
          <w:szCs w:val="21"/>
          <w:highlight w:val="none"/>
        </w:rPr>
        <w:t xml:space="preserve">因合同一方违约导致合同不能履行，另一方有权解除合同；</w:t>
      </w:r>
      <w:r/>
    </w:p>
    <w:p>
      <w:pPr>
        <w:ind w:firstLine="420"/>
        <w:spacing w:line="360" w:lineRule="auto"/>
        <w:tabs>
          <w:tab w:val="left" w:pos="630" w:leader="none"/>
        </w:tabs>
        <w:rPr>
          <w:rFonts w:cs="Times New Roman"/>
          <w:sz w:val="21"/>
          <w:szCs w:val="21"/>
          <w:highlight w:val="none"/>
        </w:rPr>
      </w:pPr>
      <w:r>
        <w:rPr>
          <w:rFonts w:cs="Times New Roman"/>
          <w:sz w:val="21"/>
          <w:szCs w:val="21"/>
          <w:highlight w:val="none"/>
        </w:rPr>
        <w:t xml:space="preserve">5</w:t>
      </w:r>
      <w:r>
        <w:rPr>
          <w:rFonts w:hint="eastAsia" w:cs="Times New Roman"/>
          <w:sz w:val="21"/>
          <w:szCs w:val="21"/>
          <w:highlight w:val="none"/>
        </w:rPr>
        <w:t xml:space="preserve">5</w:t>
      </w:r>
      <w:r>
        <w:rPr>
          <w:rFonts w:cs="Times New Roman"/>
          <w:sz w:val="21"/>
          <w:szCs w:val="21"/>
          <w:highlight w:val="none"/>
        </w:rPr>
        <w:t xml:space="preserve">.3 </w:t>
      </w:r>
      <w:r>
        <w:rPr>
          <w:rFonts w:hint="eastAsia" w:cs="Times New Roman"/>
          <w:sz w:val="21"/>
          <w:szCs w:val="21"/>
          <w:highlight w:val="none"/>
        </w:rPr>
        <w:t xml:space="preserve">有权解除合同的一方，应当在违约事实或不可抗力发生之后三十天内书面通知对方以主张解除合同，合同在书面通知到达对方时解除。</w:t>
      </w:r>
      <w:r/>
    </w:p>
    <w:p>
      <w:pPr>
        <w:spacing w:line="360" w:lineRule="auto"/>
        <w:rPr>
          <w:rFonts w:cs="Times New Roman"/>
          <w:b/>
          <w:sz w:val="21"/>
          <w:szCs w:val="21"/>
          <w:highlight w:val="none"/>
        </w:rPr>
      </w:pPr>
      <w:r>
        <w:rPr>
          <w:rFonts w:cs="Times New Roman"/>
          <w:b/>
          <w:sz w:val="21"/>
          <w:szCs w:val="21"/>
          <w:highlight w:val="none"/>
        </w:rPr>
        <w:t xml:space="preserve">5</w:t>
      </w:r>
      <w:r>
        <w:rPr>
          <w:rFonts w:hint="eastAsia" w:cs="Times New Roman"/>
          <w:b/>
          <w:sz w:val="21"/>
          <w:szCs w:val="21"/>
          <w:highlight w:val="none"/>
        </w:rPr>
        <w:t xml:space="preserve">6</w:t>
      </w:r>
      <w:r>
        <w:rPr>
          <w:rFonts w:cs="Times New Roman"/>
          <w:b/>
          <w:sz w:val="21"/>
          <w:szCs w:val="21"/>
          <w:highlight w:val="none"/>
        </w:rPr>
        <w:t xml:space="preserve">.  </w:t>
      </w:r>
      <w:r>
        <w:rPr>
          <w:rFonts w:hint="eastAsia" w:cs="Times New Roman"/>
          <w:b/>
          <w:sz w:val="21"/>
          <w:szCs w:val="21"/>
          <w:highlight w:val="none"/>
        </w:rPr>
        <w:t xml:space="preserve">合同的转让</w:t>
      </w:r>
      <w:r/>
    </w:p>
    <w:p>
      <w:pPr>
        <w:ind w:firstLine="420"/>
        <w:spacing w:line="360" w:lineRule="auto"/>
        <w:tabs>
          <w:tab w:val="left" w:pos="630" w:leader="none"/>
        </w:tabs>
        <w:rPr>
          <w:rFonts w:cs="Times New Roman"/>
          <w:sz w:val="21"/>
          <w:szCs w:val="21"/>
          <w:highlight w:val="none"/>
        </w:rPr>
      </w:pPr>
      <w:r>
        <w:rPr>
          <w:rFonts w:hint="eastAsia" w:cs="Times New Roman"/>
          <w:sz w:val="21"/>
          <w:szCs w:val="21"/>
          <w:highlight w:val="none"/>
        </w:rPr>
        <w:t xml:space="preserve">合同的部分和全部都不得转让。</w:t>
      </w:r>
      <w:r/>
    </w:p>
    <w:p>
      <w:pPr>
        <w:spacing w:line="360" w:lineRule="auto"/>
        <w:rPr>
          <w:rFonts w:cs="Times New Roman"/>
          <w:b/>
          <w:sz w:val="21"/>
          <w:szCs w:val="21"/>
          <w:highlight w:val="none"/>
        </w:rPr>
      </w:pPr>
      <w:r/>
      <w:bookmarkStart w:id="51" w:name="_Toc13543222"/>
      <w:r>
        <w:rPr>
          <w:rFonts w:hint="eastAsia" w:cs="Times New Roman"/>
          <w:b/>
          <w:sz w:val="21"/>
          <w:szCs w:val="21"/>
          <w:highlight w:val="none"/>
        </w:rPr>
        <w:t xml:space="preserve">十、合同的生效</w:t>
      </w:r>
      <w:bookmarkEnd w:id="51"/>
      <w:r/>
      <w:r/>
    </w:p>
    <w:p>
      <w:pPr>
        <w:spacing w:line="360" w:lineRule="auto"/>
        <w:rPr>
          <w:rFonts w:cs="Times New Roman"/>
          <w:b/>
          <w:sz w:val="21"/>
          <w:szCs w:val="21"/>
          <w:highlight w:val="none"/>
        </w:rPr>
      </w:pPr>
      <w:r>
        <w:rPr>
          <w:rFonts w:cs="Times New Roman"/>
          <w:b/>
          <w:sz w:val="21"/>
          <w:szCs w:val="21"/>
          <w:highlight w:val="none"/>
        </w:rPr>
        <w:t xml:space="preserve">5</w:t>
      </w:r>
      <w:r>
        <w:rPr>
          <w:rFonts w:hint="eastAsia" w:cs="Times New Roman"/>
          <w:b/>
          <w:sz w:val="21"/>
          <w:szCs w:val="21"/>
          <w:highlight w:val="none"/>
        </w:rPr>
        <w:t xml:space="preserve">7</w:t>
      </w:r>
      <w:r>
        <w:rPr>
          <w:rFonts w:cs="Times New Roman"/>
          <w:b/>
          <w:sz w:val="21"/>
          <w:szCs w:val="21"/>
          <w:highlight w:val="none"/>
        </w:rPr>
        <w:t xml:space="preserve">.  </w:t>
      </w:r>
      <w:r>
        <w:rPr>
          <w:rFonts w:hint="eastAsia" w:cs="Times New Roman"/>
          <w:b/>
          <w:sz w:val="21"/>
          <w:szCs w:val="21"/>
          <w:highlight w:val="none"/>
        </w:rPr>
        <w:t xml:space="preserve">合同的生效</w:t>
      </w:r>
      <w:r/>
    </w:p>
    <w:p>
      <w:pPr>
        <w:ind w:firstLine="420"/>
        <w:spacing w:line="360" w:lineRule="auto"/>
        <w:rPr>
          <w:rFonts w:cs="Times New Roman"/>
          <w:sz w:val="21"/>
          <w:szCs w:val="21"/>
          <w:highlight w:val="none"/>
        </w:rPr>
      </w:pPr>
      <w:r/>
      <w:bookmarkStart w:id="52" w:name="_Toc13543223"/>
      <w:r>
        <w:rPr>
          <w:rFonts w:hint="eastAsia" w:cs="Times New Roman"/>
          <w:sz w:val="21"/>
          <w:szCs w:val="21"/>
          <w:highlight w:val="none"/>
        </w:rPr>
        <w:t xml:space="preserve">本合同经甲乙双方法定代表人或其委托代理人签字并加盖公章（或合同章）后生效，生效合同需在合同签订后2个工作日内上网公示。</w:t>
      </w:r>
      <w:r/>
    </w:p>
    <w:p>
      <w:pPr>
        <w:spacing w:line="360" w:lineRule="auto"/>
        <w:rPr>
          <w:rFonts w:cs="Times New Roman"/>
          <w:b/>
          <w:sz w:val="21"/>
          <w:szCs w:val="21"/>
          <w:highlight w:val="none"/>
        </w:rPr>
      </w:pPr>
      <w:r>
        <w:rPr>
          <w:rFonts w:hint="eastAsia" w:cs="Times New Roman"/>
          <w:b/>
          <w:sz w:val="21"/>
          <w:szCs w:val="21"/>
          <w:highlight w:val="none"/>
        </w:rPr>
        <w:t xml:space="preserve">十一、争议解决</w:t>
      </w:r>
      <w:bookmarkEnd w:id="52"/>
      <w:r/>
      <w:r/>
    </w:p>
    <w:p>
      <w:pPr>
        <w:spacing w:line="360" w:lineRule="auto"/>
        <w:rPr>
          <w:rFonts w:cs="Times New Roman"/>
          <w:b/>
          <w:sz w:val="21"/>
          <w:szCs w:val="21"/>
          <w:highlight w:val="none"/>
        </w:rPr>
      </w:pPr>
      <w:r>
        <w:rPr>
          <w:rFonts w:cs="Times New Roman"/>
          <w:b/>
          <w:sz w:val="21"/>
          <w:szCs w:val="21"/>
          <w:highlight w:val="none"/>
        </w:rPr>
        <w:t xml:space="preserve">5</w:t>
      </w:r>
      <w:r>
        <w:rPr>
          <w:rFonts w:hint="eastAsia" w:cs="Times New Roman"/>
          <w:b/>
          <w:sz w:val="21"/>
          <w:szCs w:val="21"/>
          <w:highlight w:val="none"/>
        </w:rPr>
        <w:t xml:space="preserve">8</w:t>
      </w:r>
      <w:r>
        <w:rPr>
          <w:rFonts w:cs="Times New Roman"/>
          <w:b/>
          <w:sz w:val="21"/>
          <w:szCs w:val="21"/>
          <w:highlight w:val="none"/>
        </w:rPr>
        <w:t xml:space="preserve">.  </w:t>
      </w:r>
      <w:r>
        <w:rPr>
          <w:rFonts w:hint="eastAsia" w:cs="Times New Roman"/>
          <w:b/>
          <w:sz w:val="21"/>
          <w:szCs w:val="21"/>
          <w:highlight w:val="none"/>
        </w:rPr>
        <w:t xml:space="preserve">争议解决</w:t>
      </w:r>
      <w:r/>
    </w:p>
    <w:p>
      <w:pPr>
        <w:ind w:firstLine="420"/>
        <w:spacing w:line="360" w:lineRule="auto"/>
        <w:tabs>
          <w:tab w:val="left" w:pos="630" w:leader="none"/>
        </w:tabs>
        <w:rPr>
          <w:rFonts w:cs="Times New Roman"/>
          <w:sz w:val="21"/>
          <w:szCs w:val="21"/>
          <w:highlight w:val="none"/>
        </w:rPr>
      </w:pPr>
      <w:r>
        <w:rPr>
          <w:rFonts w:hint="eastAsia" w:cs="Times New Roman"/>
          <w:sz w:val="21"/>
          <w:szCs w:val="21"/>
          <w:highlight w:val="none"/>
        </w:rPr>
        <w:t xml:space="preserve">甲乙双方因合同发生争议，应在招标代理机构的主持下进行调解，协商不成，任何一方可以甲方所在地人民法院起诉。</w:t>
      </w:r>
      <w:bookmarkStart w:id="53" w:name="_Toc13543224"/>
      <w:r/>
      <w:r/>
    </w:p>
    <w:p>
      <w:pPr>
        <w:spacing w:line="360" w:lineRule="auto"/>
        <w:rPr>
          <w:rFonts w:cs="Times New Roman"/>
          <w:b/>
          <w:sz w:val="21"/>
          <w:szCs w:val="21"/>
          <w:highlight w:val="none"/>
        </w:rPr>
      </w:pPr>
      <w:r>
        <w:rPr>
          <w:rFonts w:hint="eastAsia" w:cs="Times New Roman"/>
          <w:b/>
          <w:sz w:val="21"/>
          <w:szCs w:val="21"/>
          <w:highlight w:val="none"/>
        </w:rPr>
        <w:t xml:space="preserve">十二、附则</w:t>
      </w:r>
      <w:bookmarkEnd w:id="53"/>
      <w:r/>
      <w:r/>
    </w:p>
    <w:p>
      <w:pPr>
        <w:spacing w:line="360" w:lineRule="auto"/>
        <w:rPr>
          <w:rFonts w:cs="Times New Roman"/>
          <w:b/>
          <w:sz w:val="21"/>
          <w:szCs w:val="21"/>
          <w:highlight w:val="none"/>
        </w:rPr>
      </w:pPr>
      <w:r>
        <w:rPr>
          <w:rFonts w:cs="Times New Roman"/>
          <w:b/>
          <w:sz w:val="21"/>
          <w:szCs w:val="21"/>
          <w:highlight w:val="none"/>
        </w:rPr>
        <w:t xml:space="preserve">5</w:t>
      </w:r>
      <w:r>
        <w:rPr>
          <w:rFonts w:hint="eastAsia" w:cs="Times New Roman"/>
          <w:b/>
          <w:sz w:val="21"/>
          <w:szCs w:val="21"/>
          <w:highlight w:val="none"/>
        </w:rPr>
        <w:t xml:space="preserve">9</w:t>
      </w:r>
      <w:r>
        <w:rPr>
          <w:rFonts w:cs="Times New Roman"/>
          <w:b/>
          <w:sz w:val="21"/>
          <w:szCs w:val="21"/>
          <w:highlight w:val="none"/>
        </w:rPr>
        <w:t xml:space="preserve">.  </w:t>
      </w:r>
      <w:r>
        <w:rPr>
          <w:rFonts w:hint="eastAsia" w:cs="Times New Roman"/>
          <w:b/>
          <w:sz w:val="21"/>
          <w:szCs w:val="21"/>
          <w:highlight w:val="none"/>
        </w:rPr>
        <w:t xml:space="preserve">合同份数。</w:t>
      </w:r>
      <w:r/>
    </w:p>
    <w:p>
      <w:pPr>
        <w:ind w:firstLine="420"/>
        <w:spacing w:line="360" w:lineRule="auto"/>
        <w:tabs>
          <w:tab w:val="left" w:pos="630" w:leader="none"/>
        </w:tabs>
        <w:rPr>
          <w:rFonts w:cs="Times New Roman"/>
          <w:sz w:val="21"/>
          <w:szCs w:val="21"/>
          <w:highlight w:val="none"/>
        </w:rPr>
      </w:pPr>
      <w:r>
        <w:rPr>
          <w:rFonts w:hint="eastAsia" w:cs="Times New Roman"/>
          <w:sz w:val="21"/>
          <w:szCs w:val="21"/>
          <w:highlight w:val="none"/>
        </w:rPr>
        <w:t xml:space="preserve">本合同一式六份，甲乙双方各执二份、招标代理机构执二份。</w:t>
      </w:r>
      <w:r/>
    </w:p>
    <w:p>
      <w:pPr>
        <w:spacing w:line="360" w:lineRule="auto"/>
        <w:rPr>
          <w:rFonts w:cs="Times New Roman"/>
          <w:b/>
          <w:sz w:val="21"/>
          <w:szCs w:val="21"/>
          <w:highlight w:val="none"/>
        </w:rPr>
      </w:pPr>
      <w:r>
        <w:rPr>
          <w:rFonts w:hint="eastAsia" w:cs="Times New Roman"/>
          <w:b/>
          <w:sz w:val="21"/>
          <w:szCs w:val="21"/>
          <w:highlight w:val="none"/>
        </w:rPr>
        <w:t xml:space="preserve">60</w:t>
      </w:r>
      <w:r>
        <w:rPr>
          <w:rFonts w:cs="Times New Roman"/>
          <w:b/>
          <w:sz w:val="21"/>
          <w:szCs w:val="21"/>
          <w:highlight w:val="none"/>
        </w:rPr>
        <w:t xml:space="preserve">.  </w:t>
      </w:r>
      <w:r>
        <w:rPr>
          <w:rFonts w:hint="eastAsia" w:cs="Times New Roman"/>
          <w:b/>
          <w:sz w:val="21"/>
          <w:szCs w:val="21"/>
          <w:highlight w:val="none"/>
        </w:rPr>
        <w:t xml:space="preserve">未尽事宜</w:t>
      </w:r>
      <w:r/>
    </w:p>
    <w:p>
      <w:pPr>
        <w:ind w:firstLine="420"/>
        <w:spacing w:line="360" w:lineRule="auto"/>
        <w:tabs>
          <w:tab w:val="left" w:pos="630" w:leader="none"/>
        </w:tabs>
        <w:rPr>
          <w:rFonts w:cs="Times New Roman"/>
          <w:sz w:val="21"/>
          <w:szCs w:val="21"/>
          <w:highlight w:val="none"/>
        </w:rPr>
      </w:pPr>
      <w:r>
        <w:rPr>
          <w:rFonts w:hint="eastAsia" w:cs="Times New Roman"/>
          <w:sz w:val="21"/>
          <w:szCs w:val="21"/>
          <w:highlight w:val="none"/>
        </w:rPr>
        <w:t xml:space="preserve">本合同未尽事宜应按《中华人民共和国民法典》、《中华人民共和国产品质量法》、《中华人民共和国政府采购法》之规定解释。</w:t>
      </w:r>
      <w:r/>
    </w:p>
    <w:p>
      <w:pPr>
        <w:ind w:left="422" w:firstLine="420"/>
        <w:spacing w:line="360" w:lineRule="auto"/>
        <w:rPr>
          <w:rFonts w:cs="Times New Roman"/>
          <w:b/>
          <w:bCs/>
          <w:sz w:val="21"/>
          <w:szCs w:val="21"/>
          <w:highlight w:val="none"/>
        </w:rPr>
      </w:pPr>
      <w:r>
        <w:rPr>
          <w:rFonts w:cs="Times New Roman"/>
          <w:b/>
          <w:bCs/>
          <w:sz w:val="21"/>
          <w:szCs w:val="21"/>
          <w:highlight w:val="none"/>
        </w:rPr>
      </w:r>
      <w:r/>
    </w:p>
    <w:p>
      <w:pPr>
        <w:ind w:firstLine="420"/>
        <w:jc w:val="center"/>
        <w:spacing w:line="360" w:lineRule="auto"/>
        <w:rPr>
          <w:rFonts w:cs="Times New Roman"/>
          <w:b/>
          <w:sz w:val="21"/>
          <w:szCs w:val="21"/>
          <w:highlight w:val="none"/>
        </w:rPr>
      </w:pPr>
      <w:r>
        <w:rPr>
          <w:rFonts w:cs="Times New Roman"/>
          <w:b/>
          <w:sz w:val="21"/>
          <w:szCs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ind w:firstLine="420"/>
        <w:jc w:val="center"/>
        <w:spacing w:line="360" w:lineRule="auto"/>
        <w:rPr>
          <w:rFonts w:cs="Times New Roman"/>
          <w:b/>
          <w:sz w:val="21"/>
          <w:highlight w:val="none"/>
        </w:rPr>
      </w:pPr>
      <w:r>
        <w:rPr>
          <w:rFonts w:cs="Times New Roman"/>
          <w:b/>
          <w:sz w:val="21"/>
          <w:highlight w:val="none"/>
        </w:rPr>
      </w:r>
      <w:r/>
    </w:p>
    <w:p>
      <w:pPr>
        <w:spacing w:line="360" w:lineRule="auto"/>
        <w:rPr>
          <w:rFonts w:cs="Times New Roman"/>
          <w:b/>
          <w:sz w:val="44"/>
          <w:highlight w:val="none"/>
        </w:rPr>
      </w:pPr>
      <w:r>
        <w:rPr>
          <w:rFonts w:cs="Times New Roman"/>
          <w:b/>
          <w:sz w:val="44"/>
          <w:highlight w:val="none"/>
        </w:rPr>
      </w:r>
      <w:r/>
    </w:p>
    <w:p>
      <w:pPr>
        <w:ind w:firstLine="883"/>
        <w:jc w:val="center"/>
        <w:spacing w:line="360" w:lineRule="auto"/>
        <w:rPr>
          <w:rFonts w:cs="Times New Roman"/>
          <w:sz w:val="44"/>
          <w:highlight w:val="none"/>
        </w:rPr>
      </w:pPr>
      <w:r>
        <w:rPr>
          <w:rFonts w:hint="eastAsia" w:cs="Times New Roman"/>
          <w:b/>
          <w:sz w:val="44"/>
          <w:highlight w:val="none"/>
        </w:rPr>
        <w:t xml:space="preserve">第六章合同特殊条款</w:t>
      </w:r>
      <w:bookmarkEnd w:id="41"/>
      <w:r/>
      <w:bookmarkEnd w:id="42"/>
      <w:r/>
      <w:r/>
    </w:p>
    <w:p>
      <w:pPr>
        <w:ind w:firstLine="422"/>
        <w:jc w:val="left"/>
        <w:spacing w:line="360" w:lineRule="auto"/>
        <w:rPr>
          <w:b/>
          <w:sz w:val="21"/>
          <w:szCs w:val="21"/>
          <w:highlight w:val="none"/>
        </w:rPr>
      </w:pPr>
      <w:r>
        <w:rPr>
          <w:rFonts w:hint="eastAsia"/>
          <w:b/>
          <w:sz w:val="21"/>
          <w:szCs w:val="21"/>
          <w:highlight w:val="none"/>
        </w:rPr>
        <w:t xml:space="preserve">甲方 ： </w:t>
      </w:r>
      <w:r/>
    </w:p>
    <w:p>
      <w:pPr>
        <w:ind w:firstLine="420"/>
        <w:jc w:val="left"/>
        <w:spacing w:line="360" w:lineRule="auto"/>
        <w:rPr>
          <w:bCs/>
          <w:sz w:val="21"/>
          <w:szCs w:val="21"/>
          <w:highlight w:val="none"/>
        </w:rPr>
      </w:pPr>
      <w:r>
        <w:rPr>
          <w:rFonts w:hint="eastAsia"/>
          <w:bCs/>
          <w:sz w:val="21"/>
          <w:szCs w:val="21"/>
          <w:highlight w:val="none"/>
        </w:rPr>
        <w:t xml:space="preserve">联系人：</w:t>
      </w:r>
      <w:r/>
    </w:p>
    <w:p>
      <w:pPr>
        <w:ind w:firstLine="420"/>
        <w:jc w:val="left"/>
        <w:spacing w:line="360" w:lineRule="auto"/>
        <w:rPr>
          <w:bCs/>
          <w:sz w:val="21"/>
          <w:szCs w:val="21"/>
          <w:highlight w:val="none"/>
        </w:rPr>
      </w:pPr>
      <w:r>
        <w:rPr>
          <w:rFonts w:hint="eastAsia"/>
          <w:bCs/>
          <w:sz w:val="21"/>
          <w:szCs w:val="21"/>
          <w:highlight w:val="none"/>
        </w:rPr>
        <w:t xml:space="preserve">联系电话：</w:t>
      </w:r>
      <w:r/>
    </w:p>
    <w:p>
      <w:pPr>
        <w:ind w:firstLine="420"/>
        <w:jc w:val="left"/>
        <w:spacing w:line="360" w:lineRule="auto"/>
        <w:rPr>
          <w:bCs/>
          <w:sz w:val="21"/>
          <w:szCs w:val="21"/>
          <w:highlight w:val="none"/>
        </w:rPr>
      </w:pPr>
      <w:r>
        <w:rPr>
          <w:rFonts w:hint="eastAsia"/>
          <w:bCs/>
          <w:sz w:val="21"/>
          <w:szCs w:val="21"/>
          <w:highlight w:val="none"/>
        </w:rPr>
        <w:t xml:space="preserve">地址：</w:t>
      </w:r>
      <w:r/>
    </w:p>
    <w:p>
      <w:pPr>
        <w:ind w:firstLine="422"/>
        <w:jc w:val="left"/>
        <w:spacing w:line="360" w:lineRule="auto"/>
        <w:rPr>
          <w:bCs/>
          <w:sz w:val="21"/>
          <w:szCs w:val="21"/>
          <w:highlight w:val="none"/>
        </w:rPr>
      </w:pPr>
      <w:r>
        <w:rPr>
          <w:rFonts w:hint="eastAsia"/>
          <w:b/>
          <w:sz w:val="21"/>
          <w:szCs w:val="21"/>
          <w:highlight w:val="none"/>
        </w:rPr>
        <w:t xml:space="preserve">乙方 ：</w:t>
      </w:r>
      <w:r/>
    </w:p>
    <w:p>
      <w:pPr>
        <w:ind w:firstLine="420"/>
        <w:jc w:val="left"/>
        <w:spacing w:line="360" w:lineRule="auto"/>
        <w:rPr>
          <w:bCs/>
          <w:sz w:val="21"/>
          <w:szCs w:val="21"/>
          <w:highlight w:val="none"/>
        </w:rPr>
      </w:pPr>
      <w:r>
        <w:rPr>
          <w:rFonts w:hint="eastAsia"/>
          <w:bCs/>
          <w:sz w:val="21"/>
          <w:szCs w:val="21"/>
          <w:highlight w:val="none"/>
        </w:rPr>
        <w:t xml:space="preserve">联系人：</w:t>
      </w:r>
      <w:r/>
    </w:p>
    <w:p>
      <w:pPr>
        <w:ind w:firstLine="420"/>
        <w:jc w:val="left"/>
        <w:spacing w:line="360" w:lineRule="auto"/>
        <w:rPr>
          <w:bCs/>
          <w:sz w:val="21"/>
          <w:szCs w:val="21"/>
          <w:highlight w:val="none"/>
        </w:rPr>
      </w:pPr>
      <w:r>
        <w:rPr>
          <w:rFonts w:hint="eastAsia"/>
          <w:bCs/>
          <w:sz w:val="21"/>
          <w:szCs w:val="21"/>
          <w:highlight w:val="none"/>
        </w:rPr>
        <w:t xml:space="preserve">联系电话：</w:t>
      </w:r>
      <w:r/>
    </w:p>
    <w:p>
      <w:pPr>
        <w:ind w:right="31" w:firstLine="420"/>
        <w:jc w:val="left"/>
        <w:spacing w:line="360" w:lineRule="auto"/>
        <w:rPr>
          <w:rFonts w:ascii="Times New Roman" w:hAnsi="Times New Roman" w:cs="Times New Roman"/>
          <w:sz w:val="21"/>
          <w:highlight w:val="none"/>
        </w:rPr>
      </w:pPr>
      <w:r>
        <w:rPr>
          <w:rFonts w:hint="eastAsia"/>
          <w:bCs/>
          <w:sz w:val="21"/>
          <w:szCs w:val="21"/>
          <w:highlight w:val="none"/>
        </w:rPr>
        <w:t xml:space="preserve">地址：</w:t>
      </w:r>
      <w:r/>
    </w:p>
    <w:p>
      <w:pPr>
        <w:ind w:right="31" w:firstLine="420"/>
        <w:jc w:val="left"/>
        <w:spacing w:line="360" w:lineRule="auto"/>
        <w:rPr>
          <w:sz w:val="21"/>
          <w:szCs w:val="21"/>
          <w:highlight w:val="none"/>
        </w:rPr>
      </w:pPr>
      <w:r>
        <w:rPr>
          <w:rFonts w:hint="eastAsia"/>
          <w:sz w:val="21"/>
          <w:szCs w:val="21"/>
          <w:highlight w:val="none"/>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bCs/>
          <w:sz w:val="21"/>
          <w:szCs w:val="21"/>
          <w:highlight w:val="none"/>
          <w:u w:val="single"/>
        </w:rPr>
        <w:t xml:space="preserve">    项目</w:t>
      </w:r>
      <w:r>
        <w:rPr>
          <w:rFonts w:hint="eastAsia"/>
          <w:sz w:val="21"/>
          <w:szCs w:val="21"/>
          <w:highlight w:val="none"/>
        </w:rPr>
        <w:t xml:space="preserve">的购销事宜，签订本合同书。</w:t>
      </w:r>
      <w:r/>
    </w:p>
    <w:p>
      <w:pPr>
        <w:numPr>
          <w:ilvl w:val="0"/>
          <w:numId w:val="7"/>
        </w:numPr>
        <w:spacing w:line="360" w:lineRule="auto"/>
        <w:rPr>
          <w:b/>
          <w:sz w:val="21"/>
          <w:szCs w:val="21"/>
          <w:highlight w:val="none"/>
        </w:rPr>
      </w:pPr>
      <w:r>
        <w:rPr>
          <w:rFonts w:hint="eastAsia"/>
          <w:b/>
          <w:sz w:val="21"/>
          <w:szCs w:val="21"/>
          <w:highlight w:val="none"/>
        </w:rPr>
        <w:t xml:space="preserve">项目内容：</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sz w:val="21"/>
                <w:szCs w:val="21"/>
                <w:highlight w:val="none"/>
              </w:rPr>
            </w:pPr>
            <w:r>
              <w:rPr>
                <w:rFonts w:hint="eastAsia"/>
                <w:sz w:val="21"/>
                <w:szCs w:val="21"/>
                <w:highlight w:val="none"/>
              </w:rPr>
              <w:t xml:space="preserve">序号</w:t>
            </w:r>
            <w:r/>
          </w:p>
        </w:tc>
        <w:tc>
          <w:tcPr>
            <w:tcW w:w="1796" w:type="dxa"/>
            <w:vAlign w:val="center"/>
            <w:textDirection w:val="lrTb"/>
            <w:noWrap w:val="false"/>
          </w:tcPr>
          <w:p>
            <w:pPr>
              <w:jc w:val="center"/>
              <w:widowControl/>
              <w:rPr>
                <w:sz w:val="21"/>
                <w:szCs w:val="21"/>
                <w:highlight w:val="none"/>
              </w:rPr>
            </w:pPr>
            <w:r>
              <w:rPr>
                <w:rFonts w:hint="eastAsia"/>
                <w:sz w:val="21"/>
                <w:szCs w:val="21"/>
                <w:highlight w:val="none"/>
              </w:rPr>
              <w:t xml:space="preserve">项目名称</w:t>
            </w:r>
            <w:r/>
          </w:p>
        </w:tc>
        <w:tc>
          <w:tcPr>
            <w:tcW w:w="1424" w:type="dxa"/>
            <w:vAlign w:val="center"/>
            <w:textDirection w:val="lrTb"/>
            <w:noWrap w:val="false"/>
          </w:tcPr>
          <w:p>
            <w:pPr>
              <w:jc w:val="center"/>
              <w:widowControl/>
              <w:rPr>
                <w:sz w:val="21"/>
                <w:szCs w:val="21"/>
                <w:highlight w:val="none"/>
              </w:rPr>
            </w:pPr>
            <w:r>
              <w:rPr>
                <w:rFonts w:hint="eastAsia"/>
                <w:sz w:val="21"/>
                <w:szCs w:val="21"/>
                <w:highlight w:val="none"/>
              </w:rPr>
              <w:t xml:space="preserve">规格、型号</w:t>
            </w:r>
            <w:r/>
          </w:p>
        </w:tc>
        <w:tc>
          <w:tcPr>
            <w:tcW w:w="921" w:type="dxa"/>
            <w:vAlign w:val="center"/>
            <w:textDirection w:val="lrTb"/>
            <w:noWrap w:val="false"/>
          </w:tcPr>
          <w:p>
            <w:pPr>
              <w:jc w:val="center"/>
              <w:widowControl/>
              <w:rPr>
                <w:sz w:val="21"/>
                <w:szCs w:val="21"/>
                <w:highlight w:val="none"/>
              </w:rPr>
            </w:pPr>
            <w:r>
              <w:rPr>
                <w:rFonts w:hint="eastAsia"/>
                <w:sz w:val="21"/>
                <w:szCs w:val="21"/>
                <w:highlight w:val="none"/>
              </w:rPr>
              <w:t xml:space="preserve">单位</w:t>
            </w:r>
            <w:r/>
          </w:p>
        </w:tc>
        <w:tc>
          <w:tcPr>
            <w:tcW w:w="792" w:type="dxa"/>
            <w:vAlign w:val="center"/>
            <w:textDirection w:val="lrTb"/>
            <w:noWrap w:val="false"/>
          </w:tcPr>
          <w:p>
            <w:pPr>
              <w:jc w:val="center"/>
              <w:widowControl/>
              <w:rPr>
                <w:sz w:val="21"/>
                <w:szCs w:val="21"/>
                <w:highlight w:val="none"/>
              </w:rPr>
            </w:pPr>
            <w:r>
              <w:rPr>
                <w:rFonts w:hint="eastAsia"/>
                <w:sz w:val="21"/>
                <w:szCs w:val="21"/>
                <w:highlight w:val="none"/>
              </w:rPr>
              <w:t xml:space="preserve">数量</w:t>
            </w:r>
            <w:r/>
          </w:p>
        </w:tc>
        <w:tc>
          <w:tcPr>
            <w:tcW w:w="1111" w:type="dxa"/>
            <w:vAlign w:val="center"/>
            <w:textDirection w:val="lrTb"/>
            <w:noWrap w:val="false"/>
          </w:tcPr>
          <w:p>
            <w:pPr>
              <w:widowControl/>
              <w:rPr>
                <w:sz w:val="21"/>
                <w:szCs w:val="21"/>
                <w:highlight w:val="none"/>
              </w:rPr>
            </w:pPr>
            <w:r>
              <w:rPr>
                <w:rFonts w:hint="eastAsia"/>
                <w:sz w:val="21"/>
                <w:szCs w:val="21"/>
                <w:highlight w:val="none"/>
              </w:rPr>
              <w:t xml:space="preserve">生产厂家</w:t>
            </w:r>
            <w:r/>
          </w:p>
        </w:tc>
        <w:tc>
          <w:tcPr>
            <w:tcW w:w="898" w:type="dxa"/>
            <w:vAlign w:val="center"/>
            <w:textDirection w:val="lrTb"/>
            <w:noWrap w:val="false"/>
          </w:tcPr>
          <w:p>
            <w:pPr>
              <w:jc w:val="center"/>
              <w:widowControl/>
              <w:rPr>
                <w:sz w:val="21"/>
                <w:szCs w:val="21"/>
                <w:highlight w:val="none"/>
              </w:rPr>
            </w:pPr>
            <w:r>
              <w:rPr>
                <w:rFonts w:hint="eastAsia"/>
                <w:sz w:val="21"/>
                <w:szCs w:val="21"/>
                <w:highlight w:val="none"/>
              </w:rPr>
              <w:t xml:space="preserve">单价</w:t>
            </w:r>
            <w:r/>
          </w:p>
          <w:p>
            <w:pPr>
              <w:jc w:val="center"/>
              <w:widowControl/>
              <w:rPr>
                <w:sz w:val="21"/>
                <w:szCs w:val="21"/>
                <w:highlight w:val="none"/>
              </w:rPr>
            </w:pPr>
            <w:r>
              <w:rPr>
                <w:rFonts w:hint="eastAsia"/>
                <w:sz w:val="21"/>
                <w:szCs w:val="21"/>
                <w:highlight w:val="none"/>
              </w:rPr>
              <w:t xml:space="preserve">（元）</w:t>
            </w:r>
            <w:r/>
          </w:p>
        </w:tc>
        <w:tc>
          <w:tcPr>
            <w:tcW w:w="896" w:type="dxa"/>
            <w:vAlign w:val="center"/>
            <w:textDirection w:val="lrTb"/>
            <w:noWrap w:val="false"/>
          </w:tcPr>
          <w:p>
            <w:pPr>
              <w:jc w:val="center"/>
              <w:widowControl/>
              <w:rPr>
                <w:sz w:val="21"/>
                <w:szCs w:val="21"/>
                <w:highlight w:val="none"/>
              </w:rPr>
            </w:pPr>
            <w:r>
              <w:rPr>
                <w:rFonts w:hint="eastAsia"/>
                <w:sz w:val="21"/>
                <w:szCs w:val="21"/>
                <w:highlight w:val="none"/>
              </w:rPr>
              <w:t xml:space="preserve">总价</w:t>
            </w:r>
            <w:r/>
          </w:p>
          <w:p>
            <w:pPr>
              <w:jc w:val="center"/>
              <w:widowControl/>
              <w:rPr>
                <w:sz w:val="21"/>
                <w:szCs w:val="21"/>
                <w:highlight w:val="none"/>
              </w:rPr>
            </w:pPr>
            <w:r>
              <w:rPr>
                <w:rFonts w:hint="eastAsia"/>
                <w:sz w:val="21"/>
                <w:szCs w:val="21"/>
                <w:highlight w:val="none"/>
              </w:rPr>
              <w:t xml:space="preserve">（元）</w:t>
            </w:r>
            <w:r/>
          </w:p>
        </w:tc>
      </w:tr>
      <w:tr>
        <w:trPr>
          <w:jc w:val="center"/>
          <w:trHeight w:val="226"/>
        </w:trPr>
        <w:tc>
          <w:tcPr>
            <w:tcW w:w="762" w:type="dxa"/>
            <w:vAlign w:val="center"/>
            <w:textDirection w:val="lrTb"/>
            <w:noWrap w:val="false"/>
          </w:tcPr>
          <w:p>
            <w:pPr>
              <w:jc w:val="center"/>
              <w:widowControl/>
              <w:rPr>
                <w:sz w:val="21"/>
                <w:szCs w:val="21"/>
                <w:highlight w:val="none"/>
              </w:rPr>
            </w:pPr>
            <w:r>
              <w:rPr>
                <w:rFonts w:hint="eastAsia"/>
                <w:sz w:val="21"/>
                <w:szCs w:val="21"/>
                <w:highlight w:val="none"/>
              </w:rPr>
              <w:t xml:space="preserve">1</w:t>
            </w:r>
            <w:r/>
          </w:p>
        </w:tc>
        <w:tc>
          <w:tcPr>
            <w:tcW w:w="1796" w:type="dxa"/>
            <w:vAlign w:val="center"/>
            <w:textDirection w:val="lrTb"/>
            <w:noWrap w:val="false"/>
          </w:tcPr>
          <w:p>
            <w:pPr>
              <w:jc w:val="center"/>
              <w:widowControl/>
              <w:rPr>
                <w:sz w:val="21"/>
                <w:szCs w:val="21"/>
                <w:highlight w:val="none"/>
              </w:rPr>
            </w:pPr>
            <w:r>
              <w:rPr>
                <w:sz w:val="21"/>
                <w:szCs w:val="21"/>
                <w:highlight w:val="none"/>
              </w:rPr>
            </w:r>
            <w:r/>
          </w:p>
        </w:tc>
        <w:tc>
          <w:tcPr>
            <w:tcW w:w="1424" w:type="dxa"/>
            <w:vAlign w:val="center"/>
            <w:textDirection w:val="lrTb"/>
            <w:noWrap w:val="false"/>
          </w:tcPr>
          <w:p>
            <w:pPr>
              <w:jc w:val="center"/>
              <w:widowControl/>
              <w:rPr>
                <w:sz w:val="21"/>
                <w:szCs w:val="21"/>
                <w:highlight w:val="none"/>
              </w:rPr>
            </w:pPr>
            <w:r>
              <w:rPr>
                <w:sz w:val="21"/>
                <w:szCs w:val="21"/>
                <w:highlight w:val="none"/>
              </w:rPr>
            </w:r>
            <w:r/>
          </w:p>
        </w:tc>
        <w:tc>
          <w:tcPr>
            <w:tcW w:w="921" w:type="dxa"/>
            <w:vAlign w:val="center"/>
            <w:textDirection w:val="lrTb"/>
            <w:noWrap w:val="false"/>
          </w:tcPr>
          <w:p>
            <w:pPr>
              <w:jc w:val="center"/>
              <w:widowControl/>
              <w:rPr>
                <w:sz w:val="21"/>
                <w:szCs w:val="21"/>
                <w:highlight w:val="none"/>
              </w:rPr>
            </w:pPr>
            <w:r>
              <w:rPr>
                <w:sz w:val="21"/>
                <w:szCs w:val="21"/>
                <w:highlight w:val="none"/>
              </w:rPr>
            </w:r>
            <w:r/>
          </w:p>
        </w:tc>
        <w:tc>
          <w:tcPr>
            <w:tcW w:w="792" w:type="dxa"/>
            <w:vAlign w:val="center"/>
            <w:textDirection w:val="lrTb"/>
            <w:noWrap w:val="false"/>
          </w:tcPr>
          <w:p>
            <w:pPr>
              <w:jc w:val="center"/>
              <w:widowControl/>
              <w:rPr>
                <w:sz w:val="21"/>
                <w:szCs w:val="21"/>
                <w:highlight w:val="none"/>
              </w:rPr>
            </w:pPr>
            <w:r>
              <w:rPr>
                <w:sz w:val="21"/>
                <w:szCs w:val="21"/>
                <w:highlight w:val="none"/>
              </w:rPr>
            </w:r>
            <w:r/>
          </w:p>
        </w:tc>
        <w:tc>
          <w:tcPr>
            <w:tcW w:w="1111" w:type="dxa"/>
            <w:vAlign w:val="center"/>
            <w:textDirection w:val="lrTb"/>
            <w:noWrap w:val="false"/>
          </w:tcPr>
          <w:p>
            <w:pPr>
              <w:jc w:val="center"/>
              <w:widowControl/>
              <w:rPr>
                <w:sz w:val="21"/>
                <w:szCs w:val="21"/>
                <w:highlight w:val="none"/>
              </w:rPr>
            </w:pPr>
            <w:r>
              <w:rPr>
                <w:sz w:val="21"/>
                <w:szCs w:val="21"/>
                <w:highlight w:val="none"/>
              </w:rPr>
            </w:r>
            <w:r/>
          </w:p>
        </w:tc>
        <w:tc>
          <w:tcPr>
            <w:tcW w:w="898" w:type="dxa"/>
            <w:vAlign w:val="center"/>
            <w:textDirection w:val="lrTb"/>
            <w:noWrap w:val="false"/>
          </w:tcPr>
          <w:p>
            <w:pPr>
              <w:jc w:val="center"/>
              <w:widowControl/>
              <w:rPr>
                <w:sz w:val="21"/>
                <w:szCs w:val="21"/>
                <w:highlight w:val="none"/>
              </w:rPr>
            </w:pPr>
            <w:r>
              <w:rPr>
                <w:sz w:val="21"/>
                <w:szCs w:val="21"/>
                <w:highlight w:val="none"/>
              </w:rPr>
            </w:r>
            <w:r/>
          </w:p>
        </w:tc>
        <w:tc>
          <w:tcPr>
            <w:tcW w:w="896" w:type="dxa"/>
            <w:vAlign w:val="center"/>
            <w:textDirection w:val="lrTb"/>
            <w:noWrap w:val="false"/>
          </w:tcPr>
          <w:p>
            <w:pPr>
              <w:jc w:val="center"/>
              <w:widowControl/>
              <w:rPr>
                <w:sz w:val="21"/>
                <w:szCs w:val="21"/>
                <w:highlight w:val="none"/>
              </w:rPr>
            </w:pPr>
            <w:r>
              <w:rPr>
                <w:sz w:val="21"/>
                <w:szCs w:val="21"/>
                <w:highlight w:val="none"/>
              </w:rPr>
            </w:r>
            <w:r/>
          </w:p>
        </w:tc>
      </w:tr>
      <w:tr>
        <w:trPr>
          <w:jc w:val="center"/>
          <w:trHeight w:val="226"/>
        </w:trPr>
        <w:tc>
          <w:tcPr>
            <w:tcW w:w="762" w:type="dxa"/>
            <w:vAlign w:val="center"/>
            <w:textDirection w:val="lrTb"/>
            <w:noWrap w:val="false"/>
          </w:tcPr>
          <w:p>
            <w:pPr>
              <w:jc w:val="center"/>
              <w:widowControl/>
              <w:rPr>
                <w:sz w:val="21"/>
                <w:szCs w:val="21"/>
                <w:highlight w:val="none"/>
              </w:rPr>
            </w:pPr>
            <w:r>
              <w:rPr>
                <w:rFonts w:hint="eastAsia"/>
                <w:sz w:val="21"/>
                <w:szCs w:val="21"/>
                <w:highlight w:val="none"/>
              </w:rPr>
              <w:t xml:space="preserve">2</w:t>
            </w:r>
            <w:r/>
          </w:p>
        </w:tc>
        <w:tc>
          <w:tcPr>
            <w:tcW w:w="1796" w:type="dxa"/>
            <w:vAlign w:val="center"/>
            <w:textDirection w:val="lrTb"/>
            <w:noWrap w:val="false"/>
          </w:tcPr>
          <w:p>
            <w:pPr>
              <w:jc w:val="center"/>
              <w:widowControl/>
              <w:rPr>
                <w:sz w:val="21"/>
                <w:szCs w:val="21"/>
                <w:highlight w:val="none"/>
              </w:rPr>
            </w:pPr>
            <w:r>
              <w:rPr>
                <w:sz w:val="21"/>
                <w:szCs w:val="21"/>
                <w:highlight w:val="none"/>
              </w:rPr>
            </w:r>
            <w:r/>
          </w:p>
        </w:tc>
        <w:tc>
          <w:tcPr>
            <w:tcW w:w="1424" w:type="dxa"/>
            <w:vAlign w:val="center"/>
            <w:textDirection w:val="lrTb"/>
            <w:noWrap w:val="false"/>
          </w:tcPr>
          <w:p>
            <w:pPr>
              <w:jc w:val="center"/>
              <w:widowControl/>
              <w:rPr>
                <w:sz w:val="21"/>
                <w:szCs w:val="21"/>
                <w:highlight w:val="none"/>
              </w:rPr>
            </w:pPr>
            <w:r>
              <w:rPr>
                <w:sz w:val="21"/>
                <w:szCs w:val="21"/>
                <w:highlight w:val="none"/>
              </w:rPr>
            </w:r>
            <w:r/>
          </w:p>
        </w:tc>
        <w:tc>
          <w:tcPr>
            <w:tcW w:w="921" w:type="dxa"/>
            <w:vAlign w:val="center"/>
            <w:textDirection w:val="lrTb"/>
            <w:noWrap w:val="false"/>
          </w:tcPr>
          <w:p>
            <w:pPr>
              <w:jc w:val="center"/>
              <w:widowControl/>
              <w:rPr>
                <w:sz w:val="21"/>
                <w:szCs w:val="21"/>
                <w:highlight w:val="none"/>
              </w:rPr>
            </w:pPr>
            <w:r>
              <w:rPr>
                <w:sz w:val="21"/>
                <w:szCs w:val="21"/>
                <w:highlight w:val="none"/>
              </w:rPr>
            </w:r>
            <w:r/>
          </w:p>
        </w:tc>
        <w:tc>
          <w:tcPr>
            <w:tcW w:w="792" w:type="dxa"/>
            <w:vAlign w:val="center"/>
            <w:textDirection w:val="lrTb"/>
            <w:noWrap w:val="false"/>
          </w:tcPr>
          <w:p>
            <w:pPr>
              <w:jc w:val="center"/>
              <w:widowControl/>
              <w:rPr>
                <w:sz w:val="21"/>
                <w:szCs w:val="21"/>
                <w:highlight w:val="none"/>
              </w:rPr>
            </w:pPr>
            <w:r>
              <w:rPr>
                <w:sz w:val="21"/>
                <w:szCs w:val="21"/>
                <w:highlight w:val="none"/>
              </w:rPr>
            </w:r>
            <w:r/>
          </w:p>
        </w:tc>
        <w:tc>
          <w:tcPr>
            <w:tcW w:w="1111" w:type="dxa"/>
            <w:vAlign w:val="center"/>
            <w:textDirection w:val="lrTb"/>
            <w:noWrap w:val="false"/>
          </w:tcPr>
          <w:p>
            <w:pPr>
              <w:jc w:val="center"/>
              <w:widowControl/>
              <w:rPr>
                <w:sz w:val="21"/>
                <w:szCs w:val="21"/>
                <w:highlight w:val="none"/>
              </w:rPr>
            </w:pPr>
            <w:r>
              <w:rPr>
                <w:sz w:val="21"/>
                <w:szCs w:val="21"/>
                <w:highlight w:val="none"/>
              </w:rPr>
            </w:r>
            <w:r/>
          </w:p>
        </w:tc>
        <w:tc>
          <w:tcPr>
            <w:tcW w:w="898" w:type="dxa"/>
            <w:vAlign w:val="center"/>
            <w:textDirection w:val="lrTb"/>
            <w:noWrap w:val="false"/>
          </w:tcPr>
          <w:p>
            <w:pPr>
              <w:jc w:val="center"/>
              <w:widowControl/>
              <w:rPr>
                <w:sz w:val="21"/>
                <w:szCs w:val="21"/>
                <w:highlight w:val="none"/>
              </w:rPr>
            </w:pPr>
            <w:r>
              <w:rPr>
                <w:sz w:val="21"/>
                <w:szCs w:val="21"/>
                <w:highlight w:val="none"/>
              </w:rPr>
            </w:r>
            <w:r/>
          </w:p>
        </w:tc>
        <w:tc>
          <w:tcPr>
            <w:tcW w:w="896" w:type="dxa"/>
            <w:vAlign w:val="center"/>
            <w:textDirection w:val="lrTb"/>
            <w:noWrap w:val="false"/>
          </w:tcPr>
          <w:p>
            <w:pPr>
              <w:jc w:val="center"/>
              <w:widowControl/>
              <w:rPr>
                <w:sz w:val="21"/>
                <w:szCs w:val="21"/>
                <w:highlight w:val="none"/>
              </w:rPr>
            </w:pPr>
            <w:r>
              <w:rPr>
                <w:sz w:val="21"/>
                <w:szCs w:val="21"/>
                <w:highlight w:val="none"/>
              </w:rPr>
            </w:r>
            <w:r/>
          </w:p>
        </w:tc>
      </w:tr>
      <w:tr>
        <w:trPr>
          <w:jc w:val="center"/>
          <w:trHeight w:val="226"/>
        </w:trPr>
        <w:tc>
          <w:tcPr>
            <w:tcW w:w="762" w:type="dxa"/>
            <w:vAlign w:val="center"/>
            <w:textDirection w:val="lrTb"/>
            <w:noWrap w:val="false"/>
          </w:tcPr>
          <w:p>
            <w:pPr>
              <w:jc w:val="center"/>
              <w:widowControl/>
              <w:rPr>
                <w:sz w:val="21"/>
                <w:szCs w:val="21"/>
                <w:highlight w:val="none"/>
              </w:rPr>
            </w:pPr>
            <w:r>
              <w:rPr>
                <w:rFonts w:hint="eastAsia"/>
                <w:sz w:val="21"/>
                <w:szCs w:val="21"/>
                <w:highlight w:val="none"/>
              </w:rPr>
              <w:t xml:space="preserve">3</w:t>
            </w:r>
            <w:r/>
          </w:p>
        </w:tc>
        <w:tc>
          <w:tcPr>
            <w:tcW w:w="1796" w:type="dxa"/>
            <w:vAlign w:val="center"/>
            <w:textDirection w:val="lrTb"/>
            <w:noWrap w:val="false"/>
          </w:tcPr>
          <w:p>
            <w:pPr>
              <w:jc w:val="center"/>
              <w:widowControl/>
              <w:rPr>
                <w:sz w:val="21"/>
                <w:szCs w:val="21"/>
                <w:highlight w:val="none"/>
              </w:rPr>
            </w:pPr>
            <w:r>
              <w:rPr>
                <w:sz w:val="21"/>
                <w:szCs w:val="21"/>
                <w:highlight w:val="none"/>
              </w:rPr>
            </w:r>
            <w:r/>
          </w:p>
        </w:tc>
        <w:tc>
          <w:tcPr>
            <w:tcW w:w="1424" w:type="dxa"/>
            <w:vAlign w:val="center"/>
            <w:textDirection w:val="lrTb"/>
            <w:noWrap w:val="false"/>
          </w:tcPr>
          <w:p>
            <w:pPr>
              <w:jc w:val="center"/>
              <w:widowControl/>
              <w:rPr>
                <w:sz w:val="21"/>
                <w:szCs w:val="21"/>
                <w:highlight w:val="none"/>
              </w:rPr>
            </w:pPr>
            <w:r>
              <w:rPr>
                <w:sz w:val="21"/>
                <w:szCs w:val="21"/>
                <w:highlight w:val="none"/>
              </w:rPr>
            </w:r>
            <w:r/>
          </w:p>
        </w:tc>
        <w:tc>
          <w:tcPr>
            <w:tcW w:w="921" w:type="dxa"/>
            <w:vAlign w:val="center"/>
            <w:textDirection w:val="lrTb"/>
            <w:noWrap w:val="false"/>
          </w:tcPr>
          <w:p>
            <w:pPr>
              <w:jc w:val="center"/>
              <w:widowControl/>
              <w:rPr>
                <w:sz w:val="21"/>
                <w:szCs w:val="21"/>
                <w:highlight w:val="none"/>
              </w:rPr>
            </w:pPr>
            <w:r>
              <w:rPr>
                <w:sz w:val="21"/>
                <w:szCs w:val="21"/>
                <w:highlight w:val="none"/>
              </w:rPr>
            </w:r>
            <w:r/>
          </w:p>
        </w:tc>
        <w:tc>
          <w:tcPr>
            <w:tcW w:w="792" w:type="dxa"/>
            <w:vAlign w:val="center"/>
            <w:textDirection w:val="lrTb"/>
            <w:noWrap w:val="false"/>
          </w:tcPr>
          <w:p>
            <w:pPr>
              <w:jc w:val="center"/>
              <w:widowControl/>
              <w:rPr>
                <w:sz w:val="21"/>
                <w:szCs w:val="21"/>
                <w:highlight w:val="none"/>
              </w:rPr>
            </w:pPr>
            <w:r>
              <w:rPr>
                <w:sz w:val="21"/>
                <w:szCs w:val="21"/>
                <w:highlight w:val="none"/>
              </w:rPr>
            </w:r>
            <w:r/>
          </w:p>
        </w:tc>
        <w:tc>
          <w:tcPr>
            <w:tcW w:w="1111" w:type="dxa"/>
            <w:vAlign w:val="center"/>
            <w:textDirection w:val="lrTb"/>
            <w:noWrap w:val="false"/>
          </w:tcPr>
          <w:p>
            <w:pPr>
              <w:jc w:val="center"/>
              <w:widowControl/>
              <w:rPr>
                <w:sz w:val="21"/>
                <w:szCs w:val="21"/>
                <w:highlight w:val="none"/>
              </w:rPr>
            </w:pPr>
            <w:r>
              <w:rPr>
                <w:sz w:val="21"/>
                <w:szCs w:val="21"/>
                <w:highlight w:val="none"/>
              </w:rPr>
            </w:r>
            <w:r/>
          </w:p>
        </w:tc>
        <w:tc>
          <w:tcPr>
            <w:tcW w:w="898" w:type="dxa"/>
            <w:vAlign w:val="center"/>
            <w:textDirection w:val="lrTb"/>
            <w:noWrap w:val="false"/>
          </w:tcPr>
          <w:p>
            <w:pPr>
              <w:jc w:val="center"/>
              <w:widowControl/>
              <w:rPr>
                <w:sz w:val="21"/>
                <w:szCs w:val="21"/>
                <w:highlight w:val="none"/>
              </w:rPr>
            </w:pPr>
            <w:r>
              <w:rPr>
                <w:sz w:val="21"/>
                <w:szCs w:val="21"/>
                <w:highlight w:val="none"/>
              </w:rPr>
            </w:r>
            <w:r/>
          </w:p>
        </w:tc>
        <w:tc>
          <w:tcPr>
            <w:tcW w:w="896" w:type="dxa"/>
            <w:vAlign w:val="center"/>
            <w:textDirection w:val="lrTb"/>
            <w:noWrap w:val="false"/>
          </w:tcPr>
          <w:p>
            <w:pPr>
              <w:jc w:val="center"/>
              <w:widowControl/>
              <w:rPr>
                <w:sz w:val="21"/>
                <w:szCs w:val="21"/>
                <w:highlight w:val="none"/>
              </w:rPr>
            </w:pPr>
            <w:r>
              <w:rPr>
                <w:sz w:val="21"/>
                <w:szCs w:val="21"/>
                <w:highlight w:val="none"/>
              </w:rPr>
            </w:r>
            <w:r/>
          </w:p>
        </w:tc>
      </w:tr>
      <w:tr>
        <w:trPr>
          <w:jc w:val="center"/>
          <w:trHeight w:val="226"/>
        </w:trPr>
        <w:tc>
          <w:tcPr>
            <w:tcW w:w="762" w:type="dxa"/>
            <w:vAlign w:val="center"/>
            <w:textDirection w:val="lrTb"/>
            <w:noWrap w:val="false"/>
          </w:tcPr>
          <w:p>
            <w:pPr>
              <w:jc w:val="center"/>
              <w:widowControl/>
              <w:rPr>
                <w:sz w:val="21"/>
                <w:szCs w:val="21"/>
                <w:highlight w:val="none"/>
              </w:rPr>
            </w:pPr>
            <w:r>
              <w:rPr>
                <w:rFonts w:hint="eastAsia"/>
                <w:sz w:val="21"/>
                <w:szCs w:val="21"/>
                <w:highlight w:val="none"/>
              </w:rPr>
              <w:t xml:space="preserve">...</w:t>
            </w:r>
            <w:r/>
          </w:p>
        </w:tc>
        <w:tc>
          <w:tcPr>
            <w:tcW w:w="1796" w:type="dxa"/>
            <w:vAlign w:val="center"/>
            <w:textDirection w:val="lrTb"/>
            <w:noWrap w:val="false"/>
          </w:tcPr>
          <w:p>
            <w:pPr>
              <w:jc w:val="center"/>
              <w:widowControl/>
              <w:rPr>
                <w:sz w:val="21"/>
                <w:szCs w:val="21"/>
                <w:highlight w:val="none"/>
              </w:rPr>
            </w:pPr>
            <w:r>
              <w:rPr>
                <w:sz w:val="21"/>
                <w:szCs w:val="21"/>
                <w:highlight w:val="none"/>
              </w:rPr>
            </w:r>
            <w:r/>
          </w:p>
        </w:tc>
        <w:tc>
          <w:tcPr>
            <w:tcW w:w="1424" w:type="dxa"/>
            <w:vAlign w:val="center"/>
            <w:textDirection w:val="lrTb"/>
            <w:noWrap w:val="false"/>
          </w:tcPr>
          <w:p>
            <w:pPr>
              <w:jc w:val="center"/>
              <w:widowControl/>
              <w:rPr>
                <w:sz w:val="21"/>
                <w:szCs w:val="21"/>
                <w:highlight w:val="none"/>
              </w:rPr>
            </w:pPr>
            <w:r>
              <w:rPr>
                <w:sz w:val="21"/>
                <w:szCs w:val="21"/>
                <w:highlight w:val="none"/>
              </w:rPr>
            </w:r>
            <w:r/>
          </w:p>
        </w:tc>
        <w:tc>
          <w:tcPr>
            <w:tcW w:w="921" w:type="dxa"/>
            <w:vAlign w:val="center"/>
            <w:textDirection w:val="lrTb"/>
            <w:noWrap w:val="false"/>
          </w:tcPr>
          <w:p>
            <w:pPr>
              <w:jc w:val="center"/>
              <w:widowControl/>
              <w:rPr>
                <w:sz w:val="21"/>
                <w:szCs w:val="21"/>
                <w:highlight w:val="none"/>
              </w:rPr>
            </w:pPr>
            <w:r>
              <w:rPr>
                <w:sz w:val="21"/>
                <w:szCs w:val="21"/>
                <w:highlight w:val="none"/>
              </w:rPr>
            </w:r>
            <w:r/>
          </w:p>
        </w:tc>
        <w:tc>
          <w:tcPr>
            <w:tcW w:w="792" w:type="dxa"/>
            <w:vAlign w:val="center"/>
            <w:textDirection w:val="lrTb"/>
            <w:noWrap w:val="false"/>
          </w:tcPr>
          <w:p>
            <w:pPr>
              <w:jc w:val="center"/>
              <w:widowControl/>
              <w:rPr>
                <w:sz w:val="21"/>
                <w:szCs w:val="21"/>
                <w:highlight w:val="none"/>
              </w:rPr>
            </w:pPr>
            <w:r>
              <w:rPr>
                <w:sz w:val="21"/>
                <w:szCs w:val="21"/>
                <w:highlight w:val="none"/>
              </w:rPr>
            </w:r>
            <w:r/>
          </w:p>
        </w:tc>
        <w:tc>
          <w:tcPr>
            <w:tcW w:w="1111" w:type="dxa"/>
            <w:vAlign w:val="center"/>
            <w:textDirection w:val="lrTb"/>
            <w:noWrap w:val="false"/>
          </w:tcPr>
          <w:p>
            <w:pPr>
              <w:jc w:val="center"/>
              <w:widowControl/>
              <w:rPr>
                <w:sz w:val="21"/>
                <w:szCs w:val="21"/>
                <w:highlight w:val="none"/>
              </w:rPr>
            </w:pPr>
            <w:r>
              <w:rPr>
                <w:sz w:val="21"/>
                <w:szCs w:val="21"/>
                <w:highlight w:val="none"/>
              </w:rPr>
            </w:r>
            <w:r/>
          </w:p>
        </w:tc>
        <w:tc>
          <w:tcPr>
            <w:tcW w:w="898" w:type="dxa"/>
            <w:vAlign w:val="center"/>
            <w:textDirection w:val="lrTb"/>
            <w:noWrap w:val="false"/>
          </w:tcPr>
          <w:p>
            <w:pPr>
              <w:jc w:val="center"/>
              <w:widowControl/>
              <w:rPr>
                <w:sz w:val="21"/>
                <w:szCs w:val="21"/>
                <w:highlight w:val="none"/>
              </w:rPr>
            </w:pPr>
            <w:r>
              <w:rPr>
                <w:sz w:val="21"/>
                <w:szCs w:val="21"/>
                <w:highlight w:val="none"/>
              </w:rPr>
            </w:r>
            <w:r/>
          </w:p>
        </w:tc>
        <w:tc>
          <w:tcPr>
            <w:tcW w:w="896" w:type="dxa"/>
            <w:vAlign w:val="center"/>
            <w:textDirection w:val="lrTb"/>
            <w:noWrap w:val="false"/>
          </w:tcPr>
          <w:p>
            <w:pPr>
              <w:jc w:val="center"/>
              <w:widowControl/>
              <w:rPr>
                <w:sz w:val="21"/>
                <w:szCs w:val="21"/>
                <w:highlight w:val="none"/>
              </w:rPr>
            </w:pPr>
            <w:r>
              <w:rPr>
                <w:sz w:val="21"/>
                <w:szCs w:val="21"/>
                <w:highlight w:val="none"/>
              </w:rPr>
            </w:r>
            <w:r/>
          </w:p>
        </w:tc>
      </w:tr>
      <w:tr>
        <w:trPr>
          <w:jc w:val="center"/>
          <w:trHeight w:val="326"/>
        </w:trPr>
        <w:tc>
          <w:tcPr>
            <w:gridSpan w:val="8"/>
            <w:tcW w:w="8600" w:type="dxa"/>
            <w:vAlign w:val="center"/>
            <w:textDirection w:val="lrTb"/>
            <w:noWrap w:val="false"/>
          </w:tcPr>
          <w:p>
            <w:pPr>
              <w:jc w:val="left"/>
              <w:widowControl/>
              <w:rPr>
                <w:b/>
                <w:sz w:val="21"/>
                <w:szCs w:val="21"/>
                <w:highlight w:val="none"/>
              </w:rPr>
            </w:pPr>
            <w:r>
              <w:rPr>
                <w:rFonts w:hint="eastAsia"/>
                <w:b/>
                <w:sz w:val="21"/>
                <w:szCs w:val="21"/>
                <w:highlight w:val="none"/>
              </w:rPr>
              <w:t xml:space="preserve">合计金额大写：</w:t>
            </w:r>
            <w:r/>
          </w:p>
        </w:tc>
      </w:tr>
    </w:tbl>
    <w:p>
      <w:pPr>
        <w:ind w:firstLine="400"/>
        <w:tabs>
          <w:tab w:val="center" w:pos="4201" w:leader="none"/>
          <w:tab w:val="right" w:pos="9298" w:leader="dot"/>
        </w:tabs>
        <w:rPr>
          <w:rFonts w:eastAsia="Times New Roman"/>
          <w:highlight w:val="none"/>
        </w:rPr>
      </w:pPr>
      <w:r>
        <w:rPr>
          <w:rFonts w:eastAsia="Times New Roman"/>
          <w:highlight w:val="none"/>
        </w:rPr>
      </w:r>
      <w:r/>
    </w:p>
    <w:p>
      <w:pPr>
        <w:spacing w:line="360" w:lineRule="auto"/>
        <w:rPr>
          <w:b/>
          <w:sz w:val="21"/>
          <w:highlight w:val="none"/>
        </w:rPr>
      </w:pPr>
      <w:r>
        <w:rPr>
          <w:rFonts w:hint="eastAsia"/>
          <w:b/>
          <w:sz w:val="21"/>
          <w:highlight w:val="none"/>
        </w:rPr>
        <w:t xml:space="preserve">二、下列文件为本合同不可分割部分：</w:t>
      </w:r>
      <w:r/>
    </w:p>
    <w:p>
      <w:pPr>
        <w:ind w:firstLine="420"/>
        <w:spacing w:line="360" w:lineRule="auto"/>
        <w:rPr>
          <w:rFonts w:ascii="Times New Roman" w:hAnsi="Times New Roman"/>
          <w:bCs/>
          <w:sz w:val="21"/>
          <w:highlight w:val="none"/>
        </w:rPr>
      </w:pPr>
      <w:r>
        <w:rPr>
          <w:rFonts w:hint="eastAsia" w:ascii="Times New Roman" w:hAnsi="Times New Roman"/>
          <w:bCs/>
          <w:sz w:val="21"/>
          <w:highlight w:val="none"/>
        </w:rPr>
        <w:t xml:space="preserve">（一）中标通知书；</w:t>
      </w:r>
      <w:r/>
    </w:p>
    <w:p>
      <w:pPr>
        <w:ind w:firstLine="420"/>
        <w:spacing w:line="360" w:lineRule="auto"/>
        <w:rPr>
          <w:rFonts w:ascii="Times New Roman" w:hAnsi="Times New Roman"/>
          <w:bCs/>
          <w:sz w:val="21"/>
          <w:highlight w:val="none"/>
        </w:rPr>
      </w:pPr>
      <w:r>
        <w:rPr>
          <w:rFonts w:hint="eastAsia" w:ascii="Times New Roman" w:hAnsi="Times New Roman"/>
          <w:bCs/>
          <w:sz w:val="21"/>
          <w:highlight w:val="none"/>
        </w:rPr>
        <w:t xml:space="preserve">（二）招标文件、技术要求及补充通知（如有）；</w:t>
      </w:r>
      <w:r/>
    </w:p>
    <w:p>
      <w:pPr>
        <w:ind w:firstLine="420"/>
        <w:spacing w:line="360" w:lineRule="auto"/>
        <w:rPr>
          <w:rFonts w:ascii="Times New Roman" w:hAnsi="Times New Roman"/>
          <w:bCs/>
          <w:sz w:val="21"/>
          <w:highlight w:val="none"/>
        </w:rPr>
      </w:pPr>
      <w:r>
        <w:rPr>
          <w:rFonts w:hint="eastAsia" w:ascii="Times New Roman" w:hAnsi="Times New Roman"/>
          <w:bCs/>
          <w:sz w:val="21"/>
          <w:highlight w:val="none"/>
        </w:rPr>
        <w:t xml:space="preserve">（三）中标文件和其它承诺、书面澄清等；</w:t>
      </w:r>
      <w:r/>
    </w:p>
    <w:p>
      <w:pPr>
        <w:ind w:firstLine="420"/>
        <w:spacing w:line="360" w:lineRule="auto"/>
        <w:rPr>
          <w:rFonts w:ascii="Times New Roman" w:hAnsi="Times New Roman"/>
          <w:bCs/>
          <w:sz w:val="21"/>
          <w:highlight w:val="none"/>
        </w:rPr>
      </w:pPr>
      <w:r>
        <w:rPr>
          <w:rFonts w:hint="eastAsia" w:ascii="Times New Roman" w:hAnsi="Times New Roman"/>
          <w:bCs/>
          <w:sz w:val="21"/>
          <w:highlight w:val="none"/>
        </w:rPr>
        <w:t xml:space="preserve">（四）技术文件；</w:t>
      </w:r>
      <w:r/>
    </w:p>
    <w:p>
      <w:pPr>
        <w:ind w:firstLine="420"/>
        <w:spacing w:line="360" w:lineRule="auto"/>
        <w:rPr>
          <w:rFonts w:ascii="Times New Roman" w:hAnsi="Times New Roman"/>
          <w:bCs/>
          <w:sz w:val="21"/>
          <w:highlight w:val="none"/>
        </w:rPr>
      </w:pPr>
      <w:r>
        <w:rPr>
          <w:rFonts w:hint="eastAsia" w:ascii="Times New Roman" w:hAnsi="Times New Roman"/>
          <w:bCs/>
          <w:sz w:val="21"/>
          <w:highlight w:val="none"/>
        </w:rPr>
        <w:t xml:space="preserve">（五）其他约定文件等。</w:t>
      </w:r>
      <w:r/>
    </w:p>
    <w:p>
      <w:pPr>
        <w:spacing w:line="360" w:lineRule="auto"/>
        <w:rPr>
          <w:rFonts w:ascii="Times New Roman" w:hAnsi="Times New Roman"/>
          <w:b/>
          <w:bCs/>
          <w:sz w:val="21"/>
          <w:highlight w:val="none"/>
        </w:rPr>
      </w:pPr>
      <w:r>
        <w:rPr>
          <w:rFonts w:hint="eastAsia" w:ascii="Times New Roman" w:hAnsi="Times New Roman"/>
          <w:b/>
          <w:bCs/>
          <w:sz w:val="21"/>
          <w:highlight w:val="none"/>
        </w:rPr>
        <w:t xml:space="preserve">三、合同价格与支付：  </w:t>
      </w:r>
      <w:r/>
    </w:p>
    <w:p>
      <w:pPr>
        <w:ind w:firstLine="420"/>
        <w:spacing w:line="360" w:lineRule="auto"/>
        <w:tabs>
          <w:tab w:val="left" w:pos="630" w:leader="none"/>
        </w:tabs>
        <w:rPr>
          <w:sz w:val="21"/>
          <w:highlight w:val="none"/>
        </w:rPr>
      </w:pPr>
      <w:r>
        <w:rPr>
          <w:rFonts w:hint="eastAsia"/>
          <w:sz w:val="21"/>
          <w:highlight w:val="none"/>
        </w:rPr>
        <w:t xml:space="preserve">（一）本合同价格为</w:t>
      </w:r>
      <w:r>
        <w:rPr>
          <w:rFonts w:hint="eastAsia"/>
          <w:sz w:val="21"/>
          <w:szCs w:val="28"/>
          <w:highlight w:val="none"/>
        </w:rPr>
        <w:t xml:space="preserve">项目所在地</w:t>
      </w:r>
      <w:r>
        <w:rPr>
          <w:rFonts w:hint="eastAsia"/>
          <w:sz w:val="21"/>
          <w:highlight w:val="none"/>
        </w:rPr>
        <w:t xml:space="preserve">含税价，本合同价格按人民币结算。</w:t>
      </w:r>
      <w:r/>
    </w:p>
    <w:p>
      <w:pPr>
        <w:ind w:firstLine="420"/>
        <w:jc w:val="left"/>
        <w:spacing w:line="360" w:lineRule="auto"/>
        <w:rPr>
          <w:sz w:val="21"/>
          <w:highlight w:val="none"/>
        </w:rPr>
      </w:pPr>
      <w:r>
        <w:rPr>
          <w:rFonts w:hint="eastAsia"/>
          <w:sz w:val="21"/>
          <w:highlight w:val="none"/>
        </w:rPr>
        <w:t xml:space="preserve">（二）本合同总价为：</w:t>
      </w:r>
      <w:r>
        <w:rPr>
          <w:rFonts w:hint="eastAsia"/>
          <w:b/>
          <w:sz w:val="21"/>
          <w:szCs w:val="21"/>
          <w:highlight w:val="none"/>
          <w:u w:val="single"/>
        </w:rPr>
        <w:t xml:space="preserve">         （￥    ）</w:t>
      </w:r>
      <w:r>
        <w:rPr>
          <w:rFonts w:hint="eastAsia"/>
          <w:sz w:val="21"/>
          <w:highlight w:val="none"/>
        </w:rPr>
        <w:t xml:space="preserve">，合同总价</w:t>
      </w:r>
      <w:r>
        <w:rPr>
          <w:rFonts w:hint="eastAsia"/>
          <w:sz w:val="21"/>
          <w:szCs w:val="21"/>
          <w:highlight w:val="none"/>
        </w:rPr>
        <w:t xml:space="preserve">包括全部</w:t>
      </w:r>
      <w:r>
        <w:rPr>
          <w:rFonts w:hint="eastAsia"/>
          <w:sz w:val="21"/>
          <w:highlight w:val="none"/>
        </w:rPr>
        <w:t xml:space="preserve">产品供货、辅助材料、备品备件、运输、仓储、发货、送货、安装、调试、人工、机械、装卸、培训、保险、运费、各种税费、劳保、专利技术及质保等完成本次项目所需的一切费用。 </w:t>
      </w:r>
      <w:r/>
    </w:p>
    <w:p>
      <w:pPr>
        <w:ind w:firstLine="420"/>
        <w:spacing w:line="360" w:lineRule="auto"/>
        <w:rPr>
          <w:sz w:val="21"/>
          <w:highlight w:val="none"/>
        </w:rPr>
      </w:pPr>
      <w:r>
        <w:rPr>
          <w:rFonts w:hint="eastAsia"/>
          <w:sz w:val="21"/>
          <w:highlight w:val="none"/>
        </w:rPr>
        <w:t xml:space="preserve">（三）付款步骤：</w:t>
      </w:r>
      <w:r/>
    </w:p>
    <w:p>
      <w:pPr>
        <w:ind w:firstLine="420"/>
        <w:spacing w:line="360" w:lineRule="auto"/>
        <w:rPr>
          <w:rFonts w:eastAsia="宋体" w:cs="Times New Roman"/>
          <w:sz w:val="21"/>
          <w:highlight w:val="none"/>
          <w:lang w:val="en-US" w:eastAsia="zh-CN"/>
        </w:rPr>
      </w:pPr>
      <w:r>
        <w:rPr>
          <w:rFonts w:hint="eastAsia" w:cs="Times New Roman"/>
          <w:sz w:val="21"/>
          <w:szCs w:val="21"/>
          <w:highlight w:val="none"/>
        </w:rPr>
        <w:t xml:space="preserve">1.</w:t>
      </w:r>
      <w:r>
        <w:rPr>
          <w:rFonts w:hint="eastAsia" w:cs="Times New Roman"/>
          <w:sz w:val="21"/>
          <w:highlight w:val="none"/>
        </w:rPr>
        <w:t xml:space="preserve">在政府采购合同签订生效后，合同签订备案后甲方支付合同价款的30%的货款</w:t>
      </w:r>
      <w:r>
        <w:rPr>
          <w:rFonts w:hint="eastAsia" w:cs="Times New Roman"/>
          <w:sz w:val="21"/>
          <w:highlight w:val="none"/>
          <w:lang w:eastAsia="zh-CN"/>
        </w:rPr>
        <w:t xml:space="preserve">（乙方需提供相同金额的银行</w:t>
      </w:r>
      <w:r>
        <w:rPr>
          <w:rFonts w:hint="eastAsia" w:cs="Times New Roman"/>
          <w:sz w:val="21"/>
          <w:highlight w:val="none"/>
          <w:lang w:val="en-US" w:eastAsia="zh-CN"/>
        </w:rPr>
        <w:t xml:space="preserve">保函</w:t>
      </w:r>
      <w:r>
        <w:rPr>
          <w:rFonts w:hint="eastAsia" w:cs="Times New Roman"/>
          <w:sz w:val="21"/>
          <w:highlight w:val="none"/>
          <w:lang w:eastAsia="zh-CN"/>
        </w:rPr>
        <w:t xml:space="preserve">）</w:t>
      </w:r>
      <w:r>
        <w:rPr>
          <w:rFonts w:hint="eastAsia" w:cs="Times New Roman"/>
          <w:sz w:val="21"/>
          <w:highlight w:val="none"/>
        </w:rPr>
        <w:t xml:space="preserve">；货物到达现场，经代建、监理、招标代理和采购人验收合格后甲方付至合同价款的50%；安装完毕通电验收合格后付至合同价款的80%（</w:t>
      </w:r>
      <w:r>
        <w:rPr>
          <w:rFonts w:hint="eastAsia" w:cs="Times New Roman"/>
          <w:sz w:val="21"/>
          <w:highlight w:val="none"/>
          <w:u w:val="none"/>
          <w:lang w:val="en-US" w:eastAsia="zh-CN"/>
        </w:rPr>
        <w:t xml:space="preserve">同时</w:t>
      </w:r>
      <w:r>
        <w:rPr>
          <w:rFonts w:hint="eastAsia" w:ascii="宋体" w:hAnsi="宋体" w:cs="宋体"/>
          <w:color w:val="000000"/>
          <w:sz w:val="21"/>
          <w:szCs w:val="21"/>
          <w:highlight w:val="none"/>
          <w:u w:val="none"/>
          <w:lang w:eastAsia="zh-CN"/>
        </w:rPr>
        <w:t xml:space="preserve">在乙方提交书面退还申请后，</w:t>
      </w:r>
      <w:r>
        <w:rPr>
          <w:rFonts w:hint="eastAsia" w:ascii="宋体" w:hAnsi="宋体" w:cs="宋体"/>
          <w:color w:val="000000"/>
          <w:sz w:val="21"/>
          <w:szCs w:val="21"/>
          <w:highlight w:val="none"/>
          <w:u w:val="none"/>
          <w:lang w:val="en-US" w:eastAsia="zh-CN"/>
        </w:rPr>
        <w:t xml:space="preserve">经甲方同意，</w:t>
      </w:r>
      <w:r>
        <w:rPr>
          <w:rFonts w:hint="eastAsia" w:ascii="宋体" w:hAnsi="宋体" w:cs="宋体"/>
          <w:color w:val="000000"/>
          <w:sz w:val="21"/>
          <w:szCs w:val="21"/>
          <w:highlight w:val="none"/>
          <w:u w:val="none"/>
          <w:lang w:eastAsia="zh-CN"/>
        </w:rPr>
        <w:t xml:space="preserve">无息退还30%预付款对应的银行保函</w:t>
      </w:r>
      <w:r>
        <w:rPr>
          <w:rFonts w:hint="eastAsia" w:cs="Times New Roman"/>
          <w:sz w:val="21"/>
          <w:highlight w:val="none"/>
        </w:rPr>
        <w:t xml:space="preserve">）；经审计后付至结算审定价的90%；</w:t>
      </w:r>
      <w:r>
        <w:rPr>
          <w:rFonts w:hint="eastAsia" w:ascii="宋体" w:hAnsi="宋体" w:eastAsia="宋体" w:cs="Times New Roman"/>
          <w:sz w:val="21"/>
          <w:szCs w:val="24"/>
          <w:highlight w:val="none"/>
          <w:u w:val="none"/>
        </w:rPr>
        <w:t xml:space="preserve">审计满一年付至97%；</w:t>
      </w:r>
      <w:r>
        <w:rPr>
          <w:rFonts w:hint="eastAsia" w:cs="Times New Roman"/>
          <w:sz w:val="21"/>
          <w:highlight w:val="none"/>
        </w:rPr>
        <w:t xml:space="preserve">余款待质保期满后付清</w:t>
      </w:r>
      <w:r>
        <w:rPr>
          <w:rFonts w:hint="eastAsia" w:eastAsia="宋体" w:cs="Times New Roman"/>
          <w:sz w:val="21"/>
          <w:highlight w:val="none"/>
          <w:lang w:eastAsia="zh-CN"/>
        </w:rPr>
        <w:t xml:space="preserve">，</w:t>
      </w:r>
      <w:r>
        <w:rPr>
          <w:rFonts w:hint="eastAsia" w:eastAsia="宋体" w:cs="Times New Roman"/>
          <w:sz w:val="21"/>
          <w:highlight w:val="none"/>
        </w:rPr>
        <w:t xml:space="preserve">审计晚于质保期满</w:t>
      </w:r>
      <w:r>
        <w:rPr>
          <w:rFonts w:hint="eastAsia" w:eastAsia="宋体" w:cs="Times New Roman"/>
          <w:sz w:val="21"/>
          <w:highlight w:val="none"/>
          <w:lang w:val="en-US" w:eastAsia="zh-CN"/>
        </w:rPr>
        <w:t xml:space="preserve">后</w:t>
      </w:r>
      <w:r>
        <w:rPr>
          <w:rFonts w:hint="eastAsia" w:eastAsia="宋体" w:cs="Times New Roman"/>
          <w:sz w:val="21"/>
          <w:highlight w:val="none"/>
        </w:rPr>
        <w:t xml:space="preserve">完成的，</w:t>
      </w:r>
      <w:r>
        <w:rPr>
          <w:rFonts w:hint="eastAsia" w:eastAsia="宋体" w:cs="Times New Roman"/>
          <w:sz w:val="21"/>
          <w:highlight w:val="none"/>
          <w:lang w:val="en-US" w:eastAsia="zh-CN"/>
        </w:rPr>
        <w:t xml:space="preserve">余款10%支付时间延迟至审计后</w:t>
      </w:r>
      <w:r>
        <w:rPr>
          <w:rFonts w:hint="eastAsia" w:eastAsia="宋体" w:cs="Times New Roman"/>
          <w:sz w:val="21"/>
          <w:highlight w:val="none"/>
        </w:rPr>
        <w:t xml:space="preserve">。</w:t>
      </w:r>
      <w:r/>
    </w:p>
    <w:p>
      <w:pPr>
        <w:ind w:firstLine="420"/>
        <w:spacing w:line="360" w:lineRule="auto"/>
        <w:rPr>
          <w:rFonts w:cs="Times New Roman"/>
          <w:sz w:val="21"/>
          <w:szCs w:val="21"/>
          <w:highlight w:val="none"/>
        </w:rPr>
      </w:pPr>
      <w:r>
        <w:rPr>
          <w:rFonts w:hint="eastAsia" w:cs="Times New Roman"/>
          <w:sz w:val="21"/>
          <w:szCs w:val="21"/>
          <w:highlight w:val="none"/>
        </w:rPr>
        <w:t xml:space="preserve">2.付款前，乙方应开具正规合格的增值税专用发票原件提交甲方，甲方将支付相应款项。</w:t>
      </w:r>
      <w:r/>
    </w:p>
    <w:p>
      <w:pPr>
        <w:ind w:firstLine="420"/>
        <w:spacing w:line="360" w:lineRule="auto"/>
        <w:rPr>
          <w:rFonts w:cs="Times New Roman"/>
          <w:sz w:val="21"/>
          <w:szCs w:val="21"/>
          <w:highlight w:val="none"/>
        </w:rPr>
      </w:pPr>
      <w:r>
        <w:rPr>
          <w:rFonts w:hint="eastAsia" w:cs="Times New Roman"/>
          <w:sz w:val="21"/>
          <w:szCs w:val="21"/>
          <w:highlight w:val="none"/>
        </w:rPr>
        <w:t xml:space="preserve">3.在签订合同时，乙方明确表示无需预付款或者主动要求降低预付款比例的，甲方可不适用上述关于预付款的规定。</w:t>
      </w:r>
      <w:r/>
    </w:p>
    <w:p>
      <w:pPr>
        <w:ind w:firstLine="630"/>
        <w:spacing w:line="360" w:lineRule="auto"/>
        <w:rPr>
          <w:rFonts w:cs="Times New Roman"/>
          <w:bCs/>
          <w:sz w:val="21"/>
          <w:szCs w:val="21"/>
          <w:highlight w:val="none"/>
        </w:rPr>
      </w:pPr>
      <w:r>
        <w:rPr>
          <w:rFonts w:hint="eastAsia" w:cs="Times New Roman"/>
          <w:bCs/>
          <w:sz w:val="21"/>
          <w:szCs w:val="21"/>
          <w:highlight w:val="none"/>
        </w:rPr>
        <w:t xml:space="preserve">4.甲方每次付款时，乙方需提供以下资料：</w:t>
      </w:r>
      <w:r/>
    </w:p>
    <w:p>
      <w:pPr>
        <w:ind w:firstLine="630"/>
        <w:spacing w:line="360" w:lineRule="auto"/>
        <w:rPr>
          <w:rFonts w:cs="Times New Roman"/>
          <w:bCs/>
          <w:sz w:val="21"/>
          <w:szCs w:val="21"/>
          <w:highlight w:val="none"/>
        </w:rPr>
      </w:pPr>
      <w:r>
        <w:rPr>
          <w:rFonts w:hint="eastAsia" w:cs="Times New Roman"/>
          <w:bCs/>
          <w:sz w:val="21"/>
          <w:szCs w:val="21"/>
          <w:highlight w:val="none"/>
        </w:rPr>
        <w:t xml:space="preserve">A、合格销售发票</w:t>
      </w:r>
      <w:r/>
    </w:p>
    <w:p>
      <w:pPr>
        <w:ind w:firstLine="630"/>
        <w:spacing w:line="360" w:lineRule="auto"/>
        <w:rPr>
          <w:rFonts w:hint="eastAsia" w:eastAsia="宋体" w:cs="Times New Roman"/>
          <w:bCs/>
          <w:sz w:val="21"/>
          <w:szCs w:val="21"/>
          <w:highlight w:val="none"/>
        </w:rPr>
      </w:pPr>
      <w:r>
        <w:rPr>
          <w:rFonts w:hint="eastAsia" w:eastAsia="宋体" w:cs="Times New Roman"/>
          <w:bCs/>
          <w:sz w:val="21"/>
          <w:szCs w:val="21"/>
          <w:highlight w:val="none"/>
        </w:rPr>
        <w:t xml:space="preserve">B、甲方签收后的送货回单</w:t>
      </w:r>
      <w:r/>
    </w:p>
    <w:p>
      <w:pPr>
        <w:ind w:firstLine="630"/>
        <w:spacing w:line="360" w:lineRule="auto"/>
        <w:rPr>
          <w:rFonts w:hint="eastAsia" w:eastAsia="宋体" w:cs="Times New Roman"/>
          <w:bCs/>
          <w:sz w:val="21"/>
          <w:szCs w:val="21"/>
          <w:highlight w:val="none"/>
          <w:lang w:val="en-US" w:eastAsia="zh-CN"/>
        </w:rPr>
      </w:pPr>
      <w:r>
        <w:rPr>
          <w:rFonts w:hint="eastAsia" w:eastAsia="宋体" w:cs="Times New Roman"/>
          <w:bCs/>
          <w:sz w:val="21"/>
          <w:szCs w:val="21"/>
          <w:highlight w:val="none"/>
          <w:lang w:val="en-US" w:eastAsia="zh-CN"/>
        </w:rPr>
        <w:t xml:space="preserve">C、验收合格证明</w:t>
      </w:r>
      <w:r/>
    </w:p>
    <w:p>
      <w:pPr>
        <w:ind w:firstLine="632"/>
        <w:spacing w:line="360" w:lineRule="auto"/>
        <w:rPr>
          <w:rFonts w:hint="eastAsia" w:eastAsia="宋体"/>
          <w:highlight w:val="none"/>
          <w:lang w:val="en-US" w:eastAsia="zh-CN"/>
        </w:rPr>
      </w:pPr>
      <w:r>
        <w:rPr>
          <w:rFonts w:hint="eastAsia" w:ascii="宋体" w:hAnsi="宋体" w:eastAsia="宋体" w:cs="Times New Roman"/>
          <w:b/>
          <w:sz w:val="21"/>
          <w:szCs w:val="21"/>
          <w:highlight w:val="none"/>
        </w:rPr>
        <w:t xml:space="preserve">5.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Times New Roman" w:hAnsi="Times New Roman" w:eastAsia="宋体" w:cs="Times New Roman"/>
          <w:sz w:val="21"/>
          <w:szCs w:val="21"/>
          <w:highlight w:val="none"/>
        </w:rPr>
        <w:t xml:space="preserve">。</w:t>
      </w:r>
      <w:r/>
    </w:p>
    <w:p>
      <w:pPr>
        <w:ind w:right="-161" w:firstLine="630"/>
        <w:spacing w:line="360" w:lineRule="auto"/>
        <w:rPr>
          <w:sz w:val="21"/>
          <w:highlight w:val="none"/>
        </w:rPr>
      </w:pPr>
      <w:r>
        <w:rPr>
          <w:rFonts w:hint="eastAsia"/>
          <w:sz w:val="21"/>
          <w:highlight w:val="none"/>
          <w:lang w:val="en-US" w:eastAsia="zh-CN"/>
        </w:rPr>
        <w:t xml:space="preserve">6</w:t>
      </w:r>
      <w:r>
        <w:rPr>
          <w:rFonts w:hint="eastAsia"/>
          <w:sz w:val="21"/>
          <w:highlight w:val="none"/>
        </w:rPr>
        <w:t xml:space="preserve">.付款方式：银行转账、银行汇票或转帐支票。</w:t>
      </w:r>
      <w:r/>
    </w:p>
    <w:p>
      <w:pPr>
        <w:ind w:right="-161" w:firstLine="630"/>
        <w:spacing w:line="360" w:lineRule="auto"/>
        <w:rPr>
          <w:sz w:val="21"/>
          <w:highlight w:val="none"/>
        </w:rPr>
      </w:pPr>
      <w:r>
        <w:rPr>
          <w:rFonts w:hint="eastAsia"/>
          <w:sz w:val="21"/>
          <w:highlight w:val="none"/>
          <w:lang w:val="en-US" w:eastAsia="zh-CN"/>
        </w:rPr>
        <w:t xml:space="preserve">7</w:t>
      </w:r>
      <w:r>
        <w:rPr>
          <w:rFonts w:hint="eastAsia"/>
          <w:sz w:val="21"/>
          <w:highlight w:val="none"/>
        </w:rPr>
        <w:t xml:space="preserve">.乙方账户信息如下：</w:t>
      </w:r>
      <w:r/>
    </w:p>
    <w:p>
      <w:pPr>
        <w:ind w:right="-161" w:firstLine="630"/>
        <w:spacing w:line="360" w:lineRule="auto"/>
        <w:rPr>
          <w:sz w:val="21"/>
          <w:highlight w:val="none"/>
        </w:rPr>
      </w:pPr>
      <w:r>
        <w:rPr>
          <w:rFonts w:hint="eastAsia"/>
          <w:sz w:val="21"/>
          <w:highlight w:val="none"/>
        </w:rPr>
        <w:t xml:space="preserve">开户名称：</w:t>
      </w:r>
      <w:r/>
    </w:p>
    <w:p>
      <w:pPr>
        <w:ind w:right="-161" w:firstLine="630"/>
        <w:spacing w:line="360" w:lineRule="auto"/>
        <w:rPr>
          <w:sz w:val="21"/>
          <w:highlight w:val="none"/>
        </w:rPr>
      </w:pPr>
      <w:r>
        <w:rPr>
          <w:rFonts w:hint="eastAsia"/>
          <w:sz w:val="21"/>
          <w:highlight w:val="none"/>
        </w:rPr>
        <w:t xml:space="preserve">开户银行：</w:t>
      </w:r>
      <w:r/>
    </w:p>
    <w:p>
      <w:pPr>
        <w:ind w:right="-161" w:firstLine="630"/>
        <w:spacing w:line="360" w:lineRule="auto"/>
        <w:rPr>
          <w:sz w:val="21"/>
          <w:highlight w:val="none"/>
        </w:rPr>
      </w:pPr>
      <w:r>
        <w:rPr>
          <w:rFonts w:hint="eastAsia"/>
          <w:sz w:val="21"/>
          <w:highlight w:val="none"/>
        </w:rPr>
        <w:t xml:space="preserve">银行账号：</w:t>
      </w:r>
      <w:r/>
    </w:p>
    <w:p>
      <w:pPr>
        <w:jc w:val="left"/>
        <w:spacing w:line="360" w:lineRule="auto"/>
        <w:rPr>
          <w:b/>
          <w:sz w:val="21"/>
          <w:szCs w:val="21"/>
          <w:highlight w:val="none"/>
        </w:rPr>
      </w:pPr>
      <w:r>
        <w:rPr>
          <w:rFonts w:hint="eastAsia"/>
          <w:b/>
          <w:sz w:val="21"/>
          <w:szCs w:val="21"/>
          <w:highlight w:val="none"/>
        </w:rPr>
        <w:t xml:space="preserve">四、交付时间、地点、方式： </w:t>
      </w:r>
      <w:r/>
    </w:p>
    <w:p>
      <w:pPr>
        <w:ind w:left="99" w:firstLine="420"/>
        <w:spacing w:line="360" w:lineRule="auto"/>
        <w:rPr>
          <w:sz w:val="21"/>
          <w:highlight w:val="none"/>
        </w:rPr>
      </w:pPr>
      <w:r>
        <w:rPr>
          <w:rFonts w:hint="eastAsia"/>
          <w:sz w:val="21"/>
          <w:highlight w:val="none"/>
        </w:rPr>
        <w:t xml:space="preserve">（一）交付方式：所有合同货物均由乙方装运至甲方指定地点，所有货物的包装费用、运输费用及运输安全均由乙方负责。货物装运后由乙方办理保险，费用已含在合同总价中。</w:t>
      </w:r>
      <w:r/>
    </w:p>
    <w:p>
      <w:pPr>
        <w:jc w:val="left"/>
        <w:spacing w:line="360" w:lineRule="auto"/>
        <w:widowControl/>
        <w:rPr>
          <w:rFonts w:hint="eastAsia"/>
          <w:b/>
          <w:bCs/>
          <w:sz w:val="21"/>
          <w:szCs w:val="21"/>
          <w:highlight w:val="none"/>
          <w:lang w:val="zh-CN"/>
        </w:rPr>
      </w:pPr>
      <w:r>
        <w:rPr>
          <w:rFonts w:hint="eastAsia"/>
          <w:sz w:val="21"/>
          <w:highlight w:val="none"/>
        </w:rPr>
        <w:t xml:space="preserve">     （二）交货期限：接到甲方通知后100天内送至指定地点并安装调试完成。</w:t>
      </w:r>
      <w:bookmarkStart w:id="54" w:name="OLE_LINK6"/>
      <w:r/>
      <w:bookmarkStart w:id="55" w:name="OLE_LINK5"/>
      <w:r>
        <w:rPr>
          <w:rFonts w:hint="eastAsia"/>
          <w:b/>
          <w:bCs/>
          <w:color w:val="ff0000"/>
          <w:sz w:val="21"/>
          <w:szCs w:val="21"/>
          <w:highlight w:val="none"/>
        </w:rPr>
        <w:t xml:space="preserve">（注：以上清单所有货物于2026年11月30号前完成安装交付建设方。每逾期一天，按合同</w:t>
      </w:r>
      <w:r>
        <w:rPr>
          <w:rFonts w:hint="eastAsia"/>
          <w:b/>
          <w:bCs/>
          <w:color w:val="ff0000"/>
          <w:sz w:val="21"/>
          <w:szCs w:val="21"/>
          <w:highlight w:val="none"/>
          <w:lang w:val="en-US" w:eastAsia="zh-CN"/>
        </w:rPr>
        <w:t xml:space="preserve">总价</w:t>
      </w:r>
      <w:r>
        <w:rPr>
          <w:rFonts w:hint="eastAsia"/>
          <w:b/>
          <w:bCs/>
          <w:color w:val="ff0000"/>
          <w:sz w:val="21"/>
          <w:szCs w:val="21"/>
          <w:highlight w:val="none"/>
        </w:rPr>
        <w:t xml:space="preserve">的万分之四罚款。</w:t>
      </w:r>
      <w:bookmarkEnd w:id="54"/>
      <w:r/>
      <w:bookmarkEnd w:id="55"/>
      <w:r>
        <w:rPr>
          <w:rFonts w:hint="eastAsia"/>
          <w:b/>
          <w:bCs/>
          <w:color w:val="ff0000"/>
          <w:sz w:val="21"/>
          <w:szCs w:val="21"/>
          <w:highlight w:val="none"/>
        </w:rPr>
        <w:t xml:space="preserve">）</w:t>
      </w:r>
      <w:r/>
    </w:p>
    <w:p>
      <w:pPr>
        <w:ind w:left="99" w:firstLine="420"/>
        <w:spacing w:line="360" w:lineRule="auto"/>
        <w:rPr>
          <w:sz w:val="21"/>
          <w:highlight w:val="none"/>
        </w:rPr>
      </w:pPr>
      <w:r>
        <w:rPr>
          <w:rFonts w:hint="eastAsia"/>
          <w:sz w:val="21"/>
          <w:highlight w:val="none"/>
        </w:rPr>
        <w:t xml:space="preserve">（三）交货地点：具体按照甲方要求。</w:t>
      </w:r>
      <w:r/>
    </w:p>
    <w:p>
      <w:pPr>
        <w:ind w:left="99" w:firstLine="420"/>
        <w:spacing w:line="360" w:lineRule="auto"/>
        <w:rPr>
          <w:sz w:val="21"/>
          <w:highlight w:val="none"/>
        </w:rPr>
      </w:pPr>
      <w:r>
        <w:rPr>
          <w:rFonts w:hint="eastAsia"/>
          <w:sz w:val="21"/>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sz w:val="21"/>
          <w:highlight w:val="none"/>
        </w:rPr>
      </w:pPr>
      <w:r>
        <w:rPr>
          <w:rFonts w:hint="eastAsia"/>
          <w:sz w:val="21"/>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sz w:val="21"/>
          <w:highlight w:val="none"/>
        </w:rPr>
      </w:pPr>
      <w:r>
        <w:rPr>
          <w:rFonts w:hint="eastAsia"/>
          <w:sz w:val="21"/>
          <w:highlight w:val="none"/>
        </w:rPr>
        <w:t xml:space="preserve">（六）货物交货时，包装须完整无破损，乙方还必须提供以下材料：</w:t>
      </w:r>
      <w:r/>
    </w:p>
    <w:p>
      <w:pPr>
        <w:ind w:firstLine="420"/>
        <w:spacing w:line="360" w:lineRule="auto"/>
        <w:rPr>
          <w:sz w:val="21"/>
          <w:highlight w:val="none"/>
        </w:rPr>
      </w:pPr>
      <w:r>
        <w:rPr>
          <w:rFonts w:hint="eastAsia"/>
          <w:sz w:val="21"/>
          <w:highlight w:val="none"/>
        </w:rPr>
        <w:t xml:space="preserve">A、货物装箱清单                    B、质量检验合格文件</w:t>
      </w:r>
      <w:r/>
    </w:p>
    <w:p>
      <w:pPr>
        <w:ind w:firstLine="420"/>
        <w:spacing w:line="360" w:lineRule="auto"/>
        <w:rPr>
          <w:sz w:val="21"/>
          <w:highlight w:val="none"/>
        </w:rPr>
      </w:pPr>
      <w:r>
        <w:rPr>
          <w:rFonts w:hint="eastAsia"/>
          <w:sz w:val="21"/>
          <w:highlight w:val="none"/>
        </w:rPr>
        <w:t xml:space="preserve">C、中英文技术资料                  D、使用维修保养中文说明书</w:t>
      </w:r>
      <w:r/>
    </w:p>
    <w:p>
      <w:pPr>
        <w:ind w:firstLine="420"/>
        <w:spacing w:line="360" w:lineRule="auto"/>
        <w:rPr>
          <w:sz w:val="21"/>
          <w:highlight w:val="none"/>
        </w:rPr>
      </w:pPr>
      <w:r>
        <w:rPr>
          <w:rFonts w:hint="eastAsia"/>
          <w:sz w:val="21"/>
          <w:highlight w:val="none"/>
        </w:rPr>
        <w:t xml:space="preserve">E、其它必备材料和必备工具等        F、保修单等其它必须材料</w:t>
      </w:r>
      <w:r/>
    </w:p>
    <w:p>
      <w:pPr>
        <w:ind w:left="99" w:firstLine="420"/>
        <w:spacing w:line="360" w:lineRule="auto"/>
        <w:rPr>
          <w:sz w:val="21"/>
          <w:highlight w:val="none"/>
        </w:rPr>
      </w:pPr>
      <w:r>
        <w:rPr>
          <w:rFonts w:hint="eastAsia"/>
          <w:sz w:val="21"/>
          <w:highlight w:val="none"/>
        </w:rPr>
        <w:t xml:space="preserve">（七）如因甲方原因货物不能在规定时间内进场，乙方承诺免费提供货物寄存场所一个月，货物寄存于乙方仓库。如超过一个月时间，所产生的仓储费用双方将协商另计。</w:t>
      </w:r>
      <w:r/>
    </w:p>
    <w:p>
      <w:pPr>
        <w:jc w:val="left"/>
        <w:spacing w:line="360" w:lineRule="auto"/>
        <w:rPr>
          <w:b/>
          <w:sz w:val="21"/>
          <w:szCs w:val="21"/>
          <w:highlight w:val="none"/>
        </w:rPr>
      </w:pPr>
      <w:r>
        <w:rPr>
          <w:rFonts w:hint="eastAsia"/>
          <w:b/>
          <w:sz w:val="21"/>
          <w:szCs w:val="21"/>
          <w:highlight w:val="none"/>
        </w:rPr>
        <w:t xml:space="preserve">五、验收标准：</w:t>
      </w:r>
      <w:r/>
    </w:p>
    <w:p>
      <w:pPr>
        <w:ind w:firstLine="420"/>
        <w:spacing w:line="360" w:lineRule="auto"/>
        <w:rPr>
          <w:bCs/>
          <w:sz w:val="21"/>
          <w:highlight w:val="none"/>
        </w:rPr>
      </w:pPr>
      <w:r>
        <w:rPr>
          <w:rFonts w:hint="eastAsia"/>
          <w:bCs/>
          <w:sz w:val="21"/>
          <w:highlight w:val="none"/>
        </w:rPr>
        <w:t xml:space="preserve">（一）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bCs/>
          <w:sz w:val="21"/>
          <w:highlight w:val="none"/>
        </w:rPr>
      </w:pPr>
      <w:r>
        <w:rPr>
          <w:rFonts w:hint="eastAsia"/>
          <w:bCs/>
          <w:sz w:val="21"/>
          <w:highlight w:val="none"/>
        </w:rPr>
        <w:t xml:space="preserve">（二）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left"/>
        <w:spacing w:line="360" w:lineRule="auto"/>
        <w:rPr>
          <w:bCs/>
          <w:sz w:val="21"/>
          <w:highlight w:val="none"/>
        </w:rPr>
      </w:pPr>
      <w:r>
        <w:rPr>
          <w:rFonts w:hint="eastAsia"/>
          <w:bCs/>
          <w:sz w:val="21"/>
          <w:highlight w:val="none"/>
        </w:rPr>
        <w:t xml:space="preserve">（三）</w:t>
      </w:r>
      <w:r>
        <w:rPr>
          <w:rFonts w:hint="eastAsia"/>
          <w:sz w:val="21"/>
          <w:szCs w:val="21"/>
          <w:highlight w:val="non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spacing w:line="360" w:lineRule="auto"/>
        <w:rPr>
          <w:b/>
          <w:sz w:val="21"/>
          <w:highlight w:val="none"/>
        </w:rPr>
      </w:pPr>
      <w:r>
        <w:rPr>
          <w:rFonts w:hint="eastAsia"/>
          <w:b/>
          <w:sz w:val="21"/>
          <w:highlight w:val="none"/>
        </w:rPr>
        <w:t xml:space="preserve">六、售后服务及其他要求：</w:t>
      </w:r>
      <w:r/>
    </w:p>
    <w:p>
      <w:pPr>
        <w:ind w:firstLine="420"/>
        <w:spacing w:line="360" w:lineRule="auto"/>
        <w:tabs>
          <w:tab w:val="left" w:pos="630" w:leader="none"/>
        </w:tabs>
        <w:rPr>
          <w:sz w:val="21"/>
          <w:highlight w:val="none"/>
        </w:rPr>
      </w:pPr>
      <w:r>
        <w:rPr>
          <w:rFonts w:hint="eastAsia"/>
          <w:sz w:val="21"/>
          <w:szCs w:val="21"/>
          <w:highlight w:val="none"/>
        </w:rPr>
        <w:t xml:space="preserve">（一）具体按招标文件售后服务条款。</w:t>
      </w:r>
      <w:r/>
    </w:p>
    <w:p>
      <w:pPr>
        <w:ind w:firstLine="420"/>
        <w:spacing w:line="360" w:lineRule="auto"/>
        <w:tabs>
          <w:tab w:val="left" w:pos="900" w:leader="none"/>
        </w:tabs>
        <w:rPr>
          <w:sz w:val="21"/>
          <w:highlight w:val="none"/>
        </w:rPr>
      </w:pPr>
      <w:r>
        <w:rPr>
          <w:rFonts w:hint="eastAsia"/>
          <w:sz w:val="21"/>
          <w:highlight w:val="none"/>
        </w:rPr>
        <w:t xml:space="preserve">（二）其他要求按乙方投标文件承诺的条款执行。</w:t>
      </w:r>
      <w:r/>
    </w:p>
    <w:p>
      <w:pPr>
        <w:jc w:val="left"/>
        <w:spacing w:line="360" w:lineRule="auto"/>
        <w:rPr>
          <w:b/>
          <w:sz w:val="21"/>
          <w:highlight w:val="none"/>
        </w:rPr>
      </w:pPr>
      <w:r>
        <w:rPr>
          <w:rFonts w:hint="eastAsia"/>
          <w:b/>
          <w:sz w:val="21"/>
          <w:highlight w:val="none"/>
        </w:rPr>
        <w:t xml:space="preserve">七、税费：</w:t>
      </w:r>
      <w:r/>
    </w:p>
    <w:p>
      <w:pPr>
        <w:ind w:firstLine="420"/>
        <w:spacing w:line="360" w:lineRule="auto"/>
        <w:tabs>
          <w:tab w:val="left" w:pos="900" w:leader="none"/>
        </w:tabs>
        <w:rPr>
          <w:sz w:val="21"/>
          <w:highlight w:val="none"/>
        </w:rPr>
      </w:pPr>
      <w:r>
        <w:rPr>
          <w:rFonts w:hint="eastAsia"/>
          <w:sz w:val="21"/>
          <w:szCs w:val="21"/>
          <w:highlight w:val="none"/>
        </w:rPr>
        <w:t xml:space="preserve">（一）</w:t>
      </w:r>
      <w:r>
        <w:rPr>
          <w:rFonts w:hint="eastAsia"/>
          <w:sz w:val="21"/>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sz w:val="21"/>
          <w:highlight w:val="none"/>
        </w:rPr>
      </w:pPr>
      <w:r>
        <w:rPr>
          <w:rFonts w:hint="eastAsia"/>
          <w:sz w:val="21"/>
          <w:highlight w:val="none"/>
        </w:rPr>
        <w:t xml:space="preserve">（二）本合同价格为含税价。乙方提供的所有货物、技术资料、技术服务、进口设备/部件等所有税费，已全部包含在合同价格内，由乙方承担。</w:t>
      </w:r>
      <w:r/>
    </w:p>
    <w:p>
      <w:pPr>
        <w:spacing w:line="360" w:lineRule="auto"/>
        <w:rPr>
          <w:b/>
          <w:sz w:val="21"/>
          <w:highlight w:val="none"/>
        </w:rPr>
      </w:pPr>
      <w:r>
        <w:rPr>
          <w:rFonts w:hint="eastAsia"/>
          <w:b/>
          <w:sz w:val="21"/>
          <w:highlight w:val="none"/>
        </w:rPr>
        <w:t xml:space="preserve">八、违约责任：</w:t>
      </w:r>
      <w:r/>
    </w:p>
    <w:p>
      <w:pPr>
        <w:ind w:firstLine="420"/>
        <w:spacing w:line="360" w:lineRule="auto"/>
        <w:rPr>
          <w:sz w:val="21"/>
          <w:szCs w:val="20"/>
          <w:highlight w:val="none"/>
        </w:rPr>
      </w:pPr>
      <w:r>
        <w:rPr>
          <w:rFonts w:hint="eastAsia"/>
          <w:sz w:val="21"/>
          <w:szCs w:val="20"/>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rPr>
          <w:sz w:val="21"/>
          <w:highlight w:val="none"/>
        </w:rPr>
      </w:pPr>
      <w:r>
        <w:rPr>
          <w:rFonts w:hint="eastAsia"/>
          <w:sz w:val="21"/>
          <w:highlight w:val="none"/>
        </w:rPr>
        <w:t xml:space="preserve">（一）甲方违约责任</w:t>
      </w:r>
      <w:r/>
    </w:p>
    <w:p>
      <w:pPr>
        <w:ind w:firstLine="420"/>
        <w:spacing w:line="360" w:lineRule="auto"/>
        <w:rPr>
          <w:sz w:val="21"/>
          <w:szCs w:val="20"/>
          <w:highlight w:val="none"/>
        </w:rPr>
      </w:pPr>
      <w:r>
        <w:rPr>
          <w:rFonts w:hint="eastAsia"/>
          <w:sz w:val="21"/>
          <w:szCs w:val="20"/>
          <w:highlight w:val="none"/>
        </w:rPr>
        <w:t xml:space="preserve">1、 在合同生效后，甲方要求退货的，应向乙方偿付合同总价款的5%，作为违约金，违约金不足以补偿损失的，乙方有权要求甲方补足。</w:t>
      </w:r>
      <w:r/>
    </w:p>
    <w:p>
      <w:pPr>
        <w:ind w:firstLine="420"/>
        <w:spacing w:line="360" w:lineRule="auto"/>
        <w:rPr>
          <w:sz w:val="21"/>
          <w:szCs w:val="20"/>
          <w:highlight w:val="none"/>
        </w:rPr>
      </w:pPr>
      <w:r>
        <w:rPr>
          <w:rFonts w:hint="eastAsia"/>
          <w:sz w:val="21"/>
          <w:szCs w:val="20"/>
          <w:highlight w:val="none"/>
        </w:rPr>
        <w:t xml:space="preserve">2、甲方逾期付款的应按照逾期付款金额的每天万分之</w:t>
      </w:r>
      <w:r>
        <w:rPr>
          <w:rFonts w:hint="eastAsia"/>
          <w:sz w:val="21"/>
          <w:szCs w:val="20"/>
          <w:highlight w:val="none"/>
          <w:lang w:val="en-US" w:eastAsia="zh-CN"/>
        </w:rPr>
        <w:t xml:space="preserve">一</w:t>
      </w:r>
      <w:r>
        <w:rPr>
          <w:rFonts w:hint="eastAsia"/>
          <w:sz w:val="21"/>
          <w:szCs w:val="20"/>
          <w:highlight w:val="none"/>
        </w:rPr>
        <w:t xml:space="preserve">支付逾期付款违约金。</w:t>
      </w:r>
      <w:r/>
    </w:p>
    <w:p>
      <w:pPr>
        <w:ind w:firstLine="420"/>
        <w:spacing w:line="360" w:lineRule="auto"/>
        <w:rPr>
          <w:sz w:val="21"/>
          <w:szCs w:val="20"/>
          <w:highlight w:val="none"/>
        </w:rPr>
      </w:pPr>
      <w:r>
        <w:rPr>
          <w:rFonts w:hint="eastAsia"/>
          <w:sz w:val="21"/>
          <w:szCs w:val="20"/>
          <w:highlight w:val="none"/>
        </w:rPr>
        <w:t xml:space="preserve">3、甲方违反合同规定，拒绝接收乙方交付的合格标的物，应当承担乙方由此造成的损失。</w:t>
      </w:r>
      <w:r/>
    </w:p>
    <w:p>
      <w:pPr>
        <w:ind w:firstLine="420"/>
        <w:jc w:val="left"/>
        <w:spacing w:line="360" w:lineRule="auto"/>
        <w:rPr>
          <w:sz w:val="21"/>
          <w:highlight w:val="none"/>
        </w:rPr>
      </w:pPr>
      <w:r>
        <w:rPr>
          <w:rFonts w:hint="eastAsia"/>
          <w:sz w:val="21"/>
          <w:highlight w:val="none"/>
        </w:rPr>
        <w:t xml:space="preserve">（二）乙方违约责任</w:t>
      </w:r>
      <w:r/>
    </w:p>
    <w:p>
      <w:pPr>
        <w:ind w:firstLine="420"/>
        <w:spacing w:line="360" w:lineRule="auto"/>
        <w:rPr>
          <w:sz w:val="21"/>
          <w:szCs w:val="20"/>
          <w:highlight w:val="none"/>
        </w:rPr>
      </w:pPr>
      <w:r>
        <w:rPr>
          <w:rFonts w:hint="eastAsia"/>
          <w:sz w:val="21"/>
          <w:szCs w:val="20"/>
          <w:highlight w:val="non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sz w:val="21"/>
          <w:szCs w:val="20"/>
          <w:highlight w:val="none"/>
        </w:rPr>
      </w:pPr>
      <w:r>
        <w:rPr>
          <w:rFonts w:hint="eastAsia"/>
          <w:sz w:val="21"/>
          <w:szCs w:val="20"/>
          <w:highlight w:val="none"/>
        </w:rPr>
        <w:t xml:space="preserve">2、乙方逾期交货的，应在发货前与甲方和政府采购管理部门协商，甲方仍需求的，乙方应立即发货并应按照</w:t>
      </w:r>
      <w:r>
        <w:rPr>
          <w:rFonts w:hint="eastAsia"/>
          <w:sz w:val="21"/>
          <w:szCs w:val="20"/>
          <w:highlight w:val="none"/>
          <w:lang w:val="en-US" w:eastAsia="zh-CN"/>
        </w:rPr>
        <w:t xml:space="preserve">合同总价</w:t>
      </w:r>
      <w:r>
        <w:rPr>
          <w:rFonts w:hint="eastAsia"/>
          <w:sz w:val="21"/>
          <w:szCs w:val="20"/>
          <w:highlight w:val="none"/>
        </w:rPr>
        <w:t xml:space="preserve">的每天万分之四支付逾期交货违约金，同时承担甲方因此遭致的损失费用。</w:t>
      </w:r>
      <w:r/>
    </w:p>
    <w:p>
      <w:pPr>
        <w:ind w:firstLine="420"/>
        <w:jc w:val="left"/>
        <w:spacing w:line="360" w:lineRule="auto"/>
        <w:rPr>
          <w:b/>
          <w:sz w:val="21"/>
          <w:highlight w:val="none"/>
        </w:rPr>
      </w:pPr>
      <w:r>
        <w:rPr>
          <w:rFonts w:hint="eastAsia"/>
          <w:sz w:val="21"/>
          <w:highlight w:val="none"/>
        </w:rPr>
        <w:t xml:space="preserve">（三）不可抗力</w:t>
      </w:r>
      <w:r/>
    </w:p>
    <w:p>
      <w:pPr>
        <w:ind w:firstLine="420"/>
        <w:spacing w:line="360" w:lineRule="auto"/>
        <w:rPr>
          <w:sz w:val="21"/>
          <w:szCs w:val="20"/>
          <w:highlight w:val="none"/>
        </w:rPr>
      </w:pPr>
      <w:r>
        <w:rPr>
          <w:rFonts w:hint="eastAsia"/>
          <w:sz w:val="21"/>
          <w:szCs w:val="20"/>
          <w:highlight w:val="none"/>
        </w:rPr>
        <w:t xml:space="preserve">1、因不可抗力不能履行合同的，根据不可抗力的影响，部分或者全部免除责任。但合同一方迟延履行后发生不可抗力的，不能免除责任。</w:t>
      </w:r>
      <w:r/>
    </w:p>
    <w:p>
      <w:pPr>
        <w:ind w:firstLine="420"/>
        <w:jc w:val="left"/>
        <w:spacing w:line="360" w:lineRule="auto"/>
        <w:rPr>
          <w:sz w:val="21"/>
          <w:highlight w:val="none"/>
        </w:rPr>
      </w:pPr>
      <w:r>
        <w:rPr>
          <w:rFonts w:hint="eastAsia"/>
          <w:sz w:val="21"/>
          <w:highlight w:val="none"/>
        </w:rPr>
        <w:t xml:space="preserve">2、合同一方因不可抗力不能履行合同的，应当及时通知对方，以减轻可能给对方造成的损失，并应当在合理期限内提供证明。</w:t>
      </w:r>
      <w:r/>
    </w:p>
    <w:p>
      <w:pPr>
        <w:ind w:firstLine="420"/>
        <w:jc w:val="left"/>
        <w:spacing w:line="360" w:lineRule="auto"/>
        <w:rPr>
          <w:sz w:val="21"/>
          <w:highlight w:val="none"/>
        </w:rPr>
      </w:pPr>
      <w:r>
        <w:rPr>
          <w:rFonts w:hint="eastAsia"/>
          <w:sz w:val="21"/>
          <w:highlight w:val="none"/>
        </w:rPr>
        <w:t xml:space="preserve">（四）合同的解除和转让</w:t>
      </w:r>
      <w:r/>
    </w:p>
    <w:p>
      <w:pPr>
        <w:ind w:firstLine="420"/>
        <w:jc w:val="left"/>
        <w:spacing w:line="360" w:lineRule="auto"/>
        <w:rPr>
          <w:sz w:val="21"/>
          <w:highlight w:val="none"/>
        </w:rPr>
      </w:pPr>
      <w:r>
        <w:rPr>
          <w:rFonts w:hint="eastAsia"/>
          <w:sz w:val="21"/>
          <w:highlight w:val="none"/>
        </w:rPr>
        <w:t xml:space="preserve">1、甲方和乙方协商一致，可以解除合同。</w:t>
      </w:r>
      <w:r/>
    </w:p>
    <w:p>
      <w:pPr>
        <w:ind w:firstLine="420"/>
        <w:jc w:val="left"/>
        <w:spacing w:line="360" w:lineRule="auto"/>
        <w:rPr>
          <w:sz w:val="21"/>
          <w:highlight w:val="none"/>
        </w:rPr>
      </w:pPr>
      <w:r>
        <w:rPr>
          <w:rFonts w:hint="eastAsia"/>
          <w:sz w:val="21"/>
          <w:highlight w:val="none"/>
        </w:rPr>
        <w:t xml:space="preserve">2、有下列情形之一，合同一方可以解除合同：</w:t>
      </w:r>
      <w:r/>
    </w:p>
    <w:p>
      <w:pPr>
        <w:ind w:firstLine="420"/>
        <w:jc w:val="left"/>
        <w:spacing w:line="360" w:lineRule="auto"/>
        <w:rPr>
          <w:sz w:val="21"/>
          <w:highlight w:val="none"/>
        </w:rPr>
      </w:pPr>
      <w:r>
        <w:rPr>
          <w:rFonts w:hint="eastAsia"/>
          <w:sz w:val="21"/>
          <w:highlight w:val="none"/>
        </w:rPr>
        <w:t xml:space="preserve">3、因不可抗力致使不能实现合同目的，未受不可抗力影响的一方有权解除合同；</w:t>
      </w:r>
      <w:r/>
    </w:p>
    <w:p>
      <w:pPr>
        <w:ind w:firstLine="420"/>
        <w:jc w:val="left"/>
        <w:spacing w:line="360" w:lineRule="auto"/>
        <w:rPr>
          <w:sz w:val="21"/>
          <w:highlight w:val="none"/>
        </w:rPr>
      </w:pPr>
      <w:r>
        <w:rPr>
          <w:rFonts w:hint="eastAsia"/>
          <w:sz w:val="21"/>
          <w:highlight w:val="none"/>
        </w:rPr>
        <w:t xml:space="preserve">4、因合同一方违约导致合同不能履行，另一方有权解除合同；</w:t>
      </w:r>
      <w:r/>
    </w:p>
    <w:p>
      <w:pPr>
        <w:ind w:firstLine="420"/>
        <w:jc w:val="left"/>
        <w:spacing w:line="360" w:lineRule="auto"/>
        <w:rPr>
          <w:sz w:val="21"/>
          <w:highlight w:val="none"/>
        </w:rPr>
      </w:pPr>
      <w:r>
        <w:rPr>
          <w:rFonts w:hint="eastAsia"/>
          <w:sz w:val="21"/>
          <w:highlight w:val="none"/>
        </w:rPr>
        <w:t xml:space="preserve">5、有权解除合同的一方，应当在违约事实或不可抗力发生之后三十天内书面通知对方以主张解除合同，合同在书面通知到达对方时解除。</w:t>
      </w:r>
      <w:r/>
    </w:p>
    <w:p>
      <w:pPr>
        <w:spacing w:line="360" w:lineRule="auto"/>
        <w:rPr>
          <w:b/>
          <w:sz w:val="21"/>
          <w:highlight w:val="none"/>
        </w:rPr>
      </w:pPr>
      <w:r>
        <w:rPr>
          <w:rFonts w:hint="eastAsia"/>
          <w:b/>
          <w:sz w:val="21"/>
          <w:highlight w:val="none"/>
        </w:rPr>
        <w:t xml:space="preserve">九、索赔：</w:t>
      </w:r>
      <w:r/>
    </w:p>
    <w:p>
      <w:pPr>
        <w:ind w:firstLine="420"/>
        <w:spacing w:line="360" w:lineRule="auto"/>
        <w:tabs>
          <w:tab w:val="left" w:pos="900" w:leader="none"/>
        </w:tabs>
        <w:rPr>
          <w:sz w:val="21"/>
          <w:highlight w:val="none"/>
        </w:rPr>
      </w:pPr>
      <w:r>
        <w:rPr>
          <w:rFonts w:hint="eastAsia"/>
          <w:sz w:val="21"/>
          <w:highlight w:val="none"/>
        </w:rPr>
        <w:t xml:space="preserve">（一）甲方有权根据产品质量检验机构或其它有权部门出具的检验证书向乙方提出索赔。</w:t>
      </w:r>
      <w:r/>
    </w:p>
    <w:p>
      <w:pPr>
        <w:ind w:firstLine="420"/>
        <w:spacing w:line="360" w:lineRule="auto"/>
        <w:tabs>
          <w:tab w:val="left" w:pos="900" w:leader="none"/>
        </w:tabs>
        <w:rPr>
          <w:sz w:val="21"/>
          <w:highlight w:val="none"/>
        </w:rPr>
      </w:pPr>
      <w:r>
        <w:rPr>
          <w:rFonts w:hint="eastAsia"/>
          <w:sz w:val="21"/>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hint="eastAsia"/>
          <w:sz w:val="21"/>
          <w:highlight w:val="none"/>
        </w:rPr>
      </w:pPr>
      <w:r>
        <w:rPr>
          <w:rFonts w:hint="eastAsia"/>
          <w:sz w:val="21"/>
          <w:highlight w:val="none"/>
        </w:rPr>
        <w:t xml:space="preserve">（三）在本合同执行过程中，如由于乙方原因造成甲方或第三人人身伤害，或因乙方的故意行为或重大过失致使甲方或第三人财产损失的，乙方应依法承担赔偿责任。</w:t>
      </w:r>
      <w:r/>
    </w:p>
    <w:p>
      <w:pPr>
        <w:pStyle w:val="851"/>
        <w:rPr>
          <w:rFonts w:hint="eastAsia" w:ascii="宋体" w:hAnsi="宋体" w:eastAsia="宋体" w:cs="宋体"/>
          <w:b/>
          <w:color w:val="000000"/>
          <w:sz w:val="21"/>
          <w:szCs w:val="24"/>
          <w:highlight w:val="none"/>
        </w:rPr>
      </w:pPr>
      <w:r>
        <w:rPr>
          <w:rFonts w:hint="eastAsia" w:ascii="宋体" w:hAnsi="宋体" w:eastAsia="宋体" w:cs="宋体"/>
          <w:b/>
          <w:bCs w:val="0"/>
          <w:sz w:val="21"/>
          <w:szCs w:val="24"/>
          <w:highlight w:val="none"/>
          <w:lang w:val="en-US"/>
        </w:rPr>
        <w:t xml:space="preserve">十、</w:t>
      </w:r>
      <w:r>
        <w:rPr>
          <w:rFonts w:hint="eastAsia" w:ascii="宋体" w:hAnsi="宋体" w:eastAsia="宋体" w:cs="宋体"/>
          <w:b/>
          <w:color w:val="000000"/>
          <w:sz w:val="21"/>
          <w:szCs w:val="24"/>
          <w:highlight w:val="none"/>
        </w:rPr>
        <w:t xml:space="preserve">履约保证金：</w:t>
      </w:r>
      <w:r/>
    </w:p>
    <w:p>
      <w:pPr>
        <w:ind w:firstLine="420"/>
        <w:jc w:val="left"/>
        <w:spacing w:line="360" w:lineRule="auto"/>
        <w:widowControl/>
        <w:tabs>
          <w:tab w:val="left" w:pos="90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本合同是否需要提供履约担保：</w:t>
      </w:r>
      <w:bookmarkStart w:id="56" w:name="EBa0424f6267d64f13b2750778b414c022"/>
      <w:r>
        <w:rPr>
          <w:rFonts w:hint="eastAsia" w:ascii="宋体" w:hAnsi="宋体" w:eastAsia="宋体" w:cs="宋体"/>
          <w:sz w:val="21"/>
          <w:szCs w:val="24"/>
          <w:highlight w:val="none"/>
          <w:lang w:eastAsia="zh-CN"/>
        </w:rPr>
        <w:t xml:space="preserve">☑</w:t>
      </w:r>
      <w:r>
        <w:rPr>
          <w:rFonts w:hint="eastAsia" w:ascii="宋体" w:hAnsi="宋体" w:eastAsia="宋体" w:cs="宋体"/>
          <w:sz w:val="21"/>
          <w:szCs w:val="24"/>
          <w:highlight w:val="none"/>
        </w:rPr>
        <w:t xml:space="preserve">是</w:t>
      </w:r>
      <w:bookmarkEnd w:id="56"/>
      <w:r>
        <w:rPr>
          <w:rFonts w:hint="eastAsia" w:ascii="宋体" w:hAnsi="宋体" w:eastAsia="宋体" w:cs="宋体"/>
          <w:sz w:val="21"/>
          <w:szCs w:val="24"/>
          <w:highlight w:val="none"/>
          <w:lang w:eastAsia="zh-CN"/>
        </w:rPr>
        <w:t xml:space="preserve">□</w:t>
      </w:r>
      <w:r>
        <w:rPr>
          <w:rFonts w:hint="eastAsia" w:ascii="宋体" w:hAnsi="宋体" w:eastAsia="宋体" w:cs="宋体"/>
          <w:sz w:val="21"/>
          <w:szCs w:val="24"/>
          <w:highlight w:val="none"/>
        </w:rPr>
        <w:t xml:space="preserve">否</w:t>
      </w:r>
      <w:r/>
    </w:p>
    <w:p>
      <w:pPr>
        <w:ind w:firstLine="420"/>
        <w:jc w:val="left"/>
        <w:spacing w:line="360" w:lineRule="auto"/>
        <w:widowControl/>
        <w:tabs>
          <w:tab w:val="left" w:pos="90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履约担保的金额为中标金额的</w:t>
      </w:r>
      <w:r>
        <w:rPr>
          <w:rFonts w:hint="eastAsia" w:ascii="宋体" w:hAnsi="宋体" w:eastAsia="宋体" w:cs="宋体"/>
          <w:sz w:val="21"/>
          <w:szCs w:val="24"/>
          <w:highlight w:val="none"/>
          <w:lang w:val="en-US" w:eastAsia="zh-CN"/>
        </w:rPr>
        <w:t xml:space="preserve">5</w:t>
      </w:r>
      <w:r>
        <w:rPr>
          <w:rFonts w:hint="eastAsia" w:ascii="宋体" w:hAnsi="宋体" w:eastAsia="宋体" w:cs="宋体"/>
          <w:sz w:val="21"/>
          <w:szCs w:val="24"/>
          <w:highlight w:val="none"/>
        </w:rPr>
        <w:t xml:space="preserve">%，形式为银行履约保函或保证金（无息）或履约保证保险凭证或融资担保公司提供的担保保函。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p>
    <w:p>
      <w:pPr>
        <w:ind w:firstLine="420"/>
        <w:spacing w:line="360" w:lineRule="auto"/>
        <w:tabs>
          <w:tab w:val="left" w:pos="900" w:leader="none"/>
        </w:tabs>
        <w:rPr>
          <w:rFonts w:hint="eastAsia" w:ascii="宋体" w:hAnsi="宋体" w:eastAsia="宋体" w:cs="宋体"/>
          <w:b/>
          <w:sz w:val="21"/>
          <w:highlight w:val="none"/>
          <w:lang w:val="en-US" w:eastAsia="zh-CN"/>
        </w:rPr>
      </w:pPr>
      <w:r>
        <w:rPr>
          <w:rFonts w:hint="eastAsia" w:ascii="宋体" w:hAnsi="宋体" w:eastAsia="宋体" w:cs="宋体"/>
          <w:sz w:val="21"/>
          <w:szCs w:val="24"/>
          <w:highlight w:val="none"/>
        </w:rPr>
        <w:t xml:space="preserve">履约担保返还：竣工验收合格并经甲方确认后无息返还。</w:t>
      </w:r>
      <w:r/>
    </w:p>
    <w:p>
      <w:pPr>
        <w:spacing w:line="360" w:lineRule="auto"/>
        <w:rPr>
          <w:bCs/>
          <w:sz w:val="21"/>
          <w:highlight w:val="none"/>
        </w:rPr>
      </w:pPr>
      <w:r>
        <w:rPr>
          <w:rFonts w:hint="eastAsia"/>
          <w:b/>
          <w:bCs/>
          <w:sz w:val="21"/>
          <w:szCs w:val="28"/>
          <w:highlight w:val="none"/>
          <w:lang w:val="zh-CN"/>
        </w:rPr>
        <w:t xml:space="preserve">十</w:t>
      </w:r>
      <w:r>
        <w:rPr>
          <w:rFonts w:hint="eastAsia"/>
          <w:b/>
          <w:bCs/>
          <w:sz w:val="21"/>
          <w:szCs w:val="28"/>
          <w:highlight w:val="none"/>
          <w:lang w:val="en-US" w:eastAsia="zh-CN"/>
        </w:rPr>
        <w:t xml:space="preserve">一</w:t>
      </w:r>
      <w:r>
        <w:rPr>
          <w:rFonts w:hint="eastAsia"/>
          <w:b/>
          <w:bCs/>
          <w:sz w:val="21"/>
          <w:szCs w:val="28"/>
          <w:highlight w:val="none"/>
          <w:lang w:val="zh-CN"/>
        </w:rPr>
        <w:t xml:space="preserve">、</w:t>
      </w:r>
      <w:r>
        <w:rPr>
          <w:rFonts w:hint="eastAsia"/>
          <w:b/>
          <w:sz w:val="21"/>
          <w:highlight w:val="none"/>
        </w:rPr>
        <w:t xml:space="preserve">合同生效及其它</w:t>
      </w:r>
      <w:r/>
    </w:p>
    <w:p>
      <w:pPr>
        <w:ind w:firstLine="422"/>
        <w:spacing w:line="360" w:lineRule="auto"/>
        <w:rPr>
          <w:sz w:val="21"/>
          <w:highlight w:val="none"/>
          <w:lang w:val="zh-CN"/>
        </w:rPr>
      </w:pPr>
      <w:r>
        <w:rPr>
          <w:rFonts w:hint="eastAsia"/>
          <w:sz w:val="21"/>
          <w:highlight w:val="none"/>
        </w:rPr>
        <w:t xml:space="preserve"> 1、</w:t>
      </w:r>
      <w:r>
        <w:rPr>
          <w:rFonts w:hint="eastAsia"/>
          <w:sz w:val="21"/>
          <w:highlight w:val="none"/>
          <w:lang w:val="zh-CN"/>
        </w:rPr>
        <w:t xml:space="preserve">本合同经甲乙双方法定代表人或其委托代理人签字并加盖公章（或合同章）后生效，</w:t>
      </w:r>
      <w:r>
        <w:rPr>
          <w:rFonts w:hint="eastAsia"/>
          <w:sz w:val="21"/>
          <w:highlight w:val="none"/>
        </w:rPr>
        <w:t xml:space="preserve">生效后的合同在2个工作日内上传系统公示</w:t>
      </w:r>
      <w:r>
        <w:rPr>
          <w:rFonts w:hint="eastAsia"/>
          <w:sz w:val="21"/>
          <w:highlight w:val="none"/>
          <w:lang w:val="zh-CN"/>
        </w:rPr>
        <w:t xml:space="preserve">。</w:t>
      </w:r>
      <w:r/>
    </w:p>
    <w:p>
      <w:pPr>
        <w:ind w:firstLine="422"/>
        <w:spacing w:line="360" w:lineRule="auto"/>
        <w:rPr>
          <w:sz w:val="21"/>
          <w:highlight w:val="none"/>
        </w:rPr>
      </w:pPr>
      <w:r>
        <w:rPr>
          <w:rFonts w:hint="eastAsia"/>
          <w:sz w:val="21"/>
          <w:highlight w:val="none"/>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sz w:val="21"/>
          <w:highlight w:val="none"/>
        </w:rPr>
      </w:pPr>
      <w:r>
        <w:rPr>
          <w:rFonts w:hint="eastAsia"/>
          <w:sz w:val="21"/>
          <w:highlight w:val="none"/>
        </w:rPr>
        <w:t xml:space="preserve">3、未尽事宜：本合同未尽事宜应按《中华人民共和国民法典》、《中华人民共和国政府采购法》以及其同相关法律、法规之规定解释。</w:t>
      </w:r>
      <w:r/>
    </w:p>
    <w:p>
      <w:pPr>
        <w:ind w:firstLine="422"/>
        <w:spacing w:line="360" w:lineRule="auto"/>
        <w:rPr>
          <w:sz w:val="21"/>
          <w:highlight w:val="none"/>
          <w:lang w:val="zh-CN"/>
        </w:rPr>
      </w:pPr>
      <w:r>
        <w:rPr>
          <w:rFonts w:hint="eastAsia"/>
          <w:sz w:val="21"/>
          <w:highlight w:val="none"/>
        </w:rPr>
        <w:t xml:space="preserve">4、本合同一式陆份，甲乙双方各贰份、招标代理机构贰份，具备同等法律效力</w:t>
      </w:r>
      <w:r>
        <w:rPr>
          <w:rFonts w:hint="eastAsia"/>
          <w:sz w:val="21"/>
          <w:highlight w:val="none"/>
          <w:lang w:val="zh-CN"/>
        </w:rPr>
        <w:t xml:space="preserve">。</w:t>
      </w:r>
      <w:r/>
    </w:p>
    <w:p>
      <w:pPr>
        <w:ind w:firstLine="400"/>
        <w:tabs>
          <w:tab w:val="center" w:pos="4201" w:leader="none"/>
          <w:tab w:val="right" w:pos="9298" w:leader="dot"/>
        </w:tabs>
        <w:rPr>
          <w:rFonts w:hAnsi="Times New Roman" w:eastAsia="Times New Roman" w:cs="Times New Roman"/>
          <w:highlight w:val="none"/>
          <w:lang w:val="zh-CN"/>
        </w:rPr>
      </w:pPr>
      <w:r>
        <w:rPr>
          <w:rFonts w:hAnsi="Times New Roman" w:eastAsia="Times New Roman" w:cs="Times New Roman"/>
          <w:highlight w:val="none"/>
          <w:lang w:val="zh-CN"/>
        </w:rPr>
      </w:r>
      <w:r/>
    </w:p>
    <w:p>
      <w:pPr>
        <w:spacing w:line="480" w:lineRule="auto"/>
        <w:tabs>
          <w:tab w:val="left" w:pos="0" w:leader="none"/>
        </w:tabs>
        <w:rPr>
          <w:rFonts w:cs="Times New Roman"/>
          <w:b/>
          <w:bCs/>
          <w:sz w:val="21"/>
          <w:szCs w:val="21"/>
          <w:highlight w:val="none"/>
        </w:rPr>
      </w:pPr>
      <w:r>
        <w:rPr>
          <w:rFonts w:hint="eastAsia" w:cs="Times New Roman"/>
          <w:b/>
          <w:bCs/>
          <w:sz w:val="21"/>
          <w:szCs w:val="21"/>
          <w:highlight w:val="none"/>
          <w:lang w:val="zh-CN"/>
        </w:rPr>
        <w:t xml:space="preserve">甲方</w:t>
      </w:r>
      <w:r>
        <w:rPr>
          <w:rFonts w:cs="Times New Roman"/>
          <w:b/>
          <w:bCs/>
          <w:sz w:val="21"/>
          <w:szCs w:val="21"/>
          <w:highlight w:val="none"/>
        </w:rPr>
        <w:t xml:space="preserve">(</w:t>
      </w:r>
      <w:r>
        <w:rPr>
          <w:rFonts w:hint="eastAsia" w:cs="Times New Roman"/>
          <w:b/>
          <w:bCs/>
          <w:sz w:val="21"/>
          <w:szCs w:val="21"/>
          <w:highlight w:val="none"/>
          <w:lang w:val="zh-CN"/>
        </w:rPr>
        <w:t xml:space="preserve">公章或合同章</w:t>
      </w:r>
      <w:r>
        <w:rPr>
          <w:rFonts w:cs="Times New Roman"/>
          <w:b/>
          <w:bCs/>
          <w:sz w:val="21"/>
          <w:szCs w:val="21"/>
          <w:highlight w:val="none"/>
        </w:rPr>
        <w:t xml:space="preserve">)</w:t>
      </w:r>
      <w:r>
        <w:rPr>
          <w:rFonts w:hint="eastAsia" w:cs="Times New Roman"/>
          <w:b/>
          <w:bCs/>
          <w:sz w:val="21"/>
          <w:szCs w:val="21"/>
          <w:highlight w:val="none"/>
        </w:rPr>
        <w:t xml:space="preserve">：                        </w:t>
      </w:r>
      <w:r>
        <w:rPr>
          <w:rFonts w:hint="eastAsia" w:cs="Times New Roman"/>
          <w:b/>
          <w:bCs/>
          <w:sz w:val="21"/>
          <w:szCs w:val="21"/>
          <w:highlight w:val="none"/>
          <w:lang w:val="zh-CN"/>
        </w:rPr>
        <w:t xml:space="preserve">乙方</w:t>
      </w:r>
      <w:r>
        <w:rPr>
          <w:rFonts w:hint="eastAsia" w:cs="Times New Roman"/>
          <w:b/>
          <w:bCs/>
          <w:sz w:val="21"/>
          <w:szCs w:val="21"/>
          <w:highlight w:val="none"/>
        </w:rPr>
        <w:t xml:space="preserve">（</w:t>
      </w:r>
      <w:r>
        <w:rPr>
          <w:rFonts w:hint="eastAsia" w:cs="Times New Roman"/>
          <w:b/>
          <w:bCs/>
          <w:sz w:val="21"/>
          <w:szCs w:val="21"/>
          <w:highlight w:val="none"/>
          <w:lang w:val="zh-CN"/>
        </w:rPr>
        <w:t xml:space="preserve">公章或合同章</w:t>
      </w:r>
      <w:r>
        <w:rPr>
          <w:rFonts w:hint="eastAsia" w:cs="Times New Roman"/>
          <w:b/>
          <w:bCs/>
          <w:sz w:val="21"/>
          <w:szCs w:val="21"/>
          <w:highlight w:val="none"/>
        </w:rPr>
        <w:t xml:space="preserve">）：</w:t>
      </w:r>
      <w:r/>
    </w:p>
    <w:p>
      <w:pPr>
        <w:ind w:firstLine="400"/>
        <w:tabs>
          <w:tab w:val="center" w:pos="4201" w:leader="none"/>
          <w:tab w:val="right" w:pos="9298" w:leader="dot"/>
        </w:tabs>
        <w:rPr>
          <w:rFonts w:hAnsi="Times New Roman" w:eastAsia="Times New Roman" w:cs="Times New Roman"/>
          <w:highlight w:val="none"/>
        </w:rPr>
      </w:pPr>
      <w:r>
        <w:rPr>
          <w:rFonts w:hAnsi="Times New Roman" w:eastAsia="Times New Roman" w:cs="Times New Roman"/>
          <w:highlight w:val="none"/>
        </w:rPr>
      </w:r>
      <w:r/>
    </w:p>
    <w:p>
      <w:pPr>
        <w:spacing w:line="480" w:lineRule="auto"/>
        <w:tabs>
          <w:tab w:val="left" w:pos="0" w:leader="none"/>
        </w:tabs>
        <w:rPr>
          <w:rFonts w:cs="Times New Roman"/>
          <w:b/>
          <w:bCs/>
          <w:sz w:val="21"/>
          <w:szCs w:val="21"/>
          <w:highlight w:val="none"/>
          <w:lang w:val="zh-CN"/>
        </w:rPr>
      </w:pPr>
      <w:r>
        <w:rPr>
          <w:rFonts w:hint="eastAsia" w:cs="Times New Roman"/>
          <w:b/>
          <w:bCs/>
          <w:sz w:val="21"/>
          <w:szCs w:val="21"/>
          <w:highlight w:val="none"/>
        </w:rPr>
        <w:t xml:space="preserve">法定代表人或</w:t>
      </w:r>
      <w:r>
        <w:rPr>
          <w:rFonts w:hint="eastAsia" w:cs="Times New Roman"/>
          <w:b/>
          <w:bCs/>
          <w:sz w:val="21"/>
          <w:szCs w:val="21"/>
          <w:highlight w:val="none"/>
          <w:lang w:val="zh-CN"/>
        </w:rPr>
        <w:t xml:space="preserve">授权代理人（签字或盖章）：</w:t>
      </w:r>
      <w:r>
        <w:rPr>
          <w:rFonts w:cs="Times New Roman"/>
          <w:b/>
          <w:bCs/>
          <w:sz w:val="21"/>
          <w:szCs w:val="21"/>
          <w:highlight w:val="none"/>
          <w:lang w:val="zh-CN"/>
        </w:rPr>
        <w:tab/>
      </w:r>
      <w:r>
        <w:rPr>
          <w:rFonts w:cs="Times New Roman"/>
          <w:b/>
          <w:bCs/>
          <w:sz w:val="21"/>
          <w:szCs w:val="21"/>
          <w:highlight w:val="none"/>
          <w:lang w:val="zh-CN"/>
        </w:rPr>
        <w:tab/>
      </w:r>
      <w:r>
        <w:rPr>
          <w:rFonts w:hint="eastAsia" w:cs="Times New Roman"/>
          <w:b/>
          <w:bCs/>
          <w:sz w:val="21"/>
          <w:szCs w:val="21"/>
          <w:highlight w:val="none"/>
        </w:rPr>
        <w:t xml:space="preserve">法定代表人或</w:t>
      </w:r>
      <w:r>
        <w:rPr>
          <w:rFonts w:hint="eastAsia" w:cs="Times New Roman"/>
          <w:b/>
          <w:bCs/>
          <w:sz w:val="21"/>
          <w:szCs w:val="21"/>
          <w:highlight w:val="none"/>
          <w:lang w:val="zh-CN"/>
        </w:rPr>
        <w:t xml:space="preserve">授权代理人（签字或盖章）：</w:t>
      </w:r>
      <w:r>
        <w:rPr>
          <w:rFonts w:cs="Times New Roman"/>
          <w:b/>
          <w:bCs/>
          <w:sz w:val="21"/>
          <w:szCs w:val="21"/>
          <w:highlight w:val="none"/>
          <w:lang w:val="zh-CN"/>
        </w:rPr>
        <w:tab/>
      </w:r>
      <w:r/>
    </w:p>
    <w:p>
      <w:pPr>
        <w:ind w:firstLine="420"/>
        <w:rPr>
          <w:rFonts w:ascii="Times New Roman" w:hAnsi="Times New Roman" w:cs="Times New Roman"/>
          <w:sz w:val="21"/>
          <w:szCs w:val="20"/>
          <w:highlight w:val="none"/>
          <w:lang w:val="zh-CN"/>
        </w:rPr>
      </w:pPr>
      <w:r>
        <w:rPr>
          <w:rFonts w:ascii="Times New Roman" w:hAnsi="Times New Roman" w:cs="Times New Roman"/>
          <w:sz w:val="21"/>
          <w:szCs w:val="20"/>
          <w:highlight w:val="none"/>
          <w:lang w:val="zh-CN"/>
        </w:rPr>
      </w:r>
      <w:r/>
    </w:p>
    <w:p>
      <w:pPr>
        <w:spacing w:line="360" w:lineRule="auto"/>
        <w:rPr>
          <w:rFonts w:hint="eastAsia" w:cs="Times New Roman"/>
          <w:b/>
          <w:bCs/>
          <w:sz w:val="21"/>
          <w:szCs w:val="21"/>
          <w:highlight w:val="none"/>
          <w:lang w:val="zh-CN"/>
        </w:rPr>
      </w:pPr>
      <w:r>
        <w:rPr>
          <w:rFonts w:hint="eastAsia" w:cs="Times New Roman"/>
          <w:b/>
          <w:bCs/>
          <w:sz w:val="21"/>
          <w:szCs w:val="21"/>
          <w:highlight w:val="none"/>
        </w:rPr>
        <w:t xml:space="preserve">合同签订日期： </w:t>
      </w:r>
      <w:r>
        <w:rPr>
          <w:rFonts w:hint="eastAsia" w:cs="Times New Roman"/>
          <w:b/>
          <w:bCs/>
          <w:sz w:val="21"/>
          <w:szCs w:val="21"/>
          <w:highlight w:val="none"/>
          <w:lang w:val="zh-CN"/>
        </w:rPr>
        <w:t xml:space="preserve">     年月日                  </w:t>
      </w:r>
      <w:r>
        <w:rPr>
          <w:rFonts w:hint="eastAsia" w:cs="Times New Roman"/>
          <w:b/>
          <w:bCs/>
          <w:sz w:val="21"/>
          <w:szCs w:val="21"/>
          <w:highlight w:val="none"/>
        </w:rPr>
        <w:t xml:space="preserve">合同签订日期： </w:t>
      </w:r>
      <w:r>
        <w:rPr>
          <w:rFonts w:hint="eastAsia" w:cs="Times New Roman"/>
          <w:b/>
          <w:bCs/>
          <w:sz w:val="21"/>
          <w:szCs w:val="21"/>
          <w:highlight w:val="none"/>
          <w:lang w:val="zh-CN"/>
        </w:rPr>
        <w:t xml:space="preserve">     年月日</w:t>
      </w:r>
      <w:r/>
    </w:p>
    <w:p>
      <w:pPr>
        <w:pStyle w:val="887"/>
        <w:ind w:left="480" w:firstLine="422"/>
        <w:rPr>
          <w:rFonts w:hint="eastAsia"/>
          <w:b/>
          <w:bCs/>
          <w:szCs w:val="21"/>
          <w:highlight w:val="none"/>
          <w:lang w:val="zh-CN"/>
        </w:rPr>
      </w:pPr>
      <w:r>
        <w:rPr>
          <w:rFonts w:hint="eastAsia"/>
          <w:b/>
          <w:bCs/>
          <w:szCs w:val="21"/>
          <w:highlight w:val="none"/>
          <w:lang w:val="zh-CN"/>
        </w:rPr>
      </w:r>
      <w:r/>
    </w:p>
    <w:p>
      <w:pPr>
        <w:pStyle w:val="875"/>
        <w:ind w:left="422" w:hanging="422"/>
        <w:rPr>
          <w:rFonts w:hint="eastAsia" w:ascii="宋体" w:hAnsi="宋体" w:cs="Times New Roman"/>
          <w:b/>
          <w:bCs/>
          <w:sz w:val="21"/>
          <w:highlight w:val="none"/>
          <w:lang w:val="zh-CN"/>
        </w:rPr>
      </w:pPr>
      <w:r>
        <w:rPr>
          <w:rFonts w:hint="eastAsia" w:ascii="宋体" w:hAnsi="宋体" w:cs="Times New Roman"/>
          <w:b/>
          <w:bCs/>
          <w:sz w:val="21"/>
          <w:highlight w:val="none"/>
          <w:lang w:val="zh-CN"/>
        </w:rPr>
      </w:r>
      <w:r/>
    </w:p>
    <w:p>
      <w:pPr>
        <w:pStyle w:val="875"/>
        <w:ind w:left="0" w:firstLine="0"/>
        <w:rPr>
          <w:rFonts w:hint="eastAsia"/>
          <w:highlight w:val="none"/>
        </w:rPr>
      </w:pPr>
      <w:r>
        <w:rPr>
          <w:rFonts w:hint="eastAsia"/>
          <w:highlight w:val="none"/>
        </w:rPr>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2"/>
        <w:rPr>
          <w:rFonts w:hint="eastAsia"/>
          <w:highlight w:val="none"/>
        </w:rPr>
      </w:pPr>
      <w:r>
        <w:rPr>
          <w:rFonts w:hint="eastAsia"/>
          <w:highlight w:val="none"/>
        </w:rPr>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2"/>
        <w:rPr>
          <w:rFonts w:hint="eastAsia"/>
          <w:highlight w:val="none"/>
        </w:rPr>
      </w:pPr>
      <w:r>
        <w:rPr>
          <w:rFonts w:hint="eastAsia"/>
          <w:highlight w:val="none"/>
        </w:rPr>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2"/>
        <w:rPr>
          <w:rFonts w:hint="eastAsia"/>
          <w:highlight w:val="none"/>
        </w:rPr>
      </w:pPr>
      <w:r>
        <w:rPr>
          <w:rFonts w:hint="eastAsia"/>
          <w:highlight w:val="none"/>
        </w:rPr>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2"/>
        <w:rPr>
          <w:rFonts w:hint="eastAsia"/>
          <w:highlight w:val="none"/>
        </w:rPr>
      </w:pPr>
      <w:r>
        <w:rPr>
          <w:rFonts w:hint="eastAsia"/>
          <w:highlight w:val="none"/>
        </w:rPr>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2"/>
        <w:rPr>
          <w:rFonts w:hint="eastAsia"/>
          <w:highlight w:val="none"/>
        </w:rPr>
      </w:pPr>
      <w:r>
        <w:rPr>
          <w:rFonts w:hint="eastAsia"/>
          <w:highlight w:val="none"/>
        </w:rPr>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2"/>
        <w:rPr>
          <w:rFonts w:hint="eastAsia"/>
          <w:highlight w:val="none"/>
        </w:rPr>
      </w:pPr>
      <w:r>
        <w:rPr>
          <w:rFonts w:hint="eastAsia"/>
          <w:highlight w:val="none"/>
        </w:rPr>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2"/>
        <w:rPr>
          <w:rFonts w:hint="eastAsia"/>
          <w:highlight w:val="none"/>
        </w:rPr>
      </w:pPr>
      <w:r>
        <w:rPr>
          <w:rFonts w:hint="eastAsia"/>
          <w:highlight w:val="none"/>
        </w:rPr>
      </w:r>
      <w:r/>
    </w:p>
    <w:p>
      <w:pPr>
        <w:pStyle w:val="852"/>
        <w:ind w:firstLine="0"/>
        <w:rPr>
          <w:rFonts w:hint="eastAsia"/>
          <w:highlight w:val="none"/>
        </w:rPr>
      </w:pPr>
      <w:r>
        <w:rPr>
          <w:rFonts w:hint="eastAsia"/>
          <w:highlight w:val="none"/>
        </w:rPr>
      </w:r>
      <w:r/>
    </w:p>
    <w:p>
      <w:pPr>
        <w:pStyle w:val="821"/>
        <w:ind w:left="0" w:firstLine="0"/>
        <w:jc w:val="center"/>
        <w:rPr>
          <w:rFonts w:hint="eastAsia"/>
          <w:highlight w:val="none"/>
        </w:rPr>
      </w:pPr>
      <w:r>
        <w:rPr>
          <w:rFonts w:hint="eastAsia"/>
          <w:highlight w:val="none"/>
        </w:rPr>
        <w:t xml:space="preserve">第七章 评标办法及评分标准</w:t>
      </w:r>
      <w:bookmarkEnd w:id="39"/>
      <w:r/>
      <w:r/>
    </w:p>
    <w:p>
      <w:pPr>
        <w:spacing w:line="360" w:lineRule="auto"/>
        <w:rPr>
          <w:rFonts w:hint="eastAsia"/>
          <w:b/>
          <w:sz w:val="21"/>
          <w:szCs w:val="21"/>
          <w:highlight w:val="none"/>
          <w:lang w:val="zh-CN"/>
        </w:rPr>
      </w:pPr>
      <w:r/>
      <w:bookmarkStart w:id="57" w:name="_Toc475"/>
      <w:r>
        <w:rPr>
          <w:rFonts w:hint="eastAsia"/>
          <w:b/>
          <w:sz w:val="21"/>
          <w:szCs w:val="21"/>
          <w:highlight w:val="none"/>
          <w:lang w:val="zh-CN"/>
        </w:rPr>
        <w:t xml:space="preserve">一、评标办法：</w:t>
      </w:r>
      <w:r/>
    </w:p>
    <w:p>
      <w:pPr>
        <w:ind w:firstLine="422"/>
        <w:spacing w:line="360" w:lineRule="auto"/>
        <w:rPr>
          <w:rFonts w:hint="eastAsia"/>
          <w:sz w:val="21"/>
          <w:szCs w:val="21"/>
          <w:highlight w:val="none"/>
        </w:rPr>
      </w:pPr>
      <w:r>
        <w:rPr>
          <w:rFonts w:hint="eastAsia"/>
          <w:sz w:val="21"/>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sz w:val="21"/>
          <w:szCs w:val="21"/>
          <w:highlight w:val="none"/>
        </w:rPr>
      </w:pPr>
      <w:r>
        <w:rPr>
          <w:rFonts w:hint="eastAsia"/>
          <w:sz w:val="21"/>
          <w:szCs w:val="21"/>
          <w:highlight w:val="none"/>
        </w:rPr>
        <w:t xml:space="preserve">2．评标委员会各成员独立对每个进入打分程序的有效投标单位的标书技术和资质部分以打分的形式进行评审和评价。 </w:t>
      </w:r>
      <w:r/>
    </w:p>
    <w:p>
      <w:pPr>
        <w:ind w:firstLine="422"/>
        <w:spacing w:line="360" w:lineRule="auto"/>
        <w:rPr>
          <w:rFonts w:hint="eastAsia"/>
          <w:sz w:val="21"/>
          <w:szCs w:val="21"/>
          <w:highlight w:val="none"/>
        </w:rPr>
      </w:pPr>
      <w:r>
        <w:rPr>
          <w:rFonts w:hint="eastAsia"/>
          <w:sz w:val="21"/>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sz w:val="21"/>
          <w:szCs w:val="21"/>
          <w:highlight w:val="none"/>
        </w:rPr>
      </w:pPr>
      <w:r>
        <w:rPr>
          <w:rFonts w:hint="eastAsia"/>
          <w:sz w:val="21"/>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2"/>
        <w:spacing w:line="360" w:lineRule="auto"/>
        <w:rPr>
          <w:rFonts w:hint="eastAsia" w:cs="Times New Roman"/>
          <w:sz w:val="21"/>
          <w:highlight w:val="none"/>
        </w:rPr>
      </w:pPr>
      <w:r>
        <w:rPr>
          <w:rFonts w:hint="eastAsia"/>
          <w:bCs/>
          <w:sz w:val="21"/>
          <w:szCs w:val="21"/>
          <w:highlight w:val="none"/>
        </w:rPr>
        <w:t xml:space="preserve">5.本项目核心产品为</w:t>
      </w:r>
      <w:r>
        <w:rPr>
          <w:rFonts w:hint="eastAsia" w:cs="Times New Roman"/>
          <w:bCs/>
          <w:sz w:val="21"/>
          <w:szCs w:val="21"/>
          <w:highlight w:val="none"/>
        </w:rPr>
        <w:t xml:space="preserve">病房设备带</w:t>
      </w:r>
      <w:r>
        <w:rPr>
          <w:rFonts w:hint="eastAsia"/>
          <w:sz w:val="21"/>
          <w:szCs w:val="21"/>
          <w:highlight w:val="none"/>
        </w:rPr>
        <w:t xml:space="preserve">。</w:t>
      </w:r>
      <w:r>
        <w:rPr>
          <w:rFonts w:hint="eastAsia" w:cs="Times New Roman"/>
          <w:sz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bookmarkEnd w:id="57"/>
      <w:r/>
    </w:p>
    <w:p>
      <w:pPr>
        <w:spacing w:line="360" w:lineRule="auto"/>
        <w:rPr>
          <w:rFonts w:hint="eastAsia"/>
          <w:sz w:val="21"/>
          <w:szCs w:val="21"/>
          <w:highlight w:val="none"/>
        </w:rPr>
      </w:pPr>
      <w:r>
        <w:rPr>
          <w:rFonts w:hint="eastAsia"/>
          <w:b/>
          <w:sz w:val="21"/>
          <w:szCs w:val="21"/>
          <w:highlight w:val="none"/>
          <w:lang w:val="zh-CN"/>
        </w:rPr>
        <w:t xml:space="preserve">二、评分标准：</w:t>
      </w:r>
      <w:r/>
    </w:p>
    <w:p>
      <w:pPr>
        <w:ind w:firstLine="422"/>
        <w:jc w:val="left"/>
        <w:spacing w:line="400" w:lineRule="exact"/>
        <w:rPr>
          <w:rFonts w:hint="eastAsia"/>
          <w:b/>
          <w:bCs/>
          <w:sz w:val="21"/>
          <w:szCs w:val="21"/>
          <w:highlight w:val="none"/>
        </w:rPr>
      </w:pPr>
      <w:r>
        <w:rPr>
          <w:rFonts w:hint="eastAsia"/>
          <w:b/>
          <w:bCs/>
          <w:sz w:val="21"/>
          <w:szCs w:val="21"/>
          <w:highlight w:val="none"/>
        </w:rPr>
        <w:t xml:space="preserve">（一）价格分</w:t>
      </w:r>
      <w:r>
        <w:rPr>
          <w:rFonts w:hint="eastAsia"/>
          <w:b/>
          <w:bCs/>
          <w:sz w:val="21"/>
          <w:szCs w:val="21"/>
          <w:highlight w:val="none"/>
          <w:lang w:val="en-US" w:eastAsia="zh-CN"/>
        </w:rPr>
        <w:t xml:space="preserve">30</w:t>
      </w:r>
      <w:r>
        <w:rPr>
          <w:b/>
          <w:bCs/>
          <w:sz w:val="21"/>
          <w:szCs w:val="21"/>
          <w:highlight w:val="none"/>
        </w:rPr>
        <w:t xml:space="preserve">分</w:t>
      </w:r>
      <w:r/>
    </w:p>
    <w:p>
      <w:pPr>
        <w:ind w:firstLine="420"/>
        <w:jc w:val="left"/>
        <w:spacing w:line="400" w:lineRule="exact"/>
        <w:rPr>
          <w:rFonts w:hint="eastAsia"/>
          <w:sz w:val="21"/>
          <w:szCs w:val="21"/>
          <w:highlight w:val="none"/>
        </w:rPr>
      </w:pPr>
      <w:r>
        <w:rPr>
          <w:rFonts w:hint="eastAsia"/>
          <w:sz w:val="21"/>
          <w:szCs w:val="21"/>
          <w:highlight w:val="none"/>
        </w:rPr>
        <w:t xml:space="preserve">1、投标总报价低于或等于最高限价的为有效投标报价。超最高限价的投标报价为无效投标报价。无效投标报价的投标文件不进行评审，也不得中标。</w:t>
      </w:r>
      <w:r/>
    </w:p>
    <w:p>
      <w:pPr>
        <w:ind w:firstLine="420"/>
        <w:jc w:val="left"/>
        <w:spacing w:line="400" w:lineRule="exact"/>
        <w:rPr>
          <w:rFonts w:hint="eastAsia"/>
          <w:sz w:val="21"/>
          <w:szCs w:val="21"/>
          <w:highlight w:val="none"/>
        </w:rPr>
      </w:pPr>
      <w:r>
        <w:rPr>
          <w:rFonts w:hint="eastAsia"/>
          <w:sz w:val="21"/>
          <w:szCs w:val="21"/>
          <w:highlight w:val="none"/>
        </w:rPr>
        <w:t xml:space="preserve">2、价格分采用低价优先法计算，即满足招标文件要求且投标价格最低的投标报价为评标基准价，其价格分为满分</w:t>
      </w:r>
      <w:r>
        <w:rPr>
          <w:rFonts w:hint="eastAsia"/>
          <w:sz w:val="21"/>
          <w:szCs w:val="21"/>
          <w:highlight w:val="none"/>
          <w:lang w:val="en-US" w:eastAsia="zh-CN"/>
        </w:rPr>
        <w:t xml:space="preserve">30</w:t>
      </w:r>
      <w:r>
        <w:rPr>
          <w:rFonts w:hint="eastAsia"/>
          <w:sz w:val="21"/>
          <w:szCs w:val="21"/>
          <w:highlight w:val="none"/>
        </w:rPr>
        <w:t xml:space="preserve">分。其他投标人的价格分统一按照下列公式计算：</w:t>
      </w:r>
      <w:r/>
    </w:p>
    <w:p>
      <w:pPr>
        <w:ind w:firstLine="420"/>
        <w:jc w:val="left"/>
        <w:spacing w:line="400" w:lineRule="exact"/>
        <w:rPr>
          <w:rFonts w:hint="eastAsia"/>
          <w:sz w:val="21"/>
          <w:szCs w:val="21"/>
          <w:highlight w:val="none"/>
        </w:rPr>
      </w:pPr>
      <w:r>
        <w:rPr>
          <w:rFonts w:hint="eastAsia"/>
          <w:sz w:val="21"/>
          <w:szCs w:val="21"/>
          <w:highlight w:val="none"/>
        </w:rPr>
        <w:t xml:space="preserve">投标报价得分＝（评标基准价／投标报价）×</w:t>
      </w:r>
      <w:r>
        <w:rPr>
          <w:rFonts w:hint="eastAsia"/>
          <w:sz w:val="21"/>
          <w:szCs w:val="21"/>
          <w:highlight w:val="none"/>
          <w:lang w:val="en-US" w:eastAsia="zh-CN"/>
        </w:rPr>
        <w:t xml:space="preserve">30</w:t>
      </w:r>
      <w:r>
        <w:rPr>
          <w:rFonts w:hint="eastAsia"/>
          <w:sz w:val="21"/>
          <w:szCs w:val="21"/>
          <w:highlight w:val="none"/>
        </w:rPr>
        <w:t xml:space="preserve">%×100，小数点后保留两位。</w:t>
      </w:r>
      <w:r/>
    </w:p>
    <w:p>
      <w:pPr>
        <w:ind w:firstLine="422"/>
        <w:spacing w:line="400" w:lineRule="exact"/>
        <w:rPr>
          <w:rFonts w:hint="eastAsia"/>
          <w:b/>
          <w:bCs/>
          <w:sz w:val="21"/>
          <w:szCs w:val="21"/>
          <w:highlight w:val="none"/>
          <w:lang w:val="zh-CN"/>
        </w:rPr>
      </w:pPr>
      <w:r>
        <w:rPr>
          <w:rFonts w:hint="eastAsia"/>
          <w:b/>
          <w:bCs/>
          <w:sz w:val="21"/>
          <w:szCs w:val="21"/>
          <w:highlight w:val="none"/>
          <w:lang w:val="zh-CN"/>
        </w:rPr>
        <w:t xml:space="preserve">（二）投标设备的技术与质量（最高为</w:t>
      </w:r>
      <w:r>
        <w:rPr>
          <w:rFonts w:hint="eastAsia"/>
          <w:b/>
          <w:bCs/>
          <w:sz w:val="21"/>
          <w:szCs w:val="21"/>
          <w:highlight w:val="none"/>
          <w:lang w:val="en-US" w:eastAsia="zh-CN"/>
        </w:rPr>
        <w:t xml:space="preserve">21</w:t>
      </w:r>
      <w:r>
        <w:rPr>
          <w:rFonts w:hint="eastAsia"/>
          <w:b/>
          <w:bCs/>
          <w:sz w:val="21"/>
          <w:szCs w:val="21"/>
          <w:highlight w:val="none"/>
          <w:lang w:val="zh-CN"/>
        </w:rPr>
        <w:t xml:space="preserve">分）</w:t>
      </w:r>
      <w:r/>
    </w:p>
    <w:p>
      <w:pPr>
        <w:ind w:firstLine="420"/>
        <w:spacing w:line="400" w:lineRule="exact"/>
        <w:rPr>
          <w:rFonts w:hint="eastAsia"/>
          <w:color w:val="ff0000"/>
          <w:sz w:val="21"/>
          <w:szCs w:val="21"/>
          <w:highlight w:val="none"/>
          <w:lang w:val="zh-CN"/>
        </w:rPr>
      </w:pPr>
      <w:r>
        <w:rPr>
          <w:rFonts w:hint="eastAsia"/>
          <w:sz w:val="21"/>
          <w:szCs w:val="21"/>
          <w:highlight w:val="none"/>
          <w:lang w:val="zh-CN"/>
        </w:rPr>
        <w:t xml:space="preserve">1、技术参数符合性</w:t>
      </w:r>
      <w:r>
        <w:rPr>
          <w:rFonts w:hint="eastAsia"/>
          <w:sz w:val="21"/>
          <w:szCs w:val="21"/>
          <w:highlight w:val="none"/>
        </w:rPr>
        <w:t xml:space="preserve">情况</w:t>
      </w:r>
      <w:r>
        <w:rPr>
          <w:rFonts w:hint="eastAsia"/>
          <w:sz w:val="21"/>
          <w:szCs w:val="21"/>
          <w:highlight w:val="none"/>
          <w:lang w:val="zh-CN"/>
        </w:rPr>
        <w:t xml:space="preserve">（</w:t>
      </w:r>
      <w:r>
        <w:rPr>
          <w:rFonts w:hint="eastAsia"/>
          <w:sz w:val="21"/>
          <w:szCs w:val="21"/>
          <w:highlight w:val="none"/>
          <w:lang w:val="en-US" w:eastAsia="zh-CN"/>
        </w:rPr>
        <w:t xml:space="preserve">21</w:t>
      </w:r>
      <w:r>
        <w:rPr>
          <w:rFonts w:hint="eastAsia"/>
          <w:sz w:val="21"/>
          <w:szCs w:val="21"/>
          <w:highlight w:val="none"/>
          <w:lang w:val="zh-CN"/>
        </w:rPr>
        <w:t xml:space="preserve">分）：所投设备的技术参数满足或高于招标文件要求的得</w:t>
      </w:r>
      <w:r>
        <w:rPr>
          <w:rFonts w:hint="eastAsia"/>
          <w:sz w:val="21"/>
          <w:szCs w:val="21"/>
          <w:highlight w:val="none"/>
          <w:lang w:val="en-US" w:eastAsia="zh-CN"/>
        </w:rPr>
        <w:t xml:space="preserve">21</w:t>
      </w:r>
      <w:r>
        <w:rPr>
          <w:rFonts w:hint="eastAsia"/>
          <w:sz w:val="21"/>
          <w:szCs w:val="21"/>
          <w:highlight w:val="none"/>
          <w:lang w:val="zh-CN"/>
        </w:rPr>
        <w:t xml:space="preserve">分；打“</w:t>
      </w:r>
      <w:r>
        <w:rPr>
          <w:rFonts w:hint="eastAsia"/>
          <w:sz w:val="21"/>
          <w:szCs w:val="21"/>
          <w:highlight w:val="none"/>
        </w:rPr>
        <w:t xml:space="preserve">▲</w:t>
      </w:r>
      <w:r>
        <w:rPr>
          <w:rFonts w:hint="eastAsia"/>
          <w:sz w:val="21"/>
          <w:szCs w:val="21"/>
          <w:highlight w:val="none"/>
          <w:lang w:val="zh-CN"/>
        </w:rPr>
        <w:t xml:space="preserve">”的为重要技术指标，出现一个负偏离扣</w:t>
      </w:r>
      <w:r>
        <w:rPr>
          <w:rFonts w:hint="eastAsia"/>
          <w:sz w:val="21"/>
          <w:szCs w:val="21"/>
          <w:highlight w:val="none"/>
        </w:rPr>
        <w:t xml:space="preserve">1.5</w:t>
      </w:r>
      <w:r>
        <w:rPr>
          <w:rFonts w:hint="eastAsia"/>
          <w:sz w:val="21"/>
          <w:szCs w:val="21"/>
          <w:highlight w:val="none"/>
          <w:lang w:val="zh-CN"/>
        </w:rPr>
        <w:t xml:space="preserve">分（</w:t>
      </w:r>
      <w:r>
        <w:rPr>
          <w:rFonts w:hint="eastAsia"/>
          <w:sz w:val="21"/>
          <w:szCs w:val="21"/>
          <w:highlight w:val="none"/>
        </w:rPr>
        <w:t xml:space="preserve">须提供招标文件要求的佐证资料，否则视为负偏离</w:t>
      </w:r>
      <w:r>
        <w:rPr>
          <w:rFonts w:hint="eastAsia"/>
          <w:sz w:val="21"/>
          <w:szCs w:val="21"/>
          <w:highlight w:val="none"/>
          <w:lang w:val="zh-CN"/>
        </w:rPr>
        <w:t xml:space="preserve">）；其他技术指标为基本技术指标，出现一个负偏离扣0.5分，各投标人均应提供相关的证明材料（</w:t>
      </w:r>
      <w:r>
        <w:rPr>
          <w:rFonts w:hint="eastAsia"/>
          <w:sz w:val="21"/>
          <w:szCs w:val="21"/>
          <w:highlight w:val="none"/>
        </w:rPr>
        <w:t xml:space="preserve">招标文件要求的佐证资料</w:t>
      </w:r>
      <w:r>
        <w:rPr>
          <w:rFonts w:hint="eastAsia"/>
          <w:sz w:val="21"/>
          <w:szCs w:val="21"/>
          <w:highlight w:val="none"/>
          <w:lang w:val="en-US" w:eastAsia="zh-CN"/>
        </w:rPr>
        <w:t xml:space="preserve">或</w:t>
      </w:r>
      <w:r>
        <w:rPr>
          <w:rFonts w:hint="eastAsia"/>
          <w:sz w:val="21"/>
          <w:szCs w:val="21"/>
          <w:highlight w:val="none"/>
          <w:lang w:val="zh-CN"/>
        </w:rPr>
        <w:t xml:space="preserve">彩页或提供原厂家确认并加盖公章的技术参数表或投标人盖章的技术参数表等能证明技术参数的资料）并作出相应的对比（列表）供评委评判，否则评委可视为未对此进行响应；技术参数性能等偏离不得改变采购设备使用的质量和功能。</w:t>
      </w:r>
      <w:r/>
    </w:p>
    <w:p>
      <w:pPr>
        <w:ind w:firstLine="422"/>
        <w:spacing w:line="400" w:lineRule="exact"/>
        <w:rPr>
          <w:rFonts w:hint="eastAsia"/>
          <w:b/>
          <w:bCs/>
          <w:sz w:val="21"/>
          <w:szCs w:val="21"/>
          <w:highlight w:val="none"/>
        </w:rPr>
      </w:pPr>
      <w:r>
        <w:rPr>
          <w:rFonts w:hint="eastAsia"/>
          <w:b/>
          <w:bCs/>
          <w:sz w:val="21"/>
          <w:szCs w:val="21"/>
          <w:highlight w:val="none"/>
        </w:rPr>
        <w:t xml:space="preserve">（三）技术服务及售后服务方案（</w:t>
      </w:r>
      <w:r>
        <w:rPr>
          <w:rFonts w:hint="eastAsia"/>
          <w:b/>
          <w:bCs/>
          <w:sz w:val="21"/>
          <w:szCs w:val="21"/>
          <w:highlight w:val="none"/>
          <w:lang w:val="en-US" w:eastAsia="zh-CN"/>
        </w:rPr>
        <w:t xml:space="preserve">42</w:t>
      </w:r>
      <w:r>
        <w:rPr>
          <w:rFonts w:hint="eastAsia"/>
          <w:b/>
          <w:bCs/>
          <w:sz w:val="21"/>
          <w:szCs w:val="21"/>
          <w:highlight w:val="none"/>
        </w:rPr>
        <w:t xml:space="preserve">分）</w:t>
      </w:r>
      <w:r/>
    </w:p>
    <w:p>
      <w:pPr>
        <w:ind w:firstLine="420"/>
        <w:spacing w:line="400" w:lineRule="exact"/>
        <w:rPr>
          <w:rFonts w:hint="eastAsia"/>
          <w:sz w:val="21"/>
          <w:szCs w:val="21"/>
          <w:highlight w:val="none"/>
        </w:rPr>
      </w:pPr>
      <w:r>
        <w:rPr>
          <w:rFonts w:hint="eastAsia"/>
          <w:sz w:val="21"/>
          <w:szCs w:val="21"/>
          <w:highlight w:val="none"/>
        </w:rPr>
        <w:t xml:space="preserve">1、针对本项目的技术服务体系（包括专业技术人员保障及服务技术力量配置等）（最高为</w:t>
      </w:r>
      <w:r>
        <w:rPr>
          <w:rFonts w:hint="eastAsia"/>
          <w:sz w:val="21"/>
          <w:szCs w:val="21"/>
          <w:highlight w:val="none"/>
          <w:lang w:val="en-US" w:eastAsia="zh-CN"/>
        </w:rPr>
        <w:t xml:space="preserve">10</w:t>
      </w:r>
      <w:r>
        <w:rPr>
          <w:rFonts w:hint="eastAsia"/>
          <w:sz w:val="21"/>
          <w:szCs w:val="21"/>
          <w:highlight w:val="none"/>
        </w:rPr>
        <w:t xml:space="preserve">分）：技术服务体系内容阐述合理、描述详细、科学合理可行性高的得</w:t>
      </w:r>
      <w:r>
        <w:rPr>
          <w:rFonts w:hint="eastAsia"/>
          <w:sz w:val="21"/>
          <w:szCs w:val="21"/>
          <w:highlight w:val="none"/>
          <w:lang w:val="en-US" w:eastAsia="zh-CN"/>
        </w:rPr>
        <w:t xml:space="preserve">10</w:t>
      </w:r>
      <w:r>
        <w:rPr>
          <w:rFonts w:hint="eastAsia"/>
          <w:sz w:val="21"/>
          <w:szCs w:val="21"/>
          <w:highlight w:val="none"/>
        </w:rPr>
        <w:t xml:space="preserve">分；技术服务体系内容阐述详实程度较好，科学合理性可实施性较好的得</w:t>
      </w:r>
      <w:r>
        <w:rPr>
          <w:rFonts w:hint="eastAsia"/>
          <w:sz w:val="21"/>
          <w:szCs w:val="21"/>
          <w:highlight w:val="none"/>
          <w:lang w:val="en-US" w:eastAsia="zh-CN"/>
        </w:rPr>
        <w:t xml:space="preserve">7</w:t>
      </w:r>
      <w:r>
        <w:rPr>
          <w:rFonts w:hint="eastAsia"/>
          <w:sz w:val="21"/>
          <w:szCs w:val="21"/>
          <w:highlight w:val="none"/>
        </w:rPr>
        <w:t xml:space="preserve">分；技术服务体系内容阐述详实程度一般，科学合理性可实施性一般的得</w:t>
      </w:r>
      <w:r>
        <w:rPr>
          <w:rFonts w:hint="eastAsia"/>
          <w:sz w:val="21"/>
          <w:szCs w:val="21"/>
          <w:highlight w:val="none"/>
          <w:lang w:val="en-US" w:eastAsia="zh-CN"/>
        </w:rPr>
        <w:t xml:space="preserve">5</w:t>
      </w:r>
      <w:r>
        <w:rPr>
          <w:rFonts w:hint="eastAsia"/>
          <w:sz w:val="21"/>
          <w:szCs w:val="21"/>
          <w:highlight w:val="none"/>
        </w:rPr>
        <w:t xml:space="preserve">分；技术服务体系内容阐述详实程度</w:t>
      </w:r>
      <w:r>
        <w:rPr>
          <w:rFonts w:hint="eastAsia"/>
          <w:sz w:val="21"/>
          <w:szCs w:val="21"/>
          <w:highlight w:val="none"/>
          <w:lang w:val="en-US" w:eastAsia="zh-CN"/>
        </w:rPr>
        <w:t xml:space="preserve">基本满足</w:t>
      </w:r>
      <w:r>
        <w:rPr>
          <w:rFonts w:hint="eastAsia"/>
          <w:sz w:val="21"/>
          <w:szCs w:val="21"/>
          <w:highlight w:val="none"/>
        </w:rPr>
        <w:t xml:space="preserve">，科学合理性可实施性</w:t>
      </w:r>
      <w:r>
        <w:rPr>
          <w:rFonts w:hint="eastAsia" w:ascii="Times New Roman" w:eastAsia="宋体"/>
          <w:sz w:val="21"/>
          <w:szCs w:val="21"/>
          <w:highlight w:val="none"/>
          <w:lang w:val="en-US" w:eastAsia="zh-CN"/>
        </w:rPr>
        <w:t xml:space="preserve">基本满足</w:t>
      </w:r>
      <w:r>
        <w:rPr>
          <w:rFonts w:hint="eastAsia"/>
          <w:sz w:val="21"/>
          <w:szCs w:val="21"/>
          <w:highlight w:val="none"/>
        </w:rPr>
        <w:t xml:space="preserve">的得</w:t>
      </w:r>
      <w:r>
        <w:rPr>
          <w:rFonts w:hint="eastAsia" w:ascii="Times New Roman" w:eastAsia="宋体"/>
          <w:sz w:val="21"/>
          <w:szCs w:val="21"/>
          <w:highlight w:val="none"/>
          <w:lang w:val="en-US" w:eastAsia="zh-CN"/>
        </w:rPr>
        <w:t xml:space="preserve">3</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rPr>
        <w:t xml:space="preserve">技术服务体系内容阐述合理性差或不详细不够具体全面的得</w:t>
      </w:r>
      <w:r>
        <w:rPr>
          <w:rFonts w:hint="eastAsia"/>
          <w:sz w:val="21"/>
          <w:szCs w:val="21"/>
          <w:highlight w:val="none"/>
          <w:lang w:val="en-US" w:eastAsia="zh-CN"/>
        </w:rPr>
        <w:t xml:space="preserve">1</w:t>
      </w:r>
      <w:r>
        <w:rPr>
          <w:rFonts w:hint="eastAsia"/>
          <w:sz w:val="21"/>
          <w:szCs w:val="21"/>
          <w:highlight w:val="none"/>
        </w:rPr>
        <w:t xml:space="preserve">分，未提供相关说明或所提供技术服务体系内容存在逻辑错误、前后矛盾的不得分。</w:t>
      </w:r>
      <w:r/>
    </w:p>
    <w:p>
      <w:pPr>
        <w:ind w:firstLine="420"/>
        <w:spacing w:line="400" w:lineRule="exact"/>
        <w:rPr>
          <w:rFonts w:hint="eastAsia"/>
          <w:sz w:val="21"/>
          <w:szCs w:val="21"/>
          <w:highlight w:val="none"/>
        </w:rPr>
      </w:pPr>
      <w:r>
        <w:rPr>
          <w:rFonts w:hint="eastAsia"/>
          <w:sz w:val="21"/>
          <w:szCs w:val="21"/>
          <w:highlight w:val="none"/>
        </w:rPr>
        <w:t xml:space="preserve">2、针对本项目的售后服务内容（最高为</w:t>
      </w:r>
      <w:r>
        <w:rPr>
          <w:rFonts w:hint="eastAsia"/>
          <w:sz w:val="21"/>
          <w:szCs w:val="21"/>
          <w:highlight w:val="none"/>
          <w:lang w:val="en-US" w:eastAsia="zh-CN"/>
        </w:rPr>
        <w:t xml:space="preserve">8</w:t>
      </w:r>
      <w:r>
        <w:rPr>
          <w:rFonts w:hint="eastAsia"/>
          <w:sz w:val="21"/>
          <w:szCs w:val="21"/>
          <w:highlight w:val="none"/>
        </w:rPr>
        <w:t xml:space="preserve">分）：售后服务内容详实具体科学可行合理性高的得</w:t>
      </w:r>
      <w:r>
        <w:rPr>
          <w:rFonts w:hint="eastAsia"/>
          <w:sz w:val="21"/>
          <w:szCs w:val="21"/>
          <w:highlight w:val="none"/>
          <w:lang w:val="en-US" w:eastAsia="zh-CN"/>
        </w:rPr>
        <w:t xml:space="preserve">8</w:t>
      </w:r>
      <w:r>
        <w:rPr>
          <w:rFonts w:hint="eastAsia"/>
          <w:sz w:val="21"/>
          <w:szCs w:val="21"/>
          <w:highlight w:val="none"/>
        </w:rPr>
        <w:t xml:space="preserve">分；售后服务内容较为详细较为合理可行的得</w:t>
      </w:r>
      <w:r>
        <w:rPr>
          <w:rFonts w:hint="eastAsia"/>
          <w:sz w:val="21"/>
          <w:szCs w:val="21"/>
          <w:highlight w:val="none"/>
          <w:lang w:val="en-US" w:eastAsia="zh-CN"/>
        </w:rPr>
        <w:t xml:space="preserve">5</w:t>
      </w:r>
      <w:r>
        <w:rPr>
          <w:rFonts w:hint="eastAsia"/>
          <w:sz w:val="21"/>
          <w:szCs w:val="21"/>
          <w:highlight w:val="none"/>
        </w:rPr>
        <w:t xml:space="preserve">分；售后服务内容不够详细合理性可行性一般的得</w:t>
      </w:r>
      <w:r>
        <w:rPr>
          <w:rFonts w:hint="eastAsia"/>
          <w:sz w:val="21"/>
          <w:szCs w:val="21"/>
          <w:highlight w:val="none"/>
          <w:lang w:val="en-US" w:eastAsia="zh-CN"/>
        </w:rPr>
        <w:t xml:space="preserve">3</w:t>
      </w:r>
      <w:r>
        <w:rPr>
          <w:rFonts w:hint="eastAsia"/>
          <w:sz w:val="21"/>
          <w:szCs w:val="21"/>
          <w:highlight w:val="none"/>
        </w:rPr>
        <w:t xml:space="preserve">分；售后服务内容不够详细合理性可行性较差的得</w:t>
      </w:r>
      <w:r>
        <w:rPr>
          <w:rFonts w:hint="eastAsia"/>
          <w:sz w:val="21"/>
          <w:szCs w:val="21"/>
          <w:highlight w:val="none"/>
          <w:lang w:val="en-US" w:eastAsia="zh-CN"/>
        </w:rPr>
        <w:t xml:space="preserve">1</w:t>
      </w:r>
      <w:r>
        <w:rPr>
          <w:rFonts w:hint="eastAsia"/>
          <w:sz w:val="21"/>
          <w:szCs w:val="21"/>
          <w:highlight w:val="none"/>
        </w:rPr>
        <w:t xml:space="preserve">分；未提供相关说明或或存在逻辑错误、前后矛盾的不得分。</w:t>
      </w:r>
      <w:r/>
    </w:p>
    <w:p>
      <w:pPr>
        <w:ind w:firstLine="420"/>
        <w:spacing w:line="400" w:lineRule="exact"/>
        <w:rPr>
          <w:rFonts w:hint="eastAsia"/>
          <w:sz w:val="21"/>
          <w:szCs w:val="21"/>
          <w:highlight w:val="none"/>
        </w:rPr>
      </w:pPr>
      <w:r>
        <w:rPr>
          <w:rFonts w:hint="eastAsia"/>
          <w:sz w:val="21"/>
          <w:szCs w:val="21"/>
          <w:highlight w:val="none"/>
        </w:rPr>
        <w:t xml:space="preserve">3、针对本项目的应急和重大故障解决方案（最高为</w:t>
      </w:r>
      <w:r>
        <w:rPr>
          <w:rFonts w:hint="eastAsia"/>
          <w:sz w:val="21"/>
          <w:szCs w:val="21"/>
          <w:highlight w:val="none"/>
          <w:lang w:val="en-US" w:eastAsia="zh-CN"/>
        </w:rPr>
        <w:t xml:space="preserve">8</w:t>
      </w:r>
      <w:r>
        <w:rPr>
          <w:rFonts w:hint="eastAsia"/>
          <w:sz w:val="21"/>
          <w:szCs w:val="21"/>
          <w:highlight w:val="none"/>
        </w:rPr>
        <w:t xml:space="preserve">分）：方案考虑详实具体全面周到、应对措施科学合理可行的得</w:t>
      </w:r>
      <w:r>
        <w:rPr>
          <w:rFonts w:hint="eastAsia"/>
          <w:sz w:val="21"/>
          <w:szCs w:val="21"/>
          <w:highlight w:val="none"/>
          <w:lang w:val="en-US" w:eastAsia="zh-CN"/>
        </w:rPr>
        <w:t xml:space="preserve">8</w:t>
      </w:r>
      <w:r>
        <w:rPr>
          <w:rFonts w:hint="eastAsia"/>
          <w:sz w:val="21"/>
          <w:szCs w:val="21"/>
          <w:highlight w:val="none"/>
        </w:rPr>
        <w:t xml:space="preserve">分；包括应急和重大故障预防措施，以及出现问题的响应时间、补救措施等，方案考虑较为详细较为合理可行的得</w:t>
      </w:r>
      <w:r>
        <w:rPr>
          <w:rFonts w:hint="eastAsia"/>
          <w:sz w:val="21"/>
          <w:szCs w:val="21"/>
          <w:highlight w:val="none"/>
          <w:lang w:val="en-US" w:eastAsia="zh-CN"/>
        </w:rPr>
        <w:t xml:space="preserve">5</w:t>
      </w:r>
      <w:r>
        <w:rPr>
          <w:rFonts w:hint="eastAsia"/>
          <w:sz w:val="21"/>
          <w:szCs w:val="21"/>
          <w:highlight w:val="none"/>
        </w:rPr>
        <w:t xml:space="preserve">分；方案考虑不够详细合理性可行性一般的得</w:t>
      </w:r>
      <w:r>
        <w:rPr>
          <w:rFonts w:hint="eastAsia"/>
          <w:sz w:val="21"/>
          <w:szCs w:val="21"/>
          <w:highlight w:val="none"/>
          <w:lang w:val="en-US" w:eastAsia="zh-CN"/>
        </w:rPr>
        <w:t xml:space="preserve">3</w:t>
      </w:r>
      <w:r>
        <w:rPr>
          <w:rFonts w:hint="eastAsia"/>
          <w:sz w:val="21"/>
          <w:szCs w:val="21"/>
          <w:highlight w:val="none"/>
        </w:rPr>
        <w:t xml:space="preserve">分；方案考虑不够全面合理性可行性较差的得</w:t>
      </w:r>
      <w:r>
        <w:rPr>
          <w:rFonts w:hint="eastAsia"/>
          <w:sz w:val="21"/>
          <w:szCs w:val="21"/>
          <w:highlight w:val="none"/>
          <w:lang w:val="en-US" w:eastAsia="zh-CN"/>
        </w:rPr>
        <w:t xml:space="preserve">1</w:t>
      </w:r>
      <w:r>
        <w:rPr>
          <w:rFonts w:hint="eastAsia"/>
          <w:sz w:val="21"/>
          <w:szCs w:val="21"/>
          <w:highlight w:val="none"/>
        </w:rPr>
        <w:t xml:space="preserve">分；未提供相关说明或存在逻辑错误、前后矛盾的不得分。</w:t>
      </w:r>
      <w:r/>
    </w:p>
    <w:p>
      <w:pPr>
        <w:ind w:firstLine="420"/>
        <w:spacing w:line="400" w:lineRule="exact"/>
        <w:rPr>
          <w:rFonts w:hint="eastAsia"/>
          <w:sz w:val="21"/>
          <w:szCs w:val="21"/>
          <w:highlight w:val="none"/>
        </w:rPr>
      </w:pPr>
      <w:r>
        <w:rPr>
          <w:rFonts w:hint="eastAsia"/>
          <w:sz w:val="21"/>
          <w:szCs w:val="21"/>
          <w:highlight w:val="none"/>
        </w:rPr>
        <w:t xml:space="preserve">4、针对本项目使用方人员的技术培训方案（最高为</w:t>
      </w:r>
      <w:r>
        <w:rPr>
          <w:rFonts w:hint="eastAsia"/>
          <w:sz w:val="21"/>
          <w:szCs w:val="21"/>
          <w:highlight w:val="none"/>
          <w:lang w:val="en-US" w:eastAsia="zh-CN"/>
        </w:rPr>
        <w:t xml:space="preserve">8</w:t>
      </w:r>
      <w:r>
        <w:rPr>
          <w:rFonts w:hint="eastAsia"/>
          <w:sz w:val="21"/>
          <w:szCs w:val="21"/>
          <w:highlight w:val="none"/>
        </w:rPr>
        <w:t xml:space="preserve">分）</w:t>
      </w:r>
      <w:r/>
    </w:p>
    <w:p>
      <w:pPr>
        <w:ind w:firstLine="420"/>
        <w:spacing w:line="400" w:lineRule="exact"/>
        <w:rPr>
          <w:rFonts w:hint="eastAsia"/>
          <w:sz w:val="21"/>
          <w:szCs w:val="21"/>
          <w:highlight w:val="none"/>
        </w:rPr>
      </w:pPr>
      <w:r>
        <w:rPr>
          <w:rFonts w:hint="eastAsia"/>
          <w:sz w:val="21"/>
          <w:szCs w:val="21"/>
          <w:highlight w:val="none"/>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sz w:val="21"/>
          <w:szCs w:val="21"/>
          <w:highlight w:val="none"/>
          <w:lang w:val="en-US" w:eastAsia="zh-CN"/>
        </w:rPr>
        <w:t xml:space="preserve">8</w:t>
      </w:r>
      <w:r>
        <w:rPr>
          <w:rFonts w:hint="eastAsia"/>
          <w:sz w:val="21"/>
          <w:szCs w:val="21"/>
          <w:highlight w:val="none"/>
        </w:rPr>
        <w:t xml:space="preserve">分；培训服务方案较为详细、针对性、可实施性较好得</w:t>
      </w:r>
      <w:r>
        <w:rPr>
          <w:rFonts w:hint="eastAsia"/>
          <w:sz w:val="21"/>
          <w:szCs w:val="21"/>
          <w:highlight w:val="none"/>
          <w:lang w:val="en-US" w:eastAsia="zh-CN"/>
        </w:rPr>
        <w:t xml:space="preserve">5</w:t>
      </w:r>
      <w:r>
        <w:rPr>
          <w:rFonts w:hint="eastAsia"/>
          <w:sz w:val="21"/>
          <w:szCs w:val="21"/>
          <w:highlight w:val="none"/>
        </w:rPr>
        <w:t xml:space="preserve">分；培训服务方案不够详细，针对性、可实施性一般的得</w:t>
      </w:r>
      <w:r>
        <w:rPr>
          <w:rFonts w:hint="eastAsia"/>
          <w:sz w:val="21"/>
          <w:szCs w:val="21"/>
          <w:highlight w:val="none"/>
          <w:lang w:val="en-US" w:eastAsia="zh-CN"/>
        </w:rPr>
        <w:t xml:space="preserve">3</w:t>
      </w:r>
      <w:r>
        <w:rPr>
          <w:rFonts w:hint="eastAsia"/>
          <w:sz w:val="21"/>
          <w:szCs w:val="21"/>
          <w:highlight w:val="none"/>
        </w:rPr>
        <w:t xml:space="preserve">分；培训服务方案不够详细，针对性、可实施性较差的得</w:t>
      </w:r>
      <w:r>
        <w:rPr>
          <w:rFonts w:hint="eastAsia"/>
          <w:sz w:val="21"/>
          <w:szCs w:val="21"/>
          <w:highlight w:val="none"/>
          <w:lang w:val="en-US" w:eastAsia="zh-CN"/>
        </w:rPr>
        <w:t xml:space="preserve">1</w:t>
      </w:r>
      <w:r>
        <w:rPr>
          <w:rFonts w:hint="eastAsia"/>
          <w:sz w:val="21"/>
          <w:szCs w:val="21"/>
          <w:highlight w:val="none"/>
        </w:rPr>
        <w:t xml:space="preserve">分，未提供相关说明或存在逻辑错误、前后矛盾的不得分。</w:t>
      </w:r>
      <w:r/>
    </w:p>
    <w:p>
      <w:pPr>
        <w:ind w:firstLine="420"/>
        <w:spacing w:line="400" w:lineRule="exact"/>
        <w:rPr>
          <w:rFonts w:hint="eastAsia"/>
          <w:sz w:val="21"/>
          <w:szCs w:val="21"/>
          <w:highlight w:val="none"/>
        </w:rPr>
      </w:pPr>
      <w:r>
        <w:rPr>
          <w:rFonts w:hint="eastAsia"/>
          <w:sz w:val="21"/>
          <w:szCs w:val="21"/>
          <w:highlight w:val="none"/>
        </w:rPr>
        <w:t xml:space="preserve">5、针对本项目交货进度计划及安装调试验收方案（最高为</w:t>
      </w:r>
      <w:r>
        <w:rPr>
          <w:rFonts w:hint="eastAsia"/>
          <w:sz w:val="21"/>
          <w:szCs w:val="21"/>
          <w:highlight w:val="none"/>
          <w:lang w:val="en-US" w:eastAsia="zh-CN"/>
        </w:rPr>
        <w:t xml:space="preserve">8</w:t>
      </w:r>
      <w:r>
        <w:rPr>
          <w:rFonts w:hint="eastAsia"/>
          <w:sz w:val="21"/>
          <w:szCs w:val="21"/>
          <w:highlight w:val="none"/>
        </w:rPr>
        <w:t xml:space="preserve">分）：投标单位提供针对本项目的交货进度计划及安装调试验收方案：交货进度计划及安装调试验收方案详实具体，有相关保障措施，科学合理可行性高为</w:t>
      </w:r>
      <w:r>
        <w:rPr>
          <w:rFonts w:hint="eastAsia"/>
          <w:sz w:val="21"/>
          <w:szCs w:val="21"/>
          <w:highlight w:val="none"/>
          <w:lang w:val="en-US" w:eastAsia="zh-CN"/>
        </w:rPr>
        <w:t xml:space="preserve">8</w:t>
      </w:r>
      <w:r>
        <w:rPr>
          <w:rFonts w:hint="eastAsia"/>
          <w:sz w:val="21"/>
          <w:szCs w:val="21"/>
          <w:highlight w:val="none"/>
        </w:rPr>
        <w:t xml:space="preserve">分；交货进度计划及安装调试验收方案较为详细，合理性可行性较好为</w:t>
      </w:r>
      <w:r>
        <w:rPr>
          <w:rFonts w:hint="eastAsia"/>
          <w:sz w:val="21"/>
          <w:szCs w:val="21"/>
          <w:highlight w:val="none"/>
          <w:lang w:val="en-US" w:eastAsia="zh-CN"/>
        </w:rPr>
        <w:t xml:space="preserve">5</w:t>
      </w:r>
      <w:r>
        <w:rPr>
          <w:rFonts w:hint="eastAsia"/>
          <w:sz w:val="21"/>
          <w:szCs w:val="21"/>
          <w:highlight w:val="none"/>
        </w:rPr>
        <w:t xml:space="preserve">分；交货进度计划及安装调试验收方案不够详细，合理性和可行性一般为</w:t>
      </w:r>
      <w:r>
        <w:rPr>
          <w:rFonts w:hint="eastAsia"/>
          <w:sz w:val="21"/>
          <w:szCs w:val="21"/>
          <w:highlight w:val="none"/>
          <w:lang w:val="en-US" w:eastAsia="zh-CN"/>
        </w:rPr>
        <w:t xml:space="preserve">3</w:t>
      </w:r>
      <w:r>
        <w:rPr>
          <w:rFonts w:hint="eastAsia"/>
          <w:sz w:val="21"/>
          <w:szCs w:val="21"/>
          <w:highlight w:val="none"/>
        </w:rPr>
        <w:t xml:space="preserve">分；交货进度计划及安装调试验收方案内容简单，合理性可行性较差为</w:t>
      </w:r>
      <w:r>
        <w:rPr>
          <w:rFonts w:hint="eastAsia"/>
          <w:sz w:val="21"/>
          <w:szCs w:val="21"/>
          <w:highlight w:val="none"/>
          <w:lang w:val="en-US" w:eastAsia="zh-CN"/>
        </w:rPr>
        <w:t xml:space="preserve">1</w:t>
      </w:r>
      <w:r>
        <w:rPr>
          <w:rFonts w:hint="eastAsia"/>
          <w:sz w:val="21"/>
          <w:szCs w:val="21"/>
          <w:highlight w:val="none"/>
        </w:rPr>
        <w:t xml:space="preserve">分；未提供相关说明不得分。</w:t>
      </w:r>
      <w:r/>
    </w:p>
    <w:p>
      <w:pPr>
        <w:ind w:firstLine="422"/>
        <w:spacing w:line="400" w:lineRule="exact"/>
        <w:rPr>
          <w:rFonts w:hint="eastAsia"/>
          <w:b/>
          <w:bCs/>
          <w:sz w:val="21"/>
          <w:szCs w:val="21"/>
          <w:highlight w:val="none"/>
        </w:rPr>
      </w:pPr>
      <w:r>
        <w:rPr>
          <w:rFonts w:hint="eastAsia"/>
          <w:b/>
          <w:bCs/>
          <w:sz w:val="21"/>
          <w:szCs w:val="21"/>
          <w:highlight w:val="none"/>
        </w:rPr>
        <w:t xml:space="preserve">（四）投标单位综合履约能力（</w:t>
      </w:r>
      <w:r>
        <w:rPr>
          <w:rFonts w:hint="eastAsia"/>
          <w:b/>
          <w:bCs/>
          <w:sz w:val="21"/>
          <w:szCs w:val="21"/>
          <w:highlight w:val="none"/>
          <w:lang w:val="en-US" w:eastAsia="zh-CN"/>
        </w:rPr>
        <w:t xml:space="preserve">7</w:t>
      </w:r>
      <w:r>
        <w:rPr>
          <w:rFonts w:hint="eastAsia"/>
          <w:b/>
          <w:bCs/>
          <w:sz w:val="21"/>
          <w:szCs w:val="21"/>
          <w:highlight w:val="none"/>
        </w:rPr>
        <w:t xml:space="preserve">分）</w:t>
      </w:r>
      <w:r/>
    </w:p>
    <w:p>
      <w:pPr>
        <w:ind w:firstLine="420"/>
        <w:spacing w:line="400" w:lineRule="exact"/>
        <w:rPr>
          <w:rFonts w:hint="eastAsia"/>
          <w:sz w:val="21"/>
          <w:szCs w:val="21"/>
          <w:highlight w:val="none"/>
        </w:rPr>
      </w:pPr>
      <w:r>
        <w:rPr>
          <w:sz w:val="21"/>
          <w:szCs w:val="21"/>
          <w:highlight w:val="none"/>
        </w:rPr>
        <w:t xml:space="preserve">1</w:t>
      </w:r>
      <w:r>
        <w:rPr>
          <w:rFonts w:hint="eastAsia"/>
          <w:sz w:val="21"/>
          <w:szCs w:val="21"/>
          <w:highlight w:val="none"/>
        </w:rPr>
        <w:t xml:space="preserve">、2023年1月1日（以合同签订日期为准）至今投标单位类似项目业绩情况，每提供一份得</w:t>
      </w:r>
      <w:r>
        <w:rPr>
          <w:rFonts w:hint="eastAsia"/>
          <w:sz w:val="21"/>
          <w:szCs w:val="21"/>
          <w:highlight w:val="none"/>
          <w:lang w:val="en-US" w:eastAsia="zh-CN"/>
        </w:rPr>
        <w:t xml:space="preserve">1</w:t>
      </w:r>
      <w:r>
        <w:rPr>
          <w:rFonts w:hint="eastAsia"/>
          <w:sz w:val="21"/>
          <w:szCs w:val="21"/>
          <w:highlight w:val="none"/>
        </w:rPr>
        <w:t xml:space="preserve">分，最高</w:t>
      </w:r>
      <w:r>
        <w:rPr>
          <w:rFonts w:hint="eastAsia"/>
          <w:sz w:val="21"/>
          <w:szCs w:val="21"/>
          <w:highlight w:val="none"/>
          <w:lang w:val="en-US" w:eastAsia="zh-CN"/>
        </w:rPr>
        <w:t xml:space="preserve">3</w:t>
      </w:r>
      <w:r>
        <w:rPr>
          <w:rFonts w:hint="eastAsia"/>
          <w:sz w:val="21"/>
          <w:szCs w:val="21"/>
          <w:highlight w:val="none"/>
        </w:rPr>
        <w:t xml:space="preserve">分。</w:t>
      </w:r>
      <w:r/>
    </w:p>
    <w:p>
      <w:pPr>
        <w:ind w:firstLine="422"/>
        <w:spacing w:line="400" w:lineRule="exact"/>
        <w:rPr>
          <w:rFonts w:hint="eastAsia"/>
          <w:b/>
          <w:bCs/>
          <w:sz w:val="21"/>
          <w:szCs w:val="21"/>
          <w:highlight w:val="none"/>
        </w:rPr>
      </w:pPr>
      <w:r>
        <w:rPr>
          <w:rFonts w:hint="eastAsia"/>
          <w:b/>
          <w:bCs/>
          <w:sz w:val="21"/>
          <w:szCs w:val="21"/>
          <w:highlight w:val="none"/>
        </w:rPr>
        <w:t xml:space="preserve">注：响应文件中须提供清晰完整的业绩合同复印件及竣工验收报告复印件，未提供或提供不全的不得分。</w:t>
      </w:r>
      <w:r/>
    </w:p>
    <w:p>
      <w:pPr>
        <w:ind w:firstLine="420"/>
        <w:jc w:val="left"/>
        <w:spacing w:line="360" w:lineRule="auto"/>
        <w:widowControl w:val="off"/>
        <w:rPr>
          <w:rFonts w:hint="eastAsia" w:ascii="宋体" w:hAnsi="Times New Roman" w:eastAsia="宋体" w:cs="Times New Roman"/>
          <w:bCs/>
          <w:szCs w:val="21"/>
          <w:highlight w:val="none"/>
          <w:lang w:val="en-US" w:eastAsia="zh-CN"/>
        </w:rPr>
      </w:pPr>
      <w:r>
        <w:rPr>
          <w:rFonts w:hint="eastAsia" w:eastAsia="宋体" w:cs="Times New Roman"/>
          <w:bCs/>
          <w:sz w:val="21"/>
          <w:szCs w:val="21"/>
          <w:highlight w:val="none"/>
          <w:lang w:val="en-US" w:eastAsia="zh-CN"/>
        </w:rPr>
        <w:t xml:space="preserve">2</w:t>
      </w:r>
      <w:r>
        <w:rPr>
          <w:rFonts w:hint="eastAsia" w:ascii="宋体" w:hAnsi="宋体" w:eastAsia="宋体" w:cs="Times New Roman"/>
          <w:bCs/>
          <w:sz w:val="21"/>
          <w:szCs w:val="21"/>
          <w:highlight w:val="none"/>
        </w:rPr>
        <w:t xml:space="preserve">、项目人员</w:t>
      </w:r>
      <w:r>
        <w:rPr>
          <w:rFonts w:hint="eastAsia" w:eastAsia="宋体" w:cs="Times New Roman"/>
          <w:bCs/>
          <w:sz w:val="21"/>
          <w:szCs w:val="21"/>
          <w:highlight w:val="none"/>
          <w:lang w:val="en-US" w:eastAsia="zh-CN"/>
        </w:rPr>
        <w:t xml:space="preserve">配备</w:t>
      </w:r>
      <w:r/>
    </w:p>
    <w:p>
      <w:pPr>
        <w:ind w:firstLine="420"/>
        <w:jc w:val="left"/>
        <w:spacing w:line="360" w:lineRule="auto"/>
        <w:widowControl/>
        <w:rPr>
          <w:rFonts w:ascii="宋体" w:hAnsi="Times New Roman" w:eastAsia="宋体" w:cs="Times New Roman"/>
          <w:bCs/>
          <w:szCs w:val="21"/>
          <w:highlight w:val="none"/>
        </w:rPr>
      </w:pPr>
      <w:r>
        <w:rPr>
          <w:rFonts w:hint="eastAsia" w:ascii="宋体" w:hAnsi="宋体" w:eastAsia="宋体" w:cs="Times New Roman"/>
          <w:bCs/>
          <w:sz w:val="21"/>
          <w:szCs w:val="21"/>
          <w:highlight w:val="none"/>
        </w:rPr>
        <w:t xml:space="preserve">（</w:t>
      </w:r>
      <w:r>
        <w:rPr>
          <w:rFonts w:ascii="宋体" w:hAnsi="宋体" w:eastAsia="宋体" w:cs="Times New Roman"/>
          <w:bCs/>
          <w:sz w:val="21"/>
          <w:szCs w:val="21"/>
          <w:highlight w:val="none"/>
        </w:rPr>
        <w:t xml:space="preserve">1</w:t>
      </w:r>
      <w:r>
        <w:rPr>
          <w:rFonts w:hint="eastAsia" w:ascii="宋体" w:hAnsi="宋体" w:eastAsia="宋体" w:cs="Times New Roman"/>
          <w:bCs/>
          <w:sz w:val="21"/>
          <w:szCs w:val="21"/>
          <w:highlight w:val="none"/>
        </w:rPr>
        <w:t xml:space="preserve">）项目经理具备</w:t>
      </w:r>
      <w:r>
        <w:rPr>
          <w:rFonts w:hint="eastAsia"/>
          <w:sz w:val="21"/>
          <w:szCs w:val="21"/>
          <w:highlight w:val="none"/>
        </w:rPr>
        <w:t xml:space="preserve">压力管道安装工程师证书</w:t>
      </w:r>
      <w:r>
        <w:rPr>
          <w:rFonts w:hint="eastAsia"/>
          <w:sz w:val="21"/>
          <w:szCs w:val="21"/>
          <w:highlight w:val="none"/>
          <w:lang w:eastAsia="zh-CN"/>
        </w:rPr>
        <w:t xml:space="preserve">（</w:t>
      </w:r>
      <w:r>
        <w:rPr>
          <w:rFonts w:hint="eastAsia" w:ascii="宋体" w:hAnsi="宋体" w:eastAsia="宋体" w:cs="Times New Roman"/>
          <w:bCs/>
          <w:sz w:val="21"/>
          <w:szCs w:val="21"/>
          <w:highlight w:val="none"/>
          <w:lang w:val="en-US" w:eastAsia="zh-CN"/>
        </w:rPr>
        <w:t xml:space="preserve">中级工程师及以上</w:t>
      </w:r>
      <w:r>
        <w:rPr>
          <w:rFonts w:hint="eastAsia"/>
          <w:sz w:val="21"/>
          <w:szCs w:val="21"/>
          <w:highlight w:val="none"/>
          <w:lang w:eastAsia="zh-CN"/>
        </w:rPr>
        <w:t xml:space="preserve">）</w:t>
      </w:r>
      <w:r>
        <w:rPr>
          <w:rFonts w:hint="eastAsia" w:ascii="宋体" w:hAnsi="宋体" w:eastAsia="宋体" w:cs="Times New Roman"/>
          <w:bCs/>
          <w:sz w:val="21"/>
          <w:szCs w:val="21"/>
          <w:highlight w:val="none"/>
        </w:rPr>
        <w:t xml:space="preserve">的得</w:t>
      </w:r>
      <w:r>
        <w:rPr>
          <w:rFonts w:ascii="宋体" w:hAnsi="宋体" w:eastAsia="宋体" w:cs="Times New Roman"/>
          <w:bCs/>
          <w:sz w:val="21"/>
          <w:szCs w:val="21"/>
          <w:highlight w:val="none"/>
        </w:rPr>
        <w:t xml:space="preserve">2</w:t>
      </w:r>
      <w:r>
        <w:rPr>
          <w:rFonts w:hint="eastAsia" w:ascii="宋体" w:hAnsi="宋体" w:eastAsia="宋体" w:cs="Times New Roman"/>
          <w:bCs/>
          <w:sz w:val="21"/>
          <w:szCs w:val="21"/>
          <w:highlight w:val="none"/>
        </w:rPr>
        <w:t xml:space="preserve">分；本项最高得</w:t>
      </w:r>
      <w:r>
        <w:rPr>
          <w:rFonts w:ascii="宋体" w:hAnsi="宋体" w:eastAsia="宋体" w:cs="Times New Roman"/>
          <w:bCs/>
          <w:sz w:val="21"/>
          <w:szCs w:val="21"/>
          <w:highlight w:val="none"/>
        </w:rPr>
        <w:t xml:space="preserve">2</w:t>
      </w:r>
      <w:r>
        <w:rPr>
          <w:rFonts w:hint="eastAsia" w:ascii="宋体" w:hAnsi="宋体" w:eastAsia="宋体" w:cs="Times New Roman"/>
          <w:bCs/>
          <w:sz w:val="21"/>
          <w:szCs w:val="21"/>
          <w:highlight w:val="none"/>
        </w:rPr>
        <w:t xml:space="preserve">分。</w:t>
      </w:r>
      <w:r/>
    </w:p>
    <w:p>
      <w:pPr>
        <w:ind w:firstLine="420"/>
        <w:jc w:val="left"/>
        <w:spacing w:line="360" w:lineRule="auto"/>
        <w:rPr>
          <w:rFonts w:hint="eastAsia"/>
          <w:highlight w:val="none"/>
        </w:rPr>
      </w:pPr>
      <w:r>
        <w:rPr>
          <w:rFonts w:hint="eastAsia" w:ascii="宋体" w:hAnsi="宋体" w:eastAsia="宋体" w:cs="Times New Roman"/>
          <w:bCs/>
          <w:sz w:val="21"/>
          <w:szCs w:val="21"/>
          <w:highlight w:val="none"/>
        </w:rPr>
        <w:t xml:space="preserve">（</w:t>
      </w:r>
      <w:r>
        <w:rPr>
          <w:rFonts w:hint="eastAsia" w:eastAsia="宋体" w:cs="Times New Roman"/>
          <w:bCs/>
          <w:sz w:val="21"/>
          <w:szCs w:val="21"/>
          <w:highlight w:val="none"/>
          <w:lang w:val="en-US" w:eastAsia="zh-CN"/>
        </w:rPr>
        <w:t xml:space="preserve">2</w:t>
      </w:r>
      <w:r>
        <w:rPr>
          <w:rFonts w:hint="eastAsia" w:ascii="宋体" w:hAnsi="宋体" w:eastAsia="宋体" w:cs="Times New Roman"/>
          <w:bCs/>
          <w:sz w:val="21"/>
          <w:szCs w:val="21"/>
          <w:highlight w:val="none"/>
        </w:rPr>
        <w:t xml:space="preserve">）项目组成员（除项目经理外）中具备</w:t>
      </w:r>
      <w:r>
        <w:rPr>
          <w:rFonts w:hint="eastAsia"/>
          <w:sz w:val="21"/>
          <w:szCs w:val="21"/>
          <w:highlight w:val="none"/>
        </w:rPr>
        <w:t xml:space="preserve">医疗器械维修</w:t>
      </w:r>
      <w:r>
        <w:rPr>
          <w:rFonts w:hint="eastAsia"/>
          <w:sz w:val="21"/>
          <w:szCs w:val="21"/>
          <w:highlight w:val="none"/>
          <w:lang w:val="en-US" w:eastAsia="zh-CN"/>
        </w:rPr>
        <w:t xml:space="preserve">相关专业中级及以上职称</w:t>
      </w:r>
      <w:r>
        <w:rPr>
          <w:rFonts w:hint="eastAsia" w:ascii="宋体" w:hAnsi="宋体" w:eastAsia="宋体" w:cs="Times New Roman"/>
          <w:bCs/>
          <w:sz w:val="21"/>
          <w:szCs w:val="21"/>
          <w:highlight w:val="none"/>
        </w:rPr>
        <w:t xml:space="preserve">的得2分，本项最高得2分。</w:t>
      </w:r>
      <w:r/>
    </w:p>
    <w:p>
      <w:pPr>
        <w:ind w:firstLine="422"/>
        <w:spacing w:line="400" w:lineRule="exact"/>
        <w:rPr>
          <w:rFonts w:hint="eastAsia"/>
          <w:highlight w:val="none"/>
        </w:rPr>
      </w:pPr>
      <w:r>
        <w:rPr>
          <w:rFonts w:hint="eastAsia"/>
          <w:b/>
          <w:bCs/>
          <w:sz w:val="21"/>
          <w:szCs w:val="21"/>
          <w:highlight w:val="none"/>
        </w:rPr>
        <w:t xml:space="preserve">注：响应文件中提供对应人员证书复印件及响应单位为其缴纳的最新一期社保证明复印件</w:t>
      </w:r>
      <w:r>
        <w:rPr>
          <w:rFonts w:hint="eastAsia" w:ascii="宋体" w:hAnsi="宋体" w:eastAsia="宋体" w:cs="宋体"/>
          <w:b/>
          <w:bCs/>
          <w:sz w:val="21"/>
          <w:szCs w:val="21"/>
          <w:highlight w:val="none"/>
          <w:lang w:val="en-US" w:eastAsia="zh-CN"/>
        </w:rPr>
        <w:t xml:space="preserve">（须由社保部门出具并体现人员姓名，非补缴）</w:t>
      </w:r>
      <w:r>
        <w:rPr>
          <w:rFonts w:hint="eastAsia"/>
          <w:b/>
          <w:bCs/>
          <w:sz w:val="21"/>
          <w:szCs w:val="21"/>
          <w:highlight w:val="none"/>
        </w:rPr>
        <w:t xml:space="preserve">加盖公章，同时需提供对应证书在官方网站上查询的页面截图，材料不提供或提供不全或无法认定的，未提供不得分。</w:t>
      </w:r>
      <w:r/>
    </w:p>
    <w:p>
      <w:pPr>
        <w:ind w:firstLine="428"/>
        <w:spacing w:line="400" w:lineRule="exact"/>
        <w:rPr>
          <w:rFonts w:hint="eastAsia"/>
          <w:highlight w:val="none"/>
        </w:rPr>
      </w:pPr>
      <w:r>
        <w:rPr>
          <w:rFonts w:hint="eastAsia"/>
          <w:b/>
          <w:bCs/>
          <w:sz w:val="21"/>
          <w:szCs w:val="21"/>
          <w:highlight w:val="none"/>
        </w:rPr>
        <w:t xml:space="preserve">注：</w:t>
      </w:r>
      <w:r/>
    </w:p>
    <w:p>
      <w:pPr>
        <w:ind w:firstLine="428"/>
        <w:spacing w:line="400" w:lineRule="exact"/>
        <w:rPr>
          <w:rFonts w:hint="eastAsia"/>
          <w:b/>
          <w:bCs/>
          <w:sz w:val="21"/>
          <w:szCs w:val="21"/>
          <w:highlight w:val="none"/>
        </w:rPr>
      </w:pPr>
      <w:r>
        <w:rPr>
          <w:rFonts w:hint="eastAsia"/>
          <w:b/>
          <w:bCs/>
          <w:sz w:val="21"/>
          <w:szCs w:val="21"/>
          <w:highlight w:val="none"/>
        </w:rPr>
        <w:t xml:space="preserve">1、投标报价超过最高限价的将不进入综合评审程序，也不得中标。</w:t>
      </w:r>
      <w:r/>
    </w:p>
    <w:p>
      <w:pPr>
        <w:ind w:firstLine="428"/>
        <w:spacing w:line="400" w:lineRule="exact"/>
        <w:rPr>
          <w:rFonts w:hint="eastAsia"/>
          <w:b/>
          <w:bCs/>
          <w:sz w:val="21"/>
          <w:szCs w:val="21"/>
          <w:highlight w:val="none"/>
        </w:rPr>
      </w:pPr>
      <w:r>
        <w:rPr>
          <w:rFonts w:hint="eastAsia"/>
          <w:b/>
          <w:bCs/>
          <w:sz w:val="21"/>
          <w:szCs w:val="21"/>
          <w:highlight w:val="none"/>
        </w:rPr>
        <w:t xml:space="preserve">2、质保期、交付期限、付款步骤如有负偏离的不得中标。</w:t>
      </w:r>
      <w:r/>
    </w:p>
    <w:p>
      <w:pPr>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3、针对评分标准中评分的每一条，投标人均应提供相关资料并作出相应说明供评委评判，不提供相关资料的视为不具备该项得分的条件</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资料须编好目录及页码。</w:t>
      </w:r>
      <w:r/>
    </w:p>
    <w:p>
      <w:pPr>
        <w:ind w:firstLine="422"/>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4、招标文件中要求的复印件可以用扫描件代替；招标文件中要求加盖投标单位公章的，可用电子签章代替。</w:t>
      </w:r>
      <w:r/>
    </w:p>
    <w:p>
      <w:pPr>
        <w:ind w:firstLine="422"/>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lang w:val="zh-CN"/>
        </w:rPr>
        <w:t xml:space="preserve">可以通过互联网或者相关信息系统查询的信息，各投标单位可以在投标文件中提供相关证明材料，也可以在投标文件中列明查询路径。</w:t>
      </w:r>
      <w:r/>
    </w:p>
    <w:p>
      <w:pPr>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p>
    <w:p>
      <w:pPr>
        <w:ind w:firstLine="428"/>
        <w:spacing w:line="400" w:lineRule="exact"/>
        <w:rPr>
          <w:rFonts w:hint="eastAsia"/>
          <w:b/>
          <w:bCs/>
          <w:sz w:val="21"/>
          <w:szCs w:val="21"/>
          <w:highlight w:val="none"/>
        </w:rPr>
      </w:pPr>
      <w:r>
        <w:rPr>
          <w:rFonts w:hint="eastAsia"/>
          <w:b/>
          <w:bCs/>
          <w:sz w:val="21"/>
          <w:szCs w:val="21"/>
          <w:highlight w:val="none"/>
        </w:rPr>
      </w:r>
      <w:r/>
    </w:p>
    <w:p>
      <w:pPr>
        <w:ind w:firstLine="6906"/>
        <w:spacing w:line="400" w:lineRule="exact"/>
        <w:rPr>
          <w:rFonts w:hint="eastAsia"/>
          <w:b/>
          <w:sz w:val="21"/>
          <w:szCs w:val="21"/>
          <w:highlight w:val="none"/>
        </w:rPr>
      </w:pPr>
      <w:r>
        <w:rPr>
          <w:rFonts w:hint="eastAsia"/>
          <w:b/>
          <w:sz w:val="21"/>
          <w:szCs w:val="21"/>
          <w:highlight w:val="none"/>
        </w:rPr>
        <w:t xml:space="preserve">（全文完）</w:t>
      </w:r>
      <w:r/>
    </w:p>
    <w:p>
      <w:pPr>
        <w:pStyle w:val="855"/>
        <w:ind w:firstLine="480"/>
        <w:rPr>
          <w:rFonts w:hint="eastAsia"/>
          <w:highlight w:val="none"/>
        </w:rPr>
      </w:pPr>
      <w:r>
        <w:rPr>
          <w:rFonts w:hint="eastAsia"/>
          <w:highlight w:val="none"/>
        </w:rPr>
      </w:r>
      <w:r/>
    </w:p>
    <w:p>
      <w:pPr>
        <w:jc w:val="right"/>
        <w:spacing w:line="440" w:lineRule="exact"/>
        <w:rPr>
          <w:rFonts w:hint="eastAsia"/>
          <w:b/>
          <w:color w:val="000000"/>
          <w:sz w:val="21"/>
          <w:szCs w:val="21"/>
          <w:highlight w:val="none"/>
        </w:rPr>
      </w:pPr>
      <w:r>
        <w:rPr>
          <w:rFonts w:hint="eastAsia"/>
          <w:b/>
          <w:color w:val="000000"/>
          <w:sz w:val="21"/>
          <w:szCs w:val="21"/>
          <w:highlight w:val="none"/>
        </w:rPr>
        <w:t xml:space="preserve">        </w:t>
      </w:r>
      <w:r/>
    </w:p>
    <w:sectPr>
      <w:headerReference w:type="default" r:id="rId9"/>
      <w:footerReference w:type="default" r:id="rId10"/>
      <w:footnotePr/>
      <w:endnotePr/>
      <w:type w:val="nextPage"/>
      <w:pgSz w:w="11906" w:h="16838" w:orient="portrait"/>
      <w:pgMar w:top="1440" w:right="1417" w:bottom="1440" w:left="1417"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简体">
    <w:panose1 w:val="020B0503020202020204"/>
  </w:font>
  <w:font w:name="Tahoma">
    <w:panose1 w:val="020B0604030504040204"/>
  </w:font>
  <w:font w:name="等线">
    <w:panose1 w:val="02010600030101010101"/>
  </w:font>
  <w:font w:name="等线 Light">
    <w:panose1 w:val="02010600030101010101"/>
  </w:font>
  <w:font w:name="Cambria">
    <w:panose1 w:val="020405030504060302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Heiti SC Light">
    <w:panose1 w:val="020B0503020202020204"/>
  </w:font>
  <w:font w:name="楷体_GB2312">
    <w:panose1 w:val="02010609060101010101"/>
  </w:font>
  <w:font w:name="Trebuchet MS">
    <w:panose1 w:val="020B0603020202020204"/>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65</w: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both"/>
      <w:tabs>
        <w:tab w:val="right" w:pos="8640" w:leader="none"/>
      </w:tabs>
      <w:rPr>
        <w:rFonts w:hint="eastAsia"/>
      </w:rPr>
    </w:pPr>
    <w:r>
      <w:rPr>
        <w:rFonts w:hint="eastAsia" w:ascii="宋体" w:hAnsi="宋体" w:cs="宋体"/>
      </w:rPr>
      <w:t xml:space="preserve">苏州韵诚项目管理咨询有限公司                                                     </w:t>
    </w:r>
    <w:r>
      <w:rPr>
        <w:rFonts w:hint="eastAsia" w:ascii="宋体" w:hAnsi="宋体" w:cs="宋体"/>
        <w:color w:val="000000"/>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1069" w:hanging="709"/>
        <w:tabs>
          <w:tab w:val="left" w:pos="106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27"/>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600" w:hanging="420"/>
        <w:tabs>
          <w:tab w:val="left" w:pos="60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970"/>
    <w:uiPriority w:val="0"/>
    <w:qFormat/>
    <w:pPr>
      <w:jc w:val="both"/>
      <w:widowControl w:val="off"/>
    </w:pPr>
    <w:rPr>
      <w:rFonts w:hint="default" w:ascii="宋体" w:hAnsi="宋体" w:eastAsia="宋体" w:cs="宋体"/>
      <w:sz w:val="24"/>
      <w:szCs w:val="24"/>
      <w:lang w:val="en-US" w:eastAsia="zh-CN" w:bidi="ar-SA"/>
    </w:rPr>
  </w:style>
  <w:style w:type="paragraph" w:styleId="641">
    <w:name w:val="Heading 1"/>
    <w:basedOn w:val="640"/>
    <w:next w:val="640"/>
    <w:link w:val="674"/>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75"/>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76"/>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77"/>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78"/>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79"/>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81"/>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82"/>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c 7"/>
    <w:basedOn w:val="640"/>
    <w:next w:val="640"/>
    <w:uiPriority w:val="39"/>
    <w:unhideWhenUsed/>
    <w:qFormat/>
    <w:pPr>
      <w:ind w:left="1701" w:right="0" w:firstLine="0"/>
      <w:spacing w:after="57"/>
    </w:pPr>
  </w:style>
  <w:style w:type="paragraph" w:styleId="653">
    <w:name w:val="Caption"/>
    <w:basedOn w:val="640"/>
    <w:next w:val="640"/>
    <w:uiPriority w:val="35"/>
    <w:semiHidden/>
    <w:unhideWhenUsed/>
    <w:qFormat/>
    <w:pPr>
      <w:spacing w:line="276" w:lineRule="auto"/>
    </w:pPr>
    <w:rPr>
      <w:b/>
      <w:bCs/>
      <w:color w:val="4f81bd" w:themeColor="accent1"/>
      <w:sz w:val="18"/>
      <w:szCs w:val="18"/>
    </w:rPr>
  </w:style>
  <w:style w:type="paragraph" w:styleId="654">
    <w:name w:val="toc 5"/>
    <w:basedOn w:val="640"/>
    <w:next w:val="640"/>
    <w:uiPriority w:val="39"/>
    <w:unhideWhenUsed/>
    <w:qFormat/>
    <w:pPr>
      <w:ind w:left="1134" w:right="0" w:firstLine="0"/>
      <w:spacing w:after="57"/>
    </w:pPr>
  </w:style>
  <w:style w:type="paragraph" w:styleId="655">
    <w:name w:val="toc 3"/>
    <w:basedOn w:val="640"/>
    <w:next w:val="640"/>
    <w:uiPriority w:val="39"/>
    <w:unhideWhenUsed/>
    <w:qFormat/>
    <w:pPr>
      <w:ind w:left="567" w:right="0" w:firstLine="0"/>
      <w:spacing w:after="57"/>
    </w:pPr>
  </w:style>
  <w:style w:type="paragraph" w:styleId="656">
    <w:name w:val="Plain Text"/>
    <w:basedOn w:val="640"/>
    <w:uiPriority w:val="0"/>
    <w:qFormat/>
    <w:rPr>
      <w:rFonts w:ascii="Calibri" w:hAnsi="Courier New" w:eastAsia="楷体_GB2312" w:cs="Times New Roman"/>
      <w:sz w:val="26"/>
      <w:szCs w:val="20"/>
    </w:rPr>
  </w:style>
  <w:style w:type="paragraph" w:styleId="657">
    <w:name w:val="toc 8"/>
    <w:basedOn w:val="640"/>
    <w:next w:val="640"/>
    <w:uiPriority w:val="39"/>
    <w:unhideWhenUsed/>
    <w:qFormat/>
    <w:pPr>
      <w:ind w:left="1984" w:right="0" w:firstLine="0"/>
      <w:spacing w:after="57"/>
    </w:pPr>
  </w:style>
  <w:style w:type="paragraph" w:styleId="658">
    <w:name w:val="endnote text"/>
    <w:basedOn w:val="640"/>
    <w:link w:val="819"/>
    <w:uiPriority w:val="99"/>
    <w:semiHidden/>
    <w:unhideWhenUsed/>
    <w:qFormat/>
    <w:pPr>
      <w:spacing w:after="0" w:line="240" w:lineRule="auto"/>
    </w:pPr>
    <w:rPr>
      <w:sz w:val="20"/>
    </w:rPr>
  </w:style>
  <w:style w:type="paragraph" w:styleId="659">
    <w:name w:val="Footer"/>
    <w:basedOn w:val="640"/>
    <w:link w:val="692"/>
    <w:uiPriority w:val="99"/>
    <w:unhideWhenUsed/>
    <w:pPr>
      <w:spacing w:after="0" w:line="240" w:lineRule="auto"/>
      <w:tabs>
        <w:tab w:val="center" w:pos="7143" w:leader="none"/>
        <w:tab w:val="right" w:pos="14287" w:leader="none"/>
      </w:tabs>
    </w:pPr>
  </w:style>
  <w:style w:type="paragraph" w:styleId="660">
    <w:name w:val="Header"/>
    <w:basedOn w:val="640"/>
    <w:link w:val="690"/>
    <w:uiPriority w:val="99"/>
    <w:unhideWhenUsed/>
    <w:pPr>
      <w:spacing w:after="0" w:line="240" w:lineRule="auto"/>
      <w:tabs>
        <w:tab w:val="center" w:pos="7143" w:leader="none"/>
        <w:tab w:val="right" w:pos="14287" w:leader="none"/>
      </w:tabs>
    </w:pPr>
  </w:style>
  <w:style w:type="paragraph" w:styleId="661">
    <w:name w:val="toc 1"/>
    <w:basedOn w:val="640"/>
    <w:next w:val="640"/>
    <w:uiPriority w:val="39"/>
    <w:unhideWhenUsed/>
    <w:qFormat/>
    <w:pPr>
      <w:ind w:left="0" w:right="0" w:firstLine="0"/>
      <w:spacing w:after="57"/>
    </w:pPr>
  </w:style>
  <w:style w:type="paragraph" w:styleId="662">
    <w:name w:val="toc 4"/>
    <w:basedOn w:val="640"/>
    <w:next w:val="640"/>
    <w:uiPriority w:val="39"/>
    <w:unhideWhenUsed/>
    <w:pPr>
      <w:ind w:left="850" w:right="0" w:firstLine="0"/>
      <w:spacing w:after="57"/>
    </w:pPr>
  </w:style>
  <w:style w:type="paragraph" w:styleId="663">
    <w:name w:val="Subtitle"/>
    <w:basedOn w:val="640"/>
    <w:next w:val="640"/>
    <w:link w:val="685"/>
    <w:uiPriority w:val="11"/>
    <w:qFormat/>
    <w:pPr>
      <w:spacing w:before="200" w:after="200"/>
    </w:pPr>
    <w:rPr>
      <w:sz w:val="24"/>
      <w:szCs w:val="24"/>
    </w:rPr>
  </w:style>
  <w:style w:type="paragraph" w:styleId="664">
    <w:name w:val="footnote text"/>
    <w:basedOn w:val="640"/>
    <w:link w:val="818"/>
    <w:uiPriority w:val="99"/>
    <w:semiHidden/>
    <w:unhideWhenUsed/>
    <w:qFormat/>
    <w:pPr>
      <w:spacing w:after="40" w:line="240" w:lineRule="auto"/>
    </w:pPr>
    <w:rPr>
      <w:sz w:val="18"/>
    </w:rPr>
  </w:style>
  <w:style w:type="paragraph" w:styleId="665">
    <w:name w:val="toc 6"/>
    <w:basedOn w:val="640"/>
    <w:next w:val="640"/>
    <w:uiPriority w:val="39"/>
    <w:unhideWhenUsed/>
    <w:qFormat/>
    <w:pPr>
      <w:ind w:left="1417" w:right="0" w:firstLine="0"/>
      <w:spacing w:after="57"/>
    </w:pPr>
  </w:style>
  <w:style w:type="paragraph" w:styleId="666">
    <w:name w:val="table of figures"/>
    <w:basedOn w:val="640"/>
    <w:next w:val="640"/>
    <w:uiPriority w:val="99"/>
    <w:unhideWhenUsed/>
    <w:qFormat/>
    <w:pPr>
      <w:spacing w:after="0" w:afterAutospacing="0"/>
    </w:pPr>
  </w:style>
  <w:style w:type="paragraph" w:styleId="667">
    <w:name w:val="toc 2"/>
    <w:basedOn w:val="640"/>
    <w:next w:val="640"/>
    <w:uiPriority w:val="39"/>
    <w:unhideWhenUsed/>
    <w:qFormat/>
    <w:pPr>
      <w:ind w:left="283" w:right="0" w:firstLine="0"/>
      <w:spacing w:after="57"/>
    </w:pPr>
  </w:style>
  <w:style w:type="paragraph" w:styleId="668">
    <w:name w:val="toc 9"/>
    <w:basedOn w:val="640"/>
    <w:next w:val="640"/>
    <w:uiPriority w:val="39"/>
    <w:unhideWhenUsed/>
    <w:pPr>
      <w:ind w:left="2268" w:right="0" w:firstLine="0"/>
      <w:spacing w:after="57"/>
    </w:pPr>
  </w:style>
  <w:style w:type="paragraph" w:styleId="669">
    <w:name w:val="Title"/>
    <w:basedOn w:val="640"/>
    <w:next w:val="640"/>
    <w:link w:val="684"/>
    <w:uiPriority w:val="10"/>
    <w:qFormat/>
    <w:pPr>
      <w:contextualSpacing/>
      <w:spacing w:before="300" w:after="200"/>
    </w:pPr>
    <w:rPr>
      <w:sz w:val="48"/>
      <w:szCs w:val="48"/>
    </w:rPr>
  </w:style>
  <w:style w:type="table" w:styleId="67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endnote reference"/>
    <w:uiPriority w:val="99"/>
    <w:semiHidden/>
    <w:unhideWhenUsed/>
    <w:rPr>
      <w:vertAlign w:val="superscript"/>
    </w:rPr>
  </w:style>
  <w:style w:type="character" w:styleId="672">
    <w:name w:val="Hyperlink"/>
    <w:uiPriority w:val="99"/>
    <w:unhideWhenUsed/>
    <w:qFormat/>
    <w:rPr>
      <w:color w:val="0000ff" w:themeColor="hyperlink"/>
      <w:u w:val="single"/>
    </w:rPr>
  </w:style>
  <w:style w:type="character" w:styleId="673">
    <w:name w:val="footnote reference"/>
    <w:uiPriority w:val="99"/>
    <w:unhideWhenUsed/>
    <w:rPr>
      <w:vertAlign w:val="superscript"/>
    </w:rPr>
  </w:style>
  <w:style w:type="character" w:styleId="674" w:customStyle="1">
    <w:name w:val="Heading 1 Char"/>
    <w:link w:val="641"/>
    <w:uiPriority w:val="9"/>
    <w:qFormat/>
    <w:rPr>
      <w:rFonts w:ascii="Arial" w:hAnsi="Arial" w:eastAsia="Arial" w:cs="Arial"/>
      <w:sz w:val="40"/>
      <w:szCs w:val="40"/>
    </w:rPr>
  </w:style>
  <w:style w:type="character" w:styleId="675" w:customStyle="1">
    <w:name w:val="Heading 2 Char"/>
    <w:link w:val="642"/>
    <w:uiPriority w:val="9"/>
    <w:qFormat/>
    <w:rPr>
      <w:rFonts w:ascii="Arial" w:hAnsi="Arial" w:eastAsia="Arial" w:cs="Arial"/>
      <w:sz w:val="34"/>
    </w:rPr>
  </w:style>
  <w:style w:type="character" w:styleId="676" w:customStyle="1">
    <w:name w:val="Heading 3 Char"/>
    <w:link w:val="643"/>
    <w:uiPriority w:val="9"/>
    <w:qFormat/>
    <w:rPr>
      <w:rFonts w:ascii="Arial" w:hAnsi="Arial" w:eastAsia="Arial" w:cs="Arial"/>
      <w:sz w:val="30"/>
      <w:szCs w:val="30"/>
    </w:rPr>
  </w:style>
  <w:style w:type="character" w:styleId="677" w:customStyle="1">
    <w:name w:val="Heading 4 Char"/>
    <w:link w:val="644"/>
    <w:uiPriority w:val="9"/>
    <w:qFormat/>
    <w:rPr>
      <w:rFonts w:ascii="Arial" w:hAnsi="Arial" w:eastAsia="Arial" w:cs="Arial"/>
      <w:b/>
      <w:bCs/>
      <w:sz w:val="26"/>
      <w:szCs w:val="26"/>
    </w:rPr>
  </w:style>
  <w:style w:type="character" w:styleId="678" w:customStyle="1">
    <w:name w:val="Heading 5 Char"/>
    <w:link w:val="645"/>
    <w:uiPriority w:val="9"/>
    <w:qFormat/>
    <w:rPr>
      <w:rFonts w:ascii="Arial" w:hAnsi="Arial" w:eastAsia="Arial" w:cs="Arial"/>
      <w:b/>
      <w:bCs/>
      <w:sz w:val="24"/>
      <w:szCs w:val="24"/>
    </w:rPr>
  </w:style>
  <w:style w:type="character" w:styleId="679" w:customStyle="1">
    <w:name w:val="Heading 6 Char"/>
    <w:link w:val="646"/>
    <w:uiPriority w:val="9"/>
    <w:qFormat/>
    <w:rPr>
      <w:rFonts w:ascii="Arial" w:hAnsi="Arial" w:eastAsia="Arial" w:cs="Arial"/>
      <w:b/>
      <w:bCs/>
      <w:sz w:val="22"/>
      <w:szCs w:val="22"/>
    </w:rPr>
  </w:style>
  <w:style w:type="character" w:styleId="680" w:customStyle="1">
    <w:name w:val="Heading 7 Char"/>
    <w:link w:val="647"/>
    <w:uiPriority w:val="9"/>
    <w:qFormat/>
    <w:rPr>
      <w:rFonts w:ascii="Arial" w:hAnsi="Arial" w:eastAsia="Arial" w:cs="Arial"/>
      <w:b/>
      <w:bCs/>
      <w:i/>
      <w:iCs/>
      <w:sz w:val="22"/>
      <w:szCs w:val="22"/>
    </w:rPr>
  </w:style>
  <w:style w:type="character" w:styleId="681" w:customStyle="1">
    <w:name w:val="Heading 8 Char"/>
    <w:link w:val="648"/>
    <w:uiPriority w:val="9"/>
    <w:rPr>
      <w:rFonts w:ascii="Arial" w:hAnsi="Arial" w:eastAsia="Arial" w:cs="Arial"/>
      <w:i/>
      <w:iCs/>
      <w:sz w:val="22"/>
      <w:szCs w:val="22"/>
    </w:rPr>
  </w:style>
  <w:style w:type="character" w:styleId="682" w:customStyle="1">
    <w:name w:val="Heading 9 Char"/>
    <w:link w:val="649"/>
    <w:uiPriority w:val="9"/>
    <w:rPr>
      <w:rFonts w:ascii="Arial" w:hAnsi="Arial" w:eastAsia="Arial" w:cs="Arial"/>
      <w:i/>
      <w:iCs/>
      <w:sz w:val="21"/>
      <w:szCs w:val="21"/>
    </w:rPr>
  </w:style>
  <w:style w:type="paragraph" w:styleId="683">
    <w:name w:val="No Spacing"/>
    <w:uiPriority w:val="1"/>
    <w:qFormat/>
    <w:pPr>
      <w:spacing w:before="0" w:after="0" w:line="240" w:lineRule="auto"/>
    </w:pPr>
    <w:rPr>
      <w:rFonts w:hint="default" w:ascii="Times New Roman" w:hAnsi="Times New Roman" w:eastAsia="宋体" w:cs="Times New Roman"/>
    </w:rPr>
  </w:style>
  <w:style w:type="character" w:styleId="684" w:customStyle="1">
    <w:name w:val="Title Char"/>
    <w:link w:val="669"/>
    <w:uiPriority w:val="10"/>
    <w:rPr>
      <w:sz w:val="48"/>
      <w:szCs w:val="48"/>
    </w:rPr>
  </w:style>
  <w:style w:type="character" w:styleId="685" w:customStyle="1">
    <w:name w:val="Subtitle Char"/>
    <w:link w:val="663"/>
    <w:uiPriority w:val="11"/>
    <w:rPr>
      <w:sz w:val="24"/>
      <w:szCs w:val="24"/>
    </w:rPr>
  </w:style>
  <w:style w:type="paragraph" w:styleId="686">
    <w:name w:val="Quote"/>
    <w:basedOn w:val="640"/>
    <w:next w:val="640"/>
    <w:link w:val="687"/>
    <w:uiPriority w:val="29"/>
    <w:qFormat/>
    <w:pPr>
      <w:ind w:left="720" w:right="720"/>
    </w:pPr>
    <w:rPr>
      <w:i/>
    </w:rPr>
  </w:style>
  <w:style w:type="character" w:styleId="687" w:customStyle="1">
    <w:name w:val="Quote Char"/>
    <w:link w:val="686"/>
    <w:uiPriority w:val="29"/>
    <w:rPr>
      <w:i/>
    </w:rPr>
  </w:style>
  <w:style w:type="paragraph" w:styleId="688">
    <w:name w:val="Intense Quote"/>
    <w:basedOn w:val="640"/>
    <w:next w:val="640"/>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customStyle="1">
    <w:name w:val="Intense Quote Char"/>
    <w:link w:val="688"/>
    <w:uiPriority w:val="30"/>
    <w:rPr>
      <w:i/>
    </w:rPr>
  </w:style>
  <w:style w:type="character" w:styleId="690" w:customStyle="1">
    <w:name w:val="Header Char"/>
    <w:link w:val="660"/>
    <w:uiPriority w:val="99"/>
  </w:style>
  <w:style w:type="character" w:styleId="691" w:customStyle="1">
    <w:name w:val="Footer Char"/>
    <w:link w:val="659"/>
    <w:uiPriority w:val="99"/>
  </w:style>
  <w:style w:type="character" w:styleId="692" w:customStyle="1">
    <w:name w:val="Caption Char"/>
    <w:link w:val="659"/>
    <w:uiPriority w:val="99"/>
  </w:style>
  <w:style w:type="table" w:styleId="69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3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3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8" w:customStyle="1">
    <w:name w:val="Footnote Text Char"/>
    <w:link w:val="664"/>
    <w:uiPriority w:val="99"/>
    <w:qFormat/>
    <w:rPr>
      <w:sz w:val="18"/>
    </w:rPr>
  </w:style>
  <w:style w:type="character" w:styleId="819" w:customStyle="1">
    <w:name w:val="Endnote Text Char"/>
    <w:link w:val="658"/>
    <w:uiPriority w:val="99"/>
    <w:qFormat/>
    <w:rPr>
      <w:sz w:val="20"/>
    </w:rPr>
  </w:style>
  <w:style w:type="paragraph" w:styleId="820" w:customStyle="1">
    <w:name w:val="TOC Heading"/>
    <w:uiPriority w:val="39"/>
    <w:unhideWhenUsed/>
    <w:rPr>
      <w:rFonts w:hint="default" w:ascii="Times New Roman" w:hAnsi="Times New Roman" w:eastAsia="宋体" w:cs="Times New Roman"/>
    </w:rPr>
  </w:style>
  <w:style w:type="paragraph" w:styleId="821" w:customStyle="1">
    <w:name w:val="标题 11"/>
    <w:basedOn w:val="640"/>
    <w:next w:val="640"/>
    <w:link w:val="943"/>
    <w:uiPriority w:val="0"/>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22" w:customStyle="1">
    <w:name w:val="标题 21"/>
    <w:basedOn w:val="640"/>
    <w:next w:val="640"/>
    <w:link w:val="834"/>
    <w:uiPriority w:val="0"/>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23" w:customStyle="1">
    <w:name w:val="标题 31"/>
    <w:basedOn w:val="640"/>
    <w:next w:val="640"/>
    <w:link w:val="835"/>
    <w:uiPriority w:val="0"/>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24" w:customStyle="1">
    <w:name w:val="标题 41"/>
    <w:basedOn w:val="640"/>
    <w:next w:val="825"/>
    <w:link w:val="836"/>
    <w:uiPriority w:val="0"/>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25" w:customStyle="1">
    <w:name w:val="正文缩进1"/>
    <w:basedOn w:val="640"/>
    <w:link w:val="837"/>
    <w:uiPriority w:val="0"/>
    <w:qFormat/>
    <w:pPr>
      <w:ind w:firstLine="420"/>
      <w:jc w:val="left"/>
    </w:pPr>
    <w:rPr>
      <w:rFonts w:ascii="Calibri" w:hAnsi="Calibri" w:eastAsia="楷体_GB2312" w:cs="Times New Roman"/>
    </w:rPr>
  </w:style>
  <w:style w:type="paragraph" w:styleId="826" w:customStyle="1">
    <w:name w:val="标题 51"/>
    <w:basedOn w:val="640"/>
    <w:next w:val="825"/>
    <w:link w:val="838"/>
    <w:uiPriority w:val="0"/>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27" w:customStyle="1">
    <w:name w:val="标题 61"/>
    <w:basedOn w:val="640"/>
    <w:next w:val="825"/>
    <w:link w:val="839"/>
    <w:uiPriority w:val="0"/>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28" w:customStyle="1">
    <w:name w:val="标题 71"/>
    <w:basedOn w:val="640"/>
    <w:next w:val="825"/>
    <w:link w:val="840"/>
    <w:uiPriority w:val="0"/>
    <w:qFormat/>
    <w:pPr>
      <w:ind w:left="1296" w:hanging="1296"/>
      <w:keepLines/>
      <w:keepNext/>
      <w:spacing w:before="240" w:after="64" w:line="320" w:lineRule="auto"/>
      <w:tabs>
        <w:tab w:val="left" w:pos="1296" w:leader="none"/>
      </w:tabs>
      <w:outlineLvl w:val="6"/>
    </w:pPr>
    <w:rPr>
      <w:rFonts w:cs="Times New Roman"/>
      <w:b/>
      <w:bCs/>
    </w:rPr>
  </w:style>
  <w:style w:type="paragraph" w:styleId="829" w:customStyle="1">
    <w:name w:val="标题 81"/>
    <w:basedOn w:val="640"/>
    <w:next w:val="825"/>
    <w:link w:val="841"/>
    <w:uiPriority w:val="0"/>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30" w:customStyle="1">
    <w:name w:val="标题 91"/>
    <w:basedOn w:val="640"/>
    <w:next w:val="825"/>
    <w:link w:val="842"/>
    <w:uiPriority w:val="0"/>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31" w:customStyle="1">
    <w:name w:val="默认段落字体111"/>
    <w:link w:val="640"/>
    <w:uiPriority w:val="0"/>
    <w:qFormat/>
    <w:rPr>
      <w:rFonts w:ascii="Calibri" w:hAnsi="Calibri" w:eastAsia="宋体" w:cs="Times New Roman"/>
    </w:rPr>
  </w:style>
  <w:style w:type="table" w:styleId="832" w:customStyle="1">
    <w:name w:val="普通表格1"/>
    <w:uiPriority w:val="0"/>
    <w:qFormat/>
    <w:rPr>
      <w:rFonts w:ascii="Calibri" w:hAnsi="Calibri" w:eastAsia="宋体" w:cs="Times New Roman"/>
    </w:rPr>
    <w:tblPr/>
  </w:style>
  <w:style w:type="character" w:styleId="833" w:customStyle="1">
    <w:name w:val="标题 1 Char"/>
    <w:link w:val="821"/>
    <w:uiPriority w:val="0"/>
    <w:rPr>
      <w:rFonts w:ascii="Calibri" w:hAnsi="Calibri" w:eastAsia="宋体" w:cs="Times New Roman"/>
      <w:b/>
      <w:bCs/>
      <w:sz w:val="44"/>
      <w:szCs w:val="44"/>
    </w:rPr>
  </w:style>
  <w:style w:type="character" w:styleId="834" w:customStyle="1">
    <w:name w:val="标题 2 Char"/>
    <w:link w:val="822"/>
    <w:uiPriority w:val="0"/>
    <w:qFormat/>
    <w:rPr>
      <w:rFonts w:ascii="Arial" w:hAnsi="Arial" w:eastAsia="黑体" w:cs="Arial"/>
      <w:b/>
      <w:bCs/>
      <w:sz w:val="32"/>
      <w:szCs w:val="32"/>
    </w:rPr>
  </w:style>
  <w:style w:type="character" w:styleId="835" w:customStyle="1">
    <w:name w:val="标题 3 Char"/>
    <w:link w:val="823"/>
    <w:uiPriority w:val="0"/>
    <w:rPr>
      <w:rFonts w:ascii="Calibri" w:hAnsi="Calibri" w:eastAsia="宋体" w:cs="Times New Roman"/>
      <w:b/>
      <w:bCs/>
      <w:sz w:val="32"/>
      <w:szCs w:val="32"/>
    </w:rPr>
  </w:style>
  <w:style w:type="character" w:styleId="836" w:customStyle="1">
    <w:name w:val="标题 4 Char"/>
    <w:link w:val="824"/>
    <w:uiPriority w:val="0"/>
    <w:qFormat/>
    <w:rPr>
      <w:rFonts w:ascii="Cambria" w:hAnsi="Cambria" w:eastAsia="宋体" w:cs="Times New Roman"/>
      <w:b/>
      <w:bCs/>
      <w:sz w:val="28"/>
      <w:szCs w:val="28"/>
    </w:rPr>
  </w:style>
  <w:style w:type="character" w:styleId="837" w:customStyle="1">
    <w:name w:val="正文缩进 Char"/>
    <w:link w:val="825"/>
    <w:uiPriority w:val="0"/>
    <w:qFormat/>
    <w:rPr>
      <w:rFonts w:ascii="Calibri" w:hAnsi="Calibri" w:eastAsia="楷体_GB2312" w:cs="Times New Roman"/>
      <w:sz w:val="24"/>
      <w:szCs w:val="24"/>
      <w:lang w:val="en-US" w:eastAsia="zh-CN"/>
    </w:rPr>
  </w:style>
  <w:style w:type="character" w:styleId="838" w:customStyle="1">
    <w:name w:val="标题 5 Char"/>
    <w:link w:val="826"/>
    <w:uiPriority w:val="0"/>
    <w:rPr>
      <w:rFonts w:ascii="宋体" w:hAnsi="宋体" w:eastAsia="宋体" w:cs="宋体"/>
      <w:b/>
      <w:bCs/>
      <w:sz w:val="28"/>
      <w:szCs w:val="28"/>
    </w:rPr>
  </w:style>
  <w:style w:type="character" w:styleId="839" w:customStyle="1">
    <w:name w:val="标题 6 Char"/>
    <w:link w:val="827"/>
    <w:uiPriority w:val="0"/>
    <w:rPr>
      <w:rFonts w:ascii="Cambria" w:hAnsi="Cambria" w:eastAsia="宋体" w:cs="Times New Roman"/>
      <w:b/>
      <w:bCs/>
      <w:sz w:val="24"/>
      <w:szCs w:val="24"/>
    </w:rPr>
  </w:style>
  <w:style w:type="character" w:styleId="840" w:customStyle="1">
    <w:name w:val="标题 7 Char"/>
    <w:link w:val="828"/>
    <w:uiPriority w:val="0"/>
    <w:rPr>
      <w:rFonts w:ascii="宋体" w:hAnsi="宋体" w:eastAsia="宋体" w:cs="宋体"/>
      <w:b/>
      <w:bCs/>
      <w:sz w:val="24"/>
      <w:szCs w:val="24"/>
    </w:rPr>
  </w:style>
  <w:style w:type="character" w:styleId="841" w:customStyle="1">
    <w:name w:val="标题 8 Char"/>
    <w:link w:val="829"/>
    <w:uiPriority w:val="0"/>
    <w:rPr>
      <w:rFonts w:ascii="Cambria" w:hAnsi="Cambria" w:eastAsia="宋体" w:cs="Times New Roman"/>
      <w:sz w:val="24"/>
      <w:szCs w:val="24"/>
    </w:rPr>
  </w:style>
  <w:style w:type="character" w:styleId="842" w:customStyle="1">
    <w:name w:val="标题 9 Char"/>
    <w:link w:val="830"/>
    <w:uiPriority w:val="0"/>
    <w:rPr>
      <w:rFonts w:ascii="Cambria" w:hAnsi="Cambria" w:eastAsia="宋体" w:cs="Times New Roman"/>
      <w:szCs w:val="21"/>
    </w:rPr>
  </w:style>
  <w:style w:type="paragraph" w:styleId="843" w:customStyle="1">
    <w:name w:val="目录 71"/>
    <w:basedOn w:val="821"/>
    <w:next w:val="640"/>
    <w:uiPriority w:val="0"/>
    <w:qFormat/>
    <w:pPr>
      <w:ind w:left="1640" w:firstLine="3784"/>
      <w:spacing w:before="0" w:after="0" w:line="360" w:lineRule="auto"/>
    </w:pPr>
    <w:rPr>
      <w:rFonts w:ascii="Times New Roman" w:hAnsi="Times New Roman" w:cs="Times New Roman"/>
    </w:rPr>
  </w:style>
  <w:style w:type="paragraph" w:styleId="844" w:customStyle="1">
    <w:name w:val="列表项目符号 41"/>
    <w:basedOn w:val="640"/>
    <w:uiPriority w:val="0"/>
    <w:pPr>
      <w:ind w:left="1620" w:hanging="360"/>
      <w:tabs>
        <w:tab w:val="left" w:pos="1620" w:leader="none"/>
      </w:tabs>
    </w:pPr>
    <w:rPr>
      <w:rFonts w:ascii="Times New Roman" w:hAnsi="Times New Roman" w:eastAsia="宋体" w:cs="Times New Roman"/>
      <w:sz w:val="21"/>
    </w:rPr>
  </w:style>
  <w:style w:type="paragraph" w:styleId="845" w:customStyle="1">
    <w:name w:val="文档结构图1"/>
    <w:basedOn w:val="640"/>
    <w:link w:val="846"/>
    <w:uiPriority w:val="0"/>
    <w:qFormat/>
    <w:pPr>
      <w:jc w:val="left"/>
      <w:shd w:val="clear" w:color="auto" w:fill="000080"/>
      <w:widowControl/>
    </w:pPr>
    <w:rPr>
      <w:rFonts w:ascii="Calibri" w:hAnsi="Calibri" w:cs="Times New Roman"/>
    </w:rPr>
  </w:style>
  <w:style w:type="character" w:styleId="846" w:customStyle="1">
    <w:name w:val="文档结构图 Char"/>
    <w:link w:val="845"/>
    <w:uiPriority w:val="0"/>
    <w:rPr>
      <w:rFonts w:ascii="Calibri" w:hAnsi="Calibri" w:eastAsia="宋体" w:cs="Times New Roman"/>
      <w:sz w:val="24"/>
      <w:szCs w:val="24"/>
      <w:shd w:val="clear" w:color="auto" w:fill="000080"/>
    </w:rPr>
  </w:style>
  <w:style w:type="paragraph" w:styleId="847" w:customStyle="1">
    <w:name w:val="批注文字1"/>
    <w:basedOn w:val="640"/>
    <w:link w:val="848"/>
    <w:uiPriority w:val="99"/>
    <w:pPr>
      <w:jc w:val="left"/>
    </w:pPr>
    <w:rPr>
      <w:rFonts w:cs="Times New Roman"/>
    </w:rPr>
  </w:style>
  <w:style w:type="character" w:styleId="848" w:customStyle="1">
    <w:name w:val="批注文字 Char"/>
    <w:link w:val="847"/>
    <w:uiPriority w:val="99"/>
    <w:rPr>
      <w:rFonts w:ascii="宋体" w:hAnsi="宋体" w:eastAsia="宋体" w:cs="宋体"/>
      <w:sz w:val="24"/>
      <w:szCs w:val="24"/>
    </w:rPr>
  </w:style>
  <w:style w:type="paragraph" w:styleId="849" w:customStyle="1">
    <w:name w:val="正文文本 31"/>
    <w:basedOn w:val="640"/>
    <w:link w:val="850"/>
    <w:uiPriority w:val="0"/>
    <w:pPr>
      <w:spacing w:line="500" w:lineRule="exact"/>
    </w:pPr>
    <w:rPr>
      <w:rFonts w:cs="Times New Roman"/>
      <w:sz w:val="16"/>
      <w:szCs w:val="16"/>
    </w:rPr>
  </w:style>
  <w:style w:type="character" w:styleId="850" w:customStyle="1">
    <w:name w:val="正文文本 3 Char"/>
    <w:link w:val="849"/>
    <w:uiPriority w:val="0"/>
    <w:rPr>
      <w:rFonts w:ascii="宋体" w:hAnsi="宋体" w:eastAsia="宋体" w:cs="宋体"/>
      <w:sz w:val="16"/>
      <w:szCs w:val="16"/>
    </w:rPr>
  </w:style>
  <w:style w:type="paragraph" w:styleId="851" w:customStyle="1">
    <w:name w:val="正文文本1"/>
    <w:basedOn w:val="640"/>
    <w:next w:val="852"/>
    <w:link w:val="853"/>
    <w:uiPriority w:val="0"/>
    <w:qFormat/>
    <w:rPr>
      <w:rFonts w:cs="Times New Roman"/>
    </w:rPr>
  </w:style>
  <w:style w:type="paragraph" w:styleId="852" w:customStyle="1">
    <w:name w:val="正文首行缩进1"/>
    <w:basedOn w:val="851"/>
    <w:next w:val="640"/>
    <w:link w:val="854"/>
    <w:uiPriority w:val="0"/>
    <w:qFormat/>
    <w:pPr>
      <w:ind w:firstLine="420"/>
      <w:spacing w:after="120"/>
    </w:pPr>
  </w:style>
  <w:style w:type="character" w:styleId="853" w:customStyle="1">
    <w:name w:val="正文文本 Char"/>
    <w:link w:val="851"/>
    <w:uiPriority w:val="0"/>
    <w:qFormat/>
    <w:rPr>
      <w:rFonts w:ascii="宋体" w:hAnsi="宋体" w:eastAsia="宋体" w:cs="宋体"/>
      <w:sz w:val="24"/>
      <w:szCs w:val="24"/>
    </w:rPr>
  </w:style>
  <w:style w:type="character" w:styleId="854" w:customStyle="1">
    <w:name w:val="正文首行缩进 Char"/>
    <w:link w:val="852"/>
    <w:uiPriority w:val="0"/>
    <w:qFormat/>
    <w:rPr>
      <w:rFonts w:ascii="宋体" w:hAnsi="宋体" w:eastAsia="宋体" w:cs="宋体"/>
      <w:sz w:val="24"/>
      <w:szCs w:val="24"/>
    </w:rPr>
  </w:style>
  <w:style w:type="paragraph" w:styleId="855" w:customStyle="1">
    <w:name w:val="正文文本缩进11"/>
    <w:basedOn w:val="640"/>
    <w:next w:val="856"/>
    <w:link w:val="857"/>
    <w:uiPriority w:val="0"/>
    <w:qFormat/>
    <w:pPr>
      <w:ind w:firstLine="420"/>
      <w:spacing w:line="360" w:lineRule="exact"/>
    </w:pPr>
    <w:rPr>
      <w:rFonts w:cs="Times New Roman"/>
    </w:rPr>
  </w:style>
  <w:style w:type="paragraph" w:styleId="856" w:customStyle="1">
    <w:name w:val="寄信人地址1"/>
    <w:basedOn w:val="640"/>
    <w:uiPriority w:val="0"/>
    <w:qFormat/>
    <w:pPr>
      <w:jc w:val="both"/>
      <w:widowControl w:val="off"/>
    </w:pPr>
    <w:rPr>
      <w:rFonts w:ascii="Arial" w:hAnsi="Arial" w:eastAsia="宋体" w:cs="Times New Roman"/>
      <w:sz w:val="21"/>
      <w:szCs w:val="24"/>
      <w:lang w:val="en-US" w:eastAsia="zh-CN" w:bidi="ar-SA"/>
    </w:rPr>
  </w:style>
  <w:style w:type="character" w:styleId="857" w:customStyle="1">
    <w:name w:val="正文文本缩进 Char"/>
    <w:link w:val="855"/>
    <w:uiPriority w:val="0"/>
    <w:qFormat/>
    <w:rPr>
      <w:rFonts w:ascii="宋体" w:hAnsi="宋体" w:eastAsia="宋体" w:cs="宋体"/>
      <w:sz w:val="24"/>
      <w:szCs w:val="24"/>
    </w:rPr>
  </w:style>
  <w:style w:type="paragraph" w:styleId="858" w:customStyle="1">
    <w:name w:val="列表 21"/>
    <w:basedOn w:val="821"/>
    <w:next w:val="843"/>
    <w:uiPriority w:val="0"/>
    <w:qFormat/>
    <w:pPr>
      <w:contextualSpacing/>
      <w:ind w:left="100" w:hanging="200"/>
    </w:pPr>
    <w:rPr>
      <w:rFonts w:ascii="Times New Roman" w:hAnsi="Times New Roman" w:eastAsia="宋体" w:cs="Times New Roman"/>
      <w:sz w:val="21"/>
    </w:rPr>
  </w:style>
  <w:style w:type="paragraph" w:styleId="859" w:customStyle="1">
    <w:name w:val="文本块1"/>
    <w:basedOn w:val="640"/>
    <w:next w:val="640"/>
    <w:uiPriority w:val="0"/>
    <w:qFormat/>
    <w:pPr>
      <w:ind w:left="630" w:right="-609" w:firstLine="420"/>
      <w:spacing w:line="360" w:lineRule="auto"/>
    </w:pPr>
    <w:rPr>
      <w:rFonts w:hint="eastAsia" w:ascii="仿宋_GB2312" w:hAnsi="Times New Roman" w:eastAsia="仿宋_GB2312" w:cs="Times New Roman"/>
      <w:sz w:val="21"/>
      <w:szCs w:val="20"/>
    </w:rPr>
  </w:style>
  <w:style w:type="paragraph" w:styleId="860" w:customStyle="1">
    <w:name w:val="纯文本111"/>
    <w:basedOn w:val="640"/>
    <w:link w:val="861"/>
    <w:uiPriority w:val="0"/>
    <w:qFormat/>
    <w:pPr>
      <w:jc w:val="left"/>
      <w:widowControl/>
    </w:pPr>
    <w:rPr>
      <w:rFonts w:hAnsi="Courier New" w:cs="Times New Roman"/>
      <w:sz w:val="21"/>
      <w:szCs w:val="21"/>
    </w:rPr>
  </w:style>
  <w:style w:type="character" w:styleId="861" w:customStyle="1">
    <w:name w:val="纯文本 Char"/>
    <w:link w:val="860"/>
    <w:uiPriority w:val="0"/>
    <w:qFormat/>
    <w:rPr>
      <w:rFonts w:ascii="宋体" w:hAnsi="Courier New" w:eastAsia="宋体" w:cs="宋体"/>
      <w:sz w:val="21"/>
      <w:szCs w:val="21"/>
    </w:rPr>
  </w:style>
  <w:style w:type="paragraph" w:styleId="862" w:customStyle="1">
    <w:name w:val="日期1"/>
    <w:basedOn w:val="640"/>
    <w:next w:val="640"/>
    <w:link w:val="863"/>
    <w:uiPriority w:val="0"/>
    <w:qFormat/>
    <w:rPr>
      <w:rFonts w:eastAsia="楷体_GB2312" w:cs="Times New Roman"/>
    </w:rPr>
  </w:style>
  <w:style w:type="character" w:styleId="863" w:customStyle="1">
    <w:name w:val="日期 Char"/>
    <w:link w:val="862"/>
    <w:uiPriority w:val="0"/>
    <w:qFormat/>
    <w:rPr>
      <w:rFonts w:ascii="宋体" w:hAnsi="宋体" w:eastAsia="楷体_GB2312" w:cs="宋体"/>
      <w:sz w:val="24"/>
      <w:szCs w:val="24"/>
    </w:rPr>
  </w:style>
  <w:style w:type="paragraph" w:styleId="864" w:customStyle="1">
    <w:name w:val="正文文本缩进 21"/>
    <w:basedOn w:val="640"/>
    <w:link w:val="865"/>
    <w:uiPriority w:val="0"/>
    <w:qFormat/>
    <w:pPr>
      <w:ind w:left="1" w:firstLine="480"/>
      <w:spacing w:line="400" w:lineRule="exact"/>
      <w:tabs>
        <w:tab w:val="left" w:pos="360" w:leader="none"/>
      </w:tabs>
    </w:pPr>
    <w:rPr>
      <w:rFonts w:cs="Times New Roman"/>
    </w:rPr>
  </w:style>
  <w:style w:type="character" w:styleId="865" w:customStyle="1">
    <w:name w:val="正文文本缩进 2 Char"/>
    <w:link w:val="864"/>
    <w:uiPriority w:val="0"/>
    <w:qFormat/>
    <w:rPr>
      <w:rFonts w:ascii="宋体" w:hAnsi="宋体" w:eastAsia="宋体" w:cs="宋体"/>
      <w:sz w:val="24"/>
      <w:szCs w:val="24"/>
    </w:rPr>
  </w:style>
  <w:style w:type="paragraph" w:styleId="866" w:customStyle="1">
    <w:name w:val="批注框文本1"/>
    <w:basedOn w:val="640"/>
    <w:link w:val="867"/>
    <w:uiPriority w:val="0"/>
    <w:qFormat/>
    <w:rPr>
      <w:rFonts w:cs="Times New Roman"/>
      <w:sz w:val="16"/>
      <w:szCs w:val="16"/>
    </w:rPr>
  </w:style>
  <w:style w:type="character" w:styleId="867" w:customStyle="1">
    <w:name w:val="批注框文本 Char"/>
    <w:link w:val="866"/>
    <w:uiPriority w:val="0"/>
    <w:qFormat/>
    <w:rPr>
      <w:rFonts w:ascii="宋体" w:hAnsi="宋体" w:eastAsia="宋体" w:cs="宋体"/>
      <w:sz w:val="16"/>
      <w:szCs w:val="0"/>
    </w:rPr>
  </w:style>
  <w:style w:type="paragraph" w:styleId="868" w:customStyle="1">
    <w:name w:val="页脚1"/>
    <w:basedOn w:val="640"/>
    <w:link w:val="869"/>
    <w:uiPriority w:val="0"/>
    <w:qFormat/>
    <w:pPr>
      <w:jc w:val="left"/>
      <w:tabs>
        <w:tab w:val="center" w:pos="4153" w:leader="none"/>
        <w:tab w:val="right" w:pos="8306" w:leader="none"/>
      </w:tabs>
    </w:pPr>
    <w:rPr>
      <w:rFonts w:ascii="Calibri" w:hAnsi="Calibri" w:cs="Times New Roman"/>
      <w:sz w:val="18"/>
      <w:szCs w:val="18"/>
    </w:rPr>
  </w:style>
  <w:style w:type="character" w:styleId="869" w:customStyle="1">
    <w:name w:val="页脚 Char"/>
    <w:link w:val="868"/>
    <w:uiPriority w:val="0"/>
    <w:qFormat/>
    <w:rPr>
      <w:rFonts w:ascii="Calibri" w:hAnsi="Calibri" w:eastAsia="宋体" w:cs="Times New Roman"/>
      <w:sz w:val="18"/>
      <w:szCs w:val="18"/>
    </w:rPr>
  </w:style>
  <w:style w:type="paragraph" w:styleId="870" w:customStyle="1">
    <w:name w:val="页眉1"/>
    <w:basedOn w:val="640"/>
    <w:link w:val="871"/>
    <w:uiPriority w:val="0"/>
    <w:qFormat/>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871" w:customStyle="1">
    <w:name w:val="页眉 Char"/>
    <w:link w:val="870"/>
    <w:uiPriority w:val="0"/>
    <w:qFormat/>
    <w:rPr>
      <w:rFonts w:ascii="Calibri" w:hAnsi="Calibri" w:eastAsia="宋体" w:cs="Times New Roman"/>
      <w:sz w:val="18"/>
      <w:szCs w:val="18"/>
    </w:rPr>
  </w:style>
  <w:style w:type="paragraph" w:styleId="872" w:customStyle="1">
    <w:name w:val="目录 11"/>
    <w:basedOn w:val="640"/>
    <w:next w:val="640"/>
    <w:uiPriority w:val="0"/>
    <w:qFormat/>
    <w:pPr>
      <w:jc w:val="left"/>
    </w:pPr>
    <w:rPr>
      <w:rFonts w:ascii="Times New Roman" w:hAnsi="Times New Roman" w:eastAsia="楷体_GB2312" w:cs="Times New Roman"/>
    </w:rPr>
  </w:style>
  <w:style w:type="paragraph" w:styleId="873" w:customStyle="1">
    <w:name w:val="副标题1"/>
    <w:basedOn w:val="640"/>
    <w:next w:val="640"/>
    <w:link w:val="874"/>
    <w:uiPriority w:val="0"/>
    <w:qFormat/>
    <w:pPr>
      <w:jc w:val="center"/>
      <w:spacing w:before="240" w:after="60" w:line="312" w:lineRule="auto"/>
      <w:outlineLvl w:val="1"/>
    </w:pPr>
    <w:rPr>
      <w:rFonts w:ascii="Cambria" w:hAnsi="Cambria" w:cs="Times New Roman"/>
      <w:b/>
      <w:bCs/>
      <w:sz w:val="32"/>
      <w:szCs w:val="32"/>
    </w:rPr>
  </w:style>
  <w:style w:type="character" w:styleId="874" w:customStyle="1">
    <w:name w:val="副标题 Char"/>
    <w:link w:val="873"/>
    <w:uiPriority w:val="0"/>
    <w:qFormat/>
    <w:rPr>
      <w:rFonts w:ascii="Cambria" w:hAnsi="Cambria" w:eastAsia="宋体" w:cs="Times New Roman"/>
      <w:b/>
      <w:bCs/>
      <w:sz w:val="32"/>
      <w:szCs w:val="32"/>
    </w:rPr>
  </w:style>
  <w:style w:type="paragraph" w:styleId="875" w:customStyle="1">
    <w:name w:val="列表1"/>
    <w:next w:val="640"/>
    <w:uiPriority w:val="0"/>
    <w:qFormat/>
    <w:pPr>
      <w:ind w:left="200" w:hanging="200"/>
      <w:jc w:val="left"/>
      <w:widowControl/>
    </w:pPr>
    <w:rPr>
      <w:rFonts w:hint="default" w:ascii="等线" w:hAnsi="等线" w:eastAsia="宋体" w:cs="宋体"/>
      <w:sz w:val="20"/>
      <w:szCs w:val="21"/>
      <w:lang w:val="en-US" w:eastAsia="zh-CN" w:bidi="ar-SA"/>
    </w:rPr>
  </w:style>
  <w:style w:type="paragraph" w:styleId="876" w:customStyle="1">
    <w:name w:val="脚注文本1"/>
    <w:basedOn w:val="640"/>
    <w:next w:val="859"/>
    <w:link w:val="877"/>
    <w:uiPriority w:val="0"/>
    <w:qFormat/>
    <w:pPr>
      <w:jc w:val="left"/>
    </w:pPr>
    <w:rPr>
      <w:rFonts w:ascii="Calibri" w:hAnsi="Calibri" w:cs="Times New Roman"/>
      <w:sz w:val="18"/>
      <w:szCs w:val="18"/>
    </w:rPr>
  </w:style>
  <w:style w:type="character" w:styleId="877" w:customStyle="1">
    <w:name w:val="脚注文本 Char"/>
    <w:link w:val="876"/>
    <w:uiPriority w:val="0"/>
    <w:qFormat/>
    <w:rPr>
      <w:rFonts w:ascii="Calibri" w:hAnsi="Calibri" w:eastAsia="宋体" w:cs="Times New Roman"/>
      <w:sz w:val="18"/>
      <w:szCs w:val="18"/>
    </w:rPr>
  </w:style>
  <w:style w:type="paragraph" w:styleId="878" w:customStyle="1">
    <w:name w:val="正文文本缩进 31"/>
    <w:basedOn w:val="640"/>
    <w:link w:val="879"/>
    <w:uiPriority w:val="0"/>
    <w:qFormat/>
    <w:pPr>
      <w:ind w:firstLine="480"/>
      <w:spacing w:line="400" w:lineRule="exact"/>
    </w:pPr>
    <w:rPr>
      <w:rFonts w:hint="eastAsia" w:cs="Times New Roman"/>
      <w:sz w:val="16"/>
      <w:szCs w:val="16"/>
    </w:rPr>
  </w:style>
  <w:style w:type="character" w:styleId="879" w:customStyle="1">
    <w:name w:val="正文文本缩进 3 Char1"/>
    <w:link w:val="878"/>
    <w:uiPriority w:val="0"/>
    <w:qFormat/>
    <w:rPr>
      <w:rFonts w:hint="eastAsia" w:ascii="宋体" w:hAnsi="宋体" w:eastAsia="宋体" w:cs="Times New Roman"/>
      <w:sz w:val="16"/>
      <w:szCs w:val="16"/>
    </w:rPr>
  </w:style>
  <w:style w:type="paragraph" w:styleId="880" w:customStyle="1">
    <w:name w:val="正文文本 21"/>
    <w:basedOn w:val="640"/>
    <w:link w:val="881"/>
    <w:uiPriority w:val="0"/>
    <w:qFormat/>
    <w:pPr>
      <w:spacing w:after="120" w:line="480" w:lineRule="auto"/>
    </w:pPr>
    <w:rPr>
      <w:rFonts w:cs="Times New Roman"/>
    </w:rPr>
  </w:style>
  <w:style w:type="character" w:styleId="881" w:customStyle="1">
    <w:name w:val="正文文本 2 Char"/>
    <w:link w:val="880"/>
    <w:uiPriority w:val="0"/>
    <w:qFormat/>
    <w:rPr>
      <w:rFonts w:ascii="宋体" w:hAnsi="宋体" w:eastAsia="宋体" w:cs="宋体"/>
      <w:sz w:val="24"/>
      <w:szCs w:val="24"/>
    </w:rPr>
  </w:style>
  <w:style w:type="paragraph" w:styleId="882" w:customStyle="1">
    <w:name w:val="普通(网站)11"/>
    <w:basedOn w:val="640"/>
    <w:next w:val="858"/>
    <w:uiPriority w:val="99"/>
    <w:qFormat/>
    <w:pPr>
      <w:ind w:left="15" w:right="15"/>
      <w:jc w:val="left"/>
      <w:spacing w:before="60" w:after="60" w:line="312" w:lineRule="auto"/>
      <w:widowControl/>
    </w:pPr>
    <w:rPr>
      <w:rFonts w:ascii="Arial Unicode MS" w:hAnsi="Arial Unicode MS" w:eastAsia="宋体" w:cs="Arial Unicode MS"/>
    </w:rPr>
  </w:style>
  <w:style w:type="paragraph" w:styleId="883" w:customStyle="1">
    <w:name w:val="标题1"/>
    <w:basedOn w:val="640"/>
    <w:next w:val="640"/>
    <w:link w:val="884"/>
    <w:uiPriority w:val="0"/>
    <w:qFormat/>
    <w:pPr>
      <w:jc w:val="center"/>
      <w:spacing w:before="240" w:after="60"/>
      <w:outlineLvl w:val="0"/>
    </w:pPr>
    <w:rPr>
      <w:rFonts w:ascii="Cambria" w:hAnsi="Cambria" w:cs="Times New Roman"/>
      <w:b/>
      <w:bCs/>
      <w:sz w:val="32"/>
      <w:szCs w:val="32"/>
    </w:rPr>
  </w:style>
  <w:style w:type="character" w:styleId="884" w:customStyle="1">
    <w:name w:val="标题 Char"/>
    <w:link w:val="883"/>
    <w:uiPriority w:val="0"/>
    <w:qFormat/>
    <w:rPr>
      <w:rFonts w:ascii="Cambria" w:hAnsi="Cambria" w:eastAsia="宋体" w:cs="Times New Roman"/>
      <w:b/>
      <w:bCs/>
      <w:sz w:val="32"/>
      <w:szCs w:val="32"/>
    </w:rPr>
  </w:style>
  <w:style w:type="paragraph" w:styleId="885" w:customStyle="1">
    <w:name w:val="批注主题1"/>
    <w:basedOn w:val="847"/>
    <w:next w:val="847"/>
    <w:link w:val="886"/>
    <w:uiPriority w:val="0"/>
    <w:qFormat/>
    <w:pPr>
      <w:widowControl/>
    </w:pPr>
    <w:rPr>
      <w:rFonts w:ascii="Calibri" w:hAnsi="Calibri"/>
      <w:b/>
      <w:bCs/>
    </w:rPr>
  </w:style>
  <w:style w:type="character" w:styleId="886" w:customStyle="1">
    <w:name w:val="批注主题 Char"/>
    <w:link w:val="885"/>
    <w:uiPriority w:val="0"/>
    <w:qFormat/>
    <w:rPr>
      <w:rFonts w:ascii="Calibri" w:hAnsi="Calibri" w:eastAsia="宋体" w:cs="Times New Roman"/>
      <w:b/>
      <w:bCs/>
      <w:sz w:val="24"/>
      <w:szCs w:val="24"/>
    </w:rPr>
  </w:style>
  <w:style w:type="paragraph" w:styleId="887" w:customStyle="1">
    <w:name w:val="正文首行缩进 21"/>
    <w:basedOn w:val="855"/>
    <w:next w:val="875"/>
    <w:uiPriority w:val="0"/>
    <w:qFormat/>
    <w:pPr>
      <w:ind w:left="420" w:firstLine="420"/>
      <w:spacing w:after="120" w:line="240" w:lineRule="auto"/>
    </w:pPr>
    <w:rPr>
      <w:sz w:val="21"/>
      <w:szCs w:val="24"/>
    </w:rPr>
  </w:style>
  <w:style w:type="table" w:styleId="888" w:customStyle="1">
    <w:name w:val="网格型1"/>
    <w:basedOn w:val="832"/>
    <w:uiPriority w:val="0"/>
    <w:qFormat/>
    <w:pPr>
      <w:jc w:val="both"/>
      <w:widowControl w:val="off"/>
    </w:pPr>
    <w:rPr>
      <w:rFonts w:ascii="Calibri" w:hAnsi="Calibri" w:eastAsia="宋体" w:cs="Times New Roman"/>
    </w:rPr>
    <w:tblPr/>
  </w:style>
  <w:style w:type="character" w:styleId="889" w:customStyle="1">
    <w:name w:val="要点1"/>
    <w:link w:val="640"/>
    <w:uiPriority w:val="0"/>
    <w:qFormat/>
    <w:rPr>
      <w:rFonts w:ascii="Calibri" w:hAnsi="Calibri" w:eastAsia="宋体" w:cs="Times New Roman"/>
      <w:b/>
      <w:bCs/>
    </w:rPr>
  </w:style>
  <w:style w:type="character" w:styleId="890" w:customStyle="1">
    <w:name w:val="页码1"/>
    <w:link w:val="640"/>
    <w:uiPriority w:val="0"/>
    <w:qFormat/>
    <w:rPr>
      <w:rFonts w:ascii="Calibri" w:hAnsi="Calibri" w:eastAsia="宋体" w:cs="Times New Roman"/>
    </w:rPr>
  </w:style>
  <w:style w:type="character" w:styleId="891" w:customStyle="1">
    <w:name w:val="已访问的超链接1"/>
    <w:link w:val="640"/>
    <w:uiPriority w:val="0"/>
    <w:qFormat/>
    <w:rPr>
      <w:rFonts w:ascii="Calibri" w:hAnsi="Calibri" w:eastAsia="宋体" w:cs="Times New Roman"/>
      <w:color w:val="800080"/>
      <w:u w:val="none"/>
    </w:rPr>
  </w:style>
  <w:style w:type="character" w:styleId="892" w:customStyle="1">
    <w:name w:val="强调1"/>
    <w:link w:val="640"/>
    <w:uiPriority w:val="20"/>
    <w:qFormat/>
    <w:rPr>
      <w:rFonts w:ascii="Calibri" w:hAnsi="Calibri" w:eastAsia="宋体" w:cs="Times New Roman"/>
    </w:rPr>
  </w:style>
  <w:style w:type="character" w:styleId="893" w:customStyle="1">
    <w:name w:val="超链接1"/>
    <w:link w:val="640"/>
    <w:uiPriority w:val="0"/>
    <w:qFormat/>
    <w:rPr>
      <w:rFonts w:ascii="Calibri" w:hAnsi="Calibri" w:eastAsia="宋体" w:cs="Times New Roman"/>
      <w:color w:val="333333"/>
      <w:u w:val="none"/>
    </w:rPr>
  </w:style>
  <w:style w:type="character" w:styleId="894" w:customStyle="1">
    <w:name w:val="批注引用1"/>
    <w:link w:val="640"/>
    <w:uiPriority w:val="99"/>
    <w:qFormat/>
    <w:rPr>
      <w:rFonts w:ascii="Calibri" w:hAnsi="Calibri" w:eastAsia="宋体" w:cs="Times New Roman"/>
      <w:sz w:val="21"/>
      <w:szCs w:val="21"/>
    </w:rPr>
  </w:style>
  <w:style w:type="character" w:styleId="895" w:customStyle="1">
    <w:name w:val="HTML 引文1"/>
    <w:link w:val="640"/>
    <w:uiPriority w:val="0"/>
    <w:qFormat/>
    <w:rPr>
      <w:rFonts w:ascii="Calibri" w:hAnsi="Calibri" w:eastAsia="宋体" w:cs="Times New Roman"/>
      <w:color w:val="008000"/>
      <w:szCs w:val="20"/>
    </w:rPr>
  </w:style>
  <w:style w:type="character" w:styleId="896" w:customStyle="1">
    <w:name w:val="badepic1"/>
    <w:link w:val="640"/>
    <w:uiPriority w:val="0"/>
    <w:qFormat/>
    <w:rPr>
      <w:rFonts w:ascii="Calibri" w:hAnsi="Calibri" w:eastAsia="宋体" w:cs="Times New Roman"/>
    </w:rPr>
  </w:style>
  <w:style w:type="character" w:styleId="897" w:customStyle="1">
    <w:name w:val="批注主题 Char1"/>
    <w:link w:val="640"/>
    <w:uiPriority w:val="0"/>
    <w:qFormat/>
    <w:rPr>
      <w:rFonts w:ascii="宋体" w:hAnsi="宋体" w:eastAsia="宋体" w:cs="宋体"/>
      <w:b/>
      <w:bCs/>
      <w:sz w:val="24"/>
      <w:szCs w:val="24"/>
    </w:rPr>
  </w:style>
  <w:style w:type="character" w:styleId="898" w:customStyle="1">
    <w:name w:val="列出段落 Char"/>
    <w:link w:val="899"/>
    <w:uiPriority w:val="0"/>
    <w:qFormat/>
    <w:rPr>
      <w:rFonts w:ascii="Calibri" w:hAnsi="Calibri" w:eastAsia="宋体" w:cs="Calibri"/>
      <w:sz w:val="22"/>
      <w:szCs w:val="22"/>
    </w:rPr>
  </w:style>
  <w:style w:type="paragraph" w:styleId="899" w:customStyle="1">
    <w:name w:val="列出段落"/>
    <w:basedOn w:val="640"/>
    <w:link w:val="898"/>
    <w:uiPriority w:val="0"/>
    <w:qFormat/>
    <w:pPr>
      <w:ind w:firstLine="420"/>
    </w:pPr>
    <w:rPr>
      <w:rFonts w:ascii="Calibri" w:hAnsi="Calibri" w:cs="Times New Roman"/>
      <w:sz w:val="22"/>
      <w:szCs w:val="22"/>
    </w:rPr>
  </w:style>
  <w:style w:type="character" w:styleId="900" w:customStyle="1">
    <w:name w:val="badepic2"/>
    <w:link w:val="640"/>
    <w:uiPriority w:val="0"/>
    <w:qFormat/>
    <w:rPr>
      <w:rFonts w:ascii="Calibri" w:hAnsi="Calibri" w:eastAsia="宋体" w:cs="Times New Roman"/>
    </w:rPr>
  </w:style>
  <w:style w:type="character" w:styleId="901" w:customStyle="1">
    <w:name w:val="font71"/>
    <w:basedOn w:val="831"/>
    <w:link w:val="640"/>
    <w:uiPriority w:val="0"/>
    <w:qFormat/>
    <w:rPr>
      <w:rFonts w:hint="eastAsia" w:ascii="宋体" w:hAnsi="宋体" w:eastAsia="宋体" w:cs="宋体"/>
      <w:color w:val="000000"/>
      <w:sz w:val="22"/>
      <w:szCs w:val="22"/>
      <w:u w:val="none"/>
    </w:rPr>
  </w:style>
  <w:style w:type="character" w:styleId="902" w:customStyle="1">
    <w:name w:val="badepic4"/>
    <w:link w:val="640"/>
    <w:uiPriority w:val="0"/>
    <w:qFormat/>
    <w:rPr>
      <w:rFonts w:ascii="Calibri" w:hAnsi="Calibri" w:eastAsia="宋体" w:cs="Times New Roman"/>
    </w:rPr>
  </w:style>
  <w:style w:type="character" w:styleId="903" w:customStyle="1">
    <w:name w:val="NormalCharacter1"/>
    <w:link w:val="640"/>
    <w:uiPriority w:val="0"/>
    <w:qFormat/>
  </w:style>
  <w:style w:type="character" w:styleId="904" w:customStyle="1">
    <w:name w:val=" Char Char3"/>
    <w:link w:val="640"/>
    <w:uiPriority w:val="0"/>
    <w:qFormat/>
    <w:rPr>
      <w:rFonts w:ascii="Calibri" w:hAnsi="Calibri" w:eastAsia="宋体" w:cs="Times New Roman"/>
      <w:sz w:val="24"/>
      <w:szCs w:val="24"/>
      <w:lang w:val="en-US" w:eastAsia="zh-CN" w:bidi="ar-SA"/>
    </w:rPr>
  </w:style>
  <w:style w:type="character" w:styleId="905" w:customStyle="1">
    <w:name w:val="s-price1"/>
    <w:link w:val="640"/>
    <w:uiPriority w:val="0"/>
    <w:qFormat/>
    <w:rPr>
      <w:rFonts w:ascii="Calibri" w:hAnsi="Calibri" w:eastAsia="宋体" w:cs="Times New Roman"/>
      <w:color w:val="000000"/>
    </w:rPr>
  </w:style>
  <w:style w:type="character" w:styleId="906" w:customStyle="1">
    <w:name w:val="font101"/>
    <w:basedOn w:val="831"/>
    <w:link w:val="640"/>
    <w:uiPriority w:val="0"/>
    <w:qFormat/>
    <w:rPr>
      <w:rFonts w:ascii="Arial" w:hAnsi="Arial" w:cs="Arial"/>
      <w:color w:val="000000"/>
      <w:sz w:val="20"/>
      <w:szCs w:val="20"/>
      <w:u w:val="none"/>
    </w:rPr>
  </w:style>
  <w:style w:type="character" w:styleId="907" w:customStyle="1">
    <w:name w:val="font41"/>
    <w:link w:val="640"/>
    <w:uiPriority w:val="0"/>
    <w:qFormat/>
    <w:rPr>
      <w:rFonts w:hint="eastAsia" w:ascii="微软雅黑" w:hAnsi="微软雅黑" w:eastAsia="微软雅黑" w:cs="微软雅黑"/>
      <w:color w:val="000000"/>
      <w:sz w:val="18"/>
      <w:szCs w:val="18"/>
      <w:u w:val="none"/>
    </w:rPr>
  </w:style>
  <w:style w:type="character" w:styleId="908" w:customStyle="1">
    <w:name w:val="Item List Char"/>
    <w:link w:val="909"/>
    <w:uiPriority w:val="0"/>
    <w:qFormat/>
    <w:rPr>
      <w:rFonts w:ascii="Calibri" w:hAnsi="Calibri" w:eastAsia="宋体" w:cs="Times New Roman"/>
      <w:sz w:val="21"/>
      <w:szCs w:val="24"/>
    </w:rPr>
  </w:style>
  <w:style w:type="paragraph" w:styleId="909" w:customStyle="1">
    <w:name w:val="Item List"/>
    <w:basedOn w:val="640"/>
    <w:link w:val="908"/>
    <w:uiPriority w:val="0"/>
    <w:qFormat/>
    <w:pPr>
      <w:ind w:left="1701" w:hanging="567"/>
      <w:jc w:val="left"/>
      <w:tabs>
        <w:tab w:val="left" w:pos="420" w:leader="none"/>
        <w:tab w:val="left" w:pos="1701" w:leader="none"/>
      </w:tabs>
    </w:pPr>
    <w:rPr>
      <w:rFonts w:ascii="Calibri" w:hAnsi="Calibri" w:cs="Times New Roman"/>
      <w:sz w:val="21"/>
    </w:rPr>
  </w:style>
  <w:style w:type="character" w:styleId="910" w:customStyle="1">
    <w:name w:val="badepic3"/>
    <w:link w:val="640"/>
    <w:uiPriority w:val="0"/>
    <w:qFormat/>
    <w:rPr>
      <w:rFonts w:ascii="Calibri" w:hAnsi="Calibri" w:eastAsia="宋体" w:cs="Times New Roman"/>
    </w:rPr>
  </w:style>
  <w:style w:type="character" w:styleId="911" w:customStyle="1">
    <w:name w:val="常规 Char"/>
    <w:link w:val="912"/>
    <w:uiPriority w:val="0"/>
    <w:qFormat/>
    <w:rPr>
      <w:rFonts w:ascii="Calibri" w:hAnsi="Calibri" w:eastAsia="宋体" w:cs="Times New Roman"/>
      <w:sz w:val="21"/>
      <w:szCs w:val="21"/>
    </w:rPr>
  </w:style>
  <w:style w:type="paragraph" w:styleId="912" w:customStyle="1">
    <w:name w:val="常规"/>
    <w:basedOn w:val="640"/>
    <w:link w:val="911"/>
    <w:uiPriority w:val="0"/>
    <w:qFormat/>
    <w:pPr>
      <w:ind w:left="1134"/>
    </w:pPr>
    <w:rPr>
      <w:rFonts w:ascii="Calibri" w:hAnsi="Calibri" w:cs="Times New Roman"/>
      <w:sz w:val="21"/>
      <w:szCs w:val="21"/>
    </w:rPr>
  </w:style>
  <w:style w:type="character" w:styleId="913" w:customStyle="1">
    <w:name w:val="font31"/>
    <w:link w:val="640"/>
    <w:uiPriority w:val="0"/>
    <w:qFormat/>
    <w:rPr>
      <w:rFonts w:hint="eastAsia" w:ascii="宋体" w:hAnsi="宋体" w:eastAsia="宋体" w:cs="Times New Roman"/>
      <w:color w:val="000000"/>
      <w:sz w:val="20"/>
      <w:szCs w:val="20"/>
      <w:u w:val="none"/>
    </w:rPr>
  </w:style>
  <w:style w:type="character" w:styleId="914" w:customStyle="1">
    <w:name w:val="标题 4 字符"/>
    <w:link w:val="640"/>
    <w:uiPriority w:val="9"/>
    <w:qFormat/>
    <w:rPr>
      <w:rFonts w:ascii="等线 Light" w:hAnsi="等线 Light" w:eastAsia="宋体" w:cs="Times New Roman"/>
      <w:b/>
      <w:iCs/>
      <w:color w:val="000000"/>
    </w:rPr>
  </w:style>
  <w:style w:type="character" w:styleId="915" w:customStyle="1">
    <w:name w:val="para1"/>
    <w:link w:val="640"/>
    <w:uiPriority w:val="0"/>
    <w:qFormat/>
    <w:rPr>
      <w:rFonts w:ascii="Arial" w:hAnsi="Arial" w:eastAsia="宋体" w:cs="Arial"/>
      <w:sz w:val="18"/>
      <w:szCs w:val="18"/>
    </w:rPr>
  </w:style>
  <w:style w:type="character" w:styleId="916" w:customStyle="1">
    <w:name w:val="Char Char3"/>
    <w:link w:val="640"/>
    <w:uiPriority w:val="0"/>
    <w:qFormat/>
    <w:rPr>
      <w:rFonts w:ascii="Calibri" w:hAnsi="Calibri" w:eastAsia="宋体" w:cs="Times New Roman"/>
      <w:sz w:val="24"/>
      <w:szCs w:val="24"/>
      <w:lang w:val="en-US" w:eastAsia="zh-CN" w:bidi="ar-SA"/>
    </w:rPr>
  </w:style>
  <w:style w:type="character" w:styleId="917" w:customStyle="1">
    <w:name w:val="图表中 居中加粗 Char"/>
    <w:link w:val="918"/>
    <w:uiPriority w:val="0"/>
    <w:qFormat/>
    <w:rPr>
      <w:rFonts w:ascii="Calibri" w:hAnsi="Calibri" w:eastAsia="宋体" w:cs="宋体"/>
      <w:b/>
      <w:bCs/>
      <w:sz w:val="18"/>
      <w:szCs w:val="18"/>
    </w:rPr>
  </w:style>
  <w:style w:type="paragraph" w:styleId="918" w:customStyle="1">
    <w:name w:val="图表中 居中加粗"/>
    <w:basedOn w:val="640"/>
    <w:link w:val="917"/>
    <w:uiPriority w:val="0"/>
    <w:qFormat/>
    <w:pPr>
      <w:jc w:val="center"/>
      <w:spacing w:line="360" w:lineRule="auto"/>
    </w:pPr>
    <w:rPr>
      <w:rFonts w:ascii="Calibri" w:hAnsi="Calibri" w:cs="Times New Roman"/>
      <w:b/>
      <w:bCs/>
      <w:sz w:val="18"/>
      <w:szCs w:val="18"/>
    </w:rPr>
  </w:style>
  <w:style w:type="character" w:styleId="919" w:customStyle="1">
    <w:name w:val="symbol"/>
    <w:link w:val="640"/>
    <w:uiPriority w:val="0"/>
    <w:qFormat/>
    <w:rPr>
      <w:rFonts w:ascii="微软雅黑" w:hAnsi="微软雅黑" w:eastAsia="微软雅黑" w:cs="微软雅黑"/>
      <w:color w:val="000000"/>
    </w:rPr>
  </w:style>
  <w:style w:type="character" w:styleId="920" w:customStyle="1">
    <w:name w:val="文档结构图 Char1"/>
    <w:link w:val="640"/>
    <w:uiPriority w:val="0"/>
    <w:qFormat/>
    <w:rPr>
      <w:rFonts w:ascii="宋体" w:hAnsi="宋体" w:eastAsia="宋体" w:cs="宋体"/>
      <w:sz w:val="18"/>
      <w:szCs w:val="18"/>
    </w:rPr>
  </w:style>
  <w:style w:type="character" w:styleId="921" w:customStyle="1">
    <w:name w:val="c-price"/>
    <w:link w:val="640"/>
    <w:uiPriority w:val="0"/>
    <w:qFormat/>
    <w:rPr>
      <w:rFonts w:ascii="Arial" w:hAnsi="Arial" w:eastAsia="宋体" w:cs="Arial"/>
      <w:color w:val="000000"/>
      <w:sz w:val="19"/>
      <w:szCs w:val="19"/>
    </w:rPr>
  </w:style>
  <w:style w:type="character" w:styleId="922" w:customStyle="1">
    <w:name w:val="symbol1"/>
    <w:link w:val="640"/>
    <w:uiPriority w:val="0"/>
    <w:qFormat/>
    <w:rPr>
      <w:rFonts w:ascii="Calibri" w:hAnsi="Calibri" w:eastAsia="宋体" w:cs="Times New Roman"/>
      <w:color w:val="000000"/>
    </w:rPr>
  </w:style>
  <w:style w:type="character" w:styleId="923" w:customStyle="1">
    <w:name w:val="symbol3"/>
    <w:link w:val="640"/>
    <w:uiPriority w:val="0"/>
    <w:qFormat/>
    <w:rPr>
      <w:rFonts w:ascii="Calibri" w:hAnsi="Calibri" w:eastAsia="宋体" w:cs="Times New Roman"/>
      <w:color w:val="000000"/>
    </w:rPr>
  </w:style>
  <w:style w:type="character" w:styleId="924" w:customStyle="1">
    <w:name w:val="表格 Char Char"/>
    <w:link w:val="925"/>
    <w:uiPriority w:val="0"/>
    <w:qFormat/>
    <w:rPr>
      <w:rFonts w:ascii="宋体" w:hAnsi="宋体" w:eastAsia="宋体" w:cs="Times New Roman"/>
    </w:rPr>
  </w:style>
  <w:style w:type="paragraph" w:styleId="925" w:customStyle="1">
    <w:name w:val="表格"/>
    <w:basedOn w:val="640"/>
    <w:link w:val="924"/>
    <w:uiPriority w:val="0"/>
    <w:qFormat/>
    <w:rPr>
      <w:rFonts w:cs="Times New Roman"/>
      <w:sz w:val="20"/>
      <w:szCs w:val="20"/>
    </w:rPr>
  </w:style>
  <w:style w:type="character" w:styleId="926" w:customStyle="1">
    <w:name w:val="默认段落字体1"/>
    <w:link w:val="640"/>
    <w:uiPriority w:val="1"/>
    <w:unhideWhenUsed/>
    <w:qFormat/>
    <w:rPr>
      <w:rFonts w:ascii="Calibri" w:hAnsi="Calibri" w:eastAsia="宋体" w:cs="Times New Roman"/>
      <w:sz w:val="21"/>
      <w:szCs w:val="22"/>
      <w:lang w:val="en-US" w:eastAsia="zh-CN" w:bidi="ar-SA"/>
    </w:rPr>
  </w:style>
  <w:style w:type="character" w:styleId="927" w:customStyle="1">
    <w:name w:val="列出段落 Char1"/>
    <w:link w:val="640"/>
    <w:uiPriority w:val="0"/>
    <w:qFormat/>
    <w:rPr>
      <w:rFonts w:ascii="Calibri" w:hAnsi="Calibri"/>
    </w:rPr>
  </w:style>
  <w:style w:type="character" w:styleId="928" w:customStyle="1">
    <w:name w:val="标题 Char1"/>
    <w:link w:val="640"/>
    <w:uiPriority w:val="0"/>
    <w:qFormat/>
    <w:rPr>
      <w:rFonts w:ascii="Cambria" w:hAnsi="Cambria" w:eastAsia="宋体" w:cs="Times New Roman"/>
      <w:b/>
      <w:bCs/>
      <w:sz w:val="32"/>
      <w:szCs w:val="32"/>
    </w:rPr>
  </w:style>
  <w:style w:type="character" w:styleId="929" w:customStyle="1">
    <w:name w:val="+正文 Char3"/>
    <w:link w:val="930"/>
    <w:uiPriority w:val="0"/>
    <w:qFormat/>
    <w:rPr>
      <w:rFonts w:ascii="宋体" w:hAnsi="宋体" w:eastAsia="宋体" w:cs="宋体"/>
      <w:sz w:val="24"/>
      <w:szCs w:val="24"/>
    </w:rPr>
  </w:style>
  <w:style w:type="paragraph" w:styleId="930" w:customStyle="1">
    <w:name w:val="+正文"/>
    <w:basedOn w:val="640"/>
    <w:link w:val="929"/>
    <w:uiPriority w:val="0"/>
    <w:qFormat/>
    <w:pPr>
      <w:ind w:firstLine="200"/>
      <w:spacing w:line="360" w:lineRule="auto"/>
    </w:pPr>
    <w:rPr>
      <w:rFonts w:cs="Times New Roman"/>
    </w:rPr>
  </w:style>
  <w:style w:type="character" w:styleId="931" w:customStyle="1">
    <w:name w:val="批注文字 字符"/>
    <w:link w:val="640"/>
    <w:uiPriority w:val="0"/>
    <w:qFormat/>
    <w:rPr>
      <w:rFonts w:ascii="Calibri" w:hAnsi="Calibri" w:eastAsia="宋体" w:cs="Times New Roman"/>
      <w:sz w:val="24"/>
      <w:szCs w:val="24"/>
    </w:rPr>
  </w:style>
  <w:style w:type="character" w:styleId="932" w:customStyle="1">
    <w:name w:val="默认段落字体11"/>
    <w:link w:val="640"/>
    <w:uiPriority w:val="1"/>
    <w:unhideWhenUsed/>
    <w:qFormat/>
    <w:rPr>
      <w:rFonts w:ascii="宋体" w:hAnsi="宋体" w:cs="宋体"/>
      <w:sz w:val="24"/>
      <w:szCs w:val="24"/>
      <w:lang w:val="en-US" w:eastAsia="zh-CN" w:bidi="ar-SA"/>
    </w:rPr>
  </w:style>
  <w:style w:type="character" w:styleId="933" w:customStyle="1">
    <w:name w:val="样式1 Char"/>
    <w:link w:val="934"/>
    <w:uiPriority w:val="0"/>
    <w:qFormat/>
    <w:rPr>
      <w:sz w:val="21"/>
      <w:szCs w:val="21"/>
    </w:rPr>
  </w:style>
  <w:style w:type="paragraph" w:styleId="934" w:customStyle="1">
    <w:name w:val="样式1"/>
    <w:basedOn w:val="640"/>
    <w:link w:val="933"/>
    <w:uiPriority w:val="0"/>
    <w:qFormat/>
    <w:pPr>
      <w:ind w:left="709" w:hanging="709"/>
      <w:tabs>
        <w:tab w:val="left" w:pos="709" w:leader="none"/>
      </w:tabs>
    </w:pPr>
    <w:rPr>
      <w:rFonts w:ascii="Times New Roman" w:hAnsi="Times New Roman" w:cs="Times New Roman"/>
      <w:sz w:val="21"/>
      <w:szCs w:val="21"/>
    </w:rPr>
  </w:style>
  <w:style w:type="character" w:styleId="935" w:customStyle="1">
    <w:name w:val="Table Text Char1"/>
    <w:link w:val="936"/>
    <w:uiPriority w:val="0"/>
    <w:qFormat/>
    <w:rPr>
      <w:rFonts w:ascii="Arial" w:hAnsi="Arial" w:cs="Arial"/>
      <w:sz w:val="18"/>
      <w:szCs w:val="18"/>
      <w:lang w:val="en-US" w:eastAsia="zh-CN" w:bidi="ar-SA"/>
    </w:rPr>
  </w:style>
  <w:style w:type="paragraph" w:styleId="936" w:customStyle="1">
    <w:name w:val="Table Text"/>
    <w:link w:val="935"/>
    <w:uiPriority w:val="0"/>
    <w:qFormat/>
    <w:pPr>
      <w:spacing w:before="80" w:after="80"/>
    </w:pPr>
    <w:rPr>
      <w:rFonts w:hint="default" w:ascii="Arial" w:hAnsi="Arial" w:eastAsia="宋体" w:cs="Arial"/>
      <w:sz w:val="18"/>
      <w:szCs w:val="18"/>
      <w:lang w:val="en-US" w:eastAsia="zh-CN" w:bidi="ar-SA"/>
    </w:rPr>
  </w:style>
  <w:style w:type="character" w:styleId="937" w:customStyle="1">
    <w:name w:val="s-price"/>
    <w:link w:val="640"/>
    <w:uiPriority w:val="0"/>
    <w:qFormat/>
    <w:rPr>
      <w:rFonts w:ascii="Calibri" w:hAnsi="Calibri" w:eastAsia="宋体" w:cs="Times New Roman"/>
      <w:color w:val="000000"/>
    </w:rPr>
  </w:style>
  <w:style w:type="character" w:styleId="938" w:customStyle="1">
    <w:name w:val="font01"/>
    <w:basedOn w:val="831"/>
    <w:link w:val="640"/>
    <w:uiPriority w:val="0"/>
    <w:rPr>
      <w:rFonts w:ascii="宋体" w:hAnsi="宋体" w:eastAsia="宋体" w:cs="宋体"/>
      <w:color w:val="000000"/>
      <w:sz w:val="20"/>
      <w:szCs w:val="20"/>
      <w:u w:val="none"/>
    </w:rPr>
  </w:style>
  <w:style w:type="character" w:styleId="939" w:customStyle="1">
    <w:name w:val="副标题 Char1"/>
    <w:link w:val="640"/>
    <w:uiPriority w:val="0"/>
    <w:qFormat/>
    <w:rPr>
      <w:rFonts w:ascii="Cambria" w:hAnsi="Cambria" w:eastAsia="宋体" w:cs="Times New Roman"/>
      <w:b/>
      <w:bCs/>
      <w:sz w:val="32"/>
      <w:szCs w:val="32"/>
    </w:rPr>
  </w:style>
  <w:style w:type="character" w:styleId="940" w:customStyle="1">
    <w:name w:val="font91"/>
    <w:basedOn w:val="831"/>
    <w:link w:val="640"/>
    <w:uiPriority w:val="0"/>
    <w:qFormat/>
    <w:rPr>
      <w:rFonts w:hint="eastAsia" w:ascii="宋体" w:hAnsi="宋体" w:eastAsia="宋体" w:cs="宋体"/>
      <w:color w:val="000000"/>
      <w:sz w:val="18"/>
      <w:szCs w:val="18"/>
      <w:u w:val="none"/>
    </w:rPr>
  </w:style>
  <w:style w:type="character" w:styleId="941" w:customStyle="1">
    <w:name w:val="DT T-Body Char"/>
    <w:link w:val="942"/>
    <w:uiPriority w:val="0"/>
    <w:rPr>
      <w:rFonts w:ascii="Trebuchet MS" w:hAnsi="Trebuchet MS"/>
      <w:sz w:val="22"/>
      <w:szCs w:val="22"/>
      <w:lang w:val="en-GB" w:eastAsia="en-US" w:bidi="ar-SA"/>
    </w:rPr>
  </w:style>
  <w:style w:type="paragraph" w:styleId="942" w:customStyle="1">
    <w:name w:val="DT T-Body"/>
    <w:link w:val="941"/>
    <w:uiPriority w:val="0"/>
    <w:qFormat/>
    <w:pPr>
      <w:spacing w:before="60" w:after="60" w:line="300" w:lineRule="auto"/>
    </w:pPr>
    <w:rPr>
      <w:rFonts w:hint="default" w:ascii="Trebuchet MS" w:hAnsi="Trebuchet MS" w:eastAsia="宋体" w:cs="Times New Roman"/>
      <w:sz w:val="22"/>
      <w:szCs w:val="22"/>
      <w:lang w:val="en-GB" w:eastAsia="en-US" w:bidi="ar-SA"/>
    </w:rPr>
  </w:style>
  <w:style w:type="character" w:styleId="943" w:customStyle="1">
    <w:name w:val="标题 1 字符"/>
    <w:basedOn w:val="831"/>
    <w:link w:val="821"/>
    <w:uiPriority w:val="0"/>
    <w:qFormat/>
    <w:rPr>
      <w:b/>
      <w:sz w:val="44"/>
      <w:lang w:val="zh-CN"/>
    </w:rPr>
  </w:style>
  <w:style w:type="character" w:styleId="944" w:customStyle="1">
    <w:name w:val="symbol2"/>
    <w:link w:val="640"/>
    <w:uiPriority w:val="0"/>
    <w:qFormat/>
    <w:rPr>
      <w:rFonts w:ascii="微软雅黑" w:hAnsi="微软雅黑" w:eastAsia="微软雅黑" w:cs="微软雅黑"/>
      <w:color w:val="000000"/>
    </w:rPr>
  </w:style>
  <w:style w:type="character" w:styleId="945" w:customStyle="1">
    <w:name w:val="正文首行缩进两字 Char"/>
    <w:link w:val="946"/>
    <w:uiPriority w:val="0"/>
    <w:qFormat/>
    <w:rPr>
      <w:sz w:val="24"/>
      <w:szCs w:val="24"/>
      <w:lang w:val="en-US" w:eastAsia="ar-SA" w:bidi="ar-SA"/>
    </w:rPr>
  </w:style>
  <w:style w:type="paragraph" w:styleId="946" w:customStyle="1">
    <w:name w:val="正文首行缩进两字"/>
    <w:link w:val="945"/>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947" w:customStyle="1">
    <w:name w:val="lh151"/>
    <w:link w:val="640"/>
    <w:uiPriority w:val="0"/>
    <w:qFormat/>
    <w:rPr>
      <w:rFonts w:ascii="Calibri" w:hAnsi="Calibri" w:eastAsia="宋体" w:cs="Times New Roman"/>
      <w:color w:val="000000"/>
    </w:rPr>
  </w:style>
  <w:style w:type="character" w:styleId="948" w:customStyle="1">
    <w:name w:val="脚注文本 Char2"/>
    <w:link w:val="640"/>
    <w:uiPriority w:val="0"/>
    <w:qFormat/>
    <w:rPr>
      <w:rFonts w:ascii="宋体" w:hAnsi="宋体" w:eastAsia="宋体" w:cs="宋体"/>
      <w:sz w:val="18"/>
      <w:szCs w:val="18"/>
    </w:rPr>
  </w:style>
  <w:style w:type="character" w:styleId="949" w:customStyle="1">
    <w:name w:val="font11"/>
    <w:link w:val="640"/>
    <w:uiPriority w:val="0"/>
    <w:qFormat/>
    <w:rPr>
      <w:rFonts w:ascii="Times New Roman" w:hAnsi="Times New Roman" w:eastAsia="宋体" w:cs="Times New Roman"/>
      <w:color w:val="000000"/>
      <w:sz w:val="20"/>
      <w:szCs w:val="20"/>
      <w:u w:val="none"/>
    </w:rPr>
  </w:style>
  <w:style w:type="character" w:styleId="950" w:customStyle="1">
    <w:name w:val="脚注文本 Char1"/>
    <w:link w:val="640"/>
    <w:uiPriority w:val="0"/>
    <w:rPr>
      <w:rFonts w:ascii="Calibri" w:hAnsi="Calibri" w:eastAsia="宋体" w:cs="Times New Roman"/>
      <w:sz w:val="18"/>
      <w:szCs w:val="18"/>
    </w:rPr>
  </w:style>
  <w:style w:type="character" w:styleId="951" w:customStyle="1">
    <w:name w:val="c-price1"/>
    <w:link w:val="640"/>
    <w:uiPriority w:val="0"/>
    <w:qFormat/>
    <w:rPr>
      <w:rFonts w:ascii="Arial" w:hAnsi="Arial" w:eastAsia="宋体" w:cs="Arial"/>
      <w:color w:val="000000"/>
      <w:sz w:val="19"/>
      <w:szCs w:val="19"/>
    </w:rPr>
  </w:style>
  <w:style w:type="character" w:styleId="952" w:customStyle="1">
    <w:name w:val="font51"/>
    <w:link w:val="640"/>
    <w:uiPriority w:val="0"/>
    <w:qFormat/>
    <w:rPr>
      <w:rFonts w:hint="eastAsia" w:ascii="宋体" w:hAnsi="宋体" w:eastAsia="宋体" w:cs="宋体"/>
      <w:color w:val="000000"/>
      <w:sz w:val="20"/>
      <w:szCs w:val="20"/>
      <w:u w:val="none"/>
      <w:vertAlign w:val="superscript"/>
    </w:rPr>
  </w:style>
  <w:style w:type="character" w:styleId="953" w:customStyle="1">
    <w:name w:val="badepic5"/>
    <w:link w:val="640"/>
    <w:uiPriority w:val="0"/>
    <w:qFormat/>
    <w:rPr>
      <w:rFonts w:ascii="Calibri" w:hAnsi="Calibri" w:eastAsia="宋体" w:cs="Times New Roman"/>
    </w:rPr>
  </w:style>
  <w:style w:type="character" w:styleId="954" w:customStyle="1">
    <w:name w:val="_正文段落 Char"/>
    <w:link w:val="955"/>
    <w:uiPriority w:val="0"/>
    <w:qFormat/>
    <w:rPr>
      <w:rFonts w:ascii="宋体" w:hAnsi="Calibri" w:eastAsia="宋体" w:cs="宋体"/>
      <w:sz w:val="24"/>
      <w:szCs w:val="24"/>
    </w:rPr>
  </w:style>
  <w:style w:type="paragraph" w:styleId="955" w:customStyle="1">
    <w:name w:val="_正文段落"/>
    <w:basedOn w:val="640"/>
    <w:link w:val="954"/>
    <w:uiPriority w:val="0"/>
    <w:qFormat/>
    <w:pPr>
      <w:ind w:firstLine="480"/>
      <w:spacing w:line="360" w:lineRule="auto"/>
    </w:pPr>
    <w:rPr>
      <w:rFonts w:hAnsi="Calibri" w:cs="Times New Roman"/>
    </w:rPr>
  </w:style>
  <w:style w:type="character" w:styleId="956" w:customStyle="1">
    <w:name w:val="badepic"/>
    <w:link w:val="640"/>
    <w:uiPriority w:val="0"/>
    <w:qFormat/>
    <w:rPr>
      <w:rFonts w:ascii="Calibri" w:hAnsi="Calibri" w:eastAsia="宋体" w:cs="Times New Roman"/>
    </w:rPr>
  </w:style>
  <w:style w:type="character" w:styleId="957" w:customStyle="1">
    <w:name w:val="纯文本 字符"/>
    <w:link w:val="640"/>
    <w:uiPriority w:val="0"/>
    <w:qFormat/>
    <w:rPr>
      <w:rFonts w:ascii="宋体" w:hAnsi="Courier New" w:eastAsia="宋体" w:cs="宋体"/>
      <w:sz w:val="24"/>
      <w:szCs w:val="24"/>
    </w:rPr>
  </w:style>
  <w:style w:type="character" w:styleId="958" w:customStyle="1">
    <w:name w:val="p141"/>
    <w:link w:val="640"/>
    <w:uiPriority w:val="0"/>
    <w:qFormat/>
    <w:rPr>
      <w:rFonts w:ascii="Calibri" w:hAnsi="Calibri" w:eastAsia="宋体" w:cs="Times New Roman"/>
      <w:color w:val="000000"/>
      <w:sz w:val="28"/>
      <w:szCs w:val="28"/>
      <w:u w:val="none"/>
    </w:rPr>
  </w:style>
  <w:style w:type="character" w:styleId="959" w:customStyle="1">
    <w:name w:val="默认段落字体12"/>
    <w:link w:val="640"/>
    <w:uiPriority w:val="1"/>
    <w:unhideWhenUsed/>
    <w:qFormat/>
  </w:style>
  <w:style w:type="character" w:styleId="960" w:customStyle="1">
    <w:name w:val="正文文本缩进 3 Char"/>
    <w:link w:val="640"/>
    <w:uiPriority w:val="0"/>
    <w:qFormat/>
    <w:rPr>
      <w:rFonts w:ascii="Calibri" w:hAnsi="Calibri" w:eastAsia="宋体" w:cs="Times New Roman"/>
      <w:sz w:val="24"/>
      <w:szCs w:val="24"/>
    </w:rPr>
  </w:style>
  <w:style w:type="character" w:styleId="961" w:customStyle="1">
    <w:name w:val="font61"/>
    <w:link w:val="640"/>
    <w:uiPriority w:val="0"/>
    <w:qFormat/>
    <w:rPr>
      <w:rFonts w:ascii="Times New Roman" w:hAnsi="Times New Roman" w:eastAsia="宋体" w:cs="Times New Roman"/>
      <w:color w:val="000000"/>
      <w:sz w:val="20"/>
      <w:szCs w:val="20"/>
      <w:u w:val="none"/>
    </w:rPr>
  </w:style>
  <w:style w:type="character" w:styleId="962" w:customStyle="1">
    <w:name w:val="Char Char13"/>
    <w:link w:val="640"/>
    <w:uiPriority w:val="0"/>
    <w:qFormat/>
    <w:rPr>
      <w:rFonts w:ascii="Calibri" w:hAnsi="Calibri" w:eastAsia="楷体_GB2312" w:cs="Times New Roman"/>
      <w:sz w:val="24"/>
      <w:szCs w:val="24"/>
      <w:lang w:val="en-US" w:eastAsia="zh-CN"/>
    </w:rPr>
  </w:style>
  <w:style w:type="character" w:styleId="963" w:customStyle="1">
    <w:name w:val="Figure Char"/>
    <w:link w:val="964"/>
    <w:uiPriority w:val="0"/>
    <w:qFormat/>
    <w:rPr>
      <w:rFonts w:ascii="Calibri" w:hAnsi="Calibri" w:eastAsia="宋体" w:cs="Times New Roman"/>
      <w:sz w:val="21"/>
      <w:szCs w:val="24"/>
    </w:rPr>
  </w:style>
  <w:style w:type="paragraph" w:styleId="964" w:customStyle="1">
    <w:name w:val="Figure"/>
    <w:basedOn w:val="640"/>
    <w:next w:val="640"/>
    <w:link w:val="963"/>
    <w:uiPriority w:val="0"/>
    <w:qFormat/>
    <w:pPr>
      <w:jc w:val="center"/>
      <w:keepLines/>
      <w:keepNext/>
    </w:pPr>
    <w:rPr>
      <w:rFonts w:ascii="Calibri" w:hAnsi="Calibri" w:cs="Times New Roman"/>
      <w:sz w:val="21"/>
    </w:rPr>
  </w:style>
  <w:style w:type="character" w:styleId="965" w:customStyle="1">
    <w:name w:val="font112"/>
    <w:basedOn w:val="831"/>
    <w:link w:val="640"/>
    <w:uiPriority w:val="0"/>
    <w:qFormat/>
    <w:rPr>
      <w:rFonts w:ascii="微软雅黑" w:hAnsi="微软雅黑" w:eastAsia="微软雅黑" w:cs="微软雅黑"/>
      <w:color w:val="000000"/>
      <w:sz w:val="22"/>
      <w:szCs w:val="22"/>
      <w:u w:val="none"/>
    </w:rPr>
  </w:style>
  <w:style w:type="character" w:styleId="966" w:customStyle="1">
    <w:name w:val="样式7 Char"/>
    <w:link w:val="967"/>
    <w:uiPriority w:val="0"/>
    <w:qFormat/>
    <w:rPr>
      <w:rFonts w:ascii="Cambria" w:hAnsi="Cambria" w:eastAsia="宋体" w:cs="Times New Roman"/>
      <w:b/>
      <w:bCs/>
      <w:sz w:val="28"/>
      <w:szCs w:val="28"/>
    </w:rPr>
  </w:style>
  <w:style w:type="paragraph" w:styleId="967" w:customStyle="1">
    <w:name w:val="样式7"/>
    <w:basedOn w:val="824"/>
    <w:link w:val="966"/>
    <w:uiPriority w:val="0"/>
    <w:qFormat/>
    <w:pPr>
      <w:numPr>
        <w:ilvl w:val="3"/>
        <w:numId w:val="0"/>
      </w:numPr>
      <w:ind w:left="3558" w:hanging="864"/>
      <w:tabs>
        <w:tab w:val="clear" w:pos="1440" w:leader="none"/>
      </w:tabs>
    </w:pPr>
  </w:style>
  <w:style w:type="character" w:styleId="968" w:customStyle="1">
    <w:name w:val="Plain Text Char"/>
    <w:link w:val="969"/>
    <w:uiPriority w:val="0"/>
    <w:qFormat/>
    <w:rPr>
      <w:rFonts w:ascii="宋体" w:hAnsi="Courier New" w:eastAsia="楷体_GB2312" w:cs="宋体"/>
      <w:sz w:val="28"/>
      <w:szCs w:val="28"/>
    </w:rPr>
  </w:style>
  <w:style w:type="paragraph" w:styleId="969" w:customStyle="1">
    <w:name w:val="纯文本1"/>
    <w:basedOn w:val="640"/>
    <w:link w:val="968"/>
    <w:uiPriority w:val="0"/>
    <w:qFormat/>
    <w:rPr>
      <w:rFonts w:hAnsi="Courier New" w:eastAsia="楷体_GB2312" w:cs="Times New Roman"/>
      <w:sz w:val="28"/>
      <w:szCs w:val="28"/>
    </w:rPr>
  </w:style>
  <w:style w:type="character" w:styleId="970" w:customStyle="1">
    <w:name w:val="font21"/>
    <w:basedOn w:val="831"/>
    <w:link w:val="640"/>
    <w:uiPriority w:val="0"/>
    <w:qFormat/>
    <w:rPr>
      <w:rFonts w:ascii="宋体" w:hAnsi="宋体" w:eastAsia="宋体" w:cs="宋体"/>
      <w:color w:val="000000"/>
      <w:sz w:val="22"/>
      <w:szCs w:val="22"/>
      <w:u w:val="none"/>
      <w:vertAlign w:val="superscript"/>
    </w:rPr>
  </w:style>
  <w:style w:type="paragraph" w:styleId="971" w:customStyle="1">
    <w:name w:val="正文文本11"/>
    <w:basedOn w:val="640"/>
    <w:uiPriority w:val="99"/>
    <w:qFormat/>
    <w:rPr>
      <w:rFonts w:ascii="楷体_GB2312" w:hAnsi="宋体"/>
      <w:sz w:val="28"/>
      <w:szCs w:val="28"/>
    </w:rPr>
  </w:style>
  <w:style w:type="paragraph" w:styleId="972" w:customStyle="1">
    <w:name w:val="Normal1"/>
    <w:uiPriority w:val="0"/>
    <w:qFormat/>
    <w:pPr>
      <w:jc w:val="both"/>
    </w:pPr>
    <w:rPr>
      <w:rFonts w:hint="default" w:ascii="等线" w:hAnsi="等线" w:eastAsia="宋体" w:cs="宋体"/>
      <w:sz w:val="21"/>
      <w:szCs w:val="21"/>
      <w:lang w:val="en-US" w:eastAsia="zh-CN" w:bidi="ar-SA"/>
    </w:rPr>
  </w:style>
  <w:style w:type="paragraph" w:styleId="973" w:customStyle="1">
    <w:name w:val="表身（中）"/>
    <w:basedOn w:val="640"/>
    <w:uiPriority w:val="0"/>
    <w:qFormat/>
    <w:pPr>
      <w:jc w:val="center"/>
      <w:spacing w:line="300" w:lineRule="auto"/>
      <w:widowControl/>
    </w:pPr>
    <w:rPr>
      <w:rFonts w:ascii="Times New Roman" w:hAnsi="Times New Roman" w:eastAsia="宋体" w:cs="Times New Roman"/>
      <w:sz w:val="18"/>
      <w:szCs w:val="20"/>
    </w:rPr>
  </w:style>
  <w:style w:type="paragraph" w:styleId="974"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975" w:customStyle="1">
    <w:name w:val="纯文本11"/>
    <w:basedOn w:val="640"/>
    <w:uiPriority w:val="0"/>
    <w:qFormat/>
    <w:pPr>
      <w:jc w:val="left"/>
      <w:widowControl/>
    </w:pPr>
    <w:rPr>
      <w:rFonts w:ascii="Calibri" w:hAnsi="Courier New" w:eastAsia="宋体" w:cs="Times New Roman"/>
      <w:sz w:val="26"/>
      <w:szCs w:val="22"/>
    </w:rPr>
  </w:style>
  <w:style w:type="paragraph" w:styleId="976" w:customStyle="1">
    <w:name w:val="Char1"/>
    <w:basedOn w:val="640"/>
    <w:uiPriority w:val="0"/>
    <w:qFormat/>
    <w:rPr>
      <w:rFonts w:ascii="Tahoma" w:hAnsi="Tahoma" w:eastAsia="宋体" w:cs="Times New Roman"/>
      <w:szCs w:val="20"/>
    </w:rPr>
  </w:style>
  <w:style w:type="paragraph" w:styleId="977" w:customStyle="1">
    <w:name w:val="修订"/>
    <w:uiPriority w:val="0"/>
    <w:qFormat/>
    <w:rPr>
      <w:rFonts w:hint="default" w:ascii="Times New Roman" w:hAnsi="Times New Roman" w:eastAsia="宋体" w:cs="Times New Roman"/>
      <w:sz w:val="24"/>
      <w:szCs w:val="24"/>
      <w:lang w:val="en-US" w:eastAsia="zh-CN" w:bidi="ar-SA"/>
    </w:rPr>
  </w:style>
  <w:style w:type="paragraph" w:styleId="978" w:customStyle="1">
    <w:name w:val=" Char1"/>
    <w:basedOn w:val="640"/>
    <w:uiPriority w:val="0"/>
    <w:qFormat/>
    <w:rPr>
      <w:rFonts w:ascii="Tahoma" w:hAnsi="Tahoma" w:eastAsia="宋体" w:cs="Times New Roman"/>
      <w:szCs w:val="20"/>
    </w:rPr>
  </w:style>
  <w:style w:type="paragraph" w:styleId="979" w:customStyle="1">
    <w:name w:val=" Char Char Char Char Char Char Char Char Char1 Char"/>
    <w:basedOn w:val="845"/>
    <w:uiPriority w:val="0"/>
    <w:qFormat/>
    <w:pPr>
      <w:jc w:val="both"/>
      <w:spacing w:line="360" w:lineRule="auto"/>
      <w:widowControl w:val="off"/>
    </w:pPr>
    <w:rPr>
      <w:rFonts w:ascii="Tahoma" w:hAnsi="Tahoma" w:eastAsia="宋体" w:cs="Times New Roman"/>
    </w:rPr>
  </w:style>
  <w:style w:type="paragraph" w:styleId="980" w:customStyle="1">
    <w:name w:val="列出段落1"/>
    <w:basedOn w:val="640"/>
    <w:uiPriority w:val="0"/>
    <w:qFormat/>
    <w:pPr>
      <w:ind w:firstLine="420"/>
    </w:pPr>
    <w:rPr>
      <w:rFonts w:ascii="Calibri" w:hAnsi="Calibri" w:eastAsia="宋体" w:cs="Calibri"/>
      <w:sz w:val="21"/>
      <w:szCs w:val="21"/>
    </w:rPr>
  </w:style>
  <w:style w:type="paragraph" w:styleId="981" w:customStyle="1">
    <w:name w:val="a1"/>
    <w:basedOn w:val="640"/>
    <w:uiPriority w:val="0"/>
    <w:qFormat/>
    <w:pPr>
      <w:jc w:val="left"/>
      <w:spacing w:before="100" w:beforeAutospacing="1" w:after="100" w:afterAutospacing="1"/>
      <w:widowControl/>
    </w:pPr>
    <w:rPr>
      <w:rFonts w:ascii="Calibri" w:hAnsi="Calibri" w:eastAsia="宋体" w:cs="Times New Roman"/>
    </w:rPr>
  </w:style>
  <w:style w:type="paragraph" w:styleId="982" w:customStyle="1">
    <w:name w:val="_Style 3"/>
    <w:basedOn w:val="640"/>
    <w:uiPriority w:val="0"/>
    <w:qFormat/>
    <w:pPr>
      <w:ind w:left="795" w:hanging="360"/>
      <w:tabs>
        <w:tab w:val="left" w:pos="540" w:leader="none"/>
      </w:tabs>
    </w:pPr>
    <w:rPr>
      <w:rFonts w:ascii="Times New Roman" w:hAnsi="Times New Roman" w:eastAsia="宋体" w:cs="Times New Roman"/>
    </w:rPr>
  </w:style>
  <w:style w:type="paragraph" w:styleId="983" w:customStyle="1">
    <w:name w:val="正文文本缩进1"/>
    <w:basedOn w:val="640"/>
    <w:uiPriority w:val="0"/>
    <w:qFormat/>
    <w:pPr>
      <w:ind w:firstLine="645"/>
    </w:pPr>
    <w:rPr>
      <w:rFonts w:ascii="楷体_GB2312" w:hAnsi="宋体" w:eastAsia="楷体_GB2312" w:cs="宋体"/>
      <w:sz w:val="32"/>
      <w:szCs w:val="32"/>
    </w:rPr>
  </w:style>
  <w:style w:type="paragraph" w:styleId="984" w:customStyle="1">
    <w:name w:val="Plain Text1"/>
    <w:basedOn w:val="640"/>
    <w:uiPriority w:val="0"/>
    <w:qFormat/>
    <w:pPr>
      <w:jc w:val="left"/>
      <w:widowControl/>
    </w:pPr>
    <w:rPr>
      <w:rFonts w:ascii="Calibri" w:hAnsi="Courier New" w:eastAsia="楷体_GB2312" w:cs="Times New Roman"/>
      <w:sz w:val="26"/>
    </w:rPr>
  </w:style>
  <w:style w:type="paragraph" w:styleId="985" w:customStyle="1">
    <w:name w:val="正文 New New New New New New New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6" w:customStyle="1">
    <w:name w:val="6'"/>
    <w:basedOn w:val="640"/>
    <w:uiPriority w:val="0"/>
    <w:qFormat/>
    <w:pPr>
      <w:jc w:val="center"/>
      <w:spacing w:line="320" w:lineRule="exact"/>
    </w:pPr>
    <w:rPr>
      <w:rFonts w:ascii="Times New Roman" w:hAnsi="Times New Roman" w:eastAsia="仿宋_GB2312" w:cs="Times New Roman"/>
      <w:spacing w:val="20"/>
      <w:szCs w:val="20"/>
    </w:rPr>
  </w:style>
  <w:style w:type="paragraph" w:styleId="987"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988" w:customStyle="1">
    <w:name w:val="普通(网站)1"/>
    <w:basedOn w:val="640"/>
    <w:uiPriority w:val="99"/>
    <w:qFormat/>
    <w:pPr>
      <w:jc w:val="left"/>
      <w:spacing w:before="100" w:beforeAutospacing="1" w:after="100" w:afterAutospacing="1"/>
      <w:widowControl/>
    </w:pPr>
    <w:rPr>
      <w:rFonts w:ascii="宋体" w:hAnsi="宋体"/>
      <w:sz w:val="24"/>
    </w:rPr>
  </w:style>
  <w:style w:type="paragraph" w:styleId="989" w:customStyle="1">
    <w:name w:val="_Style 2"/>
    <w:basedOn w:val="640"/>
    <w:uiPriority w:val="0"/>
    <w:qFormat/>
    <w:pPr>
      <w:ind w:firstLine="420"/>
      <w:jc w:val="left"/>
      <w:widowControl/>
    </w:pPr>
    <w:rPr>
      <w:rFonts w:ascii="Calibri" w:hAnsi="Calibri" w:eastAsia="宋体" w:cs="Times New Roman"/>
      <w:sz w:val="34"/>
      <w:szCs w:val="20"/>
    </w:rPr>
  </w:style>
  <w:style w:type="paragraph" w:styleId="990" w:customStyle="1">
    <w:name w:val="段"/>
    <w:next w:val="64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91" w:customStyle="1">
    <w:name w:val="Table Paragraph"/>
    <w:basedOn w:val="640"/>
    <w:uiPriority w:val="1"/>
    <w:qFormat/>
    <w:pPr>
      <w:jc w:val="left"/>
    </w:pPr>
    <w:rPr>
      <w:rFonts w:ascii="Calibri" w:hAnsi="Calibri" w:cs="Times New Roman"/>
      <w:sz w:val="22"/>
      <w:szCs w:val="22"/>
      <w:lang w:eastAsia="en-US"/>
    </w:rPr>
  </w:style>
  <w:style w:type="paragraph" w:styleId="992" w:customStyle="1">
    <w:name w:val="纯文本2"/>
    <w:basedOn w:val="640"/>
    <w:uiPriority w:val="0"/>
    <w:qFormat/>
    <w:rPr>
      <w:rFonts w:ascii="Calibri" w:hAnsi="Courier New" w:eastAsia="楷体_GB2312" w:cs="Times New Roman"/>
      <w:sz w:val="28"/>
      <w:szCs w:val="28"/>
    </w:rPr>
  </w:style>
  <w:style w:type="paragraph" w:styleId="993">
    <w:name w:val="List Paragraph"/>
    <w:basedOn w:val="640"/>
    <w:uiPriority w:val="0"/>
    <w:qFormat/>
    <w:pPr>
      <w:ind w:firstLine="420"/>
    </w:pPr>
    <w:rPr>
      <w:rFonts w:ascii="Calibri" w:hAnsi="Calibri" w:eastAsia="宋体" w:cs="Times New Roman"/>
      <w:sz w:val="21"/>
      <w:szCs w:val="22"/>
    </w:rPr>
  </w:style>
  <w:style w:type="paragraph" w:styleId="994" w:customStyle="1">
    <w:name w:val=" Char Char Char1 Char Char Char Char"/>
    <w:basedOn w:val="640"/>
    <w:uiPriority w:val="0"/>
    <w:qFormat/>
    <w:pPr>
      <w:jc w:val="left"/>
      <w:spacing w:after="160" w:line="240" w:lineRule="exact"/>
      <w:widowControl/>
    </w:pPr>
    <w:rPr>
      <w:rFonts w:ascii="Times New Roman" w:hAnsi="Times New Roman" w:eastAsia="宋体" w:cs="Times New Roman"/>
    </w:rPr>
  </w:style>
  <w:style w:type="paragraph" w:styleId="995" w:customStyle="1">
    <w:name w:val="MyPoints"/>
    <w:basedOn w:val="640"/>
    <w:uiPriority w:val="0"/>
    <w:qFormat/>
    <w:pPr>
      <w:ind w:left="936" w:hanging="360"/>
      <w:jc w:val="left"/>
      <w:widowControl/>
    </w:pPr>
    <w:rPr>
      <w:rFonts w:ascii="Century Gothic" w:hAnsi="Century Gothic" w:eastAsia="宋体" w:cs="Times New Roman"/>
      <w:sz w:val="20"/>
      <w:szCs w:val="20"/>
      <w:lang w:val="en-GB" w:eastAsia="en-US"/>
    </w:rPr>
  </w:style>
  <w:style w:type="paragraph" w:styleId="996" w:customStyle="1">
    <w:name w:val="表项"/>
    <w:next w:val="640"/>
    <w:uiPriority w:val="0"/>
    <w:qFormat/>
    <w:pPr>
      <w:jc w:val="center"/>
      <w:keepNext/>
      <w:spacing w:line="300" w:lineRule="auto"/>
    </w:pPr>
    <w:rPr>
      <w:rFonts w:hint="default" w:ascii="Arial" w:hAnsi="Arial" w:eastAsia="黑体" w:cs="Times New Roman"/>
      <w:sz w:val="18"/>
      <w:lang w:val="en-US" w:eastAsia="zh-CN" w:bidi="ar-SA"/>
    </w:rPr>
  </w:style>
  <w:style w:type="paragraph" w:styleId="997" w:customStyle="1">
    <w:name w:val="p15"/>
    <w:basedOn w:val="640"/>
    <w:uiPriority w:val="0"/>
    <w:qFormat/>
    <w:pPr>
      <w:ind w:firstLine="420"/>
      <w:widowControl/>
    </w:pPr>
    <w:rPr>
      <w:rFonts w:ascii="Calibri" w:hAnsi="Calibri" w:eastAsia="宋体" w:cs="Calibri"/>
    </w:rPr>
  </w:style>
  <w:style w:type="paragraph" w:styleId="998" w:customStyle="1">
    <w:name w:val="List Paragraph1"/>
    <w:basedOn w:val="640"/>
    <w:uiPriority w:val="0"/>
    <w:qFormat/>
    <w:pPr>
      <w:ind w:firstLine="420"/>
    </w:pPr>
    <w:rPr>
      <w:rFonts w:ascii="Calibri" w:hAnsi="Calibri" w:cs="Times New Roman"/>
      <w:sz w:val="28"/>
      <w:szCs w:val="28"/>
    </w:rPr>
  </w:style>
  <w:style w:type="paragraph" w:styleId="999" w:customStyle="1">
    <w:name w:val="Char"/>
    <w:basedOn w:val="640"/>
    <w:uiPriority w:val="0"/>
    <w:qFormat/>
    <w:rPr>
      <w:rFonts w:ascii="Times New Roman" w:hAnsi="Times New Roman" w:eastAsia="宋体" w:cs="Times New Roman"/>
      <w:sz w:val="21"/>
      <w:szCs w:val="21"/>
    </w:rPr>
  </w:style>
  <w:style w:type="paragraph" w:styleId="1000" w:customStyle="1">
    <w:name w:val=" Char Char Char"/>
    <w:basedOn w:val="640"/>
    <w:uiPriority w:val="0"/>
    <w:qFormat/>
    <w:pPr>
      <w:ind w:left="795" w:hanging="360"/>
      <w:tabs>
        <w:tab w:val="left" w:pos="795" w:leader="none"/>
      </w:tabs>
    </w:pPr>
    <w:rPr>
      <w:rFonts w:ascii="Times New Roman" w:hAnsi="Times New Roman" w:eastAsia="宋体" w:cs="Times New Roman"/>
    </w:rPr>
  </w:style>
  <w:style w:type="paragraph" w:styleId="1001" w:customStyle="1">
    <w:name w:val="Char Char Char1 Char Char Char Char"/>
    <w:basedOn w:val="640"/>
    <w:uiPriority w:val="0"/>
    <w:qFormat/>
    <w:pPr>
      <w:jc w:val="left"/>
      <w:spacing w:after="160" w:line="240" w:lineRule="exact"/>
      <w:widowControl/>
    </w:pPr>
    <w:rPr>
      <w:rFonts w:ascii="Times New Roman" w:hAnsi="Times New Roman" w:eastAsia="宋体" w:cs="Times New Roman"/>
    </w:rPr>
  </w:style>
  <w:style w:type="paragraph" w:styleId="1002" w:customStyle="1">
    <w:name w:val="Item Step"/>
    <w:basedOn w:val="640"/>
    <w:uiPriority w:val="0"/>
    <w:qFormat/>
    <w:pPr>
      <w:ind w:left="1554" w:hanging="420"/>
      <w:jc w:val="left"/>
      <w:widowControl/>
      <w:tabs>
        <w:tab w:val="left" w:pos="1134" w:leader="none"/>
      </w:tabs>
    </w:pPr>
    <w:rPr>
      <w:rFonts w:ascii="Times New Roman" w:hAnsi="Times New Roman" w:eastAsia="宋体" w:cs="Times New Roman"/>
      <w:sz w:val="21"/>
    </w:rPr>
  </w:style>
  <w:style w:type="paragraph" w:styleId="1003" w:customStyle="1">
    <w:name w:val=" Char"/>
    <w:basedOn w:val="845"/>
    <w:uiPriority w:val="0"/>
    <w:qFormat/>
    <w:pPr>
      <w:jc w:val="both"/>
      <w:spacing w:line="360" w:lineRule="auto"/>
      <w:widowControl w:val="off"/>
    </w:pPr>
    <w:rPr>
      <w:rFonts w:ascii="Calibri" w:hAnsi="Calibri" w:eastAsia="宋体" w:cs="Times New Roman"/>
      <w:sz w:val="21"/>
    </w:rPr>
  </w:style>
  <w:style w:type="paragraph" w:styleId="1004" w:customStyle="1">
    <w:name w:val="Char Char Char Char Char Char Char Char Char1 Char1"/>
    <w:basedOn w:val="845"/>
    <w:uiPriority w:val="0"/>
    <w:qFormat/>
    <w:pPr>
      <w:jc w:val="both"/>
      <w:spacing w:line="360" w:lineRule="auto"/>
      <w:widowControl w:val="off"/>
    </w:pPr>
    <w:rPr>
      <w:rFonts w:ascii="Tahoma" w:hAnsi="Tahoma" w:eastAsia="宋体" w:cs="Times New Roman"/>
    </w:rPr>
  </w:style>
  <w:style w:type="paragraph" w:styleId="1005" w:customStyle="1">
    <w:name w:val="正文段"/>
    <w:basedOn w:val="640"/>
    <w:uiPriority w:val="0"/>
    <w:qFormat/>
    <w:pPr>
      <w:ind w:firstLine="454"/>
      <w:spacing w:after="240" w:line="240" w:lineRule="atLeast"/>
      <w:widowControl/>
    </w:pPr>
    <w:rPr>
      <w:rFonts w:ascii="Calibri" w:hAnsi="Times New Roman" w:eastAsia="宋体" w:cs="Times New Roman"/>
    </w:rPr>
  </w:style>
  <w:style w:type="paragraph" w:styleId="1006" w:customStyle="1">
    <w:name w:val="纯文本5"/>
    <w:uiPriority w:val="0"/>
    <w:qFormat/>
    <w:pPr>
      <w:jc w:val="left"/>
      <w:widowControl/>
    </w:pPr>
    <w:rPr>
      <w:rFonts w:hint="default" w:ascii="等线" w:hAnsi="Courier New" w:eastAsia="楷体_GB2312" w:cs="Times New Roman"/>
      <w:sz w:val="26"/>
      <w:szCs w:val="20"/>
      <w:lang w:val="en-US" w:eastAsia="zh-CN" w:bidi="ar-SA"/>
    </w:rPr>
  </w:style>
  <w:style w:type="paragraph" w:styleId="1007" w:customStyle="1">
    <w:name w:val="样式 首行缩进:  1.48 厘米"/>
    <w:basedOn w:val="640"/>
    <w:uiPriority w:val="0"/>
    <w:qFormat/>
    <w:pPr>
      <w:ind w:firstLine="200"/>
      <w:spacing w:line="288" w:lineRule="auto"/>
    </w:pPr>
    <w:rPr>
      <w:rFonts w:ascii="Calibri" w:hAnsi="Times New Roman" w:eastAsia="宋体" w:cs="Times New Roman"/>
      <w:color w:val="000000"/>
      <w:sz w:val="21"/>
      <w:szCs w:val="20"/>
      <w:lang w:val="zh-CN"/>
    </w:rPr>
  </w:style>
  <w:style w:type="paragraph" w:styleId="100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Char Char Char1"/>
    <w:basedOn w:val="640"/>
    <w:uiPriority w:val="0"/>
    <w:qFormat/>
    <w:pPr>
      <w:ind w:left="795" w:hanging="360"/>
      <w:tabs>
        <w:tab w:val="left" w:pos="795" w:leader="none"/>
        <w:tab w:val="left" w:pos="840" w:leader="none"/>
      </w:tabs>
    </w:pPr>
    <w:rPr>
      <w:rFonts w:ascii="Times New Roman" w:hAnsi="Times New Roman" w:eastAsia="宋体" w:cs="Times New Roman"/>
      <w:sz w:val="21"/>
      <w:szCs w:val="20"/>
    </w:rPr>
  </w:style>
  <w:style w:type="paragraph" w:styleId="1010"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Char Char1"/>
    <w:basedOn w:val="640"/>
    <w:uiPriority w:val="0"/>
    <w:qFormat/>
    <w:pPr>
      <w:jc w:val="left"/>
      <w:spacing w:after="160" w:line="240" w:lineRule="exact"/>
      <w:widowControl/>
    </w:pPr>
    <w:rPr>
      <w:rFonts w:ascii="Verdana" w:hAnsi="Verdana" w:eastAsia="宋体" w:cs="Verdana"/>
      <w:sz w:val="20"/>
      <w:szCs w:val="20"/>
      <w:lang w:eastAsia="en-US"/>
    </w:rPr>
  </w:style>
  <w:style w:type="paragraph" w:styleId="1012" w:customStyle="1">
    <w:name w:val="1"/>
    <w:basedOn w:val="845"/>
    <w:uiPriority w:val="0"/>
    <w:qFormat/>
    <w:pPr>
      <w:spacing w:line="360" w:lineRule="auto"/>
    </w:pPr>
    <w:rPr>
      <w:rFonts w:ascii="Calibri" w:hAnsi="Calibri" w:eastAsia="宋体" w:cs="Times New Roman"/>
    </w:rPr>
  </w:style>
  <w:style w:type="paragraph" w:styleId="1013" w:customStyle="1">
    <w:name w:val="p0"/>
    <w:basedOn w:val="640"/>
    <w:uiPriority w:val="0"/>
    <w:qFormat/>
    <w:pPr>
      <w:widowControl/>
    </w:pPr>
    <w:rPr>
      <w:rFonts w:ascii="Times New Roman" w:hAnsi="Times New Roman" w:eastAsia="宋体" w:cs="Times New Roman"/>
      <w:sz w:val="21"/>
      <w:szCs w:val="21"/>
    </w:rPr>
  </w:style>
  <w:style w:type="paragraph" w:styleId="1014" w:customStyle="1">
    <w:name w:val="Char Char"/>
    <w:basedOn w:val="640"/>
    <w:uiPriority w:val="0"/>
    <w:qFormat/>
    <w:rPr>
      <w:rFonts w:ascii="Times New Roman" w:hAnsi="Times New Roman" w:eastAsia="宋体" w:cs="Times New Roman"/>
      <w:sz w:val="21"/>
      <w:szCs w:val="21"/>
    </w:rPr>
  </w:style>
  <w:style w:type="paragraph" w:styleId="1015" w:customStyle="1">
    <w:name w:val="Char Char Char Char"/>
    <w:basedOn w:val="845"/>
    <w:uiPriority w:val="0"/>
    <w:qFormat/>
    <w:pPr>
      <w:jc w:val="both"/>
      <w:spacing w:line="360" w:lineRule="auto"/>
      <w:widowControl w:val="off"/>
    </w:pPr>
    <w:rPr>
      <w:rFonts w:ascii="Calibri" w:hAnsi="Calibri" w:eastAsia="宋体" w:cs="Times New Roman"/>
      <w:szCs w:val="20"/>
    </w:rPr>
  </w:style>
  <w:style w:type="paragraph" w:styleId="1016" w:customStyle="1">
    <w:name w:val="p25"/>
    <w:basedOn w:val="640"/>
    <w:uiPriority w:val="0"/>
    <w:qFormat/>
    <w:pPr>
      <w:jc w:val="left"/>
      <w:widowControl/>
    </w:pPr>
    <w:rPr>
      <w:rFonts w:ascii="Calibri" w:hAnsi="Calibri" w:eastAsia="宋体" w:cs="Times New Roman"/>
      <w:sz w:val="26"/>
      <w:szCs w:val="26"/>
    </w:rPr>
  </w:style>
  <w:style w:type="paragraph" w:styleId="101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18" w:customStyle="1">
    <w:name w:val="a2"/>
    <w:basedOn w:val="640"/>
    <w:uiPriority w:val="0"/>
    <w:qFormat/>
    <w:pPr>
      <w:jc w:val="left"/>
      <w:spacing w:before="100" w:beforeAutospacing="1" w:after="100" w:afterAutospacing="1"/>
      <w:widowControl/>
    </w:pPr>
    <w:rPr>
      <w:rFonts w:ascii="Calibri" w:hAnsi="Calibri" w:eastAsia="宋体" w:cs="Times New Roman"/>
    </w:rPr>
  </w:style>
  <w:style w:type="paragraph" w:styleId="1019" w:customStyle="1">
    <w:name w:val="杨昂超式样黑体主"/>
    <w:basedOn w:val="640"/>
    <w:uiPriority w:val="0"/>
    <w:qFormat/>
    <w:rPr>
      <w:rFonts w:ascii="方正黑体简体" w:hAnsi="Times New Roman" w:eastAsia="方正黑体简体" w:cs="方正黑体简体"/>
    </w:rPr>
  </w:style>
  <w:style w:type="paragraph" w:styleId="1020" w:customStyle="1">
    <w:name w:val="纯文本6"/>
    <w:basedOn w:val="640"/>
    <w:uiPriority w:val="0"/>
    <w:qFormat/>
    <w:rPr>
      <w:rFonts w:hAnsi="Courier New" w:eastAsia="楷体_GB2312"/>
      <w:sz w:val="26"/>
    </w:rPr>
  </w:style>
  <w:style w:type="paragraph" w:styleId="1021" w:customStyle="1">
    <w:name w:val="WPSOffice手动目录 1"/>
    <w:uiPriority w:val="0"/>
    <w:qFormat/>
    <w:rPr>
      <w:rFonts w:hint="default" w:ascii="Times New Roman" w:hAnsi="Times New Roman" w:eastAsia="宋体" w:cs="Times New Roman"/>
      <w:lang w:val="en-US" w:eastAsia="zh-CN" w:bidi="ar-SA"/>
    </w:rPr>
  </w:style>
  <w:style w:type="paragraph" w:styleId="1022" w:customStyle="1">
    <w:name w:val="表格标题"/>
    <w:basedOn w:val="640"/>
    <w:uiPriority w:val="0"/>
    <w:qFormat/>
    <w:pPr>
      <w:jc w:val="center"/>
    </w:pPr>
    <w:rPr>
      <w:rFonts w:ascii="Calibri" w:hAnsi="Calibri" w:eastAsia="宋体" w:cs="Times New Roman"/>
      <w:b/>
      <w:bCs/>
      <w:color w:val="000000"/>
      <w:sz w:val="22"/>
      <w:szCs w:val="20"/>
    </w:rPr>
  </w:style>
  <w:style w:type="paragraph" w:styleId="1023" w:customStyle="1">
    <w:name w:val="SANGFOR_6_正文"/>
    <w:basedOn w:val="640"/>
    <w:uiPriority w:val="0"/>
    <w:qFormat/>
    <w:pPr>
      <w:spacing w:line="360" w:lineRule="auto"/>
    </w:pPr>
    <w:rPr>
      <w:rFonts w:ascii="Heiti SC Light" w:hAnsi="Times New Roman" w:eastAsia="Heiti SC Light" w:cs="Times New Roman"/>
      <w:sz w:val="22"/>
    </w:rPr>
  </w:style>
  <w:style w:type="paragraph" w:styleId="1024" w:customStyle="1">
    <w:name w:val="H-TextFormat"/>
    <w:uiPriority w:val="0"/>
    <w:qFormat/>
    <w:rPr>
      <w:rFonts w:hint="default" w:ascii="Arial" w:hAnsi="Arial" w:eastAsia="宋体" w:cs="Times New Roman"/>
      <w:sz w:val="22"/>
      <w:lang w:val="en-GB" w:eastAsia="en-US" w:bidi="ar-SA"/>
    </w:rPr>
  </w:style>
  <w:style w:type="paragraph" w:styleId="1025" w:customStyle="1">
    <w:name w:val="编号1"/>
    <w:basedOn w:val="640"/>
    <w:uiPriority w:val="0"/>
    <w:qFormat/>
    <w:pPr>
      <w:ind w:left="360" w:right="210" w:hanging="360"/>
      <w:tabs>
        <w:tab w:val="left" w:pos="360" w:leader="none"/>
      </w:tabs>
    </w:pPr>
    <w:rPr>
      <w:rFonts w:ascii="Calibri" w:hAnsi="Calibri" w:eastAsia="宋体" w:cs="Times New Roman"/>
      <w:spacing w:val="10"/>
      <w:sz w:val="21"/>
      <w:szCs w:val="21"/>
    </w:rPr>
  </w:style>
  <w:style w:type="paragraph" w:styleId="1026"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27" w:customStyle="1">
    <w:name w:val="列表内容"/>
    <w:basedOn w:val="640"/>
    <w:next w:val="640"/>
    <w:uiPriority w:val="0"/>
    <w:qFormat/>
    <w:pPr>
      <w:numPr>
        <w:ilvl w:val="0"/>
        <w:numId w:val="1"/>
      </w:numPr>
      <w:jc w:val="left"/>
      <w:widowControl/>
      <w:tabs>
        <w:tab w:val="left" w:pos="840" w:leader="none"/>
      </w:tabs>
    </w:pPr>
    <w:rPr>
      <w:rFonts w:ascii="Times New Roman" w:hAnsi="Times New Roman" w:eastAsia="宋体" w:cs="Times New Roman"/>
      <w:sz w:val="18"/>
    </w:rPr>
  </w:style>
  <w:style w:type="paragraph" w:styleId="1028" w:customStyle="1">
    <w:name w:val="_Style 12"/>
    <w:basedOn w:val="845"/>
    <w:uiPriority w:val="0"/>
    <w:qFormat/>
    <w:pPr>
      <w:spacing w:line="360" w:lineRule="auto"/>
    </w:pPr>
    <w:rPr>
      <w:rFonts w:ascii="Calibri" w:hAnsi="Calibri" w:eastAsia="宋体" w:cs="Times New Roman"/>
    </w:rPr>
  </w:style>
  <w:style w:type="paragraph" w:styleId="1029" w:customStyle="1">
    <w:name w:val="正文缩进111"/>
    <w:basedOn w:val="640"/>
    <w:next w:val="640"/>
    <w:uiPriority w:val="0"/>
    <w:qFormat/>
    <w:pPr>
      <w:ind w:firstLine="420"/>
    </w:pPr>
    <w:rPr>
      <w:rFonts w:ascii="Calibri" w:hAnsi="Calibri"/>
      <w:sz w:val="24"/>
    </w:rPr>
  </w:style>
  <w:style w:type="paragraph" w:styleId="1030" w:customStyle="1">
    <w:name w:val="afont"/>
    <w:basedOn w:val="640"/>
    <w:uiPriority w:val="0"/>
    <w:qFormat/>
    <w:pPr>
      <w:jc w:val="left"/>
      <w:spacing w:before="100" w:after="100" w:line="285" w:lineRule="atLeast"/>
      <w:widowControl/>
    </w:pPr>
    <w:rPr>
      <w:rFonts w:ascii="Calibri" w:hAnsi="Calibri" w:eastAsia="宋体" w:cs="Times New Roman"/>
      <w:sz w:val="18"/>
      <w:szCs w:val="18"/>
    </w:rPr>
  </w:style>
  <w:style w:type="paragraph" w:styleId="1031" w:customStyle="1">
    <w:name w:val="列出段落2"/>
    <w:basedOn w:val="640"/>
    <w:uiPriority w:val="0"/>
    <w:qFormat/>
    <w:pPr>
      <w:ind w:firstLine="420"/>
    </w:pPr>
    <w:rPr>
      <w:rFonts w:ascii="Times New Roman" w:hAnsi="Times New Roman" w:eastAsia="宋体" w:cs="Times New Roman"/>
      <w:sz w:val="21"/>
      <w:szCs w:val="20"/>
    </w:rPr>
  </w:style>
  <w:style w:type="paragraph" w:styleId="103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Char2"/>
    <w:basedOn w:val="845"/>
    <w:uiPriority w:val="0"/>
    <w:qFormat/>
    <w:pPr>
      <w:jc w:val="both"/>
      <w:spacing w:line="360" w:lineRule="auto"/>
      <w:widowControl w:val="off"/>
    </w:pPr>
    <w:rPr>
      <w:rFonts w:ascii="Calibri" w:hAnsi="Calibri" w:eastAsia="宋体" w:cs="Times New Roman"/>
      <w:sz w:val="21"/>
    </w:rPr>
  </w:style>
  <w:style w:type="paragraph" w:styleId="1034" w:customStyle="1">
    <w:name w:val="Char Char Char"/>
    <w:basedOn w:val="640"/>
    <w:uiPriority w:val="0"/>
    <w:qFormat/>
    <w:pPr>
      <w:ind w:left="795" w:hanging="360"/>
      <w:tabs>
        <w:tab w:val="left" w:pos="795" w:leader="none"/>
      </w:tabs>
    </w:pPr>
    <w:rPr>
      <w:rFonts w:ascii="Times New Roman" w:hAnsi="Times New Roman" w:eastAsia="宋体" w:cs="Times New Roman"/>
    </w:rPr>
  </w:style>
  <w:style w:type="paragraph" w:styleId="1035" w:customStyle="1">
    <w:name w:val="正文1"/>
    <w:basedOn w:val="640"/>
    <w:next w:val="640"/>
    <w:uiPriority w:val="0"/>
    <w:qFormat/>
    <w:pPr>
      <w:ind w:left="420" w:firstLine="527"/>
      <w:spacing w:before="120" w:line="360" w:lineRule="auto"/>
    </w:pPr>
    <w:rPr>
      <w:rFonts w:ascii="宋体" w:hAnsi="宋体"/>
    </w:rPr>
  </w:style>
  <w:style w:type="paragraph" w:styleId="1036" w:customStyle="1">
    <w:name w:val="CM37"/>
    <w:basedOn w:val="640"/>
    <w:next w:val="640"/>
    <w:uiPriority w:val="0"/>
    <w:qFormat/>
    <w:pPr>
      <w:jc w:val="left"/>
      <w:spacing w:after="533"/>
    </w:pPr>
    <w:rPr>
      <w:rFonts w:ascii="Calibri" w:hAnsi="Times New Roman" w:eastAsia="宋体" w:cs="Times New Roman"/>
    </w:rPr>
  </w:style>
  <w:style w:type="paragraph" w:styleId="1037" w:customStyle="1">
    <w:name w:val="纯文本3"/>
    <w:basedOn w:val="640"/>
    <w:uiPriority w:val="0"/>
    <w:qFormat/>
    <w:rPr>
      <w:rFonts w:hAnsi="Courier New" w:eastAsia="楷体_GB2312" w:cs="Times New Roman"/>
      <w:sz w:val="26"/>
      <w:szCs w:val="26"/>
    </w:rPr>
  </w:style>
  <w:style w:type="paragraph" w:styleId="1038" w:customStyle="1">
    <w:name w:val="首行缩进"/>
    <w:basedOn w:val="640"/>
    <w:uiPriority w:val="0"/>
    <w:qFormat/>
    <w:pPr>
      <w:ind w:firstLine="480"/>
    </w:pPr>
    <w:rPr>
      <w:rFonts w:ascii="Times New Roman" w:hAnsi="Times New Roman" w:eastAsia="楷体_GB2312" w:cs="Times New Roman"/>
      <w:sz w:val="26"/>
      <w:szCs w:val="26"/>
    </w:rPr>
  </w:style>
  <w:style w:type="paragraph" w:styleId="1039" w:customStyle="1">
    <w:name w:val="NormalParagraphStyle"/>
    <w:basedOn w:val="640"/>
    <w:uiPriority w:val="0"/>
    <w:qFormat/>
    <w:pPr>
      <w:spacing w:line="288" w:lineRule="auto"/>
    </w:pPr>
    <w:rPr>
      <w:rFonts w:ascii="Calibri" w:hAnsi="Times New Roman" w:eastAsia="宋体" w:cs="Times New Roman"/>
      <w:color w:val="000000"/>
      <w:lang w:val="zh-CN"/>
    </w:rPr>
  </w:style>
  <w:style w:type="paragraph" w:styleId="1040" w:customStyle="1">
    <w:name w:val="Normal_2_0"/>
    <w:uiPriority w:val="0"/>
    <w:qFormat/>
    <w:rPr>
      <w:rFonts w:hint="default" w:ascii="Times New Roman" w:hAnsi="Times New Roman" w:eastAsia="Times New Roman" w:cs="Times New Roman"/>
      <w:sz w:val="24"/>
      <w:szCs w:val="24"/>
    </w:rPr>
  </w:style>
  <w:style w:type="paragraph" w:styleId="1041" w:customStyle="1">
    <w:name w:val="正文 New New New New"/>
    <w:uiPriority w:val="0"/>
    <w:qFormat/>
    <w:pPr>
      <w:jc w:val="both"/>
      <w:widowControl w:val="off"/>
    </w:pPr>
    <w:rPr>
      <w:rFonts w:hint="default" w:ascii="Times New Roman" w:hAnsi="Times New Roman" w:eastAsia="宋体" w:cs="Times New Roman"/>
      <w:lang w:val="en-US" w:eastAsia="zh-CN" w:bidi="ar-SA"/>
    </w:rPr>
  </w:style>
  <w:style w:type="paragraph" w:styleId="1042" w:customStyle="1">
    <w:name w:val="Char Char Char Char Char Char Char Char Char1 Char"/>
    <w:basedOn w:val="845"/>
    <w:uiPriority w:val="0"/>
    <w:qFormat/>
    <w:pPr>
      <w:jc w:val="both"/>
      <w:spacing w:line="360" w:lineRule="auto"/>
      <w:widowControl w:val="off"/>
    </w:pPr>
    <w:rPr>
      <w:rFonts w:ascii="Tahoma" w:hAnsi="Tahoma" w:eastAsia="宋体" w:cs="Times New Roman"/>
    </w:rPr>
  </w:style>
  <w:style w:type="paragraph" w:styleId="1043" w:customStyle="1">
    <w:name w:val="p17"/>
    <w:basedOn w:val="640"/>
    <w:uiPriority w:val="0"/>
    <w:qFormat/>
    <w:pPr>
      <w:ind w:firstLine="420"/>
      <w:jc w:val="left"/>
      <w:widowControl/>
    </w:pPr>
    <w:rPr>
      <w:rFonts w:ascii="Calibri" w:hAnsi="Calibri" w:eastAsia="宋体" w:cs="Times New Roman"/>
    </w:rPr>
  </w:style>
  <w:style w:type="paragraph" w:styleId="1044" w:customStyle="1">
    <w:name w:val="表格正文"/>
    <w:basedOn w:val="640"/>
    <w:uiPriority w:val="0"/>
    <w:qFormat/>
    <w:pPr>
      <w:jc w:val="left"/>
    </w:pPr>
    <w:rPr>
      <w:rFonts w:ascii="Calibri" w:hAnsi="Calibri" w:eastAsia="宋体" w:cs="Times New Roman"/>
      <w:color w:val="000000"/>
      <w:sz w:val="22"/>
      <w:szCs w:val="20"/>
    </w:rPr>
  </w:style>
  <w:style w:type="table" w:styleId="1045" w:customStyle="1">
    <w:name w:val="Table Normal"/>
    <w:uiPriority w:val="0"/>
    <w:qFormat/>
    <w:rPr>
      <w:lang w:val="en-US" w:eastAsia="zh-CN" w:bidi="ar-SA"/>
    </w:rPr>
    <w:tblPr/>
  </w:style>
  <w:style w:type="numbering" w:styleId="18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李开荣</cp:lastModifiedBy>
  <cp:revision>9</cp:revision>
  <dcterms:created xsi:type="dcterms:W3CDTF">2021-11-01T01:06:00Z</dcterms:created>
  <dcterms:modified xsi:type="dcterms:W3CDTF">2026-04-28T01:50:24Z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eyJoZGlkIjoiOGM3NjljZGIzYjU1Y2VkZWM0MGE5OWJkNTgyN2NjOTAiLCJ1c2VySWQiOiIzNTAxMzYxNjYifQ==</vt:lpwstr>
  </property>
  <property fmtid="{D5CDD505-2E9C-101B-9397-08002B2CF9AE}" pid="3" name="KSOProductBuildVer">
    <vt:lpwstr>2052-12.1.0.25865</vt:lpwstr>
  </property>
  <property fmtid="{D5CDD505-2E9C-101B-9397-08002B2CF9AE}" pid="4" name="ICV">
    <vt:lpwstr>C7C26BA6B345410987BFD94FBBDDB971_12</vt:lpwstr>
  </property>
</Properties>
</file>