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bookmarkStart w:id="355" w:name="_GoBack"/>
      <w:r/>
      <w:bookmarkEnd w:id="355"/>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项目名称：2026年宜兴市环境空气质量改善服务项目</w:t>
      </w:r>
      <w:r/>
    </w:p>
    <w:p>
      <w:pPr>
        <w:ind w:firstLine="1920"/>
        <w:jc w:val="left"/>
        <w:spacing w:line="360" w:lineRule="auto"/>
        <w:rPr>
          <w:rFonts w:hint="eastAsia" w:ascii="宋体" w:hAnsi="宋体" w:eastAsia="宋体" w:cs="宋体"/>
          <w:color w:val="auto"/>
          <w:sz w:val="32"/>
          <w:szCs w:val="32"/>
          <w:highlight w:val="none"/>
          <w:lang w:eastAsia="zh-CN"/>
        </w:rPr>
      </w:pPr>
      <w:r/>
      <w:bookmarkStart w:id="0" w:name="_Hlk161057808"/>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JSZC-320282-XDFH-G2026-0006</w:t>
      </w:r>
      <w:bookmarkEnd w:id="0"/>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 购 人：无锡市宜兴生态环境局</w:t>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6年4月</w:t>
      </w:r>
      <w:r/>
    </w:p>
    <w:p>
      <w:pPr>
        <w:rPr>
          <w:rStyle w:val="945"/>
          <w:rFonts w:eastAsia="黑体"/>
          <w:bCs/>
          <w:color w:val="auto"/>
          <w:sz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945"/>
          <w:rFonts w:eastAsia="黑体"/>
          <w:bCs/>
          <w:color w:val="auto"/>
          <w:sz w:val="48"/>
          <w:highlight w:val="none"/>
        </w:rPr>
      </w:pPr>
      <w:r>
        <w:rPr>
          <w:rFonts w:eastAsia="黑体"/>
          <w:bCs/>
          <w:color w:val="auto"/>
          <w:sz w:val="48"/>
          <w:highlight w:val="none"/>
        </w:rPr>
      </w:r>
      <w:r/>
    </w:p>
    <w:p>
      <w:pPr>
        <w:jc w:val="center"/>
        <w:rPr>
          <w:rStyle w:val="945"/>
          <w:rFonts w:eastAsia="黑体"/>
          <w:bCs/>
          <w:color w:val="auto"/>
          <w:sz w:val="48"/>
          <w:highlight w:val="none"/>
        </w:rPr>
      </w:pPr>
      <w:r>
        <w:rPr>
          <w:rFonts w:eastAsia="黑体"/>
          <w:bCs/>
          <w:color w:val="auto"/>
          <w:sz w:val="48"/>
          <w:highlight w:val="none"/>
        </w:rPr>
      </w:r>
      <w:r/>
    </w:p>
    <w:p>
      <w:pPr>
        <w:jc w:val="center"/>
        <w:rPr>
          <w:rStyle w:val="945"/>
          <w:rFonts w:eastAsia="黑体"/>
          <w:bCs/>
          <w:color w:val="auto"/>
          <w:sz w:val="48"/>
          <w:highlight w:val="none"/>
        </w:rPr>
      </w:pPr>
      <w:r>
        <w:rPr>
          <w:rStyle w:val="945"/>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39"/>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946"/>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- 1 -</w:t>
      </w:r>
      <w:r>
        <w:rPr>
          <w:color w:val="auto"/>
          <w:sz w:val="32"/>
          <w:szCs w:val="32"/>
          <w:highlight w:val="none"/>
        </w:rPr>
        <w:fldChar w:fldCharType="end"/>
      </w:r>
      <w:r>
        <w:rPr>
          <w:color w:val="auto"/>
          <w:sz w:val="32"/>
          <w:szCs w:val="32"/>
          <w:highlight w:val="none"/>
        </w:rPr>
        <w:fldChar w:fldCharType="end"/>
      </w:r>
      <w:r/>
    </w:p>
    <w:p>
      <w:pPr>
        <w:pStyle w:val="939"/>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946"/>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- 3 -</w:t>
      </w:r>
      <w:r>
        <w:rPr>
          <w:color w:val="auto"/>
          <w:sz w:val="32"/>
          <w:szCs w:val="32"/>
          <w:highlight w:val="none"/>
        </w:rPr>
        <w:fldChar w:fldCharType="end"/>
      </w:r>
      <w:r>
        <w:rPr>
          <w:color w:val="auto"/>
          <w:sz w:val="32"/>
          <w:szCs w:val="32"/>
          <w:highlight w:val="none"/>
        </w:rPr>
        <w:fldChar w:fldCharType="end"/>
      </w:r>
      <w:r/>
    </w:p>
    <w:p>
      <w:pPr>
        <w:pStyle w:val="939"/>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946"/>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_Toc157174690 \h </w:instrText>
      </w:r>
      <w:r>
        <w:rPr>
          <w:color w:val="auto"/>
          <w:sz w:val="32"/>
          <w:szCs w:val="32"/>
          <w:highlight w:val="none"/>
        </w:rPr>
        <w:fldChar w:fldCharType="separate"/>
      </w:r>
      <w:r>
        <w:rPr>
          <w:color w:val="auto"/>
          <w:sz w:val="32"/>
          <w:szCs w:val="32"/>
          <w:highlight w:val="none"/>
        </w:rPr>
        <w:t xml:space="preserve">- 1</w:t>
      </w:r>
      <w:r>
        <w:rPr>
          <w:rFonts w:hint="eastAsia"/>
          <w:color w:val="auto"/>
          <w:sz w:val="32"/>
          <w:szCs w:val="32"/>
          <w:highlight w:val="none"/>
        </w:rPr>
        <w:t xml:space="preserve">6</w:t>
      </w:r>
      <w:r>
        <w:rPr>
          <w:color w:val="auto"/>
          <w:sz w:val="32"/>
          <w:szCs w:val="32"/>
          <w:highlight w:val="none"/>
        </w:rPr>
        <w:t xml:space="preserve"> -</w:t>
      </w:r>
      <w:r>
        <w:rPr>
          <w:color w:val="auto"/>
          <w:sz w:val="32"/>
          <w:szCs w:val="32"/>
          <w:highlight w:val="none"/>
        </w:rPr>
        <w:fldChar w:fldCharType="end"/>
      </w:r>
      <w:r>
        <w:rPr>
          <w:color w:val="auto"/>
          <w:sz w:val="32"/>
          <w:szCs w:val="32"/>
          <w:highlight w:val="none"/>
        </w:rPr>
        <w:fldChar w:fldCharType="end"/>
      </w:r>
      <w:r/>
    </w:p>
    <w:p>
      <w:pPr>
        <w:pStyle w:val="939"/>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946"/>
          <w:rFonts w:ascii="黑体" w:hAnsi="黑体" w:eastAsia="黑体"/>
          <w:color w:val="auto"/>
          <w:sz w:val="32"/>
          <w:szCs w:val="32"/>
          <w:highlight w:val="none"/>
        </w:rPr>
        <w:t xml:space="preserve">第四章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_Toc157174691 \h </w:instrText>
      </w:r>
      <w:r>
        <w:rPr>
          <w:color w:val="auto"/>
          <w:sz w:val="32"/>
          <w:szCs w:val="32"/>
          <w:highlight w:val="none"/>
        </w:rPr>
        <w:fldChar w:fldCharType="separate"/>
      </w:r>
      <w:r>
        <w:rPr>
          <w:color w:val="auto"/>
          <w:sz w:val="32"/>
          <w:szCs w:val="32"/>
          <w:highlight w:val="none"/>
        </w:rPr>
        <w:t xml:space="preserve">- </w:t>
      </w:r>
      <w:r>
        <w:rPr>
          <w:rFonts w:hint="eastAsia"/>
          <w:color w:val="auto"/>
          <w:sz w:val="32"/>
          <w:szCs w:val="32"/>
          <w:highlight w:val="none"/>
        </w:rPr>
        <w:t xml:space="preserve">40</w:t>
      </w:r>
      <w:r>
        <w:rPr>
          <w:color w:val="auto"/>
          <w:sz w:val="32"/>
          <w:szCs w:val="32"/>
          <w:highlight w:val="none"/>
        </w:rPr>
        <w:t xml:space="preserve"> -</w:t>
      </w:r>
      <w:r>
        <w:rPr>
          <w:color w:val="auto"/>
          <w:sz w:val="32"/>
          <w:szCs w:val="32"/>
          <w:highlight w:val="none"/>
        </w:rPr>
        <w:fldChar w:fldCharType="end"/>
      </w:r>
      <w:r>
        <w:rPr>
          <w:color w:val="auto"/>
          <w:sz w:val="32"/>
          <w:szCs w:val="32"/>
          <w:highlight w:val="none"/>
        </w:rPr>
        <w:fldChar w:fldCharType="end"/>
      </w:r>
      <w:r/>
    </w:p>
    <w:p>
      <w:pPr>
        <w:pStyle w:val="939"/>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946"/>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_Toc157174692 \h </w:instrText>
      </w:r>
      <w:r>
        <w:rPr>
          <w:color w:val="auto"/>
          <w:sz w:val="32"/>
          <w:szCs w:val="32"/>
          <w:highlight w:val="none"/>
        </w:rPr>
        <w:fldChar w:fldCharType="separate"/>
      </w:r>
      <w:r>
        <w:rPr>
          <w:color w:val="auto"/>
          <w:sz w:val="32"/>
          <w:szCs w:val="32"/>
          <w:highlight w:val="none"/>
        </w:rPr>
        <w:t xml:space="preserve">- </w:t>
      </w:r>
      <w:r>
        <w:rPr>
          <w:rFonts w:hint="eastAsia"/>
          <w:color w:val="auto"/>
          <w:sz w:val="32"/>
          <w:szCs w:val="32"/>
          <w:highlight w:val="none"/>
        </w:rPr>
        <w:t xml:space="preserve">46</w:t>
      </w:r>
      <w:r>
        <w:rPr>
          <w:color w:val="auto"/>
          <w:sz w:val="32"/>
          <w:szCs w:val="32"/>
          <w:highlight w:val="none"/>
        </w:rPr>
        <w:t xml:space="preserve"> -</w:t>
      </w:r>
      <w:r>
        <w:rPr>
          <w:color w:val="auto"/>
          <w:sz w:val="32"/>
          <w:szCs w:val="32"/>
          <w:highlight w:val="none"/>
        </w:rPr>
        <w:fldChar w:fldCharType="end"/>
      </w:r>
      <w:r>
        <w:rPr>
          <w:color w:val="auto"/>
          <w:sz w:val="32"/>
          <w:szCs w:val="32"/>
          <w:highlight w:val="none"/>
        </w:rPr>
        <w:fldChar w:fldCharType="end"/>
      </w:r>
      <w:r/>
    </w:p>
    <w:p>
      <w:pPr>
        <w:pStyle w:val="939"/>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946"/>
          <w:rFonts w:ascii="黑体" w:hAnsi="黑体" w:eastAsia="黑体"/>
          <w:color w:val="auto"/>
          <w:sz w:val="32"/>
          <w:szCs w:val="32"/>
          <w:highlight w:val="none"/>
        </w:rPr>
        <w:t xml:space="preserve">第六章 投标文件</w:t>
      </w:r>
      <w:r>
        <w:rPr>
          <w:rStyle w:val="946"/>
          <w:rFonts w:hint="eastAsia" w:ascii="黑体" w:hAnsi="黑体" w:eastAsia="黑体"/>
          <w:color w:val="auto"/>
          <w:sz w:val="32"/>
          <w:szCs w:val="32"/>
          <w:highlight w:val="none"/>
        </w:rPr>
        <w:t xml:space="preserve">内容与格式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_Toc157174693 \h </w:instrText>
      </w:r>
      <w:r>
        <w:rPr>
          <w:color w:val="auto"/>
          <w:sz w:val="32"/>
          <w:szCs w:val="32"/>
          <w:highlight w:val="none"/>
        </w:rPr>
        <w:fldChar w:fldCharType="separate"/>
      </w:r>
      <w:r>
        <w:rPr>
          <w:color w:val="auto"/>
          <w:sz w:val="32"/>
          <w:szCs w:val="32"/>
          <w:highlight w:val="none"/>
        </w:rPr>
        <w:t xml:space="preserve">- </w:t>
      </w:r>
      <w:r>
        <w:rPr>
          <w:rFonts w:hint="eastAsia"/>
          <w:color w:val="auto"/>
          <w:sz w:val="32"/>
          <w:szCs w:val="32"/>
          <w:highlight w:val="none"/>
        </w:rPr>
        <w:t xml:space="preserve">60</w:t>
      </w:r>
      <w:r>
        <w:rPr>
          <w:color w:val="auto"/>
          <w:sz w:val="32"/>
          <w:szCs w:val="32"/>
          <w:highlight w:val="none"/>
        </w:rPr>
        <w:t xml:space="preserve"> -</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5"/>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受无锡市宜兴生态环境局委托，江苏希地丰华项目管理集团有限公司就2026年宜兴市环境空气质量改善服务项目（</w:t>
      </w:r>
      <w:r>
        <w:rPr>
          <w:rFonts w:hint="eastAsia" w:ascii="宋体" w:hAnsi="宋体"/>
          <w:bCs/>
          <w:color w:val="auto"/>
          <w:sz w:val="24"/>
          <w:szCs w:val="24"/>
          <w:highlight w:val="none"/>
          <w:lang w:eastAsia="zh-CN"/>
        </w:rPr>
        <w:t xml:space="preserve">JSZC-320282-XDFH-G2026-0006</w:t>
      </w:r>
      <w:r>
        <w:rPr>
          <w:rFonts w:hint="eastAsia" w:ascii="宋体" w:hAnsi="宋体"/>
          <w:color w:val="auto"/>
          <w:sz w:val="24"/>
          <w:szCs w:val="28"/>
          <w:highlight w:val="none"/>
        </w:rPr>
        <w:t xml:space="preserve">）进行公开招标采购，欢迎符合条件的供应商参与投标。</w:t>
      </w:r>
      <w:r/>
    </w:p>
    <w:tbl>
      <w:tblPr>
        <w:tblStyle w:val="932"/>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color w:val="auto"/>
                <w:sz w:val="24"/>
                <w:szCs w:val="24"/>
                <w:highlight w:val="none"/>
              </w:rPr>
            </w:pPr>
            <w:r/>
            <w:bookmarkStart w:id="6" w:name="OLE_LINK192"/>
            <w:r>
              <w:rPr>
                <w:rFonts w:hint="eastAsia" w:ascii="宋体" w:hAnsi="宋体"/>
                <w:bCs/>
                <w:color w:val="auto"/>
                <w:sz w:val="24"/>
                <w:szCs w:val="24"/>
                <w:highlight w:val="none"/>
              </w:rPr>
              <w:t xml:space="preserve">1.项目名称：2026年宜兴市环境空气质量改善服务项目</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 xml:space="preserve">JSZC-320282-XDFH-G2026-0006</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3.采购方式：公开招标</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4.评标方法：综合评分法</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5.预算金额：</w:t>
            </w:r>
            <w:r>
              <w:rPr>
                <w:rFonts w:hint="eastAsia" w:ascii="宋体" w:hAnsi="宋体"/>
                <w:bCs/>
                <w:color w:val="auto"/>
                <w:sz w:val="24"/>
                <w:szCs w:val="24"/>
                <w:highlight w:val="none"/>
              </w:rPr>
              <w:t xml:space="preserve">7430000</w:t>
            </w:r>
            <w:r>
              <w:rPr>
                <w:rFonts w:hint="eastAsia" w:ascii="宋体" w:hAnsi="宋体"/>
                <w:bCs/>
                <w:color w:val="auto"/>
                <w:sz w:val="24"/>
                <w:szCs w:val="24"/>
                <w:highlight w:val="none"/>
              </w:rPr>
              <w:t xml:space="preserve">元</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w:t>
            </w:r>
            <w:r>
              <w:rPr>
                <w:rFonts w:hint="eastAsia" w:ascii="宋体" w:hAnsi="宋体"/>
                <w:bCs/>
                <w:color w:val="auto"/>
                <w:sz w:val="24"/>
                <w:szCs w:val="24"/>
                <w:highlight w:val="none"/>
              </w:rPr>
              <w:t xml:space="preserve">同预算金额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7.项目类型：服务类</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8.本项目</w:t>
            </w:r>
            <w:r>
              <w:rPr>
                <w:rFonts w:hint="eastAsia" w:ascii="宋体" w:hAnsi="宋体"/>
                <w:bCs/>
                <w:color w:val="auto"/>
                <w:sz w:val="24"/>
                <w:szCs w:val="24"/>
                <w:highlight w:val="none"/>
              </w:rPr>
              <w:t xml:space="preserve">不接受联合体，不接受分包。</w:t>
            </w:r>
            <w:bookmarkEnd w:id="6"/>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9.集中考察或答疑：</w:t>
            </w:r>
            <w:r>
              <w:rPr>
                <w:rFonts w:hint="eastAsia" w:ascii="宋体" w:hAnsi="宋体"/>
                <w:bCs/>
                <w:color w:val="auto"/>
                <w:sz w:val="24"/>
                <w:szCs w:val="24"/>
                <w:highlight w:val="none"/>
              </w:rPr>
              <w:t xml:space="preserve">无</w:t>
            </w:r>
            <w:r/>
          </w:p>
        </w:tc>
      </w:tr>
      <w:tr>
        <w:trPr>
          <w:jc w:val="center"/>
          <w:trHeight w:val="162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47"/>
              <w:jc w:val="center"/>
              <w:spacing w:line="276" w:lineRule="auto"/>
              <w:rPr>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947"/>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w:t>
            </w:r>
            <w:r>
              <w:rPr>
                <w:rFonts w:hint="eastAsia" w:ascii="宋体" w:hAnsi="宋体" w:cs="宋体"/>
                <w:bCs/>
                <w:color w:val="auto"/>
                <w:sz w:val="24"/>
                <w:szCs w:val="24"/>
                <w:highlight w:val="none"/>
              </w:rPr>
              <w:t xml:space="preserve">本项目非专门面向中小企业采购；</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r>
              <w:rPr>
                <w:rFonts w:hint="eastAsia" w:ascii="宋体" w:hAnsi="宋体" w:cs="宋体"/>
                <w:bCs/>
                <w:color w:val="auto"/>
                <w:sz w:val="24"/>
                <w:szCs w:val="24"/>
                <w:highlight w:val="none"/>
              </w:rPr>
              <w:t xml:space="preserve">。</w:t>
            </w:r>
            <w:bookmarkEnd w:id="9"/>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r/>
          </w:p>
          <w:p>
            <w:pPr>
              <w:jc w:val="left"/>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7"/>
            <w:r/>
            <w:r/>
          </w:p>
        </w:tc>
      </w:tr>
      <w:tr>
        <w:trPr>
          <w:jc w:val="center"/>
          <w:trHeight w:val="415"/>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7908" w:type="dxa"/>
            <w:textDirection w:val="lrTb"/>
            <w:noWrap w:val="false"/>
          </w:tcPr>
          <w:p>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47"/>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47"/>
              <w:jc w:val="center"/>
              <w:rPr>
                <w:b/>
                <w:bCs/>
                <w:color w:val="auto"/>
                <w:szCs w:val="22"/>
                <w:highlight w:val="none"/>
              </w:rPr>
            </w:pPr>
            <w:r>
              <w:rPr>
                <w:rFonts w:hint="eastAsia"/>
                <w:b/>
                <w:bCs/>
                <w:color w:val="auto"/>
                <w:szCs w:val="22"/>
                <w:highlight w:val="none"/>
              </w:rPr>
              <w:t xml:space="preserve">限制</w:t>
            </w:r>
            <w:r/>
          </w:p>
          <w:p>
            <w:pPr>
              <w:pStyle w:val="947"/>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949"/>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textDirection w:val="lrTb"/>
            <w:noWrap w:val="false"/>
          </w:tcPr>
          <w:p>
            <w:pPr>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单位名称：无锡市宜兴生态环境局</w:t>
            </w:r>
            <w:r/>
          </w:p>
          <w:p>
            <w:pPr>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ascii="宋体" w:hAnsi="宋体" w:cs="宋体"/>
                <w:color w:val="auto"/>
                <w:sz w:val="24"/>
                <w:highlight w:val="none"/>
              </w:rPr>
              <w:t xml:space="preserve">宜兴市荆溪中路35号五局大院内</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联系人：蒋先生</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cs="宋体"/>
                <w:color w:val="auto"/>
                <w:sz w:val="24"/>
                <w:highlight w:val="none"/>
              </w:rPr>
              <w:t xml:space="preserve">0510-87998044</w:t>
            </w:r>
            <w:r/>
          </w:p>
        </w:tc>
      </w:tr>
      <w:tr>
        <w:trPr>
          <w:jc w:val="center"/>
          <w:trHeight w:val="549"/>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单位名称：江苏希地丰华项目管理集团有限公司</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单位地址：宜兴市龙潭西路239号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451"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r/>
    </w:p>
    <w:p>
      <w:pPr>
        <w:jc w:val="left"/>
        <w:spacing w:line="360" w:lineRule="auto"/>
        <w:rPr>
          <w:rFonts w:ascii="宋体" w:hAnsi="宋体"/>
          <w:b/>
          <w:color w:val="auto"/>
          <w:sz w:val="28"/>
          <w:szCs w:val="28"/>
          <w:highlight w:val="none"/>
          <w:lang w:val="zh-CN"/>
        </w:rPr>
      </w:pPr>
      <w:r/>
      <w:bookmarkStart w:id="17" w:name="OLE_LINK269"/>
      <w:r/>
      <w:bookmarkStart w:id="18" w:name="OLE_LINK217"/>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3" w:name="OLE_LINK107"/>
      <w:r/>
      <w:bookmarkStart w:id="24" w:name="OLE_LINK88"/>
      <w:r>
        <w:rPr>
          <w:rFonts w:hint="eastAsia" w:ascii="宋体" w:hAnsi="宋体"/>
          <w:bCs/>
          <w:color w:val="auto"/>
          <w:sz w:val="24"/>
          <w:szCs w:val="24"/>
          <w:highlight w:val="none"/>
        </w:rPr>
        <w:t xml:space="preserve">4.2 </w:t>
      </w:r>
      <w:bookmarkEnd w:id="23"/>
      <w:r/>
      <w:bookmarkEnd w:id="24"/>
      <w:r>
        <w:rPr>
          <w:rFonts w:hint="eastAsia" w:ascii="宋体" w:hAnsi="宋体"/>
          <w:bCs/>
          <w:color w:val="auto"/>
          <w:sz w:val="24"/>
          <w:szCs w:val="24"/>
          <w:highlight w:val="none"/>
        </w:rPr>
        <w:t xml:space="preserve">代理服务费：</w:t>
      </w:r>
      <w:r>
        <w:rPr>
          <w:rFonts w:hint="eastAsia" w:ascii="宋体" w:hAnsi="宋体"/>
          <w:color w:val="auto"/>
          <w:sz w:val="24"/>
          <w:highlight w:val="none"/>
          <w:u w:val="single"/>
        </w:rPr>
        <w:t xml:space="preserve">参照《招标代理服务收费标准》（见下表）按中标金额进行差额定率累进法计算的70%计取。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jc w:val="center"/>
          <w:trHeight w:val="315"/>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服费务类率型</w:t>
            </w:r>
            <w:r/>
          </w:p>
          <w:p>
            <w:pPr>
              <w:jc w:val="center"/>
              <w:rPr>
                <w:color w:val="auto"/>
                <w:szCs w:val="21"/>
                <w:highlight w:val="none"/>
              </w:rPr>
            </w:pPr>
            <w:r>
              <w:rPr>
                <w:rFonts w:hint="eastAsia"/>
                <w:color w:val="auto"/>
                <w:szCs w:val="21"/>
                <w:highlight w:val="none"/>
              </w:rPr>
              <w:t xml:space="preserve">中标金额(万元)</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货物招标</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服务招标</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工程招标</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1.0%</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1.1%</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0.7%</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500-1000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0.45%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0.55%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1000-5000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0.25%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0.35%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5000-10000</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0.25%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0.1%</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0.2%</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1亿~5亿</w:t>
            </w:r>
            <w:r/>
          </w:p>
        </w:tc>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c>
          <w:tcPr>
            <w:tcW w:w="2464" w:type="dxa"/>
            <w:vAlign w:val="center"/>
            <w:textDirection w:val="lrTb"/>
            <w:noWrap w:val="false"/>
          </w:tcPr>
          <w:p>
            <w:pPr>
              <w:jc w:val="center"/>
              <w:rPr>
                <w:color w:val="auto"/>
                <w:szCs w:val="21"/>
                <w:highlight w:val="none"/>
              </w:rPr>
            </w:pPr>
            <w:r>
              <w:rPr>
                <w:rFonts w:hint="eastAsia"/>
                <w:color w:val="auto"/>
                <w:szCs w:val="21"/>
                <w:highlight w:val="none"/>
              </w:rPr>
              <w:t xml:space="preserve">0.05%</w:t>
            </w:r>
            <w:r/>
          </w:p>
        </w:tc>
      </w:tr>
    </w:tbl>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26" w:name="OLE_LINK16"/>
      <w:r/>
      <w:bookmarkStart w:id="27" w:name="_Hlk151557699"/>
      <w:r/>
      <w:bookmarkStart w:id="28"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29" w:name="OLE_LINK62"/>
      <w:r>
        <w:rPr>
          <w:rFonts w:hint="eastAsia" w:ascii="宋体" w:hAnsi="宋体"/>
          <w:b/>
          <w:color w:val="auto"/>
          <w:sz w:val="28"/>
          <w:szCs w:val="28"/>
          <w:highlight w:val="none"/>
          <w:lang w:val="zh-CN"/>
        </w:rPr>
        <w:t xml:space="preserve">投标文件的组成</w:t>
      </w:r>
      <w:bookmarkEnd w:id="26"/>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8.2投标人所须提供的相关证明文件和要求以及投标文件的部分格式要求，详见“第六章 投标文件内容与格式”。</w:t>
      </w:r>
      <w:bookmarkEnd w:id="27"/>
      <w:r/>
      <w:bookmarkEnd w:id="29"/>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0" w:name="_Toc23231"/>
      <w:r/>
      <w:bookmarkStart w:id="31" w:name="_Toc520356155"/>
      <w:r/>
      <w:bookmarkStart w:id="32" w:name="_Toc19624"/>
      <w:r/>
      <w:bookmarkStart w:id="33" w:name="_Toc2248"/>
      <w:r/>
      <w:bookmarkStart w:id="34" w:name="_Toc515647770"/>
      <w:r>
        <w:rPr>
          <w:rFonts w:hint="eastAsia" w:ascii="宋体" w:hAnsi="宋体"/>
          <w:b/>
          <w:color w:val="auto"/>
          <w:sz w:val="28"/>
          <w:szCs w:val="28"/>
          <w:highlight w:val="none"/>
          <w:lang w:val="zh-CN"/>
        </w:rPr>
        <w:t xml:space="preserve">投标报价</w:t>
      </w:r>
      <w:bookmarkEnd w:id="30"/>
      <w:r/>
      <w:bookmarkEnd w:id="31"/>
      <w:r/>
      <w:bookmarkEnd w:id="32"/>
      <w:r/>
      <w:bookmarkEnd w:id="33"/>
      <w:r/>
      <w:bookmarkEnd w:id="34"/>
      <w:r/>
      <w:bookmarkEnd w:id="2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.1所有投标均以人民币报价</w:t>
      </w:r>
      <w:bookmarkStart w:id="35" w:name="OLE_LINK204"/>
      <w:r>
        <w:rPr>
          <w:rFonts w:hint="eastAsia"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36"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37"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3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38"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jc w:val="left"/>
        <w:spacing w:line="360" w:lineRule="auto"/>
        <w:rPr>
          <w:rFonts w:ascii="宋体" w:hAnsi="宋体"/>
          <w:b/>
          <w:color w:val="auto"/>
          <w:sz w:val="28"/>
          <w:szCs w:val="28"/>
          <w:highlight w:val="none"/>
          <w:lang w:val="zh-CN"/>
        </w:rPr>
      </w:pPr>
      <w:r/>
      <w:bookmarkStart w:id="39"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36"/>
      <w:r/>
      <w:bookmarkEnd w:id="38"/>
      <w:r/>
      <w:bookmarkEnd w:id="39"/>
      <w:r/>
      <w:bookmarkStart w:id="40" w:name="_Hlk151449127"/>
      <w:r/>
      <w:bookmarkStart w:id="41"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 xml:space="preserve">如</w:t>
      </w:r>
      <w:bookmarkStart w:id="43" w:name="OLE_LINK45"/>
      <w:r>
        <w:rPr>
          <w:rFonts w:hint="eastAsia" w:ascii="宋体" w:hAnsi="宋体"/>
          <w:bCs/>
          <w:color w:val="auto"/>
          <w:sz w:val="24"/>
          <w:szCs w:val="28"/>
          <w:highlight w:val="none"/>
        </w:rPr>
        <w:t xml:space="preserve">采购人、</w:t>
      </w:r>
      <w:bookmarkEnd w:id="43"/>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1"/>
      <w:r/>
      <w:bookmarkEnd w:id="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4" w:name="OLE_LINK260"/>
      <w:r>
        <w:rPr>
          <w:rFonts w:hint="eastAsia" w:ascii="宋体" w:hAnsi="宋体"/>
          <w:b/>
          <w:color w:val="auto"/>
          <w:sz w:val="28"/>
          <w:szCs w:val="28"/>
          <w:highlight w:val="none"/>
          <w:lang w:val="zh-CN"/>
        </w:rPr>
        <w:t xml:space="preserve">撤回</w:t>
      </w:r>
      <w:bookmarkEnd w:id="44"/>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投标人主动对其投标文件做任何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8" w:name="_Hlk160719794"/>
      <w:r>
        <w:rPr>
          <w:rFonts w:hint="eastAsia" w:ascii="宋体" w:hAnsi="宋体" w:cs="宋体"/>
          <w:bCs/>
          <w:color w:val="auto"/>
          <w:sz w:val="24"/>
          <w:szCs w:val="24"/>
          <w:highlight w:val="none"/>
        </w:rPr>
        <w:t xml:space="preserve">投标文件未按招标文件</w:t>
      </w:r>
      <w:bookmarkStart w:id="49" w:name="_Hlk160720909"/>
      <w:r>
        <w:rPr>
          <w:rFonts w:hint="eastAsia" w:ascii="宋体" w:hAnsi="宋体" w:cs="宋体"/>
          <w:bCs/>
          <w:color w:val="auto"/>
          <w:sz w:val="24"/>
          <w:szCs w:val="24"/>
          <w:highlight w:val="none"/>
        </w:rPr>
        <w:t xml:space="preserve">规定签署或盖章的；</w:t>
      </w:r>
      <w:bookmarkEnd w:id="48"/>
      <w:r/>
      <w:bookmarkEnd w:id="49"/>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0"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0"/>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1" w:name="OLE_LINK137"/>
      <w:r>
        <w:rPr>
          <w:rFonts w:hint="eastAsia" w:ascii="宋体" w:hAnsi="宋体" w:cs="宋体"/>
          <w:bCs/>
          <w:color w:val="auto"/>
          <w:sz w:val="24"/>
          <w:szCs w:val="24"/>
          <w:highlight w:val="none"/>
          <w:lang w:val="zh-CN"/>
        </w:rPr>
        <w:t xml:space="preserve">（含虚假承诺）</w:t>
      </w:r>
      <w:bookmarkEnd w:id="51"/>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2" w:name="_Hlk162444294"/>
      <w:r>
        <w:rPr>
          <w:rFonts w:hint="eastAsia" w:ascii="宋体" w:hAnsi="宋体" w:cs="宋体"/>
          <w:bCs/>
          <w:color w:val="auto"/>
          <w:sz w:val="24"/>
          <w:szCs w:val="24"/>
          <w:highlight w:val="none"/>
          <w:lang w:val="zh-CN"/>
        </w:rPr>
        <w:t xml:space="preserve">投标文件内容不全</w:t>
      </w:r>
      <w:bookmarkStart w:id="53"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2"/>
      <w:r/>
      <w:bookmarkEnd w:id="53"/>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4"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56"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5"/>
      <w:r/>
      <w:bookmarkStart w:id="57" w:name="OLE_LINK127"/>
      <w:r/>
      <w:bookmarkStart w:id="58" w:name="OLE_LINK63"/>
      <w:r/>
      <w:bookmarkStart w:id="5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5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5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9"/>
      <w:r/>
      <w:bookmarkEnd w:id="6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3"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3"/>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r/>
      <w:bookmarkEnd w:id="6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4" w:name="OLE_LINK18"/>
      <w:r>
        <w:rPr>
          <w:rFonts w:hint="eastAsia" w:ascii="宋体" w:hAnsi="宋体"/>
          <w:b/>
          <w:color w:val="auto"/>
          <w:sz w:val="28"/>
          <w:szCs w:val="28"/>
          <w:highlight w:val="none"/>
          <w:lang w:val="zh-CN"/>
        </w:rPr>
        <w:t xml:space="preserve">22、评标</w:t>
      </w:r>
      <w:bookmarkEnd w:id="6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5"/>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auto"/>
          <w:sz w:val="24"/>
          <w:highlight w:val="none"/>
        </w:rPr>
      </w:pPr>
      <w:r/>
      <w:bookmarkStart w:id="66"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66"/>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67" w:name="OLE_LINK129"/>
      <w:r/>
      <w:bookmarkStart w:id="68"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6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w:t>
      </w:r>
      <w:bookmarkStart w:id="69"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 xml:space="preserve">。</w:t>
      </w:r>
      <w:bookmarkEnd w:id="70"/>
      <w:r/>
      <w:bookmarkEnd w:id="7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2" w:name="OLE_LINK100"/>
      <w:r/>
      <w:bookmarkStart w:id="73"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4" w:name="_Hlk164153176"/>
      <w:r>
        <w:rPr>
          <w:rFonts w:hint="eastAsia" w:ascii="宋体" w:hAnsi="宋体"/>
          <w:bCs/>
          <w:color w:val="auto"/>
          <w:sz w:val="24"/>
          <w:szCs w:val="24"/>
          <w:highlight w:val="none"/>
          <w:lang w:val="zh-CN"/>
        </w:rPr>
        <w:t xml:space="preserve">31.2采购代理机构不负责向任何投标人解释评审情况。</w:t>
      </w:r>
      <w:bookmarkEnd w:id="74"/>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5" w:name="_Hlk131935115"/>
      <w:r/>
      <w:bookmarkStart w:id="76" w:name="OLE_LINK139"/>
      <w:r/>
      <w:bookmarkStart w:id="77"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5"/>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lang w:val="zh-CN"/>
        </w:rPr>
        <w:t xml:space="preserve">程序及流程操作使自己的权益受到损害的，可以向采购人提出质疑，也可以在法律规定</w:t>
      </w:r>
      <w:r>
        <w:rPr>
          <w:rFonts w:hint="eastAsia" w:ascii="宋体" w:hAnsi="宋体"/>
          <w:bCs/>
          <w:color w:val="auto"/>
          <w:sz w:val="24"/>
          <w:szCs w:val="24"/>
          <w:highlight w:val="none"/>
          <w:lang w:val="zh-CN"/>
        </w:rPr>
        <w:t xml:space="preserve">时间</w:t>
      </w:r>
      <w:r>
        <w:rPr>
          <w:rFonts w:hint="eastAsia" w:ascii="宋体" w:hAnsi="宋体"/>
          <w:bCs/>
          <w:color w:val="auto"/>
          <w:sz w:val="24"/>
          <w:szCs w:val="24"/>
          <w:highlight w:val="none"/>
          <w:lang w:val="zh-CN"/>
        </w:rPr>
        <w:t xml:space="preserve">内向采购代理机构提出质疑，采购代理机构就采购人委托授权范围内的事项作出答复。</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2"/>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929"/>
        <w:jc w:val="center"/>
        <w:spacing w:before="0" w:after="0" w:line="579" w:lineRule="auto"/>
        <w:rPr>
          <w:rFonts w:ascii="黑体" w:hAnsi="黑体" w:eastAsia="黑体"/>
          <w:color w:val="auto"/>
          <w:sz w:val="28"/>
          <w:highlight w:val="none"/>
        </w:rPr>
      </w:pPr>
      <w:r>
        <w:rPr>
          <w:rFonts w:ascii="黑体" w:hAnsi="黑体" w:eastAsia="黑体"/>
          <w:color w:val="auto"/>
          <w:sz w:val="28"/>
          <w:highlight w:val="none"/>
        </w:rPr>
        <w:br w:type="page" w:clear="all"/>
      </w:r>
      <w:bookmarkStart w:id="83" w:name="_Toc157174690"/>
      <w:r>
        <w:rPr>
          <w:rFonts w:hint="eastAsia" w:ascii="黑体" w:hAnsi="黑体" w:eastAsia="黑体"/>
          <w:b w:val="0"/>
          <w:bCs w:val="0"/>
          <w:color w:val="auto"/>
          <w:sz w:val="36"/>
          <w:szCs w:val="36"/>
          <w:highlight w:val="none"/>
        </w:rPr>
        <w:t xml:space="preserve">第三章 </w:t>
      </w:r>
      <w:bookmarkStart w:id="84" w:name="_Hlk160614525"/>
      <w:r>
        <w:rPr>
          <w:rFonts w:hint="eastAsia" w:ascii="黑体" w:hAnsi="黑体" w:eastAsia="黑体"/>
          <w:b w:val="0"/>
          <w:bCs w:val="0"/>
          <w:color w:val="auto"/>
          <w:sz w:val="36"/>
          <w:szCs w:val="36"/>
          <w:highlight w:val="none"/>
        </w:rPr>
        <w:t xml:space="preserve">项目技术要求和有关说明</w:t>
      </w:r>
      <w:bookmarkEnd w:id="73"/>
      <w:r/>
      <w:bookmarkEnd w:id="83"/>
      <w:r/>
      <w:bookmarkEnd w:id="84"/>
      <w:r/>
      <w:r/>
    </w:p>
    <w:p>
      <w:pPr>
        <w:jc w:val="left"/>
        <w:spacing w:line="360" w:lineRule="auto"/>
        <w:rPr>
          <w:rFonts w:ascii="宋体" w:hAnsi="宋体"/>
          <w:b/>
          <w:bCs/>
          <w:color w:val="auto"/>
          <w:sz w:val="24"/>
          <w:szCs w:val="24"/>
          <w:highlight w:val="none"/>
        </w:rPr>
      </w:pPr>
      <w:r/>
      <w:bookmarkStart w:id="85" w:name="OLE_LINK104"/>
      <w:r>
        <w:rPr>
          <w:rFonts w:hint="eastAsia" w:ascii="宋体" w:hAnsi="宋体"/>
          <w:b/>
          <w:bCs/>
          <w:color w:val="auto"/>
          <w:sz w:val="24"/>
          <w:szCs w:val="24"/>
          <w:highlight w:val="none"/>
        </w:rPr>
        <w:t xml:space="preserve">一、项目概况</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1、项目背景：</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2025年，无锡市宜兴市生态环境局在上年“双达标”、“双改善”的基础上，积极开展环境空气质量改善工作，深入打好污染防治攻坚战。2025年省定考核目标PM2.5为27μg/m3，优良率为82.3%，2025年，宜兴市PM2.5均值26μg/m3，优良率83%，秋冬季大气颗粒物压力巨大，完成省定考核目标过程非常艰难，2025年作为“十四五”收官之年，打好“十四五”的大气污染防治攻坚战至关重要。</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目前，宜兴市空气质量改善要求愈加严格，尤其是提升优良天数比例，成为宜兴市当下重中之重的问题。而影响优良率的主要因素为夏季O3和秋冬季颗粒物。根据2025年超标天统计结果，共超标63天，其中颗粒物共计10天，O3超标共计53天，不难看出，现阶段我市O3问题依然较为突出，尤其是在夏秋两季，O3超标频率较高。因此，季节性二次污染类型问题亟需精细化治理。与此同时，还需进一步巩固颗粒物、NOx等一次污染排放物的管控情况，提升全市综合指数排名。</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现阶段，在宜兴市空气质量改善项目取得一定成果的基础上，根据宜兴市大气污染态势及监管需求，需继续引入专业化服务团队，深入探索研究，完善宜兴市现有治污手段，提高精细化管控能力，进一步改善宜兴市空气质量，提高优良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2、发展需求：</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依据江苏省委省政府《关于深入推进美丽江苏建设的意见》（苏发〔2020〕15号）、无锡市委市政府《关于扎实推进美丽无锡建设的实施意见》（锡委发〔2020〕66号）和宜兴市委市政府《关于推进美丽宜兴建设的实施意见》（宜发〔2020〕58号）要求，坚持强化PM2.5和O3协同治理，根据《</w:t>
      </w:r>
      <w:bookmarkStart w:id="86" w:name="OLE_LINK1"/>
      <w:r>
        <w:rPr>
          <w:rFonts w:hint="eastAsia" w:asciiTheme="minorEastAsia" w:hAnsiTheme="minorEastAsia" w:eastAsiaTheme="minorEastAsia"/>
          <w:bCs/>
          <w:color w:val="auto"/>
          <w:sz w:val="24"/>
          <w:szCs w:val="22"/>
          <w:highlight w:val="none"/>
        </w:rPr>
        <w:t xml:space="preserve">无锡市臭氧污染治理</w:t>
      </w:r>
      <w:bookmarkEnd w:id="86"/>
      <w:r>
        <w:rPr>
          <w:rFonts w:hint="eastAsia" w:asciiTheme="minorEastAsia" w:hAnsiTheme="minorEastAsia" w:eastAsiaTheme="minorEastAsia"/>
          <w:bCs/>
          <w:color w:val="auto"/>
          <w:sz w:val="24"/>
          <w:szCs w:val="22"/>
          <w:highlight w:val="none"/>
        </w:rPr>
        <w:t xml:space="preserve">三年专项行动方案（2023—2025年）》，重点对O3、PM2.5来源解析，精准研判、对症下药，持续改善宜兴大气环境质量，努力实现美丽宜兴建设，让宜兴蓝天“含金量”持续提升。</w:t>
      </w:r>
      <w:r/>
    </w:p>
    <w:p>
      <w:pPr>
        <w:ind w:firstLine="240"/>
        <w:spacing w:line="360" w:lineRule="auto"/>
        <w:rPr>
          <w:rFonts w:asciiTheme="minorEastAsia" w:hAnsiTheme="minorEastAsia" w:eastAsiaTheme="minorEastAsia"/>
          <w:bCs/>
          <w:color w:val="auto"/>
          <w:sz w:val="24"/>
          <w:szCs w:val="22"/>
          <w:highlight w:val="none"/>
        </w:rPr>
      </w:pPr>
      <w:r/>
      <w:bookmarkStart w:id="87" w:name="OLE_LINK6"/>
      <w:r>
        <w:rPr>
          <w:rFonts w:hint="eastAsia" w:asciiTheme="minorEastAsia" w:hAnsiTheme="minorEastAsia" w:eastAsiaTheme="minorEastAsia"/>
          <w:bCs/>
          <w:color w:val="auto"/>
          <w:sz w:val="24"/>
          <w:szCs w:val="22"/>
          <w:highlight w:val="none"/>
        </w:rPr>
        <w:t xml:space="preserve">3、项目必要性:</w:t>
      </w:r>
      <w:bookmarkEnd w:id="87"/>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2023-2025年</w:t>
      </w:r>
      <w:bookmarkStart w:id="88" w:name="OLE_LINK9"/>
      <w:r>
        <w:rPr>
          <w:rFonts w:hint="eastAsia" w:asciiTheme="minorEastAsia" w:hAnsiTheme="minorEastAsia" w:eastAsiaTheme="minorEastAsia"/>
          <w:bCs/>
          <w:color w:val="auto"/>
          <w:sz w:val="24"/>
          <w:szCs w:val="22"/>
          <w:highlight w:val="none"/>
        </w:rPr>
        <w:t xml:space="preserve">宜兴市空气质量虽较前几年取得了较大程度的改善</w:t>
      </w:r>
      <w:bookmarkEnd w:id="88"/>
      <w:r>
        <w:rPr>
          <w:rFonts w:hint="eastAsia" w:asciiTheme="minorEastAsia" w:hAnsiTheme="minorEastAsia" w:eastAsiaTheme="minorEastAsia"/>
          <w:bCs/>
          <w:color w:val="auto"/>
          <w:sz w:val="24"/>
          <w:szCs w:val="22"/>
          <w:highlight w:val="none"/>
        </w:rPr>
        <w:t xml:space="preserve">，但PM2.5与O3污染仍然突出，是造成全市空气质量超标的主要原因，O3污染物浓度值在全省排名较为靠后，不难看出，现阶段我市O3问题依然较为突出，尤其是在夏秋两季，O3超标频率较高。因此，季节性二次污染类型问题亟需精细化治理。</w:t>
      </w:r>
      <w:r>
        <w:rPr>
          <w:rFonts w:hint="eastAsia" w:asciiTheme="minorEastAsia" w:hAnsiTheme="minorEastAsia" w:eastAsiaTheme="minorEastAsia"/>
          <w:bCs/>
          <w:color w:val="auto"/>
          <w:sz w:val="24"/>
          <w:szCs w:val="22"/>
          <w:highlight w:val="none"/>
        </w:rPr>
        <w:t xml:space="preserve">与此同时，国家已完成对《环境空气质量标准》的修改，空气质量标准进一步严格</w:t>
      </w:r>
      <w:r>
        <w:rPr>
          <w:rFonts w:hint="eastAsia" w:asciiTheme="minorEastAsia" w:hAnsiTheme="minorEastAsia" w:eastAsiaTheme="minorEastAsia"/>
          <w:bCs/>
          <w:color w:val="auto"/>
          <w:sz w:val="24"/>
          <w:szCs w:val="22"/>
          <w:highlight w:val="none"/>
        </w:rPr>
        <w:t xml:space="preserve">，预测“十五五”气象条件也会更加不利，我市空气质量面临下降、滑坡的风险，还需进一步巩固颗粒物、NOx等一次污染排放物的管控情况，提升全市综合指数排名。为了显著提升AQI，需重点防控PM2.5和臭氧。因此，对于PM2.5和</w:t>
      </w:r>
      <w:r>
        <w:rPr>
          <w:rFonts w:hint="eastAsia" w:asciiTheme="minorEastAsia" w:hAnsiTheme="minorEastAsia" w:eastAsiaTheme="minorEastAsia"/>
          <w:bCs/>
          <w:color w:val="auto"/>
          <w:sz w:val="24"/>
          <w:szCs w:val="22"/>
          <w:highlight w:val="none"/>
        </w:rPr>
        <w:t xml:space="preserve">O3的污染主要来源类别有哪些、污染源的变化规律如何、污染源与风速风向的关系如何、污染天气的成因是什么，以及如何重点管控污染源及管控措施的效果评估，如何快速锁定污染物的方位及准确位置，污染物的迁移与扩散趋势、重点应对哪些区域的哪些企业进行管控等工作仍然需要持续进行。为此，在2023-2025年工作取得的较好经验基础上，2026年仍需根据宜兴市大气污染特点及监管需求，组建大气管控专职团队，充分利用先进科技优势，全面提升科学精准防控能力，进一步改善全市环境空气质量，确保打好“十五五”开局之年的大气污染防治攻坚战。</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由于PM2.5和臭氧污染来源广泛、形成机理复杂，若缺乏科学有效的研究结果支撑，出台防控措施时会缺乏抓手，易出现“一刀切” 现象，可能导致事倍功半的防控结果。2023-2025年，大气主管部门已通过采购三方公司大气管控服务，借助先进技术手段对全市开展监测研究，为污染防控奠定了基础；</w:t>
      </w:r>
      <w:bookmarkStart w:id="89" w:name="OLE_LINK14"/>
      <w:r>
        <w:rPr>
          <w:rFonts w:hint="eastAsia" w:asciiTheme="minorEastAsia" w:hAnsiTheme="minorEastAsia" w:eastAsiaTheme="minorEastAsia"/>
          <w:bCs/>
          <w:color w:val="auto"/>
          <w:sz w:val="24"/>
          <w:szCs w:val="22"/>
          <w:highlight w:val="none"/>
        </w:rPr>
        <w:t xml:space="preserve">2026年，为进一步深化工作成效，仍需继续采购该服务，通过长时间持续监测与研究，精准摸清宜兴市PM2.5和臭氧的污染特征及来源，掌握PM2.5和臭氧前体物VOCs的排放特征，为管理部门制定防控措施提供科学依据，进而实现精细化管理，最终推动环境空气质量持续改善。</w:t>
      </w:r>
      <w:bookmarkEnd w:id="89"/>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4、项目可行性:</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本项目以省控点为监测重点，兼顾重点污染区域。拟采用颗粒物、光化学组分分析服务、网格化空气质量分析服务、污染源传输溯源服务、便携式六参数快速监测分析服务、无人机高空巡查服务，并结合气象数据，按照下图所示的技术路线，开展工作。</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环境的好坏不仅与人们的生活质量和身体健康息息相关，而且影响着区域经济的发展。</w:t>
      </w:r>
      <w:bookmarkStart w:id="90" w:name="OLE_LINK11"/>
      <w:r>
        <w:rPr>
          <w:rFonts w:hint="eastAsia" w:asciiTheme="minorEastAsia" w:hAnsiTheme="minorEastAsia" w:eastAsiaTheme="minorEastAsia"/>
          <w:bCs/>
          <w:color w:val="auto"/>
          <w:sz w:val="24"/>
          <w:szCs w:val="22"/>
          <w:highlight w:val="none"/>
        </w:rPr>
        <w:t xml:space="preserve">随着人们生活水平的提高和环保意识的加强，</w:t>
      </w:r>
      <w:bookmarkEnd w:id="90"/>
      <w:r>
        <w:rPr>
          <w:rFonts w:hint="eastAsia" w:asciiTheme="minorEastAsia" w:hAnsiTheme="minorEastAsia" w:eastAsiaTheme="minorEastAsia"/>
          <w:bCs/>
          <w:color w:val="auto"/>
          <w:sz w:val="24"/>
          <w:szCs w:val="22"/>
          <w:highlight w:val="none"/>
        </w:rPr>
        <w:t xml:space="preserve">公众越来越多的需要获取更多的环保信息，不仅需要了解居住生活区域环境空气质量的现状，还十分关注周边区域环境污染对本区域的影响。当重大环境污染事件发生时，媒体和公众还需要了解污染因子情况、传输及扩散路径、以及对居民健康的影响，以便采取自我防护措施，减少对身体健康的损害及个人财产的损失。</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严峻的环境空气质量达标压力下，无论是政府还是公益组织，都越来越关注环境问题。环境作为一种公共资源，与每一个人息息相关。对于环境空气质量指数不降反升的情况，环保部门也迫切的希望建立一套科学的大气污染防治与管控体系，为查处违法行为、应急预警、控制措施等提供有力的数据支持。</w:t>
      </w:r>
      <w:r/>
    </w:p>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color w:val="auto"/>
          <w:sz w:val="24"/>
          <w:szCs w:val="22"/>
          <w:highlight w:val="none"/>
        </w:rPr>
        <mc:AlternateContent>
          <mc:Choice Requires="wpg">
            <w:drawing>
              <wp:inline xmlns:wp="http://schemas.openxmlformats.org/drawingml/2006/wordprocessingDrawing" distT="0" distB="0" distL="0" distR="0">
                <wp:extent cx="5534025" cy="30384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34025" cy="30384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8pt;height:239.2pt;mso-wrap-distance-left:0.0pt;mso-wrap-distance-top:0.0pt;mso-wrap-distance-right:0.0pt;mso-wrap-distance-bottom:0.0pt;" stroked="f">
                <v:path textboxrect="0,0,0,0"/>
                <v:imagedata r:id="rId17" o:title=""/>
              </v:shape>
            </w:pict>
          </mc:Fallback>
        </mc:AlternateConten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图1项目总体技术路线示意图</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具体服务需求如下：</w:t>
      </w:r>
      <w:r/>
    </w:p>
    <w:tbl>
      <w:tblPr>
        <w:tblStyle w:val="932"/>
        <w:tblW w:w="48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2341"/>
        <w:gridCol w:w="4375"/>
        <w:gridCol w:w="1272"/>
      </w:tblGrid>
      <w:tr>
        <w:trPr>
          <w:jc w:val="center"/>
          <w:trHeight w:val="567"/>
          <w:tblHeader/>
        </w:trPr>
        <w:tc>
          <w:tcPr>
            <w:tcW w:w="785"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服务项目</w:t>
            </w:r>
            <w:r/>
          </w:p>
        </w:tc>
        <w:tc>
          <w:tcPr>
            <w:tcW w:w="1235"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专项服务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具体内容</w:t>
            </w:r>
            <w:r/>
          </w:p>
        </w:tc>
        <w:tc>
          <w:tcPr>
            <w:tcW w:w="671"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服务期限</w:t>
            </w:r>
            <w:r/>
          </w:p>
        </w:tc>
      </w:tr>
      <w:tr>
        <w:trPr>
          <w:jc w:val="center"/>
          <w:trHeight w:val="567"/>
        </w:trPr>
        <w:tc>
          <w:tcPr>
            <w:tcW w:w="78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全方位大气监测服务</w:t>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颗粒物、光化学组分分析服务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无机元素在线分析服务</w:t>
            </w:r>
            <w:r/>
          </w:p>
        </w:tc>
        <w:tc>
          <w:tcPr>
            <w:tcW w:w="671"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1年</w:t>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在线离子色谱分析服务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在线碳组分分析服务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91" w:name="OLE_LINK46"/>
            <w:r>
              <w:rPr>
                <w:rFonts w:hint="eastAsia" w:asciiTheme="minorEastAsia" w:hAnsiTheme="minorEastAsia" w:eastAsiaTheme="minorEastAsia"/>
                <w:bCs/>
                <w:color w:val="auto"/>
                <w:sz w:val="24"/>
                <w:szCs w:val="22"/>
                <w:highlight w:val="none"/>
              </w:rPr>
              <w:t xml:space="preserve">非甲烷总烃及</w:t>
            </w:r>
            <w:bookmarkStart w:id="92" w:name="OLE_LINK47"/>
            <w:r/>
            <w:bookmarkStart w:id="93" w:name="OLE_LINK48"/>
            <w:r>
              <w:rPr>
                <w:rFonts w:hint="eastAsia" w:asciiTheme="minorEastAsia" w:hAnsiTheme="minorEastAsia" w:eastAsiaTheme="minorEastAsia"/>
                <w:bCs/>
                <w:color w:val="auto"/>
                <w:sz w:val="24"/>
                <w:szCs w:val="22"/>
                <w:highlight w:val="none"/>
              </w:rPr>
              <w:t xml:space="preserve">臭氧前驱物57项（PAMs）分析</w:t>
            </w:r>
            <w:bookmarkEnd w:id="92"/>
            <w:r/>
            <w:bookmarkEnd w:id="93"/>
            <w:r>
              <w:rPr>
                <w:rFonts w:hint="eastAsia" w:asciiTheme="minorEastAsia" w:hAnsiTheme="minorEastAsia" w:eastAsiaTheme="minorEastAsia"/>
                <w:bCs/>
                <w:color w:val="auto"/>
                <w:sz w:val="24"/>
                <w:szCs w:val="22"/>
                <w:highlight w:val="none"/>
              </w:rPr>
              <w:t xml:space="preserve">服务</w:t>
            </w:r>
            <w:bookmarkEnd w:id="91"/>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网格化空气质量分析服务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微型站空气质量监测服务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污染物传输溯源服务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颗粒物激光雷达扫描、垂直观测服务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企业烟气排放监测服务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便携式大气快速监测分析服务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94" w:name="OLE_LINK51"/>
            <w:r/>
            <w:bookmarkStart w:id="95" w:name="OLE_LINK52"/>
            <w:r>
              <w:rPr>
                <w:rFonts w:hint="eastAsia" w:asciiTheme="minorEastAsia" w:hAnsiTheme="minorEastAsia" w:eastAsiaTheme="minorEastAsia"/>
                <w:bCs/>
                <w:color w:val="auto"/>
                <w:sz w:val="24"/>
                <w:szCs w:val="22"/>
                <w:highlight w:val="none"/>
              </w:rPr>
              <w:t xml:space="preserve">颗粒物（PM2.5和PM10）快速检测服务</w:t>
            </w:r>
            <w:bookmarkEnd w:id="94"/>
            <w:r/>
            <w:bookmarkEnd w:id="95"/>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96" w:name="OLE_LINK49"/>
            <w:r/>
            <w:bookmarkStart w:id="97" w:name="OLE_LINK50"/>
            <w:r>
              <w:rPr>
                <w:rFonts w:hint="eastAsia" w:asciiTheme="minorEastAsia" w:hAnsiTheme="minorEastAsia" w:eastAsiaTheme="minorEastAsia"/>
                <w:bCs/>
                <w:color w:val="auto"/>
                <w:sz w:val="24"/>
                <w:szCs w:val="22"/>
                <w:highlight w:val="none"/>
              </w:rPr>
              <w:t xml:space="preserve">气态污染物（SO2、NO2、CO、O3）快速检测</w:t>
            </w:r>
            <w:bookmarkEnd w:id="96"/>
            <w:r/>
            <w:bookmarkEnd w:id="97"/>
            <w:r>
              <w:rPr>
                <w:rFonts w:hint="eastAsia" w:asciiTheme="minorEastAsia" w:hAnsiTheme="minorEastAsia" w:eastAsiaTheme="minorEastAsia"/>
                <w:bCs/>
                <w:color w:val="auto"/>
                <w:sz w:val="24"/>
                <w:szCs w:val="22"/>
                <w:highlight w:val="none"/>
              </w:rPr>
              <w:t xml:space="preserve">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98" w:name="OLE_LINK53"/>
            <w:r>
              <w:rPr>
                <w:rFonts w:hint="eastAsia" w:asciiTheme="minorEastAsia" w:hAnsiTheme="minorEastAsia" w:eastAsiaTheme="minorEastAsia"/>
                <w:bCs/>
                <w:color w:val="auto"/>
                <w:sz w:val="24"/>
                <w:szCs w:val="22"/>
                <w:highlight w:val="none"/>
              </w:rPr>
              <w:t xml:space="preserve">VOCs快速检测服务</w:t>
            </w:r>
            <w:bookmarkEnd w:id="98"/>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无人机高空巡查服务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秸秆焚烧巡飞服务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大气巡飞走航服务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数据集成化分析服务</w:t>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数据整合服务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环境空气数据接入</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污染源档案建设</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空气质量监测一张图建设</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业务应用支撑服务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空气质量综合分析</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目标管控分析</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99" w:name="OLE_LINK22"/>
            <w:r>
              <w:rPr>
                <w:rFonts w:hint="eastAsia" w:asciiTheme="minorEastAsia" w:hAnsiTheme="minorEastAsia" w:eastAsiaTheme="minorEastAsia"/>
                <w:bCs/>
                <w:color w:val="auto"/>
                <w:sz w:val="24"/>
                <w:szCs w:val="22"/>
                <w:highlight w:val="none"/>
              </w:rPr>
              <w:t xml:space="preserve">大气污染变化规律</w:t>
            </w:r>
            <w:bookmarkEnd w:id="99"/>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0" w:name="OLE_LINK24"/>
            <w:r/>
            <w:bookmarkStart w:id="101" w:name="OLE_LINK23"/>
            <w:r>
              <w:rPr>
                <w:rFonts w:hint="eastAsia" w:asciiTheme="minorEastAsia" w:hAnsiTheme="minorEastAsia" w:eastAsiaTheme="minorEastAsia"/>
                <w:bCs/>
                <w:color w:val="auto"/>
                <w:sz w:val="24"/>
                <w:szCs w:val="22"/>
                <w:highlight w:val="none"/>
              </w:rPr>
              <w:t xml:space="preserve">污染特征分析</w:t>
            </w:r>
            <w:bookmarkEnd w:id="100"/>
            <w:r/>
            <w:bookmarkEnd w:id="101"/>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数据专题分析服务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空气质量监测数据异常报警</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省控站周边拥堵识别</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2" w:name="OLE_LINK39"/>
            <w:r/>
            <w:bookmarkStart w:id="103" w:name="OLE_LINK40"/>
            <w:r>
              <w:rPr>
                <w:rFonts w:hint="eastAsia" w:asciiTheme="minorEastAsia" w:hAnsiTheme="minorEastAsia" w:eastAsiaTheme="minorEastAsia"/>
                <w:bCs/>
                <w:color w:val="auto"/>
                <w:sz w:val="24"/>
                <w:szCs w:val="22"/>
                <w:highlight w:val="none"/>
              </w:rPr>
              <w:t xml:space="preserve">工业源异常识别</w:t>
            </w:r>
            <w:bookmarkEnd w:id="102"/>
            <w:r/>
            <w:bookmarkEnd w:id="103"/>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4" w:name="OLE_LINK42"/>
            <w:r/>
            <w:bookmarkStart w:id="105" w:name="OLE_LINK41"/>
            <w:r>
              <w:rPr>
                <w:rFonts w:hint="eastAsia" w:asciiTheme="minorEastAsia" w:hAnsiTheme="minorEastAsia" w:eastAsiaTheme="minorEastAsia"/>
                <w:bCs/>
                <w:color w:val="auto"/>
                <w:sz w:val="24"/>
                <w:szCs w:val="22"/>
                <w:highlight w:val="none"/>
              </w:rPr>
              <w:t xml:space="preserve">组分站监测数据分析</w:t>
            </w:r>
            <w:bookmarkEnd w:id="104"/>
            <w:r/>
            <w:bookmarkEnd w:id="105"/>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6" w:name="OLE_LINK43"/>
            <w:r>
              <w:rPr>
                <w:rFonts w:hint="eastAsia" w:asciiTheme="minorEastAsia" w:hAnsiTheme="minorEastAsia" w:eastAsiaTheme="minorEastAsia"/>
                <w:bCs/>
                <w:color w:val="auto"/>
                <w:sz w:val="24"/>
                <w:szCs w:val="22"/>
                <w:highlight w:val="none"/>
              </w:rPr>
              <w:t xml:space="preserve">区域空气质量分析</w:t>
            </w:r>
            <w:bookmarkEnd w:id="106"/>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溯源管控服务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站点高值溯源</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7" w:name="OLE_LINK28"/>
            <w:r/>
            <w:bookmarkStart w:id="108" w:name="OLE_LINK27"/>
            <w:r>
              <w:rPr>
                <w:rFonts w:hint="eastAsia" w:asciiTheme="minorEastAsia" w:hAnsiTheme="minorEastAsia" w:eastAsiaTheme="minorEastAsia"/>
                <w:bCs/>
                <w:color w:val="auto"/>
                <w:sz w:val="24"/>
                <w:szCs w:val="22"/>
                <w:highlight w:val="none"/>
              </w:rPr>
              <w:t xml:space="preserve">站点高值预警</w:t>
            </w:r>
            <w:bookmarkEnd w:id="107"/>
            <w:r/>
            <w:bookmarkEnd w:id="108"/>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09" w:name="OLE_LINK30"/>
            <w:r/>
            <w:bookmarkStart w:id="110" w:name="OLE_LINK29"/>
            <w:r>
              <w:rPr>
                <w:rFonts w:hint="eastAsia" w:asciiTheme="minorEastAsia" w:hAnsiTheme="minorEastAsia" w:eastAsiaTheme="minorEastAsia"/>
                <w:bCs/>
                <w:color w:val="auto"/>
                <w:sz w:val="24"/>
                <w:szCs w:val="22"/>
                <w:highlight w:val="none"/>
              </w:rPr>
              <w:t xml:space="preserve">污染源扩散模拟</w:t>
            </w:r>
            <w:bookmarkEnd w:id="109"/>
            <w:r/>
            <w:bookmarkEnd w:id="110"/>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11" w:name="OLE_LINK31"/>
            <w:r/>
            <w:bookmarkStart w:id="112" w:name="OLE_LINK32"/>
            <w:r>
              <w:rPr>
                <w:rFonts w:hint="eastAsia" w:asciiTheme="minorEastAsia" w:hAnsiTheme="minorEastAsia" w:eastAsiaTheme="minorEastAsia"/>
                <w:bCs/>
                <w:color w:val="auto"/>
                <w:sz w:val="24"/>
                <w:szCs w:val="22"/>
                <w:highlight w:val="none"/>
              </w:rPr>
              <w:t xml:space="preserve">区域污染过程模拟</w:t>
            </w:r>
            <w:bookmarkEnd w:id="111"/>
            <w:r/>
            <w:bookmarkEnd w:id="112"/>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bookmarkStart w:id="113" w:name="OLE_LINK34"/>
            <w:r>
              <w:rPr>
                <w:rFonts w:hint="eastAsia" w:asciiTheme="minorEastAsia" w:hAnsiTheme="minorEastAsia" w:eastAsiaTheme="minorEastAsia"/>
                <w:bCs/>
                <w:color w:val="auto"/>
                <w:sz w:val="24"/>
                <w:szCs w:val="22"/>
                <w:highlight w:val="none"/>
              </w:rPr>
              <w:t xml:space="preserve">气象精细预报</w:t>
            </w:r>
            <w:bookmarkEnd w:id="113"/>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环境空气质量保障驻场服务</w:t>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数据监管与分析服务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数据解读与分析报告服务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分析区域污染物浓度时间和空间变化规律</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数据监控、采集与整理服务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专家咨询及技术培训服务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应急管控服务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通过短期预测预报，开展应急服务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应急设备保障服务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巡查交办服务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日常巡查服务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异常高值巡查服务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动态污染源清单编制服务</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污染管控成效综合分析效果评估服务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结合应急管控需求提出针对性意见</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评估污染应急管控工作的成效</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51"/>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restart"/>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污染扩散模型溯源及车船尾气溯源服务</w:t>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利用扩散模型评估重点排放源对省控点的贡献</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r>
        <w:trPr>
          <w:jc w:val="center"/>
          <w:trHeight w:val="567"/>
        </w:trPr>
        <w:tc>
          <w:tcPr>
            <w:tcW w:w="78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1235"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c>
          <w:tcPr>
            <w:tcW w:w="2308" w:type="pct"/>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评估宜兴市机动车及船舶尾气对省控站点空气质量影响</w:t>
            </w:r>
            <w:r/>
          </w:p>
        </w:tc>
        <w:tc>
          <w:tcPr>
            <w:tcW w:w="671" w:type="pct"/>
            <w:vAlign w:val="center"/>
            <w:vMerge w:val="continue"/>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asciiTheme="minorEastAsia" w:hAnsiTheme="minorEastAsia" w:eastAsiaTheme="minorEastAsia"/>
                <w:bCs/>
                <w:color w:val="auto"/>
                <w:sz w:val="24"/>
                <w:szCs w:val="22"/>
                <w:highlight w:val="none"/>
              </w:rPr>
            </w:r>
            <w:r/>
          </w:p>
        </w:tc>
      </w:tr>
    </w:tbl>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项目目标：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开展全方位大气监测服务</w:t>
      </w:r>
      <w:bookmarkStart w:id="114" w:name="OLE_LINK10"/>
      <w:r>
        <w:rPr>
          <w:rFonts w:hint="eastAsia" w:asciiTheme="minorEastAsia" w:hAnsiTheme="minorEastAsia" w:eastAsiaTheme="minorEastAsia"/>
          <w:bCs/>
          <w:color w:val="auto"/>
          <w:sz w:val="24"/>
          <w:szCs w:val="22"/>
          <w:highlight w:val="none"/>
        </w:rPr>
        <w:t xml:space="preserve">，</w:t>
      </w:r>
      <w:bookmarkEnd w:id="114"/>
      <w:r>
        <w:rPr>
          <w:rFonts w:hint="eastAsia" w:asciiTheme="minorEastAsia" w:hAnsiTheme="minorEastAsia" w:eastAsiaTheme="minorEastAsia"/>
          <w:bCs/>
          <w:color w:val="auto"/>
          <w:sz w:val="24"/>
          <w:szCs w:val="22"/>
          <w:highlight w:val="none"/>
        </w:rPr>
        <w:t xml:space="preserve">运用气象卫星以及无人机观测技术，对颗粒物</w:t>
      </w:r>
      <w:r>
        <w:rPr>
          <w:rFonts w:hint="eastAsia" w:asciiTheme="minorEastAsia" w:hAnsiTheme="minorEastAsia" w:eastAsiaTheme="minorEastAsia"/>
          <w:bCs/>
          <w:color w:val="auto"/>
          <w:sz w:val="24"/>
          <w:szCs w:val="22"/>
          <w:highlight w:val="none"/>
        </w:rPr>
        <w:t xml:space="preserve">组分和光化学组分进行精准溯源、对站点周边网格化区域空气质量环境进行深度解析和评估、对区域颗粒物来源污染信息和位置信息进行精准监控、对现场问题进行客观反应；采用“互联网+”、云计算与大数据相结合的方式提供数据集成化分析服务，开发业务应用支撑、数据专题分析、溯源管控，形成“问题诊断-管控建议-动态评估”的工作模式；采用大数据挖掘开展环境空气质量保障驻场服务，对大气数据进行监管及分析、对应急管控效果进行评估、对污染问题进行巡查交办，构建“溯源-精细化管控”的大气污染物综合管控体系，实现环境空气质量持续改善的目标。</w:t>
      </w:r>
      <w:r/>
    </w:p>
    <w:p>
      <w:pPr>
        <w:ind w:firstLine="241"/>
        <w:spacing w:line="360" w:lineRule="auto"/>
        <w:rPr>
          <w:rFonts w:asciiTheme="minorEastAsia" w:hAnsiTheme="minorEastAsia" w:eastAsiaTheme="minorEastAsia"/>
          <w:b/>
          <w:color w:val="auto"/>
          <w:sz w:val="24"/>
          <w:szCs w:val="22"/>
          <w:highlight w:val="none"/>
        </w:rPr>
      </w:pPr>
      <w:r>
        <w:rPr>
          <w:rFonts w:hint="eastAsia" w:asciiTheme="minorEastAsia" w:hAnsiTheme="minorEastAsia" w:eastAsiaTheme="minorEastAsia"/>
          <w:b/>
          <w:color w:val="auto"/>
          <w:sz w:val="24"/>
          <w:szCs w:val="22"/>
          <w:highlight w:val="none"/>
        </w:rPr>
        <w:t xml:space="preserve">二、服务内容：</w:t>
      </w:r>
      <w:r/>
    </w:p>
    <w:p>
      <w:pPr>
        <w:ind w:firstLine="240"/>
        <w:spacing w:line="360" w:lineRule="auto"/>
        <w:rPr>
          <w:rFonts w:asciiTheme="minorEastAsia" w:hAnsiTheme="minorEastAsia" w:eastAsiaTheme="minorEastAsia"/>
          <w:bCs/>
          <w:color w:val="auto"/>
          <w:sz w:val="24"/>
          <w:szCs w:val="22"/>
          <w:highlight w:val="none"/>
        </w:rPr>
      </w:pPr>
      <w:r/>
      <w:bookmarkStart w:id="115" w:name="_Toc520844194"/>
      <w:r>
        <w:rPr>
          <w:rFonts w:hint="eastAsia" w:asciiTheme="minorEastAsia" w:hAnsiTheme="minorEastAsia" w:eastAsiaTheme="minorEastAsia"/>
          <w:bCs/>
          <w:color w:val="auto"/>
          <w:sz w:val="24"/>
          <w:szCs w:val="22"/>
          <w:highlight w:val="none"/>
        </w:rPr>
        <w:t xml:space="preserve">1</w:t>
      </w:r>
      <w:bookmarkEnd w:id="115"/>
      <w:r>
        <w:rPr>
          <w:rFonts w:hint="eastAsia" w:asciiTheme="minorEastAsia" w:hAnsiTheme="minorEastAsia" w:eastAsiaTheme="minorEastAsia"/>
          <w:bCs/>
          <w:color w:val="auto"/>
          <w:sz w:val="24"/>
          <w:szCs w:val="22"/>
          <w:highlight w:val="none"/>
        </w:rPr>
        <w:t xml:space="preserve">全方位大气监测服务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1.1颗粒物及光化学组分分析服务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了解大气颗粒物和臭氧组分是科学、有效开展大气污染防治工作的基础和前提，是制定环境空气质量达标规划和重污染天气应急预案的重要依据，是开展大气污染防治措施效果评估的重要手段。颗粒物和臭氧来源的多样性和复杂性决定了其复杂的化学组成，不同化学组分的区域传输能力和环境效应也有所不同。目前，宜兴市仅明晰了颗粒物污染防治思路，对于臭氧、NOx等污染物的防治思路还需进一步明确，避免“眉毛胡子一把抓”全面发力，耗费大量的人力、物力和财力的同时还存在一定的管理盲区。</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因此，为持续改善宜兴市空气质量，使其空气质量排名得以稳固或上升，年度目标得以顺利实现，现阶段，宜兴市必须尽快开展光化学组分分析工作，同时兼顾颗粒物组分深度分析，厘清宜兴市大气污染的本底水平、污染成因和区域传输情况，才能对颗粒物及臭氧实施精细化管控，才能从真正意义上实现颗粒物和臭氧污染协同治理。具体需求如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（1）需对宜兴市颗粒物中无机元素污染物特征进行分析，主要包含对宜兴市，特别是秋冬季和重污染时段颗粒物中的地壳元素的分析及重金属元素的分析，并推测无机元素的污染来源。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（2）需对宜兴市秋冬季和重污染时段的水溶性离子（硫酸盐、硝酸盐、铵盐、氯盐）进行分析，分析宜兴市颗粒物的水溶性离子污染特征。</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（3）需对宜兴市秋冬季和重污染时段颗粒物中有机碳（OC）、元素碳（EC）浓度水平进行综合分析，并进行OC、EC相关性的分析、二次有机碳（SOC）的测算，推测碳质组分不同功能区域的排放特征。</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需对宜兴市省控站点O3的前驱物（VOCs浓度）排放水平进行综合监测、分析，评估大气环境中的VOCs浓度污染水平，及时发现VOCs污染源，通过监测数据分析本地排放及外源输入的VOCs对本地臭氧生成的影响及贡献，预判臭氧是否存在超标风险。</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1、无机元素在线分析仪</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（1）设备用途：用于自动在线监测大气气溶胶中元素成分，结合采样流量和采样时间，可对大气气溶胶中元素成分进行定性定量分析；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（2）基本要求：可实时监测气溶胶中Ca、Cr、Zn、As、Cd、Pb等元素成分；</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检测目标元素：Ca、Cr、Zn、As、Cd、Pb等；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分析方法：X射线荧光法；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监测范围：0～100μg/m3；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检出限：≤0.2μg/cm2；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精密度：≤2%；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24小时零点漂移：±0.5μg/cm2；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7天零点漂移：±0.5μg/cm2；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线性相关系数：≥0.999；</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流量相对标准偏差：≤1%；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2、在线离子色谱仪</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（1）设备用途：用于自动在线监测大气气溶胶中可溶性成分（阴、阳离子）的含量；</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（2）基本要求：可实时监测气溶胶中SO42-、NO3-、NO2-、F-、Cl-、Na+、NH4+、K+、Mg2+、Ca2+等水溶性物质；</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分析方法：离子色谱法；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监测范围：0～200μg/m3；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采样流量：16.7L/min；</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流量相对偏差：±5%；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方法检出限：≤0.02ug/m3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准确度：±10%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溶蚀器：气体溶蚀器采用旋转式或垂直式设计，气蚀器具有自清洁功能，免维护。</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切割器：配备PM2.5、PM10的切割器，可切换；</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全中文操作界面与监测资料资料库，一键自动采样启动，可选择单一或多物种同时显示、历史资料查询；</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远程监控与报警通知：内置可连续运行的工业用电脑，以LAN接口可远端监控设备运行。针对采样流量、温度与离子色谱管路压力进行连续监控，当异常状况发生时，系统会主动报警相关人员；</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数据校准方式：支持外标校准；</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通讯方式：有线/无线或串口232或485；</w:t>
      </w:r>
      <w:r/>
    </w:p>
    <w:p>
      <w:pPr>
        <w:ind w:firstLine="240"/>
        <w:spacing w:line="360" w:lineRule="auto"/>
        <w:rPr>
          <w:rFonts w:asciiTheme="minorEastAsia" w:hAnsiTheme="minorEastAsia" w:eastAsiaTheme="minorEastAsia"/>
          <w:bCs/>
          <w:color w:val="auto"/>
          <w:sz w:val="24"/>
          <w:szCs w:val="22"/>
          <w:highlight w:val="none"/>
        </w:rPr>
      </w:pPr>
      <w:r/>
      <w:bookmarkStart w:id="116" w:name="_Toc51136912"/>
      <w:r>
        <w:rPr>
          <w:rFonts w:hint="eastAsia" w:asciiTheme="minorEastAsia" w:hAnsiTheme="minorEastAsia" w:eastAsiaTheme="minorEastAsia"/>
          <w:bCs/>
          <w:color w:val="auto"/>
          <w:sz w:val="24"/>
          <w:szCs w:val="22"/>
          <w:highlight w:val="none"/>
        </w:rPr>
        <w:t xml:space="preserve">3、在线碳组分分析仪</w:t>
      </w:r>
      <w:bookmarkEnd w:id="116"/>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（1）设备用途：连续在线获得有机碳、元素碳浓度，适用于碳气溶胶组分在线监测、颗粒物源解析等应用领域；</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（2）基本要求：可实时在线监测大气颗粒物中有机碳（OC）和元素碳（EC）含量；</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检测方法：热光法；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检出限：≤1ug/m3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溶蚀器吸收效率：≥85%；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线性度：≥0.995；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平均流量偏差：±5%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激光稳定性：≤10%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分析时间：10min，用户可调</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校准：内标：在每个样品分析结束时系统自动注入CH4标气，以标气对分析结果进行校正；外标：主要校准采用蔗糖溶液或NIST溯源标准气体校准；</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滤膜技术：为保证校准与测试的一致，校准时与测试时的滤膜位置固定，且滤膜的安装可以在仪器外部完成，可视化程度高；</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在线分析仪性能可靠，具备长时间、连续监测的能力，能够得到小时平均浓度。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运维保障：为保障组分站的日常运行维护，质量保证和质量控制、以及数据审核，保证监测数据的准确性和可靠性，中标单位应根据组分站的特点提供完善的运维服务方案。运维服务方案至少包括日常维护、质控技术及数据审核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4、非甲烷总烃分析仪</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（1）设备用途：采用先进的氢火焰离子气相色谱分析技术(GC-FID)，测量气体中的挥发性有机物。</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（2）基本要求：可以连续监测环境空气中甲烷/非甲烷总烃含量。</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检测方法：氢火焰离子化检测法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分析周期：≤15min</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系统检出限：&lt;2.5x10-2 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线性误差：1%F.S.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湿度影响：±2%F.S.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24h 20%量程漂移：士2% 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24h 80%量程漂移：士2% 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5、环境空气挥发性有机物气相色谱连续监测系统（PAMs57）</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采用先进的氢火焰离子气相色谱分析技术(GC-FID)，以C2-C12非甲烷总烃（PAMs57项）为目标化合物，对乙烷、乙烯、丙烷、丙烯、异丁烷、正丁烷、乙炔、反-2-丁烯、1-丁烯、顺-2-丁烯、环戊烷、异戊烷、正戊烷、反-2-戊烯、1-戊烯、顺-2-戊烯、2,2-二甲基丁烷、2,3-二甲基丁烷、2</w:t>
      </w:r>
      <w:r>
        <w:rPr>
          <w:rFonts w:hint="eastAsia" w:asciiTheme="minorEastAsia" w:hAnsiTheme="minorEastAsia" w:eastAsiaTheme="minorEastAsia"/>
          <w:bCs/>
          <w:color w:val="auto"/>
          <w:sz w:val="24"/>
          <w:szCs w:val="22"/>
          <w:highlight w:val="none"/>
        </w:rPr>
        <w:t xml:space="preserve">-甲基戊烷、3-甲基戊烷、异戊二烯、正已烷、1-已烯、甲基环戊烷、2,4-二甲基戊烷、苯、环己烷、2-甲基已烷、2,3-二甲基戊烷、3-甲基已烷、2,2,4-三甲基戊、正庚烷、甲基环已烷、2,3,4-三甲基戊烷、甲苯、2-甲基庚烷、3-甲基庚烷、正辛烷、乙苯、间二甲苯、对二甲苯、苯乙烯、邻二甲苯、正壬烷、异丙苯、正丙苯、间-乙基甲基苯、对-乙基甲基苯、1,3,5-三甲基苯、1,2,4-三甲基苯、1,2,3-三甲基苯、邻-乙基甲苯、正癸烷、间-二乙基苯、对-二乙基苯、十一烷、十二烷57项挥发性有机物进行监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（2）基本要求：可连续监测57余种挥发性有机物，包括PAMs高沸点组分等。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检测对象：臭氧前驱物57项(PAMS)C2-C12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检测方法：GC-FID</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方法检出限：90%组分≤0.2nmol/mol；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相关系数：≥0.98</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相对误差：≤15%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零点噪声：≤0.1nmol/mol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精密度：≤10%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仪器平行性：≤20%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系统残留：90%组分≤0.1nmol/mol；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1.2网格化空气质量分析服务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结合无锡市宜兴生态环境局大气污染防治工作实际情况，本项目需在五局大院和宜园两个站点周边预设网格化监测系统，时刻监测区域内污染物变化情况，构建覆盖面广、重点突出、密度合理的大气自动监测网格，微型站监测点位40个，需提供40套微型站设备进行网格化监测服务，紧紧围绕“减排、管车、扬尘、治油烟”等工作重点，立足精准溯源，坚持目标导向、问题导向、结果导向，对宜兴市工业集中区及重点污染区域、排污单位、机动车尾气等进行综合监管，全力推进施策措施有效进行，综合改善宜兴市大气环境质量。具体服务内容需求如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1、微型站空气质量监测服务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大气网格化监测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按照无锡市宜兴生态环境局大气污染防治环境监管网格化管理要求，分析目前PM2.5等污染物高值情况的具体原因，确定是本源</w:t>
      </w:r>
      <w:r>
        <w:rPr>
          <w:rFonts w:hint="eastAsia" w:asciiTheme="minorEastAsia" w:hAnsiTheme="minorEastAsia" w:eastAsiaTheme="minorEastAsia"/>
          <w:bCs/>
          <w:color w:val="auto"/>
          <w:sz w:val="24"/>
          <w:szCs w:val="22"/>
          <w:highlight w:val="none"/>
        </w:rPr>
        <w:t xml:space="preserve">排放还是外部传输，综合原因进行防治环境监管网格化站点布设。能够基于大气微站和多维数据分析模型构建以监测数据展示、预警和管控为一体的综合型管理系统，需在污染源排查的基础上，融合物联网技术，以“点、线、面”相结合的方式构建“一张网”建设，系统可通过获取高时空分辨率的监测数据，结合GIS地图实时显示市区内全部监测点的站点信息、监测数据，实现不同类型区域、不同功能点位、不同时间段的环境空气质量状况统计和对比，发现污染变化规律，定位污染源和时间段，提供污染源分析报告和污染预警，预防突发环境污染事件、降低潜在环境风险。</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大气污染精准溯源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一方面，通过设备配套的大数据分析系统将监测结果进行多方面、多维度的分析研判以精准定位污染源头，捕捉无组织排放源。另一方面通过数据筛查可得到污染源热点地带、全方位的掌控污染城区内的污染分布状况，提供空气质量报告、不同区域空气质量排名、空气质量地图等，为环境污染防控提供有效的决策支持与研判。</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大气污染预警应急</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城区内围绕省控站点距离最近的环境敏感目标处，全面建成智能化的实时大气微型空气站。并在主导风向的上下风向上设立监控点，对无组织排放、挥发性有机物（VOCs）等进行在线监控。对空气质量的动态和气象变化趋势进行分析研判，提前预警将来某地区、某时段可能发生的污染，联动各职责部门提前介入管控。</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基本要求</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本项目所应用的微型站技术参数以及所提供的安装、调试、试运行、验收、质控等配套技术服务应符合生态环境部《大气PM2.5网格化监测点位布设技术指南（试行）》、《大气PM2.5网格化监测技术要求和检验方法技术指南（试行）》、《大气PM2.5网格化监测系统质保质控与运行技术指南（试行）》、《大气PM2.5网格化监测系统安装和验收技术指南（试行）》的有关规定。</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本项目中PM10、PM2.5、SO2、NO2、O3、CO、TVOC等相关监测指标应依据《网格化环境空气质量监测仪认证技术规范》（RJGF 008-2021）进行认证。</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设备配套的大数据分析系统能够展示当前城市可查看的所有站点的空气质量信息，主要包含：实时AQI指数、统计时间、空气质量等级、PM2.5、PM10、CO、SO2、O3、NO2及首要污染物浓度、天气情况、气象条件（温度、湿度、风向及风速）等信息。支持同屏多点位显示，支持移动终端数据查询，也可向显示终端推送数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（1）PM2.5性能指标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测量范围：(0~1000) 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测量误差：±18μg/m3；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平行性：≤12%；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重复性：≤12%；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相关系数：≥0.9；</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（2）PM10性能指标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测量范围：(0~1000) 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测量误差：±18μg/m3；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相关系数：≥0.92；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（3）SO2性能指标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测量范围：(0~500) 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测量误差：±18nmol/mol；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示值误差：≤±10%FS；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响应时间：≤120s；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（4）NO2性能指标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测量范围：(0~500) 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测量误差：±16nmol/mol；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示值误差：≤±10%FS；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响应时间：≤120s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（5）O3性能指标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测量范围：(0~500) 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测量误差：±18nmol/mol；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示值误差：≤±10%FS；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响应时间：≤120s；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（6）CO性能指标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测量范围：(0~20) nmol/mol；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测量误差：±1.1μmol/mol；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示值误差：≤±10%FS；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响应时间：≤120s；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（7）TVOC性能指标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测量范围：(0~10) 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测量误差：±0.4μmol/mol；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示值误差：≤±10%FS；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响应时间：≤120s；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气象模块</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（1）大气温度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测量范围：-40℃-+80℃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精度：±1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分辨率：0.1℃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（2）大气湿度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测量范围：0-100%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精度：±2%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分辨率：0.1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（3）风速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测量范围：0-60m/s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精度：±2%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分辨率：0.01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（4）风向</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测量范围：0-359° (无死角)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精度：&lt;3°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分辨率：1°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1.3污染物传输溯源服务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1、颗粒物激光雷达扫描、垂直观测服务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在五局大院和宜园两个省控点之间放置一套大气颗粒物激光雷达，可便捷地应用于监测大气颗粒态污染物空间分布信息，定量获取大气气溶胶消光系数、退偏比、颗粒物浓度等，实现污染信息、位置信息的精准监控，实现污染热点的在线监测，具备走航观测功能，支撑省控点数据异常的快速分析，有力地支撑打赢蓝天保卫战。</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通过建设污染监控溯源激光雷达监测系统，可以实现以下目标：</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建成考核点周边污染水平扫描监测系统，实时监测区域大气状况，实施溯源；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保障重点管控区域的空气质量；</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说清楚污染物水平方向的时空分布特征，颗粒态污染物的主要来源；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说清大气污染物发生、扩散情况；</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建立大气污染快速溯源解析能力，对污染排放发生的来源进行追踪分析；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近地面监测数据出现异常时，通过对附近区域的扫描，及时发现异常情况出现的原因，如新污染源的出现等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（1）技术参数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激光波长：532nm；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最大探测距离：≥15km；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望远镜口径（外径）：≥150mm；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空间分辨率：7.5m及其倍数可调；</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时间分辨率：30s～30min可调；</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探测盲区：≤75m；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多通道探测：具备偏振通道，能够区分球形粒子与非球形粒子，用于识别污染物类别；</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扫描方式：雷达主机配置云台实现水平</w:t>
      </w:r>
      <w:bookmarkStart w:id="117" w:name="OLE_LINK55"/>
      <w:r>
        <w:rPr>
          <w:rFonts w:hint="eastAsia" w:asciiTheme="minorEastAsia" w:hAnsiTheme="minorEastAsia" w:eastAsiaTheme="minorEastAsia"/>
          <w:bCs/>
          <w:color w:val="auto"/>
          <w:sz w:val="24"/>
          <w:szCs w:val="22"/>
          <w:highlight w:val="none"/>
        </w:rPr>
        <w:t xml:space="preserve">、</w:t>
      </w:r>
      <w:bookmarkEnd w:id="117"/>
      <w:r>
        <w:rPr>
          <w:rFonts w:hint="eastAsia" w:asciiTheme="minorEastAsia" w:hAnsiTheme="minorEastAsia" w:eastAsiaTheme="minorEastAsia"/>
          <w:bCs/>
          <w:color w:val="auto"/>
          <w:sz w:val="24"/>
          <w:szCs w:val="22"/>
          <w:highlight w:val="none"/>
        </w:rPr>
        <w:t xml:space="preserve">维面、剖面扫描，转动无线缆缠绕；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扫描范围：0~360°方位角，0~180°俯仰角；</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扫描分辨率：≤0.1°；</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扫描周期：扫描一周（水平360°）快速步进扫描一圈30min；</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防护等级：为保证设备使用的长期稳定性，能够支持外部雨雪、沙尘等恶劣环境下全天候观测，整机防护等级至少需达到IP55等级；</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设备应具备良好的拓展性：激光雷达具备走航功能（边走边测），雷达置于车内，在0-120km/h速度范围内边走边采集，可确保每走30米可获得至少一条（组）观测数据记录；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采控软件可对激光器进行自动预热，软件界面可显示雷达主机内部温度、湿度、压强、功耗，如果出现异常，进行报警提示，并记入系统日志存档。</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所投产品人眼安全符合IEC/EN60825-1:2014标准。</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（2）设备软件参数</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采控软件可采集垂直探测、水平扫描、剖面扫描、锥形扫描、车载走航探测模式数据，能适应多种探测需求，能快速获取污染的分布与传输；</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数据分析软件能够展示回波信号、信噪比、消光系数、退偏振比、边界层、云信息、PM10、PM2.5质量浓度时空分布信息、光学厚度、能见度信息；</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软件支持雷达扫描运行过程中，污染物报警高值设置；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2、企业烟气排放连续监测服务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宜兴市工业企业体量庞大，主要涉及电线电缆、化工、机械加工、陶瓷耐材等特色行业，这些工业生产中由于高温加热过程，例如石化、钢铁、玻璃、陶瓷、冶金等行业的管式加热炉、锻造窑炉、融化窑炉等均会产生一定废气，特别是</w:t>
      </w:r>
      <w:r>
        <w:rPr>
          <w:rFonts w:hint="eastAsia" w:asciiTheme="minorEastAsia" w:hAnsiTheme="minorEastAsia" w:eastAsiaTheme="minorEastAsia"/>
          <w:bCs/>
          <w:color w:val="auto"/>
          <w:sz w:val="24"/>
          <w:szCs w:val="22"/>
          <w:highlight w:val="none"/>
        </w:rPr>
        <w:t xml:space="preserve">NOx、SO2等有害气体以及颗粒物。因此，为进一步落实国家“十四五”期间颁布的超低环保管理规定，降低污染物排放浓度，宜兴市拟开展工业企业烟气连续排放监测试点工作，选取宜兴市5个重点污染企业，分别在其有组织排放口设立烟气连续实时监测点位，实时监测烟气中颗粒物、NOx、SO2等环境因子的浓度，一方面可检验工业脱硫、脱硝等环保设施运行效率是否运行正常，掌握污染物从排放口到环境空气中的浓度变化规律。另一方面，当某区域出现污染物超标现象时，可结合网格化空气质量监测服务，快速缩小排查范围，精准定位污染源并实施管控措施。</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烟气（颗粒物、SO2、NOx）排放连续监测系统</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（1）设备用途：用于自动在线监测能够在现场准确、稳定和快速的分析出烟气成分，可用于火电厂、陶瓷厂、工业窑炉、燃煤锅炉、钢铁厂、水泥厂等工业废气中气体污染物的排放监测；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（2）基本要求：可实时监测烟气中颗粒物、二氧化硫、氮氧化物、氧气、烟气流速、烟气温度及烟气湿度；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31"/>
        <w:gridCol w:w="62"/>
        <w:gridCol w:w="3670"/>
      </w:tblGrid>
      <w:tr>
        <w:trPr>
          <w:jc w:val="center"/>
          <w:trHeight w:val="517"/>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颗粒物监测单元</w:t>
            </w:r>
            <w:r/>
          </w:p>
        </w:tc>
      </w:tr>
      <w:tr>
        <w:trPr>
          <w:jc w:val="center"/>
          <w:trHeight w:val="517"/>
        </w:trPr>
        <w:tc>
          <w:tcPr>
            <w:tcW w:w="3731" w:type="dxa"/>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w:t>
            </w:r>
            <w:r/>
          </w:p>
        </w:tc>
        <w:tc>
          <w:tcPr>
            <w:gridSpan w:val="2"/>
            <w:tcW w:w="3732"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(0～2000)mg/m3，可设定</w:t>
            </w:r>
            <w:r/>
          </w:p>
        </w:tc>
      </w:tr>
      <w:tr>
        <w:trPr>
          <w:jc w:val="center"/>
          <w:trHeight w:val="517"/>
        </w:trPr>
        <w:tc>
          <w:tcPr>
            <w:tcW w:w="3731" w:type="dxa"/>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零点漂移</w:t>
            </w:r>
            <w:r/>
          </w:p>
        </w:tc>
        <w:tc>
          <w:tcPr>
            <w:gridSpan w:val="2"/>
            <w:tcW w:w="3732"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±2%F.S./24h</w:t>
            </w:r>
            <w:r/>
          </w:p>
        </w:tc>
      </w:tr>
      <w:tr>
        <w:trPr>
          <w:jc w:val="center"/>
          <w:trHeight w:val="517"/>
        </w:trPr>
        <w:tc>
          <w:tcPr>
            <w:tcW w:w="3731" w:type="dxa"/>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量程漂移</w:t>
            </w:r>
            <w:r/>
          </w:p>
        </w:tc>
        <w:tc>
          <w:tcPr>
            <w:gridSpan w:val="2"/>
            <w:tcW w:w="3732"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±2%F.S./24h</w:t>
            </w:r>
            <w:r/>
          </w:p>
        </w:tc>
      </w:tr>
      <w:tr>
        <w:trPr>
          <w:jc w:val="center"/>
          <w:trHeight w:val="517"/>
        </w:trPr>
        <w:tc>
          <w:tcPr>
            <w:tcW w:w="3731" w:type="dxa"/>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w:t>
            </w:r>
            <w:r/>
          </w:p>
        </w:tc>
        <w:tc>
          <w:tcPr>
            <w:gridSpan w:val="2"/>
            <w:tcW w:w="3732"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p>
        </w:tc>
      </w:tr>
      <w:tr>
        <w:trPr>
          <w:jc w:val="center"/>
          <w:trHeight w:val="517"/>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SO2监测单元</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0~100mg/m3</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仪表响应时间</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≤120s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线性误差</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24h 零点漂移</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±2.5%F.S.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w:t>
            </w:r>
            <w:r/>
          </w:p>
        </w:tc>
      </w:tr>
      <w:tr>
        <w:trPr>
          <w:jc w:val="center"/>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NOx监测单元</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0~300mg/m3</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仪表响应时间</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≤120s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线性误差</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24h 零点漂移</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w:t>
            </w:r>
            <w:r/>
          </w:p>
        </w:tc>
      </w:tr>
      <w:tr>
        <w:trPr>
          <w:jc w:val="center"/>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氧气监测单元</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量程（含氧量）</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0~25%</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仪表响应时间</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≤120s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重复性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线性误差</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24h 零点漂移</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±2%F.S.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平行性</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w:t>
            </w:r>
            <w:r/>
          </w:p>
        </w:tc>
      </w:tr>
      <w:tr>
        <w:trPr>
          <w:jc w:val="center"/>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流速测量仪</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0~40m/s</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准确度</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p>
        </w:tc>
      </w:tr>
      <w:tr>
        <w:trPr>
          <w:jc w:val="center"/>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温度测量仪</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0~300℃</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准确度</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w:t>
            </w:r>
            <w:r/>
          </w:p>
        </w:tc>
      </w:tr>
      <w:tr>
        <w:trPr>
          <w:jc w:val="center"/>
        </w:trPr>
        <w:tc>
          <w:tcPr>
            <w:gridSpan w:val="3"/>
            <w:tcW w:w="746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湿度测量仪</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量程</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0~40%</w:t>
            </w:r>
            <w:r/>
          </w:p>
        </w:tc>
      </w:tr>
      <w:tr>
        <w:trPr>
          <w:jc w:val="center"/>
        </w:trPr>
        <w:tc>
          <w:tcPr>
            <w:gridSpan w:val="2"/>
            <w:tcW w:w="3793"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准确度</w:t>
            </w:r>
            <w:r/>
          </w:p>
        </w:tc>
        <w:tc>
          <w:tcPr>
            <w:tcW w:w="3670" w:type="dxa"/>
            <w:vAlign w:val="center"/>
            <w:textDirection w:val="lrTb"/>
            <w:noWrap w:val="false"/>
          </w:tcPr>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≥5%时，相对误差为±15%</w:t>
            </w:r>
            <w:r/>
          </w:p>
        </w:tc>
      </w:tr>
    </w:tbl>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1.4 便携式大气快速监测分析服务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针对宜兴市各大工地、餐饮、企业，需充分利用便携式监测设备，深入现场及时、快速锁定污染源所在区域排放对象、浓度，及时客观反映现场存在问题，发挥常态化监督监管、威慑作用。具体需求及参数如下：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1、便携式颗粒物分析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测量参数：PM2.5、PM10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PM2.5测量范围：0~1000μg/m3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PM10测量范围：0~1000μg/m3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PM2.5测量精度：±10%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PM10测量精度：±10%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PM2.5分辨率：0.1μg/m3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PM10分辨率：0.1μg/m3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PM2.5和PM10串口连接方式：USB/RS-232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2、大气移动监测系统</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测量参数：SO2、NO2、CO、O3</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SO2测量范围：0~5μmol/mol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SO2测量误差：±1%F.S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NO2测量范围：0~5μmol/mol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NO2测量误差：±6%</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CO测量范围：0~10μmol/mol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CO测量误差：±2%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O3测量范围：0~10μmol/mol</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O3测量误差：±1%F.S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3、手持式VOC气体检测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测量参数：VOC</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测量范围：0.01-2000 ppm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测量精度：±3%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响应时间（T90）：2秒</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传感器：10.6eV、9.8eV 或 11.7eV 紫外灯的光离子化检测器（PID） </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1.5无人机高空巡查服务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多参数无人机可搭载多气体监测系统，能够对多种大气污染物（包括主要指标PM2.5、PM10、VOCS等）进行实时监测，实时生成直观的三维污染分布图，让污染分布一目了然，快速锁定气体污染源的类型、位置与传输方向（考虑任务当天的气象参数，尤其是风向的影响）。此外无人机搭载的监测设备应自带高亮警示灯，可根据实时浓度情况显示不同颜色。每次巡飞任务结束后可一键生成数据简报直接导出，配合抓拍的实时图像，能够即刻汇报、决策、现场核查与执法。具体服务内容需求如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1、秸秆焚烧巡飞服务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根据空气监测站数据及当日风向判定秸秆焚烧的范围，出动无人机巡飞小组对上风向范围内进行大面积巡飞，寻找焚烧点。由于焚烧时间点不连续、分散性大，夏收、秋收秸秆禁烧期间每周巡飞次数不低于2次，每次巡飞距离不低于5km，每次巡飞结束后立即导出数据简报，配合现场抓拍照片报送相关部门，并及时提供巡飞数据分析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2、无人机大气巡飞走航服务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无人机巡飞走航监测可实现边飞行、边监测、</w:t>
      </w:r>
      <w:r>
        <w:rPr>
          <w:rFonts w:hint="eastAsia" w:asciiTheme="minorEastAsia" w:hAnsiTheme="minorEastAsia" w:eastAsiaTheme="minorEastAsia"/>
          <w:bCs/>
          <w:color w:val="auto"/>
          <w:sz w:val="24"/>
          <w:szCs w:val="22"/>
          <w:highlight w:val="none"/>
        </w:rPr>
        <w:t xml:space="preserve">边反馈。根据空气监测站异常数据，以上风向工业区、居民聚集区等区域为重点巡飞对象，制定走航区域，确定可疑污染物来源区域，拟巡查范围，在巡飞走航过程中，搭载的测量分析仪器可以对指定区域内VOCs、PM2.5、PM10等大气污染物浓度进行实时监测。并快速绘制区域大气污染地图，精确判定污染行业、企业甚至工段，锁定重点污染源，为环保部门的环境决策、环境管理、污染防治提供科学有力的技术支撑。根据天气污染状况定期开展大气巡飞走航，每次巡飞距离不低于5km，累计巡飞次数不低于20次，且在规定时间内提供巡飞走航数据分析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3、技术参数要求</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最大俯仰角度：35°（N挡且前视视觉系统启用：25°）</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最大倾斜下降速度：7m/s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飞行速度：23m/s</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最大飞行海拔高度1671桨叶：5000m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轴距：668mm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最大悬停时间：36min</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最大可承受风速：12m/s，7级风</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最大飞行时间：41min</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红外相机-热成像传感器：非制冷氧化钒（VOx）</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镜头：DFOV：61°；焦距：9.1 mm（等效焦距：40mm）；光圈：f/1.0</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对焦距离：≥5m</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视频分辨率：超分模式：1280×1024；普通模式：640×512</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IP防护等级：IP55</w:t>
      </w:r>
      <w:r/>
    </w:p>
    <w:p>
      <w:pPr>
        <w:ind w:firstLine="240"/>
        <w:spacing w:line="360" w:lineRule="auto"/>
        <w:rPr>
          <w:rFonts w:asciiTheme="minorEastAsia" w:hAnsiTheme="minorEastAsia" w:eastAsiaTheme="minorEastAsia"/>
          <w:bCs/>
          <w:color w:val="auto"/>
          <w:sz w:val="24"/>
          <w:szCs w:val="22"/>
          <w:highlight w:val="none"/>
        </w:rPr>
      </w:pPr>
      <w:r/>
      <w:bookmarkStart w:id="118" w:name="_Toc32849447"/>
      <w:r/>
      <w:bookmarkStart w:id="119" w:name="_Toc32850039"/>
      <w:r/>
      <w:bookmarkStart w:id="120" w:name="_Toc1704"/>
      <w:r>
        <w:rPr>
          <w:rFonts w:hint="eastAsia" w:asciiTheme="minorEastAsia" w:hAnsiTheme="minorEastAsia" w:eastAsiaTheme="minorEastAsia"/>
          <w:bCs/>
          <w:color w:val="auto"/>
          <w:sz w:val="24"/>
          <w:szCs w:val="22"/>
          <w:highlight w:val="none"/>
        </w:rPr>
        <w:t xml:space="preserve">2数据集成化分析服务</w:t>
      </w:r>
      <w:bookmarkEnd w:id="118"/>
      <w:r/>
      <w:bookmarkEnd w:id="119"/>
      <w:r/>
      <w:bookmarkEnd w:id="120"/>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2.1数据整合服务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无锡市宜兴生态环境局大气监测监控涉及多元多维数据，需提供涉大气环境数据整合服务，实现对涉及数据进行抽取、转换、加载形成真实、全面、统一的数据，至少包含涉气污染源、空气站、组分站、网格化、业务管理等数据的融合。服务方能基于环境数据挖掘分析和展现的需求，提供数据整合技术方案。</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数据整合服务包括环境数据采集与传输服务、环境数据解析入库服务、环境数据共享交互服务。数据采集与传输服务是指基于《污染源在线自动监控（监测）系统数据传输标准》（HJT21</w:t>
      </w:r>
      <w:r>
        <w:rPr>
          <w:rFonts w:hint="eastAsia" w:asciiTheme="minorEastAsia" w:hAnsiTheme="minorEastAsia" w:eastAsiaTheme="minorEastAsia"/>
          <w:bCs/>
          <w:color w:val="auto"/>
          <w:sz w:val="24"/>
          <w:szCs w:val="22"/>
          <w:highlight w:val="none"/>
        </w:rPr>
        <w:t xml:space="preserve">2-2017）、《空气监测网子站监测数据报送传输协议》等国家传输协议标准，实现实时接收和主动获取从自动监测站采集和传输的数据，如空气自动监测数据、污染源自动监测数据等；环境数据解析入库服务是指能够支持实时接收现场端传输的数据包与数据录入，并按照统一的标准解释入库，将结果存储于数据中心的指定位置；环境数据共享交互服务是指能够通过标准化共享接口实现数据的共享与交互，一方面能通过接口从其它业务系统获取所需的监测数据，如国省控空气站数据，涉气污染源数据等；另一方面，对外提供统一的数据服务，供其它单位系统运行时调用。</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（1）环境空气数据接入</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环境空气数据涉及到宜兴市已有省控站、市控站监测数据、以及本项目中组分监测分析数据、网格化监测分析数据等。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1）针对已有省控站、市控站等监测数据，能与江苏省、无锡市等已建立系统对接，通过接口共享方式获取所需数据，或者能够通过网络采集的方式获取其对外发布的监测数据。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针对本项目所应用到的监测分析设备所产生的数据，支持将自动监测数据按照标准化传输协议将监测数据上传至中心端，如组分站监测分析数据、网格化监测分析数据等；同时也能够将不支持自动上传的监测数据，通过固定格式模板导入或录入到系统中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能基于GIS地理信息，结合空气质量监测站点的监测数据，利用文字标注、图形标注等方式，将监测站点实时展现在电子地图中，实现实时、直观、动态、可视化的考核点位置及监测数据呈现。监测点位图标颜色随当前空气质量指数AQI动态显示，方便用户直观、一目了然掌握各个行政区域内监测点位的部署情况和空气环境质量现状。</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（2）污染源档案建设</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涉气工业企业污染源数据包括一企一档信息、监测数据等；服务方能够支持按照《污染源在线自动监控（监测）系统数据传输标准》（HJT212-2017）实时接收现场端数据上传，也支持通过接口等形式实现污染源数据接入。</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①一企一档：包括对重点污染源的基础信息即包含企业名称、企业详细位置、环保联系人、环保联系人电话、实时监控显示废气设备、生产要素（主要产品及产能、原料及辅料信息、燃料信息），治污设施、排污统计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②监测数据：实时接入涉气工业污染源监测数据，包括其监测时间、监测值、标准值、超标倍数、排放量等；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③结合GIS地理信息，利用文字标注、图形标注等方式，将工业废气、工地扬尘、道路扬尘等污染源站点展现在电子地图上，可直观显示污染排放口的空间位置分布和污染物实时排放数据。根据监测数据，实时更新有关监测对象、监测设备的位置与图例，设备在线状态（如颜色、线型形状，不同情况颜色差异正常绿色，超标红色，数据传输故障黄色，停产灰色）。</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（3）空气质量监测一张图建设</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利用插值算法模拟区域内整体空气质量情况，提供区域扩散条件和态势分析功能，通过异常识别算法实时扫描全部站点数据自动识别站点高值与重点区域，对异常站点进行实时提醒展示。并可按照时间维度，进行历史数据回溯。主要功能包含：实时空气质量、空气质量预测、扩散条件展示、历史回溯、数据钻取（站点周边源展示）等功能。结合GIS地图实现区域异常问题的实时动态提醒及历史问题追溯分析，对示区域高值、交通拥堵、各类源异常实时提醒，真正实现智能化问题跟踪解决，并可协助实现实时调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2.2业务应用支撑服务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业务应用支撑服务提供包括空气质量综合分析、目标管控、大气污染变化规律分析、污染特征分析等功能。服务方能够基于上述需求，提供各业务应用技术方案。</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（1）空气质量综合分析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空气质量综合分析系统，集成各级站点空气质量监测数据，实现空气质量空间分布模拟、污染过程演变分析、日变化规律、空气质量改善率等维度的统计分析。主要功能包含：空气质量监控、空气质量排名分析、优良率占比分析、主要污染因子分析、站点数据对比分析、污染变化规律分析、站点活跃度分析等功能。</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（2）目标管控分析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根据实际的空气质量年度考核目标，进行年度、月度分解，确定各指标的剩余控制量，为确定今后的重点工作方向及科学制定减排措施提供靶向指导。主要功能包含：目标考核概况、年度目标分解功能、区县目标分解功能、空气质量达标控制、考核目标余量分析等功能。</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（3）大气污染变化规律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通过使用各种数据分析方式，实现对区域大气污染变化规律的总结概括。主要功能包含：污染概率时序分析、首要污染物月分布、污染物特征雷达分析、区域空气质量等级分析等功能。</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（4）污染特征分析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通过对区域空气质量监测数据进行对比分析，分析大区域污染特征，协助找出区域污染影响因素，评估区域污染问题，为管理决策提供数据依据，主要功能包含：区域污染评估、污染贡献率分析等。</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2.3数据专题分析服务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可对各类异常数据如空气质量监测数据、省控站周边拥堵识别、工业源异常识别等进行数据报警，可对组分站监测数据进行专题分析，可输出区域空气质量报告，服务方能够基于上述需求提供数据专题分析服务方案。</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（1）空气质量监测数据异常报警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对已经识别的空气质量线索问题，建立线索证据链图谱，为日常监管工作，要求建设相应判定规则进行问题自动判别，判定模型至少包含超标类、数据异常2个类型，共需详细对数据判定规则进行阐述，要求说明规则具体算法。</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（2）省控站周边拥堵识别</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通过对路况图进行智能识别，发现省控站周边1公里范围内道路交通拥堵情况。结合站点数据升高算法，预报站点周边交通拥堵情况，服务监管人员及时发现交通拥堵问题。</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（3）工业源异常识别</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基于污染源在线监控数据，并依托异常识别算法，判断排口排放量异常、企业排放量异常等，对识别的工业源线索问题，建立线索证据链图谱。实现固定源问题第一时间发现，第一时间分析，辅助监管人员快速获取问题信息。要求实现功能包含浓度异常、企业排口排放量异常、企业排放量异常三个类型。</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（4）组分站监测数据分析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利用组分站监测数据对PM2.5等监测参数进行组分解析与溯源分析，构建组分占比饼图、源贡献占比”、“源浓度堆叠”、“源浓度小时变化”等内容，辅助分析区域重点污染参数来源贡献。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（5）区域空气质量分析报告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系统提供可灵活配置的报告导出功能，工作人员可根据自身需求，进行灵活的报告编制及数据嵌入，可随时导出区域分析结果报告、空气质量日报月报年报等，减少工作人员工作量，随时汇报决策层领导。</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2.4溯源管控服务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对各类监测数据进行融合分析，建设污染溯源系统，对站点高值溯源、站点高值预警、污染源扩散影响模拟、区域污染过程模拟等进行专题分析，对各类模型分析结果进行直观展示，便于管理人员直观查看各类溯源结果及预警结果。</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（1）站点高值溯源</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基于各类型监测站点（乡镇站、省控站等）实时观测数据，搭建实时溯源分析模型，模拟各监测站所代表区域（网格）对省控站点各项污染物的传输影响，建立“微型站-省控站”实时动态响应关系，以锁定对各国/省控站点影响较大的潜在污染区域或对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（2）站点高值预警</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要求依据基于溯源模型模拟结果，利用大数据统计算法，结合气象条件情况，对省控站空气质量高值进行提前预警，判断未来1至3小时的各参数变化情况。</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（3）污染源扩散模拟</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利用模型技术，依据污染源位置信息、排放数据、气象数据，输出污染源排放影响展示效果图，输出污染源的扩散过程与影响轨迹及影响点位信息，展示单个污染源的影响范围。</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（4）区域污染过程模拟</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通过污染过程模拟模型，动态模拟本区域六参数小时级、分钟级污染过程变化情况，可直观分析并查看区域历史污染变化过程，为溯源评估提供数据支撑。</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（5）气象精细预报</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系统基于WRF-CMAQ、WRF-Chem大气模型为基础，对区域空气质量未来1-3天变化情况进行预报，并图形图表形式进行直观展示，便于管理人员直观掌握区域空气质量变化情况，为溯源及预警预报提供数据支撑。</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3环境空气质量保障驻场服务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结合无锡市宜兴生态环境局环境现状与生态环境管理问题与需求，为客户提供实时及专业的技术咨询服务，对生态环境大数据进行集中、融合，通过大数据分析、数据挖掘进行提炼、深加工，辅助决策者快速发现存在的关键问题，为环境风险预警、环境应急指挥、环境质量预测、演变趋势分析提供决策建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3.1数据监管与分析服务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配备专业数据分析人员2人，提供实时和专业的技术咨询服务，对生态环境大数据进行集中、融合，通过大数据分析、数据挖掘进行提炼、深加工，辅助决策者快速发现存在的关键问题，为环境风险预警、环境应急指挥、环境质量预测、演变趋势分析提供决策建议。</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结合各项分析对丰富的环境大数据综合解读，形成完整的分析报告体系并对污染事件进行跟踪、分析、管控，形成污染问题的发现、识别与治理的完备管理和操作流程，满足对大气污染防治各类应用需求。</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通过对监测数据进行深度挖掘和分析，结合无锡市宜兴生态环境局的具体考核指标，按月、半年等时间跨度对区域内污染物变化情况进行横向、纵向比对分析提供专项报告，结合实地情况把握区域臭氧、颗粒物污染变化趋势，总结区域污染物浓度分布特点和变化规律，为协助现场排查及重点污染源核查、污染管控提供数据支撑。</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3.2应急管控服务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重点时段，配备应急人员4人，熟悉便携式设备、移动走航设备使用。臭氧及颗粒物污染高发季，充分调度便携式、移动式的监测装备、人员机动性现场核查，完成应急情景的任务应对。通过对区域站点情形、周边区县污染情况、区域气象条件预测，通过短期预测预报，开展应急服务。建立“监测-预报-调度-评估”的“抢轻污染天”应急措施和流程，加强站点污染物指标关注和态势分析。响应重污染天过程应急预案，加强应急情景的督查、督导，针对重点区域、重点行业、重点对象、重点时段，采用抽查、夜查、回头看等策略。</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3.3巡查交办服务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配备专业巡查人员6人，熟悉环境空气基础知识，了解宜兴市主要污染源情况，开展日常巡查、专项巡查并编制污染源清单。以无锡市宜兴生态环境局空气质量省控点的重点管控区域为主体，配备便携式监测设备，围绕“控尘、控排、控烧”，全面狠抓“肉眼可见”的突出环境问题进行日常巡查。针对站点周边的各类污染源开展专项巡查，深化区域重点源清单的梳理，并形成调研报告。做好数据值守监控站点高值，对站点的污染物监测指标在线数据进行日常化的动态的值守分析，针对性的开展巡查工作。建立巡查机制，开展巡查工作。</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3.4污染管控成效综合分析效果评估服务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配备驻场分析人员2人，熟悉应急管控工作，全过程跟踪应急管控，开展成效评估。根据激光雷达观测、光化学组分观测、颗粒物组分观测、污染源在线监控等信息，结合现场巡查情况、监督帮扶情况、走航情况、执法督察情况，评估污染应急管控工作的实施成效、环境成效，指出存在问题，结合下次应急管控需求提出针对性提升意见，推动实现污染“削峰减频”。对应急管控效果进行评估，总结经验，优化管控方案，根据实际应急情况，提供应急管控成效评估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3.5污染扩散溯源服务</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针对宜兴市省控站点的监测数据以及重点污染源污染排放数据生成本地化大气污染扩散模型，以“多级监测模式+污染溯源模型”进行动态溯源，全面了解区域重点污染源实时排放情况，并根据污染排放特征，可实现污染源的定性、定量分析，再结合空气质量及省控站点周边环境情况，为管理部门提供针对性管控意见，最终编制1份污染扩散模型溯源评估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同时，围绕宜兴市省控站点空气质量改善目标，开展机动车与船舶尾气排放影响专项研究。通过搭建标准化、系统化的排放核算体系，精准核算省控站点周边机动车、船舶尾气中各类污染物的排放量，量化解析尾气排放对站点空气质量的影响程度与作用机制，为省控站点空气质量精细化管控及移动源污染防治决策提供数据支撑与技术依据，最终编制1份宜兴市机动车及船舶尾气对省控站点空气质量影响评估报告</w:t>
      </w:r>
      <w:r/>
    </w:p>
    <w:p>
      <w:pPr>
        <w:ind w:firstLine="240"/>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注：服务期间，以上驻场服务人员均需长期驻扎在宜兴市，办公地点由采购人指定。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1、服务期限：</w:t>
      </w:r>
      <w:r>
        <w:rPr>
          <w:rFonts w:hint="eastAsia" w:ascii="宋体" w:hAnsi="宋体"/>
          <w:color w:val="auto"/>
          <w:sz w:val="24"/>
          <w:szCs w:val="24"/>
          <w:highlight w:val="none"/>
        </w:rPr>
        <w:t xml:space="preserve">自合同签订并完成首次验收之日起一年。</w:t>
      </w:r>
      <w:r/>
    </w:p>
    <w:p>
      <w:pPr>
        <w:ind w:firstLine="482"/>
        <w:jc w:val="left"/>
        <w:spacing w:line="360" w:lineRule="auto"/>
        <w:rPr>
          <w:rFonts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bCs/>
          <w:color w:val="auto"/>
          <w:sz w:val="24"/>
          <w:highlight w:val="none"/>
        </w:rPr>
        <w:t xml:space="preserve">无锡市宜兴生态环境局</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2"/>
        <w:jc w:val="left"/>
        <w:spacing w:line="360" w:lineRule="auto"/>
        <w:rPr>
          <w:rFonts w:ascii="宋体" w:hAnsi="宋体"/>
          <w:color w:val="auto"/>
          <w:sz w:val="24"/>
          <w:highlight w:val="none"/>
        </w:rPr>
      </w:pPr>
      <w:r>
        <w:rPr>
          <w:rFonts w:hint="eastAsia" w:ascii="宋体" w:hAnsi="宋体"/>
          <w:b/>
          <w:bCs/>
          <w:color w:val="auto"/>
          <w:sz w:val="24"/>
          <w:szCs w:val="24"/>
          <w:highlight w:val="none"/>
        </w:rPr>
        <w:t xml:space="preserve">3、验收标准：</w:t>
      </w:r>
      <w:r>
        <w:rPr>
          <w:rFonts w:hint="eastAsia" w:ascii="宋体" w:hAnsi="宋体"/>
          <w:color w:val="auto"/>
          <w:sz w:val="24"/>
          <w:highlight w:val="none"/>
        </w:rPr>
        <w:t xml:space="preserve">采购人根据国家有关规定、招投标文件以及合同约定的内容组织验收，具体验收办法详见《江苏省政府采购履约验收管理办法》的通知（</w:t>
      </w:r>
      <w:bookmarkStart w:id="121" w:name="OLE_LINK7"/>
      <w:r/>
      <w:bookmarkStart w:id="122" w:name="OLE_LINK15"/>
      <w:r>
        <w:rPr>
          <w:rFonts w:hint="eastAsia" w:ascii="宋体" w:hAnsi="宋体"/>
          <w:color w:val="auto"/>
          <w:sz w:val="24"/>
          <w:highlight w:val="none"/>
        </w:rPr>
        <w:t xml:space="preserve">苏财规〔2024〕7号</w:t>
      </w:r>
      <w:bookmarkEnd w:id="121"/>
      <w:r/>
      <w:bookmarkEnd w:id="122"/>
      <w:r>
        <w:rPr>
          <w:rFonts w:hint="eastAsia" w:ascii="宋体" w:hAnsi="宋体"/>
          <w:color w:val="auto"/>
          <w:sz w:val="24"/>
          <w:highlight w:val="none"/>
        </w:rPr>
        <w:t xml:space="preserve">）。</w:t>
      </w:r>
      <w:r/>
    </w:p>
    <w:p>
      <w:pPr>
        <w:ind w:firstLine="482"/>
        <w:spacing w:line="360" w:lineRule="auto"/>
        <w:rPr>
          <w:rFonts w:ascii="宋体" w:hAnsi="宋体"/>
          <w:bCs/>
          <w:color w:val="auto"/>
          <w:sz w:val="24"/>
          <w:highlight w:val="none"/>
        </w:rPr>
      </w:pPr>
      <w:r>
        <w:rPr>
          <w:rFonts w:hint="eastAsia" w:ascii="宋体" w:hAnsi="宋体"/>
          <w:b/>
          <w:bCs/>
          <w:color w:val="auto"/>
          <w:sz w:val="24"/>
          <w:szCs w:val="24"/>
          <w:highlight w:val="none"/>
        </w:rPr>
        <w:t xml:space="preserve">4、</w:t>
      </w:r>
      <w:r>
        <w:rPr>
          <w:rFonts w:hint="eastAsia" w:ascii="宋体" w:hAnsi="宋体"/>
          <w:b/>
          <w:color w:val="auto"/>
          <w:sz w:val="24"/>
          <w:highlight w:val="none"/>
        </w:rPr>
        <w:t xml:space="preserve">考核标准：</w:t>
      </w:r>
      <w:r/>
    </w:p>
    <w:tbl>
      <w:tblPr>
        <w:tblStyle w:val="932"/>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809"/>
        <w:gridCol w:w="3435"/>
        <w:gridCol w:w="2014"/>
      </w:tblGrid>
      <w:tr>
        <w:trPr>
          <w:jc w:val="center"/>
          <w:trHeight w:val="567"/>
          <w:tblHeader/>
        </w:trPr>
        <w:tc>
          <w:tcPr>
            <w:tcW w:w="750" w:type="pct"/>
            <w:vAlign w:val="center"/>
            <w:textDirection w:val="lrTb"/>
            <w:noWrap w:val="false"/>
          </w:tcPr>
          <w:p>
            <w:pPr>
              <w:jc w:val="center"/>
              <w:spacing w:line="360" w:lineRule="exact"/>
              <w:rPr>
                <w:rFonts w:asciiTheme="majorEastAsia" w:hAnsiTheme="majorEastAsia" w:eastAsiaTheme="majorEastAsia"/>
                <w:b/>
                <w:bCs/>
                <w:color w:val="auto"/>
                <w:sz w:val="20"/>
                <w:szCs w:val="21"/>
                <w:highlight w:val="none"/>
              </w:rPr>
            </w:pPr>
            <w:r>
              <w:rPr>
                <w:rFonts w:asciiTheme="majorEastAsia" w:hAnsiTheme="majorEastAsia" w:eastAsiaTheme="majorEastAsia"/>
                <w:b/>
                <w:bCs/>
                <w:color w:val="auto"/>
                <w:sz w:val="20"/>
                <w:szCs w:val="21"/>
                <w:highlight w:val="none"/>
              </w:rPr>
              <w:t xml:space="preserve">服务项目</w:t>
            </w:r>
            <w:r/>
          </w:p>
        </w:tc>
        <w:tc>
          <w:tcPr>
            <w:tcW w:w="1445" w:type="pct"/>
            <w:vAlign w:val="center"/>
            <w:textDirection w:val="lrTb"/>
            <w:noWrap w:val="false"/>
          </w:tcPr>
          <w:p>
            <w:pPr>
              <w:jc w:val="center"/>
              <w:spacing w:line="360" w:lineRule="exact"/>
              <w:rPr>
                <w:rFonts w:asciiTheme="majorEastAsia" w:hAnsiTheme="majorEastAsia" w:eastAsiaTheme="majorEastAsia"/>
                <w:b/>
                <w:bCs/>
                <w:color w:val="auto"/>
                <w:sz w:val="20"/>
                <w:szCs w:val="21"/>
                <w:highlight w:val="none"/>
              </w:rPr>
            </w:pPr>
            <w:r>
              <w:rPr>
                <w:rFonts w:asciiTheme="majorEastAsia" w:hAnsiTheme="majorEastAsia" w:eastAsiaTheme="majorEastAsia"/>
                <w:b/>
                <w:bCs/>
                <w:color w:val="auto"/>
                <w:sz w:val="20"/>
                <w:szCs w:val="21"/>
                <w:highlight w:val="none"/>
              </w:rPr>
              <w:t xml:space="preserve">专项服务</w:t>
            </w:r>
            <w:r/>
          </w:p>
        </w:tc>
        <w:tc>
          <w:tcPr>
            <w:tcW w:w="1767" w:type="pct"/>
            <w:vAlign w:val="center"/>
            <w:textDirection w:val="lrTb"/>
            <w:noWrap w:val="false"/>
          </w:tcPr>
          <w:p>
            <w:pPr>
              <w:jc w:val="center"/>
              <w:spacing w:line="360" w:lineRule="exact"/>
              <w:rPr>
                <w:rFonts w:asciiTheme="majorEastAsia" w:hAnsiTheme="majorEastAsia" w:eastAsiaTheme="majorEastAsia"/>
                <w:b/>
                <w:bCs/>
                <w:color w:val="auto"/>
                <w:sz w:val="20"/>
                <w:szCs w:val="21"/>
                <w:highlight w:val="none"/>
              </w:rPr>
            </w:pPr>
            <w:r>
              <w:rPr>
                <w:rFonts w:asciiTheme="majorEastAsia" w:hAnsiTheme="majorEastAsia" w:eastAsiaTheme="majorEastAsia"/>
                <w:b/>
                <w:bCs/>
                <w:color w:val="auto"/>
                <w:sz w:val="20"/>
                <w:szCs w:val="21"/>
                <w:highlight w:val="none"/>
              </w:rPr>
              <w:t xml:space="preserve">验收内容</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b/>
                <w:bCs/>
                <w:color w:val="auto"/>
                <w:sz w:val="20"/>
                <w:szCs w:val="21"/>
                <w:highlight w:val="none"/>
              </w:rPr>
              <w:t xml:space="preserve">数量</w:t>
            </w:r>
            <w:r/>
          </w:p>
        </w:tc>
      </w:tr>
      <w:tr>
        <w:trPr>
          <w:jc w:val="center"/>
          <w:trHeight w:val="567"/>
        </w:trPr>
        <w:tc>
          <w:tcPr>
            <w:tcW w:w="750"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全方位大气监测服务</w:t>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lang w:val="zh-TW"/>
              </w:rPr>
              <w:t xml:space="preserve">颗粒物</w:t>
            </w:r>
            <w:r>
              <w:rPr>
                <w:rFonts w:hint="eastAsia" w:asciiTheme="majorEastAsia" w:hAnsiTheme="majorEastAsia" w:eastAsiaTheme="majorEastAsia"/>
                <w:color w:val="auto"/>
                <w:sz w:val="20"/>
                <w:szCs w:val="21"/>
                <w:highlight w:val="none"/>
              </w:rPr>
              <w:t xml:space="preserve">、光化学</w:t>
            </w:r>
            <w:r>
              <w:rPr>
                <w:rFonts w:asciiTheme="majorEastAsia" w:hAnsiTheme="majorEastAsia" w:eastAsiaTheme="majorEastAsia"/>
                <w:color w:val="auto"/>
                <w:sz w:val="20"/>
                <w:szCs w:val="21"/>
                <w:highlight w:val="none"/>
                <w:lang w:val="zh-TW"/>
              </w:rPr>
              <w:t xml:space="preserve">组分分析服务</w:t>
            </w:r>
            <w:r/>
          </w:p>
        </w:tc>
        <w:tc>
          <w:tcPr>
            <w:tcW w:w="1767" w:type="pct"/>
            <w:vAlign w:val="center"/>
            <w:vMerge w:val="restart"/>
            <w:textDirection w:val="lrTb"/>
            <w:noWrap w:val="false"/>
          </w:tcPr>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（1）按时播报PM2.5、PM10以及O3余量</w:t>
            </w:r>
            <w:r>
              <w:rPr>
                <w:rFonts w:hint="eastAsia" w:asciiTheme="majorEastAsia" w:hAnsiTheme="majorEastAsia" w:eastAsiaTheme="majorEastAsia"/>
                <w:color w:val="auto"/>
                <w:sz w:val="20"/>
                <w:szCs w:val="21"/>
                <w:highlight w:val="none"/>
              </w:rPr>
              <w:t xml:space="preserve">。</w:t>
            </w:r>
            <w:r/>
          </w:p>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（2）</w:t>
            </w:r>
            <w:r>
              <w:rPr>
                <w:rFonts w:hint="eastAsia" w:asciiTheme="majorEastAsia" w:hAnsiTheme="majorEastAsia" w:eastAsiaTheme="majorEastAsia"/>
                <w:color w:val="auto"/>
                <w:sz w:val="20"/>
                <w:szCs w:val="21"/>
                <w:highlight w:val="none"/>
              </w:rPr>
              <w:t xml:space="preserve">按照要求保障组分站、网格微型站及颗粒物雷达设备正常运行。</w:t>
            </w:r>
            <w:r/>
          </w:p>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（3）高值阶段2小时内播报预警预报，直至当天24时结束</w:t>
            </w:r>
            <w:r>
              <w:rPr>
                <w:rFonts w:hint="eastAsia" w:asciiTheme="majorEastAsia" w:hAnsiTheme="majorEastAsia" w:eastAsiaTheme="majorEastAsia"/>
                <w:color w:val="auto"/>
                <w:sz w:val="20"/>
                <w:szCs w:val="21"/>
                <w:highlight w:val="none"/>
              </w:rPr>
              <w:t xml:space="preserve">。</w:t>
            </w:r>
            <w:r/>
          </w:p>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（4）</w:t>
            </w:r>
            <w:r>
              <w:rPr>
                <w:rFonts w:hint="eastAsia" w:asciiTheme="majorEastAsia" w:hAnsiTheme="majorEastAsia" w:eastAsiaTheme="majorEastAsia"/>
                <w:color w:val="auto"/>
                <w:sz w:val="20"/>
                <w:szCs w:val="21"/>
                <w:highlight w:val="none"/>
              </w:rPr>
              <w:t xml:space="preserve">按照要求开展无人机秸秆巡飞及高空走航</w:t>
            </w:r>
            <w:r/>
          </w:p>
        </w:tc>
        <w:tc>
          <w:tcPr>
            <w:tcW w:w="1036" w:type="pct"/>
            <w:vAlign w:val="center"/>
            <w:vMerge w:val="restart"/>
            <w:textDirection w:val="lrTb"/>
            <w:noWrap w:val="false"/>
          </w:tcPr>
          <w:p>
            <w:pP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（1）按月分别出具组分站、网格微型站、颗粒物雷达简报各12份；</w:t>
            </w:r>
            <w:r/>
          </w:p>
          <w:p>
            <w:pP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（2）出具不少于20份的无人机秸秆巡飞报告，不少于20份的无人机高空走航报告</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网格化空气质量分析服务</w:t>
            </w:r>
            <w:r/>
          </w:p>
        </w:tc>
        <w:tc>
          <w:tcPr>
            <w:tcW w:w="1767"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污染物传输溯源服务</w:t>
            </w:r>
            <w:r/>
          </w:p>
        </w:tc>
        <w:tc>
          <w:tcPr>
            <w:tcW w:w="1767"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便携式</w:t>
            </w:r>
            <w:r>
              <w:rPr>
                <w:rFonts w:hint="eastAsia" w:asciiTheme="majorEastAsia" w:hAnsiTheme="majorEastAsia" w:eastAsiaTheme="majorEastAsia"/>
                <w:color w:val="auto"/>
                <w:sz w:val="20"/>
                <w:szCs w:val="21"/>
                <w:highlight w:val="none"/>
              </w:rPr>
              <w:t xml:space="preserve">大气快速</w:t>
            </w:r>
            <w:r>
              <w:rPr>
                <w:rFonts w:asciiTheme="majorEastAsia" w:hAnsiTheme="majorEastAsia" w:eastAsiaTheme="majorEastAsia"/>
                <w:color w:val="auto"/>
                <w:sz w:val="20"/>
                <w:szCs w:val="21"/>
                <w:highlight w:val="none"/>
              </w:rPr>
              <w:t xml:space="preserve">监测分析服务</w:t>
            </w:r>
            <w:r/>
          </w:p>
        </w:tc>
        <w:tc>
          <w:tcPr>
            <w:tcW w:w="1767"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无人机高空巡查服务</w:t>
            </w:r>
            <w:r/>
          </w:p>
        </w:tc>
        <w:tc>
          <w:tcPr>
            <w:tcW w:w="1767"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数据集成化分析服务</w:t>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数据整合服务</w:t>
            </w:r>
            <w:r/>
          </w:p>
        </w:tc>
        <w:tc>
          <w:tcPr>
            <w:tcW w:w="1767" w:type="pct"/>
            <w:vAlign w:val="center"/>
            <w:textDirection w:val="lrTb"/>
            <w:noWrap w:val="false"/>
          </w:tcPr>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搭建环境数据采集传输、环境数据解析入库、环境数据共享交互等数据整合功能；平台至少需包括省控站监测数据、组分监测数据、网格化监测数据等。</w:t>
            </w:r>
            <w:r/>
          </w:p>
        </w:tc>
        <w:tc>
          <w:tcPr>
            <w:tcW w:w="1036"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数据分析工具的功能点须能体现相应服务内容且一一对应</w:t>
            </w:r>
            <w:r>
              <w:rPr>
                <w:rFonts w:hint="eastAsia" w:asciiTheme="majorEastAsia" w:hAnsiTheme="majorEastAsia" w:eastAsiaTheme="majorEastAsia"/>
                <w:color w:val="auto"/>
                <w:sz w:val="20"/>
                <w:szCs w:val="21"/>
                <w:highlight w:val="none"/>
              </w:rPr>
              <w:t xml:space="preserve">。</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业务应用支撑服务</w:t>
            </w:r>
            <w:r/>
          </w:p>
        </w:tc>
        <w:tc>
          <w:tcPr>
            <w:tcW w:w="1767" w:type="pct"/>
            <w:vAlign w:val="center"/>
            <w:textDirection w:val="lrTb"/>
            <w:noWrap w:val="false"/>
          </w:tcPr>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开发</w:t>
            </w:r>
            <w:r>
              <w:rPr>
                <w:rFonts w:hint="eastAsia" w:asciiTheme="majorEastAsia" w:hAnsiTheme="majorEastAsia" w:eastAsiaTheme="majorEastAsia"/>
                <w:color w:val="auto"/>
                <w:sz w:val="20"/>
                <w:szCs w:val="21"/>
                <w:highlight w:val="none"/>
              </w:rPr>
              <w:t xml:space="preserve">空气质量综合分析、目标管控分析、大气污染变化规律、污染特征分析</w:t>
            </w:r>
            <w:r>
              <w:rPr>
                <w:rFonts w:asciiTheme="majorEastAsia" w:hAnsiTheme="majorEastAsia" w:eastAsiaTheme="majorEastAsia"/>
                <w:color w:val="auto"/>
                <w:sz w:val="20"/>
                <w:szCs w:val="21"/>
                <w:highlight w:val="none"/>
              </w:rPr>
              <w:t xml:space="preserve">等数据应用支撑功能</w:t>
            </w:r>
            <w:r>
              <w:rPr>
                <w:rFonts w:hint="eastAsia" w:asciiTheme="majorEastAsia" w:hAnsiTheme="majorEastAsia" w:eastAsiaTheme="majorEastAsia"/>
                <w:color w:val="auto"/>
                <w:sz w:val="20"/>
                <w:szCs w:val="21"/>
                <w:highlight w:val="none"/>
              </w:rPr>
              <w:t xml:space="preserve">。</w:t>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数据专题分析</w:t>
            </w:r>
            <w:r>
              <w:rPr>
                <w:rFonts w:asciiTheme="majorEastAsia" w:hAnsiTheme="majorEastAsia" w:eastAsiaTheme="majorEastAsia"/>
                <w:color w:val="auto"/>
                <w:sz w:val="20"/>
                <w:szCs w:val="21"/>
                <w:highlight w:val="none"/>
              </w:rPr>
              <w:t xml:space="preserve">服务</w:t>
            </w:r>
            <w:r/>
          </w:p>
        </w:tc>
        <w:tc>
          <w:tcPr>
            <w:tcW w:w="1767" w:type="pct"/>
            <w:vAlign w:val="center"/>
            <w:textDirection w:val="lrTb"/>
            <w:noWrap w:val="false"/>
          </w:tcPr>
          <w:p>
            <w:pP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融合现场端组分站、小微站等大气环境监测数据，结合其他部门应用系统数据，如</w:t>
            </w:r>
            <w:r>
              <w:rPr>
                <w:rFonts w:hint="eastAsia" w:asciiTheme="majorEastAsia" w:hAnsiTheme="majorEastAsia" w:eastAsiaTheme="majorEastAsia"/>
                <w:color w:val="auto"/>
                <w:sz w:val="20"/>
                <w:szCs w:val="21"/>
                <w:highlight w:val="none"/>
              </w:rPr>
              <w:t xml:space="preserve">空气质量监测数据异常报警、省控站周边拥堵识别、工业源异常识别、组分站监测数据分析、区域空气质量分析</w:t>
            </w:r>
            <w:r>
              <w:rPr>
                <w:rFonts w:asciiTheme="majorEastAsia" w:hAnsiTheme="majorEastAsia" w:eastAsiaTheme="majorEastAsia"/>
                <w:color w:val="auto"/>
                <w:sz w:val="20"/>
                <w:szCs w:val="21"/>
                <w:highlight w:val="none"/>
              </w:rPr>
              <w:t xml:space="preserve">结果。</w:t>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溯源管控</w:t>
            </w:r>
            <w:r>
              <w:rPr>
                <w:rFonts w:asciiTheme="majorEastAsia" w:hAnsiTheme="majorEastAsia" w:eastAsiaTheme="majorEastAsia"/>
                <w:color w:val="auto"/>
                <w:sz w:val="20"/>
                <w:szCs w:val="21"/>
                <w:highlight w:val="none"/>
              </w:rPr>
              <w:t xml:space="preserve">服务</w:t>
            </w:r>
            <w:r/>
          </w:p>
        </w:tc>
        <w:tc>
          <w:tcPr>
            <w:tcW w:w="1767" w:type="pct"/>
            <w:vAlign w:val="center"/>
            <w:textDirection w:val="lrTb"/>
            <w:noWrap w:val="false"/>
          </w:tcPr>
          <w:p>
            <w:pPr>
              <w:spacing w:line="360" w:lineRule="exact"/>
              <w:rPr>
                <w:rFonts w:asciiTheme="majorEastAsia" w:hAnsiTheme="majorEastAsia" w:eastAsiaTheme="majorEastAsia"/>
                <w:color w:val="auto"/>
                <w:sz w:val="20"/>
                <w:szCs w:val="21"/>
                <w:highlight w:val="none"/>
              </w:rPr>
            </w:pPr>
            <w:r>
              <w:rPr>
                <w:rFonts w:hint="eastAsia"/>
                <w:color w:val="auto"/>
                <w:szCs w:val="24"/>
                <w:highlight w:val="none"/>
              </w:rPr>
              <w:t xml:space="preserve">通过搭建</w:t>
            </w:r>
            <w:r>
              <w:rPr>
                <w:rFonts w:hint="eastAsia" w:asciiTheme="majorEastAsia" w:hAnsiTheme="majorEastAsia" w:eastAsiaTheme="majorEastAsia"/>
                <w:color w:val="auto"/>
                <w:sz w:val="20"/>
                <w:szCs w:val="21"/>
                <w:highlight w:val="none"/>
              </w:rPr>
              <w:t xml:space="preserve">站点高值溯源、站点高值预警、污染源扩散模拟、区域污染过程模拟、气象精细预报</w:t>
            </w:r>
            <w:r>
              <w:rPr>
                <w:rFonts w:hint="eastAsia"/>
                <w:color w:val="auto"/>
                <w:szCs w:val="24"/>
                <w:highlight w:val="none"/>
              </w:rPr>
              <w:t xml:space="preserve">等功能，为现场巡查服务提供技术支撑。</w:t>
            </w:r>
            <w:r/>
          </w:p>
        </w:tc>
        <w:tc>
          <w:tcPr>
            <w:tcW w:w="1036"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r>
      <w:tr>
        <w:trPr>
          <w:jc w:val="center"/>
          <w:trHeight w:val="567"/>
        </w:trPr>
        <w:tc>
          <w:tcPr>
            <w:tcW w:w="750"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环境空气质量保障驻场服务</w:t>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数据监管与分析服务</w:t>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数据解读分析报告</w:t>
            </w:r>
            <w:r/>
          </w:p>
        </w:tc>
        <w:tc>
          <w:tcPr>
            <w:tcW w:w="1036" w:type="pct"/>
            <w:vAlign w:val="center"/>
            <w:textDirection w:val="lrTb"/>
            <w:noWrap w:val="false"/>
          </w:tcPr>
          <w:p>
            <w:pPr>
              <w:numPr>
                <w:ilvl w:val="0"/>
                <w:numId w:val="6"/>
              </w:num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日报不低于3</w:t>
            </w:r>
            <w:r>
              <w:rPr>
                <w:rFonts w:hint="eastAsia" w:asciiTheme="majorEastAsia" w:hAnsiTheme="majorEastAsia" w:eastAsiaTheme="majorEastAsia"/>
                <w:color w:val="auto"/>
                <w:sz w:val="20"/>
                <w:szCs w:val="21"/>
                <w:highlight w:val="none"/>
              </w:rPr>
              <w:t xml:space="preserve">65</w:t>
            </w:r>
            <w:r>
              <w:rPr>
                <w:rFonts w:asciiTheme="majorEastAsia" w:hAnsiTheme="majorEastAsia" w:eastAsiaTheme="majorEastAsia"/>
                <w:color w:val="auto"/>
                <w:sz w:val="20"/>
                <w:szCs w:val="21"/>
                <w:highlight w:val="none"/>
              </w:rPr>
              <w:t xml:space="preserve">份</w:t>
            </w:r>
            <w:r>
              <w:rPr>
                <w:rFonts w:hint="eastAsia" w:asciiTheme="majorEastAsia" w:hAnsiTheme="majorEastAsia" w:eastAsiaTheme="majorEastAsia"/>
                <w:color w:val="auto"/>
                <w:sz w:val="20"/>
                <w:szCs w:val="21"/>
                <w:highlight w:val="none"/>
              </w:rPr>
              <w:t xml:space="preserve">，</w:t>
            </w:r>
            <w:r>
              <w:rPr>
                <w:rFonts w:asciiTheme="majorEastAsia" w:hAnsiTheme="majorEastAsia" w:eastAsiaTheme="majorEastAsia"/>
                <w:color w:val="auto"/>
                <w:sz w:val="20"/>
                <w:szCs w:val="21"/>
                <w:highlight w:val="none"/>
              </w:rPr>
              <w:t xml:space="preserve">周</w:t>
            </w:r>
            <w:r>
              <w:rPr>
                <w:rFonts w:hint="eastAsia" w:asciiTheme="majorEastAsia" w:hAnsiTheme="majorEastAsia" w:eastAsiaTheme="majorEastAsia"/>
                <w:color w:val="auto"/>
                <w:sz w:val="20"/>
                <w:szCs w:val="21"/>
                <w:highlight w:val="none"/>
              </w:rPr>
              <w:t xml:space="preserve">报</w:t>
            </w:r>
            <w:r>
              <w:rPr>
                <w:rFonts w:asciiTheme="majorEastAsia" w:hAnsiTheme="majorEastAsia" w:eastAsiaTheme="majorEastAsia"/>
                <w:color w:val="auto"/>
                <w:sz w:val="20"/>
                <w:szCs w:val="21"/>
                <w:highlight w:val="none"/>
              </w:rPr>
              <w:t xml:space="preserve">不低于48份</w:t>
            </w:r>
            <w:r>
              <w:rPr>
                <w:rFonts w:hint="eastAsia" w:asciiTheme="majorEastAsia" w:hAnsiTheme="majorEastAsia" w:eastAsiaTheme="majorEastAsia"/>
                <w:color w:val="auto"/>
                <w:sz w:val="20"/>
                <w:szCs w:val="21"/>
                <w:highlight w:val="none"/>
              </w:rPr>
              <w:t xml:space="preserve">，</w:t>
            </w:r>
            <w:r>
              <w:rPr>
                <w:rFonts w:asciiTheme="majorEastAsia" w:hAnsiTheme="majorEastAsia" w:eastAsiaTheme="majorEastAsia"/>
                <w:color w:val="auto"/>
                <w:sz w:val="20"/>
                <w:szCs w:val="21"/>
                <w:highlight w:val="none"/>
              </w:rPr>
              <w:t xml:space="preserve">月报12份</w:t>
            </w:r>
            <w:r>
              <w:rPr>
                <w:rFonts w:hint="eastAsia" w:asciiTheme="majorEastAsia" w:hAnsiTheme="majorEastAsia" w:eastAsiaTheme="majorEastAsia"/>
                <w:color w:val="auto"/>
                <w:sz w:val="20"/>
                <w:szCs w:val="21"/>
                <w:highlight w:val="none"/>
              </w:rPr>
              <w:t xml:space="preserve">，</w:t>
            </w:r>
            <w:r>
              <w:rPr>
                <w:rFonts w:asciiTheme="majorEastAsia" w:hAnsiTheme="majorEastAsia" w:eastAsiaTheme="majorEastAsia"/>
                <w:color w:val="auto"/>
                <w:sz w:val="20"/>
                <w:szCs w:val="21"/>
                <w:highlight w:val="none"/>
              </w:rPr>
              <w:t xml:space="preserve">年报1份</w:t>
            </w:r>
            <w:r>
              <w:rPr>
                <w:rFonts w:hint="eastAsia" w:asciiTheme="majorEastAsia" w:hAnsiTheme="majorEastAsia" w:eastAsiaTheme="majorEastAsia"/>
                <w:color w:val="auto"/>
                <w:sz w:val="20"/>
                <w:szCs w:val="21"/>
                <w:highlight w:val="none"/>
              </w:rPr>
              <w:t xml:space="preserve">。</w:t>
            </w:r>
            <w:r/>
          </w:p>
          <w:p>
            <w:pPr>
              <w:numPr>
                <w:ilvl w:val="0"/>
                <w:numId w:val="6"/>
              </w:num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至少在省级及以上期刊发表3篇论文。</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应急管控服务</w:t>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轻微污染天应急预案（根据宜兴市各类应急预案启动预警预报、督查督办等应急管控服务）</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根据实际应急情况提供</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应急人员</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至少</w:t>
            </w:r>
            <w:r>
              <w:rPr>
                <w:rFonts w:hint="eastAsia" w:asciiTheme="majorEastAsia" w:hAnsiTheme="majorEastAsia" w:eastAsiaTheme="majorEastAsia"/>
                <w:color w:val="auto"/>
                <w:sz w:val="20"/>
                <w:szCs w:val="21"/>
                <w:highlight w:val="none"/>
              </w:rPr>
              <w:t xml:space="preserve">4</w:t>
            </w:r>
            <w:r>
              <w:rPr>
                <w:rFonts w:asciiTheme="majorEastAsia" w:hAnsiTheme="majorEastAsia" w:eastAsiaTheme="majorEastAsia"/>
                <w:color w:val="auto"/>
                <w:sz w:val="20"/>
                <w:szCs w:val="21"/>
                <w:highlight w:val="none"/>
              </w:rPr>
              <w:t xml:space="preserve">人</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巡查交办服务</w:t>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每日巡查记录</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每日1份，全年不低于</w:t>
            </w:r>
            <w:r>
              <w:rPr>
                <w:rFonts w:hint="eastAsia" w:asciiTheme="majorEastAsia" w:hAnsiTheme="majorEastAsia" w:eastAsiaTheme="majorEastAsia"/>
                <w:color w:val="auto"/>
                <w:sz w:val="20"/>
                <w:szCs w:val="21"/>
                <w:highlight w:val="none"/>
              </w:rPr>
              <w:t xml:space="preserve">300</w:t>
            </w:r>
            <w:r>
              <w:rPr>
                <w:rFonts w:asciiTheme="majorEastAsia" w:hAnsiTheme="majorEastAsia" w:eastAsiaTheme="majorEastAsia"/>
                <w:color w:val="auto"/>
                <w:sz w:val="20"/>
                <w:szCs w:val="21"/>
                <w:highlight w:val="none"/>
              </w:rPr>
              <w:t xml:space="preserve">份</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问题数量</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不少于1200个</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污染管控成效综合分析效果评估服务</w:t>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提供应急管控评估报告</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t xml:space="preserve">根据实际应急情况提供</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restart"/>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Cs w:val="21"/>
                <w:highlight w:val="none"/>
              </w:rPr>
              <w:t xml:space="preserve">污染扩散模型溯源及车船尾气溯源服务</w:t>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提供宜兴市污染扩散模型溯源评估报告</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1份</w:t>
            </w:r>
            <w:r/>
          </w:p>
        </w:tc>
      </w:tr>
      <w:tr>
        <w:trPr>
          <w:jc w:val="center"/>
          <w:trHeight w:val="567"/>
        </w:trPr>
        <w:tc>
          <w:tcPr>
            <w:tcW w:w="750" w:type="pct"/>
            <w:vAlign w:val="center"/>
            <w:vMerge w:val="continue"/>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asciiTheme="majorEastAsia" w:hAnsiTheme="majorEastAsia" w:eastAsiaTheme="majorEastAsia"/>
                <w:color w:val="auto"/>
                <w:sz w:val="20"/>
                <w:szCs w:val="21"/>
                <w:highlight w:val="none"/>
              </w:rPr>
            </w:r>
            <w:r/>
          </w:p>
        </w:tc>
        <w:tc>
          <w:tcPr>
            <w:tcW w:w="1445" w:type="pct"/>
            <w:vAlign w:val="center"/>
            <w:vMerge w:val="continue"/>
            <w:textDirection w:val="lrTb"/>
            <w:noWrap w:val="false"/>
          </w:tcPr>
          <w:p>
            <w:pPr>
              <w:jc w:val="center"/>
              <w:spacing w:line="360" w:lineRule="exact"/>
              <w:rPr>
                <w:rFonts w:asciiTheme="majorEastAsia" w:hAnsiTheme="majorEastAsia" w:eastAsiaTheme="majorEastAsia"/>
                <w:color w:val="auto"/>
                <w:szCs w:val="21"/>
                <w:highlight w:val="none"/>
              </w:rPr>
            </w:pPr>
            <w:r>
              <w:rPr>
                <w:rFonts w:asciiTheme="majorEastAsia" w:hAnsiTheme="majorEastAsia" w:eastAsiaTheme="majorEastAsia"/>
                <w:color w:val="auto"/>
                <w:szCs w:val="21"/>
                <w:highlight w:val="none"/>
              </w:rPr>
            </w:r>
            <w:r/>
          </w:p>
        </w:tc>
        <w:tc>
          <w:tcPr>
            <w:tcW w:w="1767"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Cs w:val="21"/>
                <w:highlight w:val="none"/>
              </w:rPr>
              <w:t xml:space="preserve">提</w:t>
            </w:r>
            <w:r>
              <w:rPr>
                <w:rFonts w:hint="eastAsia" w:asciiTheme="majorEastAsia" w:hAnsiTheme="majorEastAsia" w:eastAsiaTheme="majorEastAsia"/>
                <w:color w:val="auto"/>
                <w:sz w:val="20"/>
                <w:szCs w:val="21"/>
                <w:highlight w:val="none"/>
              </w:rPr>
              <w:t xml:space="preserve">供宜兴市机动车及船舶尾气对省控站点空气质量影响评估报告。</w:t>
            </w:r>
            <w:r/>
          </w:p>
        </w:tc>
        <w:tc>
          <w:tcPr>
            <w:tcW w:w="1036" w:type="pct"/>
            <w:vAlign w:val="center"/>
            <w:textDirection w:val="lrTb"/>
            <w:noWrap w:val="false"/>
          </w:tcPr>
          <w:p>
            <w:pPr>
              <w:jc w:val="center"/>
              <w:spacing w:line="360" w:lineRule="exact"/>
              <w:rPr>
                <w:rFonts w:asciiTheme="majorEastAsia" w:hAnsiTheme="majorEastAsia" w:eastAsiaTheme="majorEastAsia"/>
                <w:color w:val="auto"/>
                <w:sz w:val="20"/>
                <w:szCs w:val="21"/>
                <w:highlight w:val="none"/>
              </w:rPr>
            </w:pPr>
            <w:r>
              <w:rPr>
                <w:rFonts w:hint="eastAsia" w:asciiTheme="majorEastAsia" w:hAnsiTheme="majorEastAsia" w:eastAsiaTheme="majorEastAsia"/>
                <w:color w:val="auto"/>
                <w:sz w:val="20"/>
                <w:szCs w:val="21"/>
                <w:highlight w:val="none"/>
              </w:rPr>
              <w:t xml:space="preserve">1份</w:t>
            </w:r>
            <w:r/>
          </w:p>
        </w:tc>
      </w:tr>
    </w:tbl>
    <w:p>
      <w:pPr>
        <w:ind w:firstLine="482"/>
        <w:jc w:val="left"/>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5、付款步骤：</w:t>
      </w:r>
      <w:r>
        <w:rPr>
          <w:b/>
          <w:bCs/>
          <w:color w:val="auto"/>
          <w:sz w:val="24"/>
          <w:szCs w:val="24"/>
          <w:highlight w:val="none"/>
        </w:rPr>
        <w:t xml:space="preserve">①合同签订</w:t>
      </w:r>
      <w:r>
        <w:rPr>
          <w:rFonts w:hint="eastAsia"/>
          <w:b/>
          <w:bCs/>
          <w:color w:val="auto"/>
          <w:sz w:val="24"/>
          <w:szCs w:val="24"/>
          <w:highlight w:val="none"/>
        </w:rPr>
        <w:t xml:space="preserve">并完成相关设备和平台建设，由甲方验收后</w:t>
      </w:r>
      <w:r>
        <w:rPr>
          <w:b/>
          <w:bCs/>
          <w:color w:val="auto"/>
          <w:sz w:val="24"/>
          <w:szCs w:val="24"/>
          <w:highlight w:val="none"/>
        </w:rPr>
        <w:t xml:space="preserve">支付合同价款的30%；②</w:t>
      </w:r>
      <w:r>
        <w:rPr>
          <w:rFonts w:hint="eastAsia"/>
          <w:b/>
          <w:bCs/>
          <w:color w:val="auto"/>
          <w:sz w:val="24"/>
          <w:szCs w:val="24"/>
          <w:highlight w:val="none"/>
        </w:rPr>
        <w:t xml:space="preserve">正常服务6个月后，由甲方验收后</w:t>
      </w:r>
      <w:r>
        <w:rPr>
          <w:b/>
          <w:bCs/>
          <w:color w:val="auto"/>
          <w:sz w:val="24"/>
          <w:szCs w:val="24"/>
          <w:highlight w:val="none"/>
        </w:rPr>
        <w:t xml:space="preserve">支付合同价款的</w:t>
      </w:r>
      <w:r>
        <w:rPr>
          <w:rFonts w:hint="eastAsia"/>
          <w:b/>
          <w:bCs/>
          <w:color w:val="auto"/>
          <w:sz w:val="24"/>
          <w:szCs w:val="24"/>
          <w:highlight w:val="none"/>
        </w:rPr>
        <w:t xml:space="preserve">2</w:t>
      </w:r>
      <w:r>
        <w:rPr>
          <w:b/>
          <w:bCs/>
          <w:color w:val="auto"/>
          <w:sz w:val="24"/>
          <w:szCs w:val="24"/>
          <w:highlight w:val="none"/>
        </w:rPr>
        <w:t xml:space="preserve">0%；③通过专家评审</w:t>
      </w:r>
      <w:r>
        <w:rPr>
          <w:rFonts w:hint="eastAsia"/>
          <w:b/>
          <w:bCs/>
          <w:color w:val="auto"/>
          <w:sz w:val="24"/>
          <w:szCs w:val="24"/>
          <w:highlight w:val="none"/>
        </w:rPr>
        <w:t xml:space="preserve">且最终</w:t>
      </w:r>
      <w:r>
        <w:rPr>
          <w:b/>
          <w:bCs/>
          <w:color w:val="auto"/>
          <w:sz w:val="24"/>
          <w:szCs w:val="24"/>
          <w:highlight w:val="none"/>
        </w:rPr>
        <w:t xml:space="preserve">验收合格</w:t>
      </w:r>
      <w:r>
        <w:rPr>
          <w:rFonts w:hint="eastAsia"/>
          <w:b/>
          <w:bCs/>
          <w:color w:val="auto"/>
          <w:sz w:val="24"/>
          <w:szCs w:val="24"/>
          <w:highlight w:val="none"/>
        </w:rPr>
        <w:t xml:space="preserve">；</w:t>
      </w:r>
      <w:r>
        <w:rPr>
          <w:b/>
          <w:bCs/>
          <w:color w:val="auto"/>
          <w:sz w:val="24"/>
          <w:szCs w:val="24"/>
          <w:highlight w:val="none"/>
        </w:rPr>
        <w:fldChar w:fldCharType="begin"/>
      </w:r>
      <w:r>
        <w:rPr>
          <w:rFonts w:hint="eastAsia"/>
          <w:b/>
          <w:bCs/>
          <w:color w:val="auto"/>
          <w:sz w:val="24"/>
          <w:szCs w:val="24"/>
          <w:highlight w:val="none"/>
        </w:rPr>
        <w:instrText xml:space="preserve">= 4 \* GB3</w:instrText>
      </w:r>
      <w:r>
        <w:rPr>
          <w:b/>
          <w:bCs/>
          <w:color w:val="auto"/>
          <w:sz w:val="24"/>
          <w:szCs w:val="24"/>
          <w:highlight w:val="none"/>
        </w:rPr>
        <w:fldChar w:fldCharType="separate"/>
      </w:r>
      <w:r>
        <w:rPr>
          <w:rFonts w:hint="eastAsia"/>
          <w:b/>
          <w:bCs/>
          <w:color w:val="auto"/>
          <w:sz w:val="24"/>
          <w:szCs w:val="24"/>
          <w:highlight w:val="none"/>
        </w:rPr>
        <w:t xml:space="preserve">④</w:t>
      </w:r>
      <w:r>
        <w:rPr>
          <w:b/>
          <w:bCs/>
          <w:color w:val="auto"/>
          <w:sz w:val="24"/>
          <w:szCs w:val="24"/>
          <w:highlight w:val="none"/>
        </w:rPr>
        <w:fldChar w:fldCharType="end"/>
      </w:r>
      <w:r>
        <w:rPr>
          <w:b/>
          <w:bCs/>
          <w:color w:val="auto"/>
          <w:sz w:val="24"/>
          <w:szCs w:val="24"/>
          <w:highlight w:val="none"/>
        </w:rPr>
        <w:t xml:space="preserve">宜兴</w:t>
      </w:r>
      <w:r>
        <w:rPr>
          <w:rFonts w:hint="eastAsia"/>
          <w:b/>
          <w:bCs/>
          <w:color w:val="auto"/>
          <w:sz w:val="24"/>
          <w:szCs w:val="24"/>
          <w:highlight w:val="none"/>
        </w:rPr>
        <w:t xml:space="preserve">市空气质量达到2026年省下达目标；</w:t>
      </w:r>
      <w:r>
        <w:rPr>
          <w:b/>
          <w:bCs/>
          <w:color w:val="auto"/>
          <w:sz w:val="24"/>
          <w:szCs w:val="24"/>
          <w:highlight w:val="none"/>
        </w:rPr>
        <w:t xml:space="preserve">同时满足③</w:t>
      </w:r>
      <w:r>
        <w:rPr>
          <w:b/>
          <w:bCs/>
          <w:color w:val="auto"/>
          <w:sz w:val="24"/>
          <w:szCs w:val="24"/>
          <w:highlight w:val="none"/>
        </w:rPr>
        <w:fldChar w:fldCharType="begin"/>
      </w:r>
      <w:r>
        <w:rPr>
          <w:rFonts w:hint="eastAsia"/>
          <w:b/>
          <w:bCs/>
          <w:color w:val="auto"/>
          <w:sz w:val="24"/>
          <w:szCs w:val="24"/>
          <w:highlight w:val="none"/>
        </w:rPr>
        <w:instrText xml:space="preserve">= 4 \* GB3</w:instrText>
      </w:r>
      <w:r>
        <w:rPr>
          <w:b/>
          <w:bCs/>
          <w:color w:val="auto"/>
          <w:sz w:val="24"/>
          <w:szCs w:val="24"/>
          <w:highlight w:val="none"/>
        </w:rPr>
        <w:fldChar w:fldCharType="separate"/>
      </w:r>
      <w:r>
        <w:rPr>
          <w:rFonts w:hint="eastAsia"/>
          <w:b/>
          <w:bCs/>
          <w:color w:val="auto"/>
          <w:sz w:val="24"/>
          <w:szCs w:val="24"/>
          <w:highlight w:val="none"/>
        </w:rPr>
        <w:t xml:space="preserve">④</w:t>
      </w:r>
      <w:r>
        <w:rPr>
          <w:b/>
          <w:bCs/>
          <w:color w:val="auto"/>
          <w:sz w:val="24"/>
          <w:szCs w:val="24"/>
          <w:highlight w:val="none"/>
        </w:rPr>
        <w:fldChar w:fldCharType="end"/>
      </w:r>
      <w:r>
        <w:rPr>
          <w:b/>
          <w:bCs/>
          <w:color w:val="auto"/>
          <w:sz w:val="24"/>
          <w:szCs w:val="24"/>
          <w:highlight w:val="none"/>
        </w:rPr>
        <w:t xml:space="preserve">情况下付清余款，若</w:t>
      </w:r>
      <w:r>
        <w:rPr>
          <w:rFonts w:hint="eastAsia"/>
          <w:b/>
          <w:bCs/>
          <w:color w:val="auto"/>
          <w:sz w:val="24"/>
          <w:szCs w:val="24"/>
          <w:highlight w:val="none"/>
        </w:rPr>
        <w:t xml:space="preserve">不满足</w:t>
      </w:r>
      <w:r>
        <w:rPr>
          <w:b/>
          <w:bCs/>
          <w:color w:val="auto"/>
          <w:sz w:val="24"/>
          <w:szCs w:val="24"/>
          <w:highlight w:val="none"/>
        </w:rPr>
        <w:fldChar w:fldCharType="begin"/>
      </w:r>
      <w:r>
        <w:rPr>
          <w:rFonts w:hint="eastAsia"/>
          <w:b/>
          <w:bCs/>
          <w:color w:val="auto"/>
          <w:sz w:val="24"/>
          <w:szCs w:val="24"/>
          <w:highlight w:val="none"/>
        </w:rPr>
        <w:instrText xml:space="preserve">= 4 \* GB3</w:instrText>
      </w:r>
      <w:r>
        <w:rPr>
          <w:b/>
          <w:bCs/>
          <w:color w:val="auto"/>
          <w:sz w:val="24"/>
          <w:szCs w:val="24"/>
          <w:highlight w:val="none"/>
        </w:rPr>
        <w:fldChar w:fldCharType="separate"/>
      </w:r>
      <w:r>
        <w:rPr>
          <w:rFonts w:hint="eastAsia"/>
          <w:b/>
          <w:bCs/>
          <w:color w:val="auto"/>
          <w:sz w:val="24"/>
          <w:szCs w:val="24"/>
          <w:highlight w:val="none"/>
        </w:rPr>
        <w:t xml:space="preserve">④</w:t>
      </w:r>
      <w:r>
        <w:rPr>
          <w:b/>
          <w:bCs/>
          <w:color w:val="auto"/>
          <w:sz w:val="24"/>
          <w:szCs w:val="24"/>
          <w:highlight w:val="none"/>
        </w:rPr>
        <w:fldChar w:fldCharType="end"/>
      </w:r>
      <w:r>
        <w:rPr>
          <w:b/>
          <w:bCs/>
          <w:color w:val="auto"/>
          <w:sz w:val="24"/>
          <w:szCs w:val="24"/>
          <w:highlight w:val="none"/>
        </w:rPr>
        <w:t xml:space="preserve">，则扣除合同价款的5%，最终结算金额不得超过合同金额的95%。</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w:t>
      </w:r>
      <w:bookmarkStart w:id="123" w:name="_Hlk160720028"/>
      <w:r>
        <w:rPr>
          <w:rFonts w:hint="eastAsia" w:ascii="宋体" w:hAnsi="宋体"/>
          <w:b/>
          <w:bCs/>
          <w:color w:val="auto"/>
          <w:sz w:val="24"/>
          <w:szCs w:val="24"/>
          <w:highlight w:val="none"/>
        </w:rPr>
        <w:t xml:space="preserve">实质性要求</w:t>
      </w:r>
      <w:bookmarkEnd w:id="123"/>
      <w:r/>
      <w:r/>
    </w:p>
    <w:p>
      <w:pPr>
        <w:ind w:firstLine="480"/>
        <w:jc w:val="left"/>
        <w:spacing w:line="360" w:lineRule="auto"/>
        <w:rPr>
          <w:rFonts w:ascii="宋体" w:hAnsi="宋体"/>
          <w:color w:val="auto"/>
          <w:sz w:val="24"/>
          <w:highlight w:val="none"/>
        </w:rPr>
      </w:pPr>
      <w:r/>
      <w:bookmarkStart w:id="124" w:name="_Hlk160720671"/>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color w:val="auto"/>
          <w:sz w:val="24"/>
          <w:highlight w:val="none"/>
        </w:rPr>
      </w:pPr>
      <w:r>
        <w:rPr>
          <w:rFonts w:ascii="宋体" w:hAnsi="宋体"/>
          <w:color w:val="auto"/>
          <w:sz w:val="24"/>
          <w:highlight w:val="none"/>
        </w:rPr>
      </w:r>
      <w:bookmarkEnd w:id="85"/>
      <w:r/>
      <w:bookmarkEnd w:id="124"/>
      <w:r/>
      <w:r/>
    </w:p>
    <w:p>
      <w:pPr>
        <w:jc w:val="center"/>
        <w:rPr>
          <w:rFonts w:ascii="黑体" w:hAnsi="黑体" w:eastAsia="黑体"/>
          <w:color w:val="auto"/>
          <w:sz w:val="36"/>
          <w:szCs w:val="36"/>
          <w:highlight w:val="none"/>
        </w:rPr>
        <w:outlineLvl w:val="0"/>
      </w:pPr>
      <w:r/>
      <w:bookmarkStart w:id="125" w:name="_Toc23355"/>
      <w:r>
        <w:rPr>
          <w:rFonts w:hint="eastAsia" w:ascii="黑体" w:hAnsi="黑体" w:eastAsia="黑体"/>
          <w:color w:val="auto"/>
          <w:sz w:val="28"/>
          <w:highlight w:val="none"/>
        </w:rPr>
        <w:br w:type="page" w:clear="all"/>
      </w:r>
      <w:bookmarkEnd w:id="125"/>
      <w:r/>
      <w:bookmarkStart w:id="126" w:name="_Toc157174691"/>
      <w:r/>
      <w:bookmarkStart w:id="127" w:name="_Toc526779129"/>
      <w:r/>
      <w:bookmarkStart w:id="128" w:name="_Toc2535"/>
      <w:r/>
      <w:bookmarkStart w:id="129" w:name="_Toc5576"/>
      <w:r/>
      <w:bookmarkStart w:id="130" w:name="_Toc487900374"/>
      <w:r>
        <w:rPr>
          <w:rFonts w:hint="eastAsia" w:ascii="黑体" w:hAnsi="黑体" w:eastAsia="黑体"/>
          <w:color w:val="auto"/>
          <w:sz w:val="36"/>
          <w:szCs w:val="36"/>
          <w:highlight w:val="none"/>
        </w:rPr>
        <w:t xml:space="preserve">第四章 评标方法和标准</w:t>
      </w:r>
      <w:bookmarkEnd w:id="126"/>
      <w:r/>
      <w:r/>
    </w:p>
    <w:p>
      <w:pPr>
        <w:pStyle w:val="959"/>
        <w:numPr>
          <w:ilvl w:val="0"/>
          <w:numId w:val="7"/>
        </w:numPr>
        <w:ind w:firstLine="0"/>
        <w:spacing w:line="500" w:lineRule="exact"/>
        <w:rPr>
          <w:rFonts w:cs="Arial"/>
          <w:b/>
          <w:color w:val="auto"/>
          <w:sz w:val="30"/>
          <w:szCs w:val="30"/>
          <w:highlight w:val="none"/>
        </w:rPr>
      </w:pPr>
      <w:r/>
      <w:bookmarkStart w:id="131" w:name="_Hlk160542436"/>
      <w:r>
        <w:rPr>
          <w:rFonts w:hint="eastAsia" w:cs="Arial"/>
          <w:b/>
          <w:color w:val="auto"/>
          <w:sz w:val="30"/>
          <w:szCs w:val="30"/>
          <w:highlight w:val="none"/>
        </w:rPr>
        <w:t xml:space="preserve"> 评标方法</w:t>
      </w:r>
      <w:r/>
    </w:p>
    <w:p>
      <w:pPr>
        <w:pStyle w:val="959"/>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959"/>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9"/>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0"/>
        <w:jc w:val="left"/>
        <w:spacing w:line="500" w:lineRule="exact"/>
        <w:rPr>
          <w:rFonts w:ascii="宋体" w:hAnsi="宋体"/>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cs="宋体"/>
          <w:bCs/>
          <w:color w:val="auto"/>
          <w:sz w:val="24"/>
          <w:szCs w:val="24"/>
          <w:highlight w:val="none"/>
        </w:rPr>
        <w:t xml:space="preserve">本项目非专门面向中小企业采购，</w:t>
      </w:r>
      <w:r>
        <w:rPr>
          <w:rFonts w:hint="eastAsia" w:ascii="宋体" w:hAnsi="宋体"/>
          <w:bCs/>
          <w:color w:val="auto"/>
          <w:sz w:val="24"/>
          <w:szCs w:val="24"/>
          <w:highlight w:val="none"/>
        </w:rPr>
        <w:t xml:space="preserve">对符合规定的小微企业报价给予</w:t>
      </w:r>
      <w:r>
        <w:rPr>
          <w:rFonts w:hint="eastAsia" w:ascii="宋体" w:hAnsi="宋体"/>
          <w:bCs/>
          <w:color w:val="auto"/>
          <w:sz w:val="24"/>
          <w:szCs w:val="24"/>
          <w:highlight w:val="none"/>
          <w:u w:val="single"/>
        </w:rPr>
        <w:t xml:space="preserve"> 10 </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w:t>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59"/>
        <w:numPr>
          <w:ilvl w:val="0"/>
          <w:numId w:val="7"/>
        </w:numPr>
        <w:ind w:firstLine="0"/>
        <w:spacing w:line="500" w:lineRule="exact"/>
        <w:rPr>
          <w:rFonts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ascii="宋体" w:hAnsi="宋体"/>
          <w:color w:val="auto"/>
          <w:sz w:val="24"/>
          <w:szCs w:val="24"/>
          <w:highlight w:val="none"/>
        </w:rPr>
      </w:pPr>
      <w:r/>
      <w:bookmarkStart w:id="132" w:name="_Hlk160542197"/>
      <w:r>
        <w:rPr>
          <w:rFonts w:hint="eastAsia" w:ascii="宋体" w:hAnsi="宋体"/>
          <w:color w:val="auto"/>
          <w:sz w:val="24"/>
          <w:szCs w:val="24"/>
          <w:highlight w:val="none"/>
        </w:rPr>
        <w:t xml:space="preserve">一、采用综合评分法（总分100分），其中：</w:t>
      </w:r>
      <w:r/>
    </w:p>
    <w:tbl>
      <w:tblPr>
        <w:tblStyle w:val="932"/>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80分</w:t>
            </w:r>
            <w:r/>
          </w:p>
        </w:tc>
      </w:tr>
      <w:tr>
        <w:trPr>
          <w:jc w:val="center"/>
          <w:trHeight w:val="629"/>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20分</w:t>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93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bookmarkStart w:id="133" w:name="OLE_LINK8"/>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技术参数</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20"/>
              <w:spacing w:line="276" w:lineRule="auto"/>
              <w:rPr>
                <w:rFonts w:ascii="宋体" w:hAnsi="宋体"/>
                <w:color w:val="auto"/>
                <w:szCs w:val="21"/>
                <w:highlight w:val="none"/>
              </w:rPr>
            </w:pPr>
            <w:r>
              <w:rPr>
                <w:rFonts w:hint="eastAsia" w:ascii="宋体" w:hAnsi="宋体"/>
                <w:color w:val="auto"/>
                <w:szCs w:val="21"/>
                <w:highlight w:val="none"/>
              </w:rPr>
              <w:t xml:space="preserve">投标人自带硬件及软件性能参数须完全满足服务需求，需提供承诺函。</w:t>
            </w:r>
            <w:r/>
          </w:p>
          <w:p>
            <w:pPr>
              <w:ind w:firstLine="42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以下为更精、更优技术参数，每满足一项得1分，最高得21分。</w:t>
            </w:r>
            <w:r>
              <w:rPr>
                <w:rFonts w:hint="eastAsia" w:ascii="宋体" w:hAnsi="宋体"/>
                <w:color w:val="auto"/>
                <w:spacing w:val="6"/>
                <w:szCs w:val="21"/>
                <w:highlight w:val="none"/>
              </w:rPr>
              <w:t xml:space="preserve">以下技术参数均</w:t>
            </w:r>
            <w:r>
              <w:rPr>
                <w:rFonts w:ascii="宋体" w:hAnsi="宋体"/>
                <w:color w:val="auto"/>
                <w:spacing w:val="6"/>
                <w:szCs w:val="21"/>
                <w:highlight w:val="none"/>
              </w:rPr>
              <w:t xml:space="preserve">须提供</w:t>
            </w:r>
            <w:r>
              <w:rPr>
                <w:rFonts w:hint="eastAsia" w:ascii="宋体" w:hAnsi="宋体"/>
                <w:color w:val="auto"/>
                <w:spacing w:val="6"/>
                <w:szCs w:val="21"/>
                <w:highlight w:val="none"/>
              </w:rPr>
              <w:t xml:space="preserve">省级及以上计量检测</w:t>
            </w:r>
            <w:r>
              <w:rPr>
                <w:rFonts w:ascii="宋体" w:hAnsi="宋体"/>
                <w:color w:val="auto"/>
                <w:spacing w:val="6"/>
                <w:szCs w:val="21"/>
                <w:highlight w:val="none"/>
              </w:rPr>
              <w:t xml:space="preserve">机构出具的检测报告扫描件</w:t>
            </w:r>
            <w:r>
              <w:rPr>
                <w:rFonts w:hint="eastAsia" w:ascii="宋体" w:hAnsi="宋体"/>
                <w:color w:val="auto"/>
                <w:spacing w:val="6"/>
                <w:szCs w:val="21"/>
                <w:highlight w:val="none"/>
              </w:rPr>
              <w:t xml:space="preserve">放入投标文件中，检测报告的颁发日期须在招标公告发布日之前，未提供或提供不全不得分</w:t>
            </w:r>
            <w:r>
              <w:rPr>
                <w:rFonts w:hint="eastAsia" w:ascii="宋体" w:hAnsi="宋体"/>
                <w:color w:val="auto"/>
                <w:szCs w:val="21"/>
                <w:highlight w:val="none"/>
              </w:rPr>
              <w:t xml:space="preserve">；</w:t>
            </w:r>
            <w:r/>
          </w:p>
          <w:p>
            <w:pPr>
              <w:numPr>
                <w:ilvl w:val="0"/>
                <w:numId w:val="8"/>
              </w:numPr>
              <w:jc w:val="left"/>
              <w:spacing w:line="276" w:lineRule="auto"/>
              <w:widowControl/>
              <w:rPr>
                <w:rFonts w:ascii="宋体" w:hAnsi="宋体"/>
                <w:b/>
                <w:bCs/>
                <w:color w:val="auto"/>
                <w:szCs w:val="21"/>
                <w:highlight w:val="none"/>
              </w:rPr>
            </w:pPr>
            <w:r>
              <w:rPr>
                <w:rFonts w:ascii="宋体" w:hAnsi="宋体"/>
                <w:b/>
                <w:bCs/>
                <w:color w:val="auto"/>
                <w:szCs w:val="21"/>
                <w:highlight w:val="none"/>
              </w:rPr>
              <w:t xml:space="preserve">无机元素在线分析仪</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检出限：</w:t>
            </w:r>
            <w:r>
              <w:rPr>
                <w:rFonts w:hint="eastAsia" w:ascii="宋体" w:hAnsi="宋体" w:cs="宋体"/>
                <w:color w:val="auto"/>
                <w:szCs w:val="21"/>
                <w:highlight w:val="none"/>
              </w:rPr>
              <w:t xml:space="preserve">≤</w:t>
            </w:r>
            <w:r>
              <w:rPr>
                <w:rFonts w:ascii="宋体" w:hAnsi="宋体"/>
                <w:color w:val="auto"/>
                <w:szCs w:val="21"/>
                <w:highlight w:val="none"/>
              </w:rPr>
              <w:t xml:space="preserve">0.01μg/cm2</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示值误差：±1%</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流量相对标准偏差：</w:t>
            </w:r>
            <w:r>
              <w:rPr>
                <w:rFonts w:ascii="宋体" w:hAnsi="宋体" w:cs="宋体"/>
                <w:color w:val="auto"/>
                <w:szCs w:val="21"/>
                <w:highlight w:val="none"/>
              </w:rPr>
              <w:t xml:space="preserve">≤</w:t>
            </w:r>
            <w:r>
              <w:rPr>
                <w:rFonts w:ascii="宋体" w:hAnsi="宋体"/>
                <w:color w:val="auto"/>
                <w:szCs w:val="21"/>
                <w:highlight w:val="none"/>
              </w:rPr>
              <w:t xml:space="preserve">0.2%</w:t>
            </w:r>
            <w:r/>
          </w:p>
          <w:p>
            <w:pPr>
              <w:numPr>
                <w:ilvl w:val="0"/>
                <w:numId w:val="8"/>
              </w:numPr>
              <w:spacing w:line="276" w:lineRule="auto"/>
              <w:rPr>
                <w:rFonts w:ascii="宋体" w:hAnsi="宋体"/>
                <w:b/>
                <w:bCs/>
                <w:color w:val="auto"/>
                <w:szCs w:val="21"/>
                <w:highlight w:val="none"/>
              </w:rPr>
            </w:pPr>
            <w:r>
              <w:rPr>
                <w:rFonts w:hint="eastAsia" w:ascii="宋体" w:hAnsi="宋体"/>
                <w:b/>
                <w:bCs/>
                <w:color w:val="auto"/>
                <w:szCs w:val="21"/>
                <w:highlight w:val="none"/>
              </w:rPr>
              <w:t xml:space="preserve">在线离子色谱仪</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流量相对偏差：±0.1%（16.7L/min）</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（5）准确度：±5%</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（6）重复性：</w:t>
            </w:r>
            <w:r>
              <w:rPr>
                <w:rFonts w:ascii="宋体" w:hAnsi="宋体" w:cs="宋体"/>
                <w:color w:val="auto"/>
                <w:szCs w:val="21"/>
                <w:highlight w:val="none"/>
              </w:rPr>
              <w:t xml:space="preserve">≤</w:t>
            </w:r>
            <w:r>
              <w:rPr>
                <w:rFonts w:hint="eastAsia" w:ascii="宋体" w:hAnsi="宋体"/>
                <w:color w:val="auto"/>
                <w:szCs w:val="21"/>
                <w:highlight w:val="none"/>
              </w:rPr>
              <w:t xml:space="preserve">0.6%</w:t>
            </w:r>
            <w:r/>
          </w:p>
          <w:p>
            <w:pPr>
              <w:spacing w:line="276" w:lineRule="auto"/>
              <w:rPr>
                <w:rFonts w:ascii="宋体" w:hAnsi="宋体"/>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在线碳组分分析仪</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（7）检出限：</w:t>
            </w:r>
            <w:r>
              <w:rPr>
                <w:rFonts w:ascii="宋体" w:hAnsi="宋体" w:cs="宋体"/>
                <w:color w:val="auto"/>
                <w:szCs w:val="21"/>
                <w:highlight w:val="none"/>
              </w:rPr>
              <w:t xml:space="preserve">≤</w:t>
            </w:r>
            <w:r>
              <w:rPr>
                <w:rFonts w:hint="eastAsia" w:ascii="宋体" w:hAnsi="宋体"/>
                <w:color w:val="auto"/>
                <w:szCs w:val="21"/>
                <w:highlight w:val="none"/>
              </w:rPr>
              <w:t xml:space="preserve">0.8ug/m3</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（8）平均流量偏差：</w:t>
            </w:r>
            <w:r>
              <w:rPr>
                <w:rFonts w:ascii="宋体" w:hAnsi="宋体"/>
                <w:color w:val="auto"/>
                <w:szCs w:val="21"/>
                <w:highlight w:val="none"/>
              </w:rPr>
              <w:t xml:space="preserve">±0.5</w:t>
            </w:r>
            <w:r>
              <w:rPr>
                <w:rFonts w:hint="eastAsia" w:ascii="宋体" w:hAnsi="宋体"/>
                <w:color w:val="auto"/>
                <w:szCs w:val="21"/>
                <w:highlight w:val="none"/>
              </w:rPr>
              <w:t xml:space="preserve">%</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（9）激光稳定性：</w:t>
            </w:r>
            <w:r>
              <w:rPr>
                <w:rFonts w:ascii="宋体" w:hAnsi="宋体" w:cs="宋体"/>
                <w:color w:val="auto"/>
                <w:szCs w:val="21"/>
                <w:highlight w:val="none"/>
              </w:rPr>
              <w:t xml:space="preserve">≤</w:t>
            </w:r>
            <w:r>
              <w:rPr>
                <w:rFonts w:hint="eastAsia" w:ascii="宋体" w:hAnsi="宋体"/>
                <w:color w:val="auto"/>
                <w:szCs w:val="21"/>
                <w:highlight w:val="none"/>
              </w:rPr>
              <w:t xml:space="preserve">1%</w:t>
            </w:r>
            <w:r/>
          </w:p>
          <w:p>
            <w:pPr>
              <w:spacing w:line="276" w:lineRule="auto"/>
              <w:rPr>
                <w:rFonts w:ascii="宋体" w:hAnsi="宋体"/>
                <w:b/>
                <w:bCs/>
                <w:color w:val="auto"/>
                <w:spacing w:val="1"/>
                <w:szCs w:val="21"/>
                <w:highlight w:val="none"/>
              </w:rPr>
            </w:pPr>
            <w:r>
              <w:rPr>
                <w:rFonts w:hint="eastAsia" w:ascii="宋体" w:hAnsi="宋体"/>
                <w:b/>
                <w:bCs/>
                <w:color w:val="auto"/>
                <w:szCs w:val="21"/>
                <w:highlight w:val="none"/>
              </w:rPr>
              <w:t xml:space="preserve">4、非甲烷总烃分析仪</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（10）系统检出限：</w:t>
            </w:r>
            <w:r>
              <w:rPr>
                <w:rFonts w:ascii="宋体" w:hAnsi="宋体"/>
                <w:color w:val="auto"/>
                <w:szCs w:val="21"/>
                <w:highlight w:val="none"/>
              </w:rPr>
              <w:t xml:space="preserve">&lt;1x10</w:t>
            </w:r>
            <w:r>
              <w:rPr>
                <w:rFonts w:ascii="宋体" w:hAnsi="宋体"/>
                <w:color w:val="auto"/>
                <w:szCs w:val="21"/>
                <w:highlight w:val="none"/>
                <w:vertAlign w:val="superscript"/>
              </w:rPr>
              <w:t xml:space="preserve">-2</w:t>
            </w:r>
            <w:r>
              <w:rPr>
                <w:rFonts w:ascii="宋体" w:hAnsi="宋体"/>
                <w:color w:val="auto"/>
                <w:szCs w:val="21"/>
                <w:highlight w:val="none"/>
              </w:rPr>
              <w:t xml:space="preserve"> μmol/mol</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（11）平行性：≤1%</w:t>
            </w:r>
            <w:r/>
          </w:p>
          <w:p>
            <w:pPr>
              <w:spacing w:line="276" w:lineRule="auto"/>
              <w:rPr>
                <w:rFonts w:ascii="宋体" w:hAnsi="宋体"/>
                <w:b/>
                <w:bCs/>
                <w:color w:val="auto"/>
                <w:spacing w:val="1"/>
                <w:szCs w:val="21"/>
                <w:highlight w:val="none"/>
              </w:rPr>
            </w:pPr>
            <w:r>
              <w:rPr>
                <w:rFonts w:hint="eastAsia" w:ascii="宋体" w:hAnsi="宋体"/>
                <w:b/>
                <w:bCs/>
                <w:color w:val="auto"/>
                <w:szCs w:val="21"/>
                <w:highlight w:val="none"/>
              </w:rPr>
              <w:t xml:space="preserve">5、环境空气挥发性有机物气相色谱连续监测系统（PAMs57）</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（12）方法检出限：90%组分≤0.1nmol/mol；</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（13）零点噪声：≤0.05nmol/mol；</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（14）系统残留：98%组分≤0.1nmol/mol；</w:t>
            </w:r>
            <w:r/>
          </w:p>
          <w:p>
            <w:pPr>
              <w:spacing w:line="276" w:lineRule="auto"/>
              <w:rPr>
                <w:rFonts w:ascii="宋体" w:hAnsi="宋体"/>
                <w:b/>
                <w:bCs/>
                <w:color w:val="auto"/>
                <w:szCs w:val="21"/>
                <w:highlight w:val="none"/>
              </w:rPr>
            </w:pPr>
            <w:r>
              <w:rPr>
                <w:rFonts w:hint="eastAsia" w:ascii="宋体" w:hAnsi="宋体"/>
                <w:b/>
                <w:bCs/>
                <w:color w:val="auto"/>
                <w:szCs w:val="21"/>
                <w:highlight w:val="none"/>
              </w:rPr>
              <w:t xml:space="preserve">6、</w:t>
            </w:r>
            <w:r>
              <w:rPr>
                <w:rFonts w:ascii="宋体" w:hAnsi="宋体"/>
                <w:b/>
                <w:bCs/>
                <w:color w:val="auto"/>
                <w:szCs w:val="21"/>
                <w:highlight w:val="none"/>
              </w:rPr>
              <w:t xml:space="preserve">微型站</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（15）O3示值误差：</w:t>
            </w:r>
            <w:r>
              <w:rPr>
                <w:rFonts w:ascii="宋体" w:hAnsi="宋体" w:cs="宋体"/>
                <w:color w:val="auto"/>
                <w:szCs w:val="21"/>
                <w:highlight w:val="none"/>
              </w:rPr>
              <w:t xml:space="preserve">≤</w:t>
            </w:r>
            <w:r>
              <w:rPr>
                <w:rFonts w:hint="eastAsia" w:ascii="宋体" w:hAnsi="宋体"/>
                <w:color w:val="auto"/>
                <w:szCs w:val="21"/>
                <w:highlight w:val="none"/>
              </w:rPr>
              <w:t xml:space="preserve">±3%FS；</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（16）TVOC示值误差：</w:t>
            </w:r>
            <w:r>
              <w:rPr>
                <w:rFonts w:ascii="宋体" w:hAnsi="宋体" w:cs="宋体"/>
                <w:color w:val="auto"/>
                <w:szCs w:val="21"/>
                <w:highlight w:val="none"/>
              </w:rPr>
              <w:t xml:space="preserve">≤</w:t>
            </w:r>
            <w:r>
              <w:rPr>
                <w:rFonts w:hint="eastAsia" w:ascii="宋体" w:hAnsi="宋体"/>
                <w:color w:val="auto"/>
                <w:szCs w:val="21"/>
                <w:highlight w:val="none"/>
              </w:rPr>
              <w:t xml:space="preserve">±1.5%FS；</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（17）TVOC响应时间：≤50s；</w:t>
            </w:r>
            <w:r/>
          </w:p>
          <w:p>
            <w:pPr>
              <w:spacing w:line="276" w:lineRule="auto"/>
              <w:rPr>
                <w:rFonts w:ascii="宋体" w:hAnsi="宋体"/>
                <w:b/>
                <w:bCs/>
                <w:color w:val="auto"/>
                <w:szCs w:val="21"/>
                <w:highlight w:val="none"/>
              </w:rPr>
            </w:pPr>
            <w:r>
              <w:rPr>
                <w:rFonts w:hint="eastAsia" w:ascii="宋体" w:hAnsi="宋体"/>
                <w:b/>
                <w:bCs/>
                <w:color w:val="auto"/>
                <w:szCs w:val="21"/>
                <w:highlight w:val="none"/>
              </w:rPr>
              <w:t xml:space="preserve">7、颗粒物激光雷达</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望远镜口径</w:t>
            </w:r>
            <w:r>
              <w:rPr>
                <w:rFonts w:hint="eastAsia" w:ascii="宋体" w:hAnsi="宋体"/>
                <w:color w:val="auto"/>
                <w:szCs w:val="21"/>
                <w:highlight w:val="none"/>
              </w:rPr>
              <w:t xml:space="preserve">（外径）：</w:t>
            </w:r>
            <w:r>
              <w:rPr>
                <w:rFonts w:ascii="宋体" w:hAnsi="宋体" w:cs="宋体"/>
                <w:color w:val="auto"/>
                <w:szCs w:val="21"/>
                <w:highlight w:val="none"/>
              </w:rPr>
              <w:t xml:space="preserve">≥</w:t>
            </w:r>
            <w:r>
              <w:rPr>
                <w:rFonts w:ascii="宋体" w:hAnsi="宋体"/>
                <w:color w:val="auto"/>
                <w:szCs w:val="21"/>
                <w:highlight w:val="none"/>
              </w:rPr>
              <w:t xml:space="preserve">160mm</w:t>
            </w:r>
            <w:r>
              <w:rPr>
                <w:rFonts w:hint="eastAsia" w:ascii="宋体" w:hAnsi="宋体"/>
                <w:color w:val="auto"/>
                <w:szCs w:val="21"/>
                <w:highlight w:val="none"/>
              </w:rPr>
              <w:t xml:space="preserve">；</w:t>
            </w:r>
            <w:r/>
          </w:p>
          <w:p>
            <w:pPr>
              <w:ind w:left="420"/>
              <w:spacing w:line="276" w:lineRule="auto"/>
              <w:rPr>
                <w:rFonts w:ascii="宋体" w:hAnsi="宋体"/>
                <w:color w:val="auto"/>
                <w:szCs w:val="21"/>
                <w:highlight w:val="none"/>
              </w:rPr>
            </w:pPr>
            <w:r>
              <w:rPr>
                <w:rFonts w:hint="eastAsia" w:ascii="宋体" w:hAnsi="宋体"/>
                <w:color w:val="auto"/>
                <w:szCs w:val="21"/>
                <w:highlight w:val="none"/>
              </w:rPr>
              <w:t xml:space="preserve">（19）探测盲区：</w:t>
            </w:r>
            <w:r>
              <w:rPr>
                <w:rFonts w:ascii="宋体" w:hAnsi="宋体" w:cs="宋体"/>
                <w:color w:val="auto"/>
                <w:szCs w:val="21"/>
                <w:highlight w:val="none"/>
              </w:rPr>
              <w:t xml:space="preserve">≤</w:t>
            </w:r>
            <w:r>
              <w:rPr>
                <w:rFonts w:hint="eastAsia" w:ascii="宋体" w:hAnsi="宋体"/>
                <w:color w:val="auto"/>
                <w:szCs w:val="21"/>
                <w:highlight w:val="none"/>
              </w:rPr>
              <w:t xml:space="preserve">45m；</w:t>
            </w:r>
            <w:r/>
          </w:p>
          <w:p>
            <w:pPr>
              <w:spacing w:line="276" w:lineRule="auto"/>
              <w:rPr>
                <w:rFonts w:ascii="宋体" w:hAnsi="宋体"/>
                <w:b/>
                <w:bCs/>
                <w:color w:val="auto"/>
                <w:szCs w:val="21"/>
                <w:highlight w:val="none"/>
              </w:rPr>
            </w:pPr>
            <w:r>
              <w:rPr>
                <w:rFonts w:hint="eastAsia" w:ascii="宋体" w:hAnsi="宋体"/>
                <w:b/>
                <w:bCs/>
                <w:color w:val="auto"/>
                <w:szCs w:val="21"/>
                <w:highlight w:val="none"/>
              </w:rPr>
              <w:t xml:space="preserve">8、烟气（SO</w:t>
            </w:r>
            <w:r>
              <w:rPr>
                <w:rFonts w:hint="eastAsia" w:ascii="宋体" w:hAnsi="宋体"/>
                <w:b/>
                <w:bCs/>
                <w:color w:val="auto"/>
                <w:szCs w:val="21"/>
                <w:highlight w:val="none"/>
                <w:vertAlign w:val="subscript"/>
              </w:rPr>
              <w:t xml:space="preserve">2</w:t>
            </w:r>
            <w:r>
              <w:rPr>
                <w:rFonts w:hint="eastAsia" w:ascii="宋体" w:hAnsi="宋体"/>
                <w:b/>
                <w:bCs/>
                <w:color w:val="auto"/>
                <w:szCs w:val="21"/>
                <w:highlight w:val="none"/>
              </w:rPr>
              <w:t xml:space="preserve">、NO</w:t>
            </w:r>
            <w:r>
              <w:rPr>
                <w:rFonts w:hint="eastAsia" w:ascii="宋体" w:hAnsi="宋体"/>
                <w:b/>
                <w:bCs/>
                <w:color w:val="auto"/>
                <w:szCs w:val="21"/>
                <w:highlight w:val="none"/>
                <w:vertAlign w:val="subscript"/>
              </w:rPr>
              <w:t xml:space="preserve">X</w:t>
            </w:r>
            <w:r>
              <w:rPr>
                <w:rFonts w:hint="eastAsia" w:ascii="宋体" w:hAnsi="宋体"/>
                <w:b/>
                <w:bCs/>
                <w:color w:val="auto"/>
                <w:szCs w:val="21"/>
                <w:highlight w:val="none"/>
              </w:rPr>
              <w:t xml:space="preserve">）连续排放监测系统</w:t>
            </w:r>
            <w:r/>
          </w:p>
          <w:p>
            <w:pPr>
              <w:ind w:left="420"/>
              <w:spacing w:line="276" w:lineRule="auto"/>
              <w:tabs>
                <w:tab w:val="center" w:pos="2231" w:leader="none"/>
              </w:tabs>
              <w:rPr>
                <w:rFonts w:ascii="宋体" w:hAnsi="宋体"/>
                <w:color w:val="auto"/>
                <w:szCs w:val="21"/>
                <w:highlight w:val="none"/>
              </w:rPr>
            </w:pPr>
            <w:r>
              <w:rPr>
                <w:rFonts w:hint="eastAsia" w:ascii="宋体" w:hAnsi="宋体"/>
                <w:color w:val="auto"/>
                <w:szCs w:val="21"/>
                <w:highlight w:val="none"/>
              </w:rPr>
              <w:t xml:space="preserve">NOx监测单元：</w:t>
            </w:r>
            <w:r/>
          </w:p>
          <w:p>
            <w:pPr>
              <w:ind w:left="420"/>
              <w:spacing w:line="276" w:lineRule="auto"/>
              <w:tabs>
                <w:tab w:val="center" w:pos="2231" w:leader="none"/>
              </w:tabs>
              <w:rPr>
                <w:rFonts w:ascii="宋体" w:hAnsi="宋体"/>
                <w:color w:val="auto"/>
                <w:szCs w:val="21"/>
                <w:highlight w:val="none"/>
              </w:rPr>
            </w:pPr>
            <w:r>
              <w:rPr>
                <w:rFonts w:hint="eastAsia" w:ascii="宋体" w:hAnsi="宋体"/>
                <w:color w:val="auto"/>
                <w:szCs w:val="21"/>
                <w:highlight w:val="none"/>
              </w:rPr>
              <w:t xml:space="preserve">（20）仪表响应时间：≤30s</w:t>
            </w:r>
            <w:r/>
          </w:p>
          <w:p>
            <w:pPr>
              <w:ind w:left="420"/>
              <w:spacing w:line="276" w:lineRule="auto"/>
              <w:tabs>
                <w:tab w:val="center" w:pos="2231" w:leader="none"/>
              </w:tabs>
              <w:rPr>
                <w:rFonts w:ascii="宋体" w:hAnsi="宋体"/>
                <w:color w:val="auto"/>
                <w:sz w:val="24"/>
                <w:szCs w:val="24"/>
                <w:highlight w:val="none"/>
              </w:rPr>
            </w:pPr>
            <w:r>
              <w:rPr>
                <w:rFonts w:hint="eastAsia" w:ascii="宋体" w:hAnsi="宋体"/>
                <w:color w:val="auto"/>
                <w:szCs w:val="21"/>
                <w:highlight w:val="none"/>
              </w:rPr>
              <w:t xml:space="preserve">（21）平行性：≤1%</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项目背景建设方案</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spacing w:line="276" w:lineRule="auto"/>
              <w:rPr>
                <w:rFonts w:ascii="宋体" w:hAnsi="宋体"/>
                <w:color w:val="auto"/>
                <w:szCs w:val="21"/>
                <w:highlight w:val="none"/>
              </w:rPr>
            </w:pPr>
            <w:r>
              <w:rPr>
                <w:rFonts w:ascii="宋体" w:hAnsi="宋体"/>
                <w:color w:val="auto"/>
                <w:szCs w:val="21"/>
                <w:highlight w:val="none"/>
              </w:rPr>
              <w:t xml:space="preserve">投标人根据招标文件，编写项目</w:t>
            </w:r>
            <w:r>
              <w:rPr>
                <w:rFonts w:hint="eastAsia" w:ascii="宋体" w:hAnsi="宋体"/>
                <w:color w:val="auto"/>
                <w:szCs w:val="21"/>
                <w:highlight w:val="none"/>
              </w:rPr>
              <w:t xml:space="preserve">背景建设</w:t>
            </w:r>
            <w:r>
              <w:rPr>
                <w:rFonts w:ascii="宋体" w:hAnsi="宋体"/>
                <w:color w:val="auto"/>
                <w:szCs w:val="21"/>
                <w:highlight w:val="none"/>
              </w:rPr>
              <w:t xml:space="preserve">方案，项目背景把握透彻、项目现状分析到位</w:t>
            </w:r>
            <w:r>
              <w:rPr>
                <w:rFonts w:hint="eastAsia" w:ascii="宋体" w:hAnsi="宋体"/>
                <w:color w:val="auto"/>
                <w:szCs w:val="21"/>
                <w:highlight w:val="none"/>
              </w:rPr>
              <w:t xml:space="preserve">、</w:t>
            </w:r>
            <w:r>
              <w:rPr>
                <w:rFonts w:ascii="宋体" w:hAnsi="宋体"/>
                <w:color w:val="auto"/>
                <w:szCs w:val="21"/>
                <w:highlight w:val="none"/>
              </w:rPr>
              <w:t xml:space="preserve">服务内容清晰完善，监测点位建设布置合理并能够详实的描述现场具体情况，</w:t>
            </w:r>
            <w:r>
              <w:rPr>
                <w:rFonts w:hint="eastAsia" w:ascii="宋体" w:hAnsi="宋体"/>
                <w:color w:val="auto"/>
                <w:szCs w:val="21"/>
                <w:highlight w:val="none"/>
              </w:rPr>
              <w:t xml:space="preserve">得10</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项目背景把握及现状分析基本到位，建设内容较全面清晰，点位建设布置较合理能够较清楚的描述现场具体情况，</w:t>
            </w:r>
            <w:r>
              <w:rPr>
                <w:rFonts w:hint="eastAsia" w:ascii="宋体" w:hAnsi="宋体"/>
                <w:color w:val="auto"/>
                <w:szCs w:val="21"/>
                <w:highlight w:val="none"/>
              </w:rPr>
              <w:t xml:space="preserve">得7</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对项目背景把握及现状分析不够到位，建设内容不够清晰完善，点位建设布置欠合理不能清楚说明现场情况，</w:t>
            </w:r>
            <w:r>
              <w:rPr>
                <w:rFonts w:hint="eastAsia" w:ascii="宋体" w:hAnsi="宋体"/>
                <w:color w:val="auto"/>
                <w:szCs w:val="21"/>
                <w:highlight w:val="none"/>
              </w:rPr>
              <w:t xml:space="preserve">得4</w:t>
            </w:r>
            <w:r>
              <w:rPr>
                <w:rFonts w:ascii="宋体" w:hAnsi="宋体"/>
                <w:color w:val="auto"/>
                <w:szCs w:val="21"/>
                <w:highlight w:val="none"/>
              </w:rPr>
              <w:t xml:space="preserve">分；</w:t>
            </w:r>
            <w:r/>
          </w:p>
          <w:p>
            <w:pPr>
              <w:jc w:val="left"/>
              <w:spacing w:line="276" w:lineRule="auto"/>
              <w:rPr>
                <w:rFonts w:ascii="宋体" w:hAnsi="宋体"/>
                <w:color w:val="auto"/>
                <w:sz w:val="24"/>
                <w:szCs w:val="24"/>
                <w:highlight w:val="none"/>
              </w:rPr>
            </w:pPr>
            <w:r>
              <w:rPr>
                <w:rFonts w:ascii="宋体" w:hAnsi="宋体"/>
                <w:color w:val="auto"/>
                <w:szCs w:val="21"/>
                <w:highlight w:val="none"/>
              </w:rPr>
              <w:t xml:space="preserve">未提供</w:t>
            </w:r>
            <w:r>
              <w:rPr>
                <w:rFonts w:hint="eastAsia" w:ascii="宋体" w:hAnsi="宋体"/>
                <w:color w:val="auto"/>
                <w:szCs w:val="21"/>
                <w:highlight w:val="none"/>
              </w:rPr>
              <w:t xml:space="preserve">相应方案</w:t>
            </w:r>
            <w:r>
              <w:rPr>
                <w:rFonts w:ascii="宋体" w:hAnsi="宋体"/>
                <w:color w:val="auto"/>
                <w:szCs w:val="21"/>
                <w:highlight w:val="none"/>
              </w:rPr>
              <w:t xml:space="preserve">不</w:t>
            </w:r>
            <w:r>
              <w:rPr>
                <w:rFonts w:hint="eastAsia" w:ascii="宋体" w:hAnsi="宋体"/>
                <w:color w:val="auto"/>
                <w:szCs w:val="21"/>
                <w:highlight w:val="none"/>
              </w:rPr>
              <w:t xml:space="preserve">得</w:t>
            </w:r>
            <w:r>
              <w:rPr>
                <w:rFonts w:ascii="宋体" w:hAnsi="宋体"/>
                <w:color w:val="auto"/>
                <w:szCs w:val="21"/>
                <w:highlight w:val="none"/>
              </w:rPr>
              <w:t xml:space="preserve">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全方位</w:t>
            </w:r>
            <w:r>
              <w:rPr>
                <w:rFonts w:ascii="宋体" w:hAnsi="宋体"/>
                <w:color w:val="auto"/>
                <w:szCs w:val="21"/>
                <w:highlight w:val="none"/>
              </w:rPr>
              <w:t xml:space="preserve">大气监测服务</w:t>
            </w:r>
            <w:r>
              <w:rPr>
                <w:rFonts w:hint="eastAsia" w:ascii="宋体" w:hAnsi="宋体"/>
                <w:color w:val="auto"/>
                <w:szCs w:val="21"/>
                <w:highlight w:val="none"/>
              </w:rPr>
              <w:t xml:space="preserve">方案</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全方位</w:t>
            </w:r>
            <w:r>
              <w:rPr>
                <w:rFonts w:ascii="宋体" w:hAnsi="宋体"/>
                <w:color w:val="auto"/>
                <w:szCs w:val="21"/>
                <w:highlight w:val="none"/>
              </w:rPr>
              <w:t xml:space="preserve">大气监测服务方案至少包括：(</w:t>
            </w:r>
            <w:r>
              <w:rPr>
                <w:rFonts w:hint="eastAsia" w:ascii="宋体" w:hAnsi="宋体"/>
                <w:color w:val="auto"/>
                <w:szCs w:val="21"/>
                <w:highlight w:val="none"/>
              </w:rPr>
              <w:t xml:space="preserve">1.颗粒物、光化学组分分析服务；2.网格化空气质量分析服务；3.污染物传输溯源服务；4.便携式大气快速监测分析服务；5.无人机高空巡查服务</w:t>
            </w:r>
            <w:r>
              <w:rPr>
                <w:rFonts w:ascii="宋体" w:hAnsi="宋体"/>
                <w:color w:val="auto"/>
                <w:szCs w:val="21"/>
                <w:highlight w:val="none"/>
              </w:rPr>
              <w:t xml:space="preserve">；每块内容均有合理、详细的服务目标、</w:t>
            </w:r>
            <w:r>
              <w:rPr>
                <w:rFonts w:hint="eastAsia" w:ascii="宋体" w:hAnsi="宋体"/>
                <w:color w:val="auto"/>
                <w:szCs w:val="21"/>
                <w:highlight w:val="none"/>
              </w:rPr>
              <w:t xml:space="preserve">计</w:t>
            </w:r>
            <w:r>
              <w:rPr>
                <w:rFonts w:ascii="宋体" w:hAnsi="宋体"/>
                <w:color w:val="auto"/>
                <w:szCs w:val="21"/>
                <w:highlight w:val="none"/>
              </w:rPr>
              <w:t xml:space="preserve">划、成果输出等内容) 提供了内容完整、详实可行的项目服务方案，方案内容优于或满足服务要求，</w:t>
            </w:r>
            <w:r>
              <w:rPr>
                <w:rFonts w:hint="eastAsia" w:ascii="宋体" w:hAnsi="宋体"/>
                <w:color w:val="auto"/>
                <w:szCs w:val="21"/>
                <w:highlight w:val="none"/>
              </w:rPr>
              <w:t xml:space="preserve">得10</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方案内容通用、简单，基本符合服务要求，</w:t>
            </w:r>
            <w:r>
              <w:rPr>
                <w:rFonts w:hint="eastAsia" w:ascii="宋体" w:hAnsi="宋体"/>
                <w:color w:val="auto"/>
                <w:szCs w:val="21"/>
                <w:highlight w:val="none"/>
              </w:rPr>
              <w:t xml:space="preserve">得7</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方案内容欠缺、不能达到本次采购预期目的，</w:t>
            </w:r>
            <w:r>
              <w:rPr>
                <w:rFonts w:hint="eastAsia" w:ascii="宋体" w:hAnsi="宋体"/>
                <w:color w:val="auto"/>
                <w:szCs w:val="21"/>
                <w:highlight w:val="none"/>
              </w:rPr>
              <w:t xml:space="preserve">得4</w:t>
            </w:r>
            <w:r>
              <w:rPr>
                <w:rFonts w:ascii="宋体" w:hAnsi="宋体"/>
                <w:color w:val="auto"/>
                <w:szCs w:val="21"/>
                <w:highlight w:val="none"/>
              </w:rPr>
              <w:t xml:space="preserve">分；</w:t>
            </w:r>
            <w:r/>
          </w:p>
          <w:p>
            <w:pPr>
              <w:jc w:val="left"/>
              <w:spacing w:line="276" w:lineRule="auto"/>
              <w:rPr>
                <w:rFonts w:ascii="宋体" w:hAnsi="宋体"/>
                <w:color w:val="auto"/>
                <w:sz w:val="24"/>
                <w:szCs w:val="24"/>
                <w:highlight w:val="none"/>
              </w:rPr>
            </w:pPr>
            <w:r>
              <w:rPr>
                <w:rFonts w:ascii="宋体" w:hAnsi="宋体"/>
                <w:color w:val="auto"/>
                <w:szCs w:val="21"/>
                <w:highlight w:val="none"/>
              </w:rPr>
              <w:t xml:space="preserve">未提供相应方案不得分。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数据集成化分析</w:t>
            </w:r>
            <w:r>
              <w:rPr>
                <w:rFonts w:ascii="宋体" w:hAnsi="宋体"/>
                <w:color w:val="auto"/>
                <w:szCs w:val="21"/>
                <w:highlight w:val="none"/>
              </w:rPr>
              <w:t xml:space="preserve">服务方案</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spacing w:line="276" w:lineRule="auto"/>
              <w:rPr>
                <w:rFonts w:ascii="宋体" w:hAnsi="宋体"/>
                <w:color w:val="auto"/>
                <w:sz w:val="24"/>
                <w:szCs w:val="24"/>
                <w:highlight w:val="none"/>
              </w:rPr>
            </w:pPr>
            <w:r>
              <w:rPr>
                <w:rFonts w:ascii="宋体" w:hAnsi="宋体"/>
                <w:color w:val="auto"/>
                <w:szCs w:val="21"/>
                <w:highlight w:val="none"/>
              </w:rPr>
              <w:t xml:space="preserve">综合比较投标人针对本项目提供的数据集成化分析服务技术方案（包括数据整合服务、业务应用支撑服务、</w:t>
            </w:r>
            <w:r>
              <w:rPr>
                <w:rFonts w:hint="eastAsia" w:ascii="宋体" w:hAnsi="宋体"/>
                <w:color w:val="auto"/>
                <w:szCs w:val="21"/>
                <w:highlight w:val="none"/>
              </w:rPr>
              <w:t xml:space="preserve">数据专题分析</w:t>
            </w:r>
            <w:r>
              <w:rPr>
                <w:rFonts w:ascii="宋体" w:hAnsi="宋体"/>
                <w:color w:val="auto"/>
                <w:szCs w:val="21"/>
                <w:highlight w:val="none"/>
              </w:rPr>
              <w:t xml:space="preserve">服务、</w:t>
            </w:r>
            <w:r>
              <w:rPr>
                <w:rFonts w:hint="eastAsia" w:ascii="宋体" w:hAnsi="宋体"/>
                <w:color w:val="auto"/>
                <w:szCs w:val="21"/>
                <w:highlight w:val="none"/>
              </w:rPr>
              <w:t xml:space="preserve">溯源管控</w:t>
            </w:r>
            <w:r>
              <w:rPr>
                <w:rFonts w:ascii="宋体" w:hAnsi="宋体"/>
                <w:color w:val="auto"/>
                <w:szCs w:val="21"/>
                <w:highlight w:val="none"/>
              </w:rPr>
              <w:t xml:space="preserve">服务），内容详尽，方案科学合理、针对性强的，得</w:t>
            </w:r>
            <w:r>
              <w:rPr>
                <w:rFonts w:hint="eastAsia" w:ascii="宋体" w:hAnsi="宋体"/>
                <w:color w:val="auto"/>
                <w:szCs w:val="21"/>
                <w:highlight w:val="none"/>
              </w:rPr>
              <w:t xml:space="preserve">10</w:t>
            </w:r>
            <w:r>
              <w:rPr>
                <w:rFonts w:ascii="宋体" w:hAnsi="宋体"/>
                <w:color w:val="auto"/>
                <w:szCs w:val="21"/>
                <w:highlight w:val="none"/>
              </w:rPr>
              <w:t xml:space="preserve">分；内容较详尽，方案较科学合理、针对性较强的，得</w:t>
            </w:r>
            <w:r>
              <w:rPr>
                <w:rFonts w:hint="eastAsia" w:ascii="宋体" w:hAnsi="宋体"/>
                <w:color w:val="auto"/>
                <w:szCs w:val="21"/>
                <w:highlight w:val="none"/>
              </w:rPr>
              <w:t xml:space="preserve">7</w:t>
            </w:r>
            <w:r>
              <w:rPr>
                <w:rFonts w:ascii="宋体" w:hAnsi="宋体"/>
                <w:color w:val="auto"/>
                <w:szCs w:val="21"/>
                <w:highlight w:val="none"/>
              </w:rPr>
              <w:t xml:space="preserve">分；方案有待完善，得</w:t>
            </w:r>
            <w:r>
              <w:rPr>
                <w:rFonts w:hint="eastAsia" w:ascii="宋体" w:hAnsi="宋体"/>
                <w:color w:val="auto"/>
                <w:szCs w:val="21"/>
                <w:highlight w:val="none"/>
              </w:rPr>
              <w:t xml:space="preserve">4</w:t>
            </w:r>
            <w:r>
              <w:rPr>
                <w:rFonts w:ascii="宋体" w:hAnsi="宋体"/>
                <w:color w:val="auto"/>
                <w:szCs w:val="21"/>
                <w:highlight w:val="none"/>
              </w:rPr>
              <w:t xml:space="preserve">分；未提供不得分。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Pr>
            <w:r>
              <w:rPr>
                <w:rFonts w:ascii="宋体" w:hAnsi="宋体"/>
                <w:color w:val="auto"/>
                <w:szCs w:val="21"/>
                <w:highlight w:val="none"/>
              </w:rPr>
              <w:t xml:space="preserve">环境空气质量保障服务</w:t>
            </w:r>
            <w:r>
              <w:rPr>
                <w:rFonts w:hint="eastAsia" w:ascii="宋体" w:hAnsi="宋体"/>
                <w:color w:val="auto"/>
                <w:szCs w:val="21"/>
                <w:highlight w:val="none"/>
              </w:rPr>
              <w:t xml:space="preserve">方案</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spacing w:line="276" w:lineRule="auto"/>
              <w:rPr>
                <w:rFonts w:ascii="宋体" w:hAnsi="宋体"/>
                <w:color w:val="auto"/>
                <w:szCs w:val="21"/>
                <w:highlight w:val="none"/>
              </w:rPr>
            </w:pPr>
            <w:r>
              <w:rPr>
                <w:rFonts w:ascii="宋体" w:hAnsi="宋体"/>
                <w:color w:val="auto"/>
                <w:szCs w:val="21"/>
                <w:highlight w:val="none"/>
              </w:rPr>
              <w:t xml:space="preserve">环境空气质量保障服务方案至少包括：(</w:t>
            </w:r>
            <w:r>
              <w:rPr>
                <w:rFonts w:hint="eastAsia" w:ascii="宋体" w:hAnsi="宋体"/>
                <w:color w:val="auto"/>
                <w:szCs w:val="21"/>
                <w:highlight w:val="none"/>
              </w:rPr>
              <w:t xml:space="preserve">1.数据监管与分析服务；2.应急管控服务；3.巡查交办服务；4.污染管控成效综合分析效果评估服务；5.污染扩散模型溯源及车船尾气溯源服务</w:t>
            </w:r>
            <w:r>
              <w:rPr>
                <w:rFonts w:ascii="宋体" w:hAnsi="宋体"/>
                <w:color w:val="auto"/>
                <w:szCs w:val="21"/>
                <w:highlight w:val="none"/>
              </w:rPr>
              <w:t xml:space="preserve">；每块服务内容均有详细人员安排、工作方法等内容) 提供了内容完整、详实可行的项目服务方案，方案内容优于或满足服务要求，</w:t>
            </w:r>
            <w:r>
              <w:rPr>
                <w:rFonts w:hint="eastAsia" w:ascii="宋体" w:hAnsi="宋体"/>
                <w:color w:val="auto"/>
                <w:szCs w:val="21"/>
                <w:highlight w:val="none"/>
              </w:rPr>
              <w:t xml:space="preserve">得10</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方案内容通用、简单，基本符合服务要求，</w:t>
            </w:r>
            <w:r>
              <w:rPr>
                <w:rFonts w:hint="eastAsia" w:ascii="宋体" w:hAnsi="宋体"/>
                <w:color w:val="auto"/>
                <w:szCs w:val="21"/>
                <w:highlight w:val="none"/>
              </w:rPr>
              <w:t xml:space="preserve">得7</w:t>
            </w:r>
            <w:r>
              <w:rPr>
                <w:rFonts w:ascii="宋体" w:hAnsi="宋体"/>
                <w:color w:val="auto"/>
                <w:szCs w:val="21"/>
                <w:highlight w:val="none"/>
              </w:rPr>
              <w:t xml:space="preserve">分；</w:t>
            </w:r>
            <w:r/>
          </w:p>
          <w:p>
            <w:pPr>
              <w:jc w:val="left"/>
              <w:spacing w:line="276" w:lineRule="auto"/>
              <w:rPr>
                <w:rFonts w:ascii="宋体" w:hAnsi="宋体"/>
                <w:color w:val="auto"/>
                <w:szCs w:val="21"/>
                <w:highlight w:val="none"/>
              </w:rPr>
            </w:pPr>
            <w:r>
              <w:rPr>
                <w:rFonts w:ascii="宋体" w:hAnsi="宋体"/>
                <w:color w:val="auto"/>
                <w:szCs w:val="21"/>
                <w:highlight w:val="none"/>
              </w:rPr>
              <w:t xml:space="preserve">方案内容欠缺、不能达到本次采购预期目的</w:t>
            </w:r>
            <w:r>
              <w:rPr>
                <w:rFonts w:hint="eastAsia" w:ascii="宋体" w:hAnsi="宋体"/>
                <w:color w:val="auto"/>
                <w:szCs w:val="21"/>
                <w:highlight w:val="none"/>
              </w:rPr>
              <w:t xml:space="preserve">得4</w:t>
            </w:r>
            <w:r>
              <w:rPr>
                <w:rFonts w:ascii="宋体" w:hAnsi="宋体"/>
                <w:color w:val="auto"/>
                <w:szCs w:val="21"/>
                <w:highlight w:val="none"/>
              </w:rPr>
              <w:t xml:space="preserve">分；</w:t>
            </w:r>
            <w:r/>
          </w:p>
          <w:p>
            <w:pPr>
              <w:jc w:val="left"/>
              <w:spacing w:line="276" w:lineRule="auto"/>
              <w:rPr>
                <w:rFonts w:ascii="宋体" w:hAnsi="宋体"/>
                <w:color w:val="auto"/>
                <w:sz w:val="24"/>
                <w:szCs w:val="24"/>
                <w:highlight w:val="none"/>
              </w:rPr>
            </w:pPr>
            <w:r>
              <w:rPr>
                <w:rFonts w:ascii="宋体" w:hAnsi="宋体"/>
                <w:color w:val="auto"/>
                <w:szCs w:val="21"/>
                <w:highlight w:val="none"/>
              </w:rPr>
              <w:t xml:space="preserve">未提供相应方案不得分。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contextualSpacing/>
              <w:jc w:val="left"/>
              <w:spacing w:line="276"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（1）</w:t>
            </w:r>
            <w:r>
              <w:rPr>
                <w:rFonts w:ascii="宋体" w:hAnsi="宋体"/>
                <w:color w:val="auto"/>
                <w:szCs w:val="21"/>
                <w:highlight w:val="none"/>
              </w:rPr>
              <w:t xml:space="preserve">投标人是环境类国家级</w:t>
            </w:r>
            <w:r>
              <w:rPr>
                <w:rFonts w:hint="eastAsia" w:ascii="宋体" w:hAnsi="宋体"/>
                <w:color w:val="auto"/>
                <w:szCs w:val="21"/>
                <w:highlight w:val="none"/>
              </w:rPr>
              <w:t xml:space="preserve">(含国地联合)</w:t>
            </w:r>
            <w:r>
              <w:rPr>
                <w:rFonts w:ascii="宋体" w:hAnsi="宋体"/>
                <w:color w:val="auto"/>
                <w:szCs w:val="21"/>
                <w:highlight w:val="none"/>
              </w:rPr>
              <w:t xml:space="preserve">工程研究中心</w:t>
            </w:r>
            <w:r>
              <w:rPr>
                <w:rFonts w:hint="eastAsia" w:ascii="宋体" w:hAnsi="宋体"/>
                <w:color w:val="auto"/>
                <w:szCs w:val="21"/>
                <w:highlight w:val="none"/>
              </w:rPr>
              <w:t xml:space="preserve">的，得2</w:t>
            </w:r>
            <w:r>
              <w:rPr>
                <w:rFonts w:ascii="宋体" w:hAnsi="宋体"/>
                <w:color w:val="auto"/>
                <w:szCs w:val="21"/>
                <w:highlight w:val="none"/>
              </w:rPr>
              <w:t xml:space="preserve">分，是环境类省级工程研究中心的</w:t>
            </w:r>
            <w:r>
              <w:rPr>
                <w:rFonts w:hint="eastAsia" w:ascii="宋体" w:hAnsi="宋体"/>
                <w:color w:val="auto"/>
                <w:szCs w:val="21"/>
                <w:highlight w:val="none"/>
              </w:rPr>
              <w:t xml:space="preserve">，得1</w:t>
            </w:r>
            <w:r>
              <w:rPr>
                <w:rFonts w:ascii="宋体" w:hAnsi="宋体"/>
                <w:color w:val="auto"/>
                <w:szCs w:val="21"/>
                <w:highlight w:val="none"/>
              </w:rPr>
              <w:t xml:space="preserve">分</w:t>
            </w:r>
            <w:r>
              <w:rPr>
                <w:rFonts w:hint="eastAsia" w:ascii="宋体" w:hAnsi="宋体"/>
                <w:color w:val="auto"/>
                <w:szCs w:val="21"/>
                <w:highlight w:val="none"/>
              </w:rPr>
              <w:t xml:space="preserve">，本项最高得2分</w:t>
            </w:r>
            <w:r>
              <w:rPr>
                <w:rFonts w:ascii="宋体" w:hAnsi="宋体"/>
                <w:color w:val="auto"/>
                <w:szCs w:val="21"/>
                <w:highlight w:val="none"/>
              </w:rPr>
              <w:t xml:space="preserve">。</w:t>
            </w:r>
            <w:r>
              <w:rPr>
                <w:rFonts w:hint="eastAsia" w:ascii="宋体" w:hAnsi="宋体"/>
                <w:color w:val="auto"/>
                <w:szCs w:val="21"/>
                <w:highlight w:val="none"/>
              </w:rPr>
              <w:t xml:space="preserve">（提供相关证明材料扫描件放入投标文件中。）</w:t>
            </w:r>
            <w:r/>
          </w:p>
          <w:p>
            <w:pPr>
              <w:contextualSpacing/>
              <w:jc w:val="left"/>
              <w:spacing w:line="276"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（2）投标人获得过国家科学技术进步奖证书的，得2分。（提供相关证明材料扫描件放入投标文件中。）</w:t>
            </w:r>
            <w:r/>
          </w:p>
          <w:p>
            <w:pPr>
              <w:contextualSpacing/>
              <w:jc w:val="left"/>
              <w:spacing w:line="276"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3</w:t>
            </w:r>
            <w:r>
              <w:rPr>
                <w:rFonts w:ascii="宋体" w:hAnsi="宋体"/>
                <w:color w:val="auto"/>
                <w:szCs w:val="21"/>
                <w:highlight w:val="none"/>
              </w:rPr>
              <w:t xml:space="preserve">）投标人</w:t>
            </w:r>
            <w:r>
              <w:rPr>
                <w:rFonts w:hint="eastAsia" w:ascii="宋体" w:hAnsi="宋体"/>
                <w:color w:val="auto"/>
                <w:szCs w:val="21"/>
                <w:highlight w:val="none"/>
              </w:rPr>
              <w:t xml:space="preserve">具有污染源监控方面的计算机</w:t>
            </w:r>
            <w:r>
              <w:rPr>
                <w:rFonts w:ascii="宋体" w:hAnsi="宋体"/>
                <w:color w:val="auto"/>
                <w:szCs w:val="21"/>
                <w:highlight w:val="none"/>
              </w:rPr>
              <w:t xml:space="preserve">软件著作权</w:t>
            </w:r>
            <w:r>
              <w:rPr>
                <w:rFonts w:hint="eastAsia" w:ascii="宋体" w:hAnsi="宋体"/>
                <w:color w:val="auto"/>
                <w:szCs w:val="21"/>
                <w:highlight w:val="none"/>
              </w:rPr>
              <w:t xml:space="preserve">登记证书的，</w:t>
            </w:r>
            <w:r>
              <w:rPr>
                <w:rFonts w:ascii="宋体" w:hAnsi="宋体"/>
                <w:color w:val="auto"/>
                <w:szCs w:val="21"/>
                <w:highlight w:val="none"/>
              </w:rPr>
              <w:t xml:space="preserve">得</w:t>
            </w:r>
            <w:r>
              <w:rPr>
                <w:rFonts w:hint="eastAsia" w:ascii="宋体" w:hAnsi="宋体"/>
                <w:color w:val="auto"/>
                <w:szCs w:val="21"/>
                <w:highlight w:val="none"/>
              </w:rPr>
              <w:t xml:space="preserve">1</w:t>
            </w:r>
            <w:r>
              <w:rPr>
                <w:rFonts w:ascii="宋体" w:hAnsi="宋体"/>
                <w:color w:val="auto"/>
                <w:szCs w:val="21"/>
                <w:highlight w:val="none"/>
              </w:rPr>
              <w:t xml:space="preserve">分</w:t>
            </w:r>
            <w:r>
              <w:rPr>
                <w:rFonts w:hint="eastAsia" w:ascii="宋体" w:hAnsi="宋体"/>
                <w:color w:val="auto"/>
                <w:szCs w:val="21"/>
                <w:highlight w:val="none"/>
              </w:rPr>
              <w:t xml:space="preserve">。（提供相关证明材料扫描件放入投标文件中。）</w:t>
            </w:r>
            <w:r/>
          </w:p>
          <w:p>
            <w:pPr>
              <w:contextualSpacing/>
              <w:jc w:val="left"/>
              <w:spacing w:line="276" w:lineRule="auto"/>
              <w:rPr>
                <w:rFonts w:ascii="宋体" w:hAnsi="宋体"/>
                <w:color w:val="auto"/>
                <w:szCs w:val="21"/>
                <w:highlight w:val="none"/>
              </w:rPr>
            </w:pPr>
            <w:r>
              <w:rPr>
                <w:rFonts w:hint="eastAsia" w:ascii="宋体" w:hAnsi="宋体"/>
                <w:color w:val="auto"/>
                <w:szCs w:val="21"/>
                <w:highlight w:val="none"/>
              </w:rPr>
              <w:t xml:space="preserve">（4）投标人具有空气质量预报预警方面的计算机软件著作权登记证书的，得1分</w:t>
            </w:r>
            <w:r>
              <w:rPr>
                <w:rFonts w:ascii="宋体" w:hAnsi="宋体"/>
                <w:color w:val="auto"/>
                <w:szCs w:val="21"/>
                <w:highlight w:val="none"/>
              </w:rPr>
              <w:t xml:space="preserve">。</w:t>
            </w:r>
            <w:r>
              <w:rPr>
                <w:rFonts w:hint="eastAsia" w:ascii="宋体" w:hAnsi="宋体"/>
                <w:color w:val="auto"/>
                <w:szCs w:val="21"/>
                <w:highlight w:val="none"/>
              </w:rPr>
              <w:t xml:space="preserve">（提供相关证明材料扫描件放入投标文件中。）</w:t>
            </w:r>
            <w:r/>
          </w:p>
          <w:p>
            <w:pPr>
              <w:contextualSpacing/>
              <w:jc w:val="left"/>
              <w:spacing w:line="276"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5</w:t>
            </w:r>
            <w:r>
              <w:rPr>
                <w:rFonts w:ascii="宋体" w:hAnsi="宋体"/>
                <w:color w:val="auto"/>
                <w:szCs w:val="21"/>
                <w:highlight w:val="none"/>
              </w:rPr>
              <w:t xml:space="preserve">）投标人具有CMMI5级软件能力成熟度集成证书的</w:t>
            </w:r>
            <w:r>
              <w:rPr>
                <w:rFonts w:hint="eastAsia" w:ascii="宋体" w:hAnsi="宋体"/>
                <w:color w:val="auto"/>
                <w:szCs w:val="21"/>
                <w:highlight w:val="none"/>
              </w:rPr>
              <w:t xml:space="preserve">，</w:t>
            </w:r>
            <w:r>
              <w:rPr>
                <w:rFonts w:ascii="宋体" w:hAnsi="宋体"/>
                <w:color w:val="auto"/>
                <w:szCs w:val="21"/>
                <w:highlight w:val="none"/>
              </w:rPr>
              <w:t xml:space="preserve">得</w:t>
            </w:r>
            <w:r>
              <w:rPr>
                <w:rFonts w:hint="eastAsia" w:ascii="宋体" w:hAnsi="宋体"/>
                <w:color w:val="auto"/>
                <w:szCs w:val="21"/>
                <w:highlight w:val="none"/>
              </w:rPr>
              <w:t xml:space="preserve">1</w:t>
            </w:r>
            <w:r>
              <w:rPr>
                <w:rFonts w:ascii="宋体" w:hAnsi="宋体"/>
                <w:color w:val="auto"/>
                <w:szCs w:val="21"/>
                <w:highlight w:val="none"/>
              </w:rPr>
              <w:t xml:space="preserve">分</w:t>
            </w:r>
            <w:r>
              <w:rPr>
                <w:rFonts w:hint="eastAsia" w:ascii="宋体" w:hAnsi="宋体"/>
                <w:color w:val="auto"/>
                <w:szCs w:val="21"/>
                <w:highlight w:val="none"/>
              </w:rPr>
              <w:t xml:space="preserve">。提供证书扫描件放入投标文件中。</w:t>
            </w:r>
            <w:r/>
          </w:p>
          <w:p>
            <w:pPr>
              <w:contextualSpacing/>
              <w:jc w:val="left"/>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（6）投标人</w:t>
            </w:r>
            <w:r>
              <w:rPr>
                <w:rFonts w:ascii="宋体" w:hAnsi="宋体"/>
                <w:color w:val="auto"/>
                <w:szCs w:val="21"/>
                <w:highlight w:val="none"/>
              </w:rPr>
              <w:t xml:space="preserve">参与过省级及以上</w:t>
            </w:r>
            <w:r>
              <w:rPr>
                <w:rFonts w:hint="eastAsia" w:ascii="宋体" w:hAnsi="宋体"/>
                <w:color w:val="auto"/>
                <w:szCs w:val="21"/>
                <w:highlight w:val="none"/>
              </w:rPr>
              <w:t xml:space="preserve">大气方面相关课题</w:t>
            </w:r>
            <w:r>
              <w:rPr>
                <w:rFonts w:ascii="宋体" w:hAnsi="宋体"/>
                <w:color w:val="auto"/>
                <w:szCs w:val="21"/>
                <w:highlight w:val="none"/>
              </w:rPr>
              <w:t xml:space="preserve">的</w:t>
            </w:r>
            <w:r>
              <w:rPr>
                <w:rFonts w:hint="eastAsia" w:ascii="宋体" w:hAnsi="宋体"/>
                <w:color w:val="auto"/>
                <w:szCs w:val="21"/>
                <w:highlight w:val="none"/>
              </w:rPr>
              <w:t xml:space="preserve">，每个得0.5分，本项最高得2分（提供课题任务计划方面和相关验收材料扫描件放入投标文件中）。</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人员配置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numPr>
                <w:ilvl w:val="0"/>
                <w:numId w:val="9"/>
              </w:numPr>
              <w:jc w:val="left"/>
              <w:spacing w:line="276" w:lineRule="auto"/>
              <w:rPr>
                <w:rFonts w:ascii="宋体" w:hAnsi="宋体"/>
                <w:color w:val="auto"/>
                <w:szCs w:val="21"/>
                <w:highlight w:val="none"/>
              </w:rPr>
            </w:pPr>
            <w:r>
              <w:rPr>
                <w:rFonts w:hint="eastAsia" w:ascii="宋体" w:hAnsi="宋体"/>
                <w:color w:val="auto"/>
                <w:szCs w:val="21"/>
                <w:highlight w:val="none"/>
              </w:rPr>
              <w:t xml:space="preserve">为本项目配备的项目负责人同时具有环境类高级专业职称证书和P</w:t>
            </w:r>
            <w:r>
              <w:rPr>
                <w:rFonts w:ascii="宋体" w:hAnsi="宋体"/>
                <w:color w:val="auto"/>
                <w:szCs w:val="21"/>
                <w:highlight w:val="none"/>
              </w:rPr>
              <w:t xml:space="preserve">MP</w:t>
            </w:r>
            <w:r>
              <w:rPr>
                <w:rFonts w:hint="eastAsia" w:ascii="宋体" w:hAnsi="宋体"/>
                <w:color w:val="auto"/>
                <w:szCs w:val="21"/>
                <w:highlight w:val="none"/>
              </w:rPr>
              <w:t xml:space="preserve">证书的，得1分，本项最高得1分。（提供证书扫描件放入投标文件中。）</w:t>
            </w:r>
            <w:r/>
          </w:p>
          <w:p>
            <w:pPr>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（2）为本项目派遣的现场技术负责人员（项目负责人除外）具有环境类高级专业职称证书</w:t>
            </w:r>
            <w:r>
              <w:rPr>
                <w:rFonts w:hint="eastAsia" w:ascii="宋体" w:hAnsi="宋体" w:cs="宋体"/>
                <w:color w:val="auto"/>
                <w:highlight w:val="none"/>
              </w:rPr>
              <w:t xml:space="preserve">和售后服务管理师证书</w:t>
            </w:r>
            <w:r>
              <w:rPr>
                <w:rFonts w:hint="eastAsia" w:ascii="宋体" w:hAnsi="宋体"/>
                <w:color w:val="auto"/>
                <w:szCs w:val="21"/>
                <w:highlight w:val="none"/>
              </w:rPr>
              <w:t xml:space="preserve">的，得1分，本项最高得1分。</w:t>
            </w:r>
            <w:r>
              <w:rPr>
                <w:rFonts w:hint="eastAsia" w:ascii="宋体" w:hAnsi="宋体"/>
                <w:color w:val="auto"/>
                <w:szCs w:val="21"/>
                <w:highlight w:val="none"/>
              </w:rPr>
              <w:t xml:space="preserve">（提供相关证明材料扫描件放入投标文件中。）</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（3）为本项目配备的常驻技术人员（项目负责人除外）具有中国环境监测总站颁发的环境空气自动监测运维与质控资质证书的，每提供一个得0.5分，本项最高得6分；</w:t>
            </w:r>
            <w:r/>
          </w:p>
          <w:p>
            <w:pPr>
              <w:contextualSpacing/>
              <w:jc w:val="left"/>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备注：投标人为本项目配备的所有人员及证书不可重复，且均需提供缴纳的近</w:t>
            </w:r>
            <w:r>
              <w:rPr>
                <w:rFonts w:ascii="宋体" w:hAnsi="宋体"/>
                <w:color w:val="auto"/>
                <w:szCs w:val="21"/>
                <w:highlight w:val="none"/>
              </w:rPr>
              <w:t xml:space="preserve">12个月中连续6</w:t>
            </w:r>
            <w:r>
              <w:rPr>
                <w:rFonts w:hint="eastAsia" w:ascii="宋体" w:hAnsi="宋体"/>
                <w:color w:val="auto"/>
                <w:szCs w:val="21"/>
                <w:highlight w:val="none"/>
              </w:rPr>
              <w:t xml:space="preserve">个月的社保证明扫描件放入投标文件中。</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contextualSpacing/>
              <w:jc w:val="center"/>
              <w:spacing w:line="276"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业绩</w:t>
            </w:r>
            <w:r/>
          </w:p>
        </w:tc>
        <w:tc>
          <w:tcPr>
            <w:tcBorders>
              <w:top w:val="single" w:color="auto" w:sz="4" w:space="0"/>
              <w:left w:val="single" w:color="auto" w:sz="4" w:space="0"/>
              <w:right w:val="single" w:color="auto" w:sz="4" w:space="0"/>
            </w:tcBorders>
            <w:tcW w:w="708" w:type="dxa"/>
            <w:vAlign w:val="center"/>
            <w:textDirection w:val="lrTb"/>
            <w:noWrap w:val="false"/>
          </w:tcPr>
          <w:p>
            <w:pPr>
              <w:contextualSpacing/>
              <w:jc w:val="center"/>
              <w:spacing w:line="276" w:lineRule="auto"/>
              <w:rPr>
                <w:rFonts w:ascii="宋体" w:hAnsi="宋体"/>
                <w:color w:val="auto"/>
                <w:sz w:val="24"/>
                <w:szCs w:val="24"/>
                <w:highlight w:val="none"/>
              </w:rPr>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contextualSpacing/>
              <w:jc w:val="left"/>
              <w:spacing w:line="276" w:lineRule="auto"/>
              <w:rPr>
                <w:rFonts w:ascii="宋体"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2020年1月1日至今，投标人每参与一次大气服务类项目的，得0.5分，最高得2分（提供相应项目的中标通知书以及与最终用户签订的合同关键页扫描件放入投标文件中）。</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color w:val="auto"/>
                <w:sz w:val="24"/>
                <w:szCs w:val="24"/>
                <w:highlight w:val="none"/>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hint="eastAsia" w:ascii="宋体" w:hAnsi="宋体"/>
                <w:color w:val="auto"/>
                <w:sz w:val="24"/>
                <w:szCs w:val="24"/>
                <w:highlight w:val="none"/>
              </w:rPr>
              <w:t xml:space="preserve">20</w:t>
            </w:r>
            <w:r/>
          </w:p>
          <w:p>
            <w:pPr>
              <w:jc w:val="left"/>
              <w:rPr>
                <w:rFonts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bookmarkEnd w:id="133"/>
            <w:r/>
            <w:r/>
          </w:p>
        </w:tc>
      </w:tr>
    </w:tbl>
    <w:p>
      <w:pPr>
        <w:jc w:val="left"/>
        <w:rPr>
          <w:rFonts w:ascii="宋体" w:hAnsi="宋体"/>
          <w:b/>
          <w:bCs/>
          <w:color w:val="auto"/>
          <w:sz w:val="24"/>
          <w:szCs w:val="24"/>
          <w:highlight w:val="none"/>
        </w:rPr>
      </w:pPr>
      <w:r>
        <w:rPr>
          <w:rFonts w:ascii="宋体" w:hAnsi="宋体"/>
          <w:b/>
          <w:bCs/>
          <w:color w:val="auto"/>
          <w:sz w:val="24"/>
          <w:szCs w:val="24"/>
          <w:highlight w:val="none"/>
        </w:rPr>
      </w:r>
      <w:bookmarkEnd w:id="131"/>
      <w:r/>
      <w:bookmarkEnd w:id="132"/>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s="宋体"/>
          <w:b/>
          <w:color w:val="auto"/>
          <w:sz w:val="24"/>
          <w:szCs w:val="24"/>
          <w:highlight w:val="none"/>
        </w:rPr>
        <w:t xml:space="preserve">、政府采购评审中出现下列情形之一的，评审委员会将启动异常低价投标审查程序：</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4）.评审委员会基于专业判断，认为供应商报价过低，有可能影响产品质量或者不能诚信履约的其他情形。</w:t>
      </w:r>
      <w:r/>
    </w:p>
    <w:p>
      <w:pPr>
        <w:ind w:firstLine="482"/>
        <w:jc w:val="left"/>
        <w:widowControl/>
        <w:rPr>
          <w:b/>
          <w:bCs/>
          <w:color w:val="auto"/>
          <w:highlight w:val="none"/>
        </w:rPr>
      </w:pPr>
      <w:r>
        <w:rPr>
          <w:rFonts w:ascii="宋体" w:hAnsi="宋体" w:cs="宋体"/>
          <w:b/>
          <w:bCs/>
          <w:color w:val="auto"/>
          <w:sz w:val="24"/>
          <w:szCs w:val="24"/>
          <w:highlight w:val="none"/>
          <w:lang w:bidi="ar"/>
        </w:rPr>
        <w:t xml:space="preserve">评审委员会启动异常低价投标（响应）审查后</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lang w:bidi="ar"/>
        </w:rPr>
        <w:t xml:space="preserve">属于前述第1</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项至第4</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项情形的，应当要求相关供应商在评审现场合理的时间内</w:t>
      </w:r>
      <w:r>
        <w:rPr>
          <w:rFonts w:hint="eastAsia" w:ascii="宋体" w:hAnsi="宋体" w:cs="宋体"/>
          <w:b/>
          <w:bCs/>
          <w:color w:val="auto"/>
          <w:sz w:val="24"/>
          <w:szCs w:val="24"/>
          <w:highlight w:val="none"/>
          <w:lang w:bidi="ar"/>
        </w:rPr>
        <w:t xml:space="preserve">（30分钟）</w:t>
      </w:r>
      <w:r>
        <w:rPr>
          <w:rFonts w:ascii="宋体" w:hAnsi="宋体" w:cs="宋体"/>
          <w:b/>
          <w:bCs/>
          <w:color w:val="auto"/>
          <w:sz w:val="24"/>
          <w:szCs w:val="24"/>
          <w:highlight w:val="none"/>
          <w:lang w:bidi="ar"/>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其中，属于第3</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9"/>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134" w:name="_Toc157174692"/>
      <w:r>
        <w:rPr>
          <w:rFonts w:hint="eastAsia" w:ascii="黑体" w:hAnsi="黑体" w:eastAsia="黑体"/>
          <w:b w:val="0"/>
          <w:bCs w:val="0"/>
          <w:color w:val="auto"/>
          <w:sz w:val="36"/>
          <w:szCs w:val="36"/>
          <w:highlight w:val="none"/>
        </w:rPr>
        <w:t xml:space="preserve">第五章 政府采购合同（格式）</w:t>
      </w:r>
      <w:bookmarkEnd w:id="127"/>
      <w:r/>
      <w:bookmarkEnd w:id="128"/>
      <w:r/>
      <w:bookmarkEnd w:id="129"/>
      <w:r/>
      <w:bookmarkEnd w:id="134"/>
      <w:r/>
      <w:r/>
    </w:p>
    <w:p>
      <w:pPr>
        <w:pStyle w:val="948"/>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948"/>
        <w:ind w:firstLine="0"/>
        <w:jc w:val="right"/>
        <w:rPr>
          <w:rFonts w:hAnsi="宋体" w:cs="宋体"/>
          <w:color w:val="auto"/>
          <w:szCs w:val="24"/>
          <w:highlight w:val="none"/>
        </w:rPr>
      </w:pPr>
      <w:r>
        <w:rPr>
          <w:rFonts w:hAnsi="宋体" w:cs="宋体"/>
          <w:color w:val="auto"/>
          <w:szCs w:val="24"/>
          <w:highlight w:val="none"/>
        </w:rPr>
      </w:r>
      <w:r/>
    </w:p>
    <w:p>
      <w:pPr>
        <w:pStyle w:val="948"/>
        <w:ind w:firstLine="0"/>
        <w:rPr>
          <w:rFonts w:hAnsi="宋体" w:cs="宋体"/>
          <w:color w:val="auto"/>
          <w:szCs w:val="24"/>
          <w:highlight w:val="none"/>
        </w:rPr>
      </w:pPr>
      <w:r>
        <w:rPr>
          <w:rFonts w:hAnsi="宋体" w:cs="宋体"/>
          <w:color w:val="auto"/>
          <w:szCs w:val="24"/>
          <w:highlight w:val="none"/>
        </w:rPr>
      </w:r>
      <w:r/>
    </w:p>
    <w:p>
      <w:pPr>
        <w:pStyle w:val="948"/>
        <w:ind w:firstLine="0"/>
        <w:rPr>
          <w:rFonts w:hAnsi="宋体" w:cs="宋体"/>
          <w:color w:val="auto"/>
          <w:szCs w:val="24"/>
          <w:highlight w:val="none"/>
        </w:rPr>
      </w:pPr>
      <w:r>
        <w:rPr>
          <w:rFonts w:hAnsi="宋体" w:cs="宋体"/>
          <w:color w:val="auto"/>
          <w:szCs w:val="24"/>
          <w:highlight w:val="none"/>
        </w:rPr>
      </w:r>
      <w:r/>
    </w:p>
    <w:p>
      <w:pPr>
        <w:pStyle w:val="948"/>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948"/>
        <w:ind w:firstLine="0"/>
        <w:rPr>
          <w:rFonts w:hAnsi="宋体" w:cs="宋体"/>
          <w:color w:val="auto"/>
          <w:szCs w:val="24"/>
          <w:highlight w:val="none"/>
        </w:rPr>
      </w:pPr>
      <w:r>
        <w:rPr>
          <w:rFonts w:hAnsi="宋体" w:cs="宋体"/>
          <w:color w:val="auto"/>
          <w:szCs w:val="24"/>
          <w:highlight w:val="none"/>
        </w:rPr>
      </w:r>
      <w:r/>
    </w:p>
    <w:p>
      <w:pPr>
        <w:pStyle w:val="948"/>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949"/>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949"/>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签订日期：年月日</w:t>
      </w:r>
      <w:r/>
    </w:p>
    <w:p>
      <w:pPr>
        <w:ind w:firstLine="640"/>
        <w:jc w:val="center"/>
        <w:spacing w:line="600" w:lineRule="exact"/>
        <w:rPr>
          <w:rFonts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auto"/>
          <w:sz w:val="24"/>
          <w:highlight w:val="none"/>
        </w:rPr>
      </w:r>
      <w:bookmarkEnd w:id="130"/>
      <w:r/>
      <w:r/>
    </w:p>
    <w:p>
      <w:pPr>
        <w:ind w:firstLine="480"/>
        <w:spacing w:line="560" w:lineRule="exact"/>
        <w:rPr>
          <w:rFonts w:ascii="宋体" w:hAnsi="宋体" w:cs="宋体"/>
          <w:color w:val="auto"/>
          <w:sz w:val="24"/>
          <w:highlight w:val="none"/>
        </w:rPr>
      </w:pPr>
      <w:r/>
      <w:bookmarkStart w:id="135" w:name="_Toc19273"/>
      <w:r/>
      <w:bookmarkStart w:id="136" w:name="_Toc22967"/>
      <w:r/>
      <w:bookmarkStart w:id="137" w:name="_Toc15367"/>
      <w:r/>
      <w:bookmarkStart w:id="138" w:name="_Toc28855"/>
      <w:r/>
      <w:bookmarkStart w:id="139" w:name="_Toc20421"/>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bookmarkStart w:id="140" w:name="_Hlk151450445"/>
      <w:r>
        <w:rPr>
          <w:rFonts w:hint="eastAsia" w:ascii="宋体" w:hAnsi="宋体" w:cs="宋体"/>
          <w:color w:val="auto"/>
          <w:sz w:val="24"/>
          <w:highlight w:val="none"/>
          <w:u w:val="single"/>
        </w:rPr>
        <w:t xml:space="preserve">无锡市宜兴生态环境局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2026年宜兴市环境空气质量改善服务项目</w:t>
      </w:r>
      <w:r>
        <w:rPr>
          <w:rFonts w:hint="eastAsia" w:ascii="宋体" w:hAnsi="宋体" w:cs="宋体"/>
          <w:color w:val="auto"/>
          <w:sz w:val="24"/>
          <w:highlight w:val="none"/>
        </w:rPr>
        <w:t xml:space="preserve">进行了采购。</w:t>
      </w:r>
      <w:bookmarkEnd w:id="140"/>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无锡市宜兴生态环境局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41"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无锡市宜兴生态环境局</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41"/>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135"/>
      <w:r/>
      <w:bookmarkEnd w:id="136"/>
      <w:r/>
      <w:bookmarkEnd w:id="137"/>
      <w:r/>
      <w:bookmarkEnd w:id="138"/>
      <w:r/>
      <w:bookmarkEnd w:id="13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42" w:name="_Toc6311"/>
      <w:r/>
      <w:bookmarkStart w:id="143" w:name="_Toc2918"/>
      <w:r/>
      <w:bookmarkStart w:id="144" w:name="_Toc22185"/>
      <w:r/>
      <w:bookmarkStart w:id="145" w:name="_Toc18585"/>
      <w:r/>
      <w:bookmarkStart w:id="146" w:name="_Toc6773"/>
      <w:r>
        <w:rPr>
          <w:rFonts w:hint="eastAsia" w:ascii="宋体" w:hAnsi="宋体" w:cs="宋体"/>
          <w:b/>
          <w:color w:val="auto"/>
          <w:sz w:val="24"/>
          <w:szCs w:val="24"/>
          <w:highlight w:val="none"/>
        </w:rPr>
        <w:t xml:space="preserve">1.2 标的</w:t>
      </w:r>
      <w:bookmarkEnd w:id="142"/>
      <w:r/>
      <w:bookmarkEnd w:id="143"/>
      <w:r/>
      <w:bookmarkEnd w:id="144"/>
      <w:r/>
      <w:bookmarkEnd w:id="145"/>
      <w:r/>
      <w:bookmarkEnd w:id="14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47" w:name="_Toc5635"/>
      <w:r/>
      <w:bookmarkStart w:id="148" w:name="_Toc1386"/>
      <w:r/>
      <w:bookmarkStart w:id="149" w:name="_Toc4929"/>
      <w:r/>
      <w:bookmarkStart w:id="150" w:name="_Toc21124"/>
      <w:r/>
      <w:bookmarkStart w:id="151" w:name="_Toc13918"/>
      <w:r>
        <w:rPr>
          <w:rFonts w:hint="eastAsia" w:ascii="宋体" w:hAnsi="宋体" w:cs="宋体"/>
          <w:b/>
          <w:color w:val="auto"/>
          <w:sz w:val="24"/>
          <w:szCs w:val="24"/>
          <w:highlight w:val="none"/>
        </w:rPr>
        <w:t xml:space="preserve">1.3 价款</w:t>
      </w:r>
      <w:bookmarkEnd w:id="147"/>
      <w:r/>
      <w:bookmarkEnd w:id="148"/>
      <w:r/>
      <w:bookmarkEnd w:id="149"/>
      <w:r/>
      <w:bookmarkEnd w:id="150"/>
      <w:r/>
      <w:bookmarkEnd w:id="15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本合同总价为：￥元（大写：元人民币）。</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932"/>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5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95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95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52" w:name="_Toc30506"/>
      <w:r/>
      <w:bookmarkStart w:id="153" w:name="_Toc30158"/>
      <w:r/>
      <w:bookmarkStart w:id="154" w:name="_Toc14993"/>
      <w:r/>
      <w:bookmarkStart w:id="155" w:name="_Toc26916"/>
      <w:r/>
      <w:bookmarkStart w:id="156" w:name="_Toc3654"/>
      <w:r>
        <w:rPr>
          <w:rFonts w:hint="eastAsia" w:ascii="宋体" w:hAnsi="宋体" w:cs="宋体"/>
          <w:b/>
          <w:color w:val="auto"/>
          <w:sz w:val="24"/>
          <w:szCs w:val="24"/>
          <w:highlight w:val="none"/>
        </w:rPr>
        <w:t xml:space="preserve">1.4 付款方式和发票开具方式</w:t>
      </w:r>
      <w:bookmarkEnd w:id="152"/>
      <w:r/>
      <w:bookmarkEnd w:id="153"/>
      <w:r/>
      <w:bookmarkEnd w:id="154"/>
      <w:r/>
      <w:bookmarkEnd w:id="155"/>
      <w:r/>
      <w:bookmarkEnd w:id="15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p>
    <w:p>
      <w:pPr>
        <w:ind w:firstLine="482"/>
        <w:spacing w:line="560" w:lineRule="exact"/>
        <w:rPr>
          <w:rFonts w:ascii="宋体" w:hAnsi="宋体" w:cs="宋体"/>
          <w:b/>
          <w:color w:val="auto"/>
          <w:sz w:val="24"/>
          <w:szCs w:val="24"/>
          <w:highlight w:val="none"/>
        </w:rPr>
      </w:pPr>
      <w:r/>
      <w:bookmarkStart w:id="157" w:name="_Toc31421"/>
      <w:r/>
      <w:bookmarkStart w:id="158" w:name="_Toc4760"/>
      <w:r/>
      <w:bookmarkStart w:id="159" w:name="_Toc3625"/>
      <w:r/>
      <w:bookmarkStart w:id="160" w:name="_Toc8772"/>
      <w:r/>
      <w:bookmarkStart w:id="161" w:name="_Toc11108"/>
      <w:r>
        <w:rPr>
          <w:rFonts w:hint="eastAsia" w:ascii="宋体" w:hAnsi="宋体" w:cs="宋体"/>
          <w:b/>
          <w:color w:val="auto"/>
          <w:sz w:val="24"/>
          <w:szCs w:val="24"/>
          <w:highlight w:val="none"/>
        </w:rPr>
        <w:t xml:space="preserve">1.5 履行期限、地点和方式</w:t>
      </w:r>
      <w:bookmarkEnd w:id="157"/>
      <w:r/>
      <w:bookmarkEnd w:id="158"/>
      <w:r/>
      <w:bookmarkEnd w:id="159"/>
      <w:r/>
      <w:bookmarkEnd w:id="160"/>
      <w:r/>
      <w:bookmarkEnd w:id="16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62" w:name="_Toc8586"/>
      <w:r/>
      <w:bookmarkStart w:id="163" w:name="_Toc24662"/>
      <w:r/>
      <w:bookmarkStart w:id="164" w:name="_Toc5698"/>
      <w:r/>
      <w:bookmarkStart w:id="165" w:name="_Toc3079"/>
      <w:r/>
      <w:bookmarkStart w:id="166" w:name="_Toc2375"/>
      <w:r>
        <w:rPr>
          <w:rFonts w:hint="eastAsia" w:ascii="宋体" w:hAnsi="宋体" w:cs="宋体"/>
          <w:b/>
          <w:color w:val="auto"/>
          <w:sz w:val="24"/>
          <w:szCs w:val="24"/>
          <w:highlight w:val="none"/>
        </w:rPr>
        <w:t xml:space="preserve">1.6 违约责任</w:t>
      </w:r>
      <w:bookmarkEnd w:id="162"/>
      <w:r/>
      <w:bookmarkEnd w:id="163"/>
      <w:r/>
      <w:bookmarkEnd w:id="164"/>
      <w:r/>
      <w:bookmarkEnd w:id="165"/>
      <w:r/>
      <w:bookmarkEnd w:id="1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67" w:name="_Toc30329"/>
      <w:r/>
      <w:bookmarkStart w:id="168" w:name="_Toc18683"/>
      <w:r/>
      <w:bookmarkStart w:id="169" w:name="_Toc26807"/>
      <w:r/>
      <w:bookmarkStart w:id="170" w:name="_Toc9497"/>
      <w:r/>
      <w:bookmarkStart w:id="171" w:name="_Toc32454"/>
      <w:r>
        <w:rPr>
          <w:rFonts w:hint="eastAsia" w:ascii="宋体" w:hAnsi="宋体" w:cs="宋体"/>
          <w:b/>
          <w:color w:val="auto"/>
          <w:sz w:val="24"/>
          <w:szCs w:val="24"/>
          <w:highlight w:val="none"/>
        </w:rPr>
        <w:t xml:space="preserve">1.7 合同争议的解决</w:t>
      </w:r>
      <w:bookmarkEnd w:id="167"/>
      <w:r/>
      <w:bookmarkEnd w:id="168"/>
      <w:r/>
      <w:bookmarkEnd w:id="169"/>
      <w:r/>
      <w:bookmarkEnd w:id="170"/>
      <w:r/>
      <w:bookmarkEnd w:id="171"/>
      <w:r/>
      <w:r/>
    </w:p>
    <w:p>
      <w:pPr>
        <w:ind w:firstLine="480"/>
        <w:spacing w:line="560" w:lineRule="exact"/>
        <w:rPr>
          <w:rFonts w:ascii="宋体" w:hAnsi="宋体" w:cs="宋体"/>
          <w:color w:val="auto"/>
          <w:sz w:val="24"/>
          <w:highlight w:val="none"/>
        </w:rPr>
      </w:pPr>
      <w:r/>
      <w:bookmarkStart w:id="172" w:name="_Toc15827"/>
      <w:r/>
      <w:bookmarkStart w:id="173" w:name="_Toc12273"/>
      <w:r/>
      <w:bookmarkStart w:id="174" w:name="_Toc23784"/>
      <w:r/>
      <w:bookmarkStart w:id="175" w:name="_Toc26227"/>
      <w:r/>
      <w:bookmarkStart w:id="176" w:name="_Toc16417"/>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72"/>
      <w:r/>
      <w:bookmarkEnd w:id="173"/>
      <w:r/>
      <w:bookmarkEnd w:id="174"/>
      <w:r/>
      <w:bookmarkEnd w:id="175"/>
      <w:r/>
      <w:bookmarkEnd w:id="17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本合同一式伍份，供需双方各持贰份，江苏希地丰华项目管理集团有限公司存档壹份</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供需双方可根据实际需求自行确定份数</w:t>
      </w:r>
      <w:r>
        <w:rPr>
          <w:rFonts w:hint="eastAsia" w:ascii="宋体" w:hAnsi="宋体" w:cs="宋体"/>
          <w:color w:val="auto"/>
          <w:sz w:val="24"/>
          <w:highlight w:val="none"/>
          <w:lang w:val="zh-CN"/>
        </w:rPr>
        <w:t xml:space="preserve">）</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77"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77"/>
      <w:r/>
      <w:r/>
    </w:p>
    <w:p>
      <w:pPr>
        <w:ind w:firstLine="482"/>
        <w:spacing w:line="560" w:lineRule="exact"/>
        <w:rPr>
          <w:rFonts w:ascii="宋体" w:hAnsi="宋体" w:cs="宋体"/>
          <w:b/>
          <w:color w:val="auto"/>
          <w:sz w:val="24"/>
          <w:szCs w:val="24"/>
          <w:highlight w:val="none"/>
        </w:rPr>
      </w:pPr>
      <w:r/>
      <w:bookmarkStart w:id="178" w:name="_Ref467378404"/>
      <w:r/>
      <w:bookmarkStart w:id="179" w:name="_Toc5228"/>
      <w:r/>
      <w:bookmarkStart w:id="180" w:name="_Ref467379205"/>
      <w:r/>
      <w:bookmarkStart w:id="181" w:name="_Ref467379094"/>
      <w:r/>
      <w:bookmarkStart w:id="182" w:name="_Ref467379214"/>
      <w:r/>
      <w:bookmarkStart w:id="183" w:name="_Toc14021"/>
      <w:r/>
      <w:bookmarkStart w:id="184" w:name="_Toc487900349"/>
      <w:r/>
      <w:bookmarkStart w:id="185" w:name="_Toc19680"/>
      <w:r/>
      <w:bookmarkStart w:id="186" w:name="_Toc25079"/>
      <w:r/>
      <w:bookmarkStart w:id="187" w:name="_Ref467378499"/>
      <w:r/>
      <w:bookmarkStart w:id="188" w:name="_Ref467379225"/>
      <w:r/>
      <w:bookmarkStart w:id="189" w:name="_Ref467379195"/>
      <w:r/>
      <w:bookmarkStart w:id="190" w:name="_Toc279701240"/>
      <w:r/>
      <w:bookmarkStart w:id="191" w:name="_Toc259093669"/>
      <w:r/>
      <w:bookmarkStart w:id="192" w:name="_Ref467378463"/>
      <w:r/>
      <w:bookmarkStart w:id="193" w:name="_Ref467379109"/>
      <w:r/>
      <w:bookmarkStart w:id="194" w:name="_Toc31297"/>
      <w:r/>
      <w:bookmarkStart w:id="195" w:name="_Ref467379101"/>
      <w:r>
        <w:rPr>
          <w:rFonts w:hint="eastAsia" w:ascii="宋体" w:hAnsi="宋体" w:cs="宋体"/>
          <w:b/>
          <w:color w:val="auto"/>
          <w:sz w:val="24"/>
          <w:szCs w:val="24"/>
          <w:highlight w:val="none"/>
        </w:rPr>
        <w:t xml:space="preserve">2.1 定义</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96" w:name="_Ref467378840"/>
      <w:r>
        <w:rPr>
          <w:rFonts w:hint="eastAsia" w:ascii="宋体" w:hAnsi="宋体" w:cs="宋体"/>
          <w:color w:val="auto"/>
          <w:sz w:val="24"/>
          <w:szCs w:val="24"/>
          <w:highlight w:val="none"/>
        </w:rPr>
        <w:t xml:space="preserve">2.1.4 “甲方”系指与中标供应商签署合同的采购人</w:t>
      </w:r>
      <w:bookmarkEnd w:id="196"/>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97" w:name="_Ref467379400"/>
      <w:r>
        <w:rPr>
          <w:rFonts w:hint="eastAsia" w:ascii="宋体" w:hAnsi="宋体" w:cs="宋体"/>
          <w:color w:val="auto"/>
          <w:sz w:val="24"/>
          <w:szCs w:val="24"/>
          <w:highlight w:val="none"/>
        </w:rPr>
        <w:t xml:space="preserve">2.1.5 “乙方”系指根据合同约定提供服务的中标供应商</w:t>
      </w:r>
      <w:bookmarkEnd w:id="197"/>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98" w:name="_Ref467379436"/>
      <w:r>
        <w:rPr>
          <w:rFonts w:hint="eastAsia" w:ascii="宋体" w:hAnsi="宋体" w:cs="宋体"/>
          <w:color w:val="auto"/>
          <w:sz w:val="24"/>
          <w:szCs w:val="24"/>
          <w:highlight w:val="none"/>
        </w:rPr>
        <w:t xml:space="preserve">2.1.6 “现场”系指合同约定提供服务的地点。</w:t>
      </w:r>
      <w:bookmarkEnd w:id="198"/>
      <w:r/>
      <w:r/>
    </w:p>
    <w:p>
      <w:pPr>
        <w:ind w:firstLine="482"/>
        <w:spacing w:line="560" w:lineRule="exact"/>
        <w:rPr>
          <w:rFonts w:ascii="宋体" w:hAnsi="宋体" w:cs="宋体"/>
          <w:b/>
          <w:color w:val="auto"/>
          <w:sz w:val="24"/>
          <w:szCs w:val="24"/>
          <w:highlight w:val="none"/>
        </w:rPr>
      </w:pPr>
      <w:r/>
      <w:bookmarkStart w:id="199" w:name="_Toc259093670"/>
      <w:r/>
      <w:bookmarkStart w:id="200" w:name="_Toc31402"/>
      <w:r/>
      <w:bookmarkStart w:id="201" w:name="_Toc16752"/>
      <w:r/>
      <w:bookmarkStart w:id="202" w:name="_Toc19539"/>
      <w:r/>
      <w:bookmarkStart w:id="203" w:name="_Toc279701241"/>
      <w:r/>
      <w:bookmarkStart w:id="204" w:name="_Toc23289"/>
      <w:r/>
      <w:bookmarkStart w:id="205" w:name="_Toc3769"/>
      <w:r/>
      <w:bookmarkStart w:id="206" w:name="_Toc487900350"/>
      <w:r>
        <w:rPr>
          <w:rFonts w:hint="eastAsia" w:ascii="宋体" w:hAnsi="宋体" w:cs="宋体"/>
          <w:b/>
          <w:color w:val="auto"/>
          <w:sz w:val="24"/>
          <w:szCs w:val="24"/>
          <w:highlight w:val="none"/>
        </w:rPr>
        <w:t xml:space="preserve">2.2 技术规范</w:t>
      </w:r>
      <w:bookmarkEnd w:id="199"/>
      <w:r/>
      <w:bookmarkEnd w:id="200"/>
      <w:r/>
      <w:bookmarkEnd w:id="201"/>
      <w:r/>
      <w:bookmarkEnd w:id="202"/>
      <w:r/>
      <w:bookmarkEnd w:id="203"/>
      <w:r/>
      <w:bookmarkEnd w:id="204"/>
      <w:r/>
      <w:bookmarkEnd w:id="205"/>
      <w:r/>
      <w:bookmarkEnd w:id="20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207" w:name="_Toc9161"/>
      <w:r/>
      <w:bookmarkStart w:id="208" w:name="_Toc13673"/>
      <w:r/>
      <w:bookmarkStart w:id="209" w:name="_Toc4133"/>
      <w:r/>
      <w:bookmarkStart w:id="210" w:name="_Toc27945"/>
      <w:r/>
      <w:bookmarkStart w:id="211" w:name="_Toc279701242"/>
      <w:r/>
      <w:bookmarkStart w:id="212" w:name="_Toc12412"/>
      <w:r/>
      <w:bookmarkStart w:id="213" w:name="_Toc487900351"/>
      <w:r/>
      <w:bookmarkStart w:id="214" w:name="_Toc259093671"/>
      <w:r>
        <w:rPr>
          <w:rFonts w:hint="eastAsia" w:ascii="宋体" w:hAnsi="宋体" w:cs="宋体"/>
          <w:b/>
          <w:color w:val="auto"/>
          <w:sz w:val="24"/>
          <w:szCs w:val="24"/>
          <w:highlight w:val="none"/>
        </w:rPr>
        <w:t xml:space="preserve">2.3 知识产权</w:t>
      </w:r>
      <w:bookmarkEnd w:id="207"/>
      <w:r/>
      <w:bookmarkEnd w:id="208"/>
      <w:r/>
      <w:bookmarkEnd w:id="209"/>
      <w:r/>
      <w:bookmarkEnd w:id="210"/>
      <w:r/>
      <w:bookmarkEnd w:id="211"/>
      <w:r/>
      <w:bookmarkEnd w:id="212"/>
      <w:r/>
      <w:bookmarkEnd w:id="213"/>
      <w:r/>
      <w:bookmarkEnd w:id="21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215" w:name="_Ref467379657"/>
      <w:r>
        <w:rPr>
          <w:rFonts w:hint="eastAsia" w:ascii="宋体" w:hAnsi="宋体" w:cs="宋体"/>
          <w:color w:val="auto"/>
          <w:sz w:val="24"/>
          <w:szCs w:val="24"/>
          <w:highlight w:val="none"/>
        </w:rPr>
        <w:t xml:space="preserve">2.4.1</w:t>
      </w:r>
      <w:bookmarkEnd w:id="215"/>
      <w:r/>
      <w:bookmarkStart w:id="216" w:name="_Toc186431854"/>
      <w:r/>
      <w:bookmarkStart w:id="217" w:name="_Toc259093676"/>
      <w:r/>
      <w:bookmarkStart w:id="218" w:name="_Toc279701247"/>
      <w:r/>
      <w:bookmarkStart w:id="219" w:name="_Toc487900357"/>
      <w:r/>
      <w:bookmarkStart w:id="220" w:name="_Ref467379807"/>
      <w:r/>
      <w:bookmarkStart w:id="221" w:name="_Ref467379793"/>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16"/>
      <w:r/>
      <w:bookmarkStart w:id="222" w:name="_Toc186431855"/>
      <w:r>
        <w:rPr>
          <w:rFonts w:hint="eastAsia" w:ascii="宋体" w:hAnsi="宋体" w:cs="宋体"/>
          <w:color w:val="auto"/>
          <w:sz w:val="24"/>
          <w:szCs w:val="24"/>
          <w:highlight w:val="none"/>
        </w:rPr>
        <w:t xml:space="preserve">。</w:t>
      </w:r>
      <w:bookmarkEnd w:id="217"/>
      <w:r/>
      <w:bookmarkEnd w:id="218"/>
      <w:r/>
      <w:bookmarkEnd w:id="219"/>
      <w:r/>
      <w:bookmarkEnd w:id="220"/>
      <w:r/>
      <w:bookmarkEnd w:id="221"/>
      <w:r/>
      <w:bookmarkEnd w:id="222"/>
      <w:r/>
      <w:r/>
    </w:p>
    <w:p>
      <w:pPr>
        <w:ind w:firstLine="482"/>
        <w:spacing w:line="560" w:lineRule="exact"/>
        <w:rPr>
          <w:rFonts w:ascii="宋体" w:hAnsi="宋体" w:cs="宋体"/>
          <w:b/>
          <w:color w:val="auto"/>
          <w:sz w:val="24"/>
          <w:szCs w:val="24"/>
          <w:highlight w:val="none"/>
        </w:rPr>
      </w:pPr>
      <w:r/>
      <w:bookmarkStart w:id="223" w:name="_Ref467379863"/>
      <w:r/>
      <w:bookmarkStart w:id="224" w:name="_Toc259093677"/>
      <w:r/>
      <w:bookmarkStart w:id="225" w:name="_Toc279701248"/>
      <w:r/>
      <w:bookmarkStart w:id="226" w:name="_Toc487900358"/>
      <w:r/>
      <w:bookmarkStart w:id="227" w:name="_Ref467379923"/>
      <w:r/>
      <w:bookmarkStart w:id="228" w:name="_Ref467379852"/>
      <w:r/>
      <w:bookmarkStart w:id="229" w:name="_Toc30507"/>
      <w:r/>
      <w:bookmarkStart w:id="230" w:name="_Toc13154"/>
      <w:r/>
      <w:bookmarkStart w:id="231" w:name="_Toc16163"/>
      <w:r/>
      <w:bookmarkStart w:id="232" w:name="_Toc13467"/>
      <w:r/>
      <w:bookmarkStart w:id="233" w:name="_Toc18990"/>
      <w:r>
        <w:rPr>
          <w:rFonts w:hint="eastAsia" w:ascii="宋体" w:hAnsi="宋体" w:cs="宋体"/>
          <w:b/>
          <w:color w:val="auto"/>
          <w:sz w:val="24"/>
          <w:szCs w:val="24"/>
          <w:highlight w:val="none"/>
        </w:rPr>
        <w:t xml:space="preserve">2.5 技术资料</w:t>
      </w:r>
      <w:bookmarkEnd w:id="223"/>
      <w:r/>
      <w:bookmarkEnd w:id="224"/>
      <w:r/>
      <w:bookmarkEnd w:id="225"/>
      <w:r/>
      <w:bookmarkEnd w:id="226"/>
      <w:r/>
      <w:bookmarkEnd w:id="227"/>
      <w:r/>
      <w:bookmarkEnd w:id="228"/>
      <w:r>
        <w:rPr>
          <w:rFonts w:hint="eastAsia" w:ascii="宋体" w:hAnsi="宋体" w:cs="宋体"/>
          <w:b/>
          <w:color w:val="auto"/>
          <w:sz w:val="24"/>
          <w:szCs w:val="24"/>
          <w:highlight w:val="none"/>
        </w:rPr>
        <w:t xml:space="preserve">和保密义务</w:t>
      </w:r>
      <w:bookmarkEnd w:id="229"/>
      <w:r/>
      <w:bookmarkEnd w:id="230"/>
      <w:r/>
      <w:bookmarkEnd w:id="231"/>
      <w:r/>
      <w:bookmarkEnd w:id="232"/>
      <w:r/>
      <w:bookmarkEnd w:id="23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234" w:name="_Toc19069"/>
      <w:r/>
      <w:bookmarkStart w:id="235" w:name="_Toc259093681"/>
      <w:r/>
      <w:bookmarkStart w:id="236" w:name="_Toc487900362"/>
      <w:r/>
      <w:bookmarkStart w:id="237" w:name="_Toc279701252"/>
      <w:r>
        <w:rPr>
          <w:rFonts w:hint="eastAsia" w:ascii="宋体" w:hAnsi="宋体" w:cs="宋体"/>
          <w:b/>
          <w:color w:val="auto"/>
          <w:sz w:val="24"/>
          <w:szCs w:val="24"/>
          <w:highlight w:val="none"/>
        </w:rPr>
        <w:t xml:space="preserve">2.6 质量保证</w:t>
      </w:r>
      <w:bookmarkEnd w:id="23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38" w:name="_Toc22267"/>
      <w:r>
        <w:rPr>
          <w:rFonts w:hint="eastAsia" w:ascii="宋体" w:hAnsi="宋体" w:cs="宋体"/>
          <w:b/>
          <w:color w:val="auto"/>
          <w:sz w:val="24"/>
          <w:szCs w:val="24"/>
          <w:highlight w:val="none"/>
        </w:rPr>
        <w:t xml:space="preserve">2.7 延迟</w:t>
      </w:r>
      <w:bookmarkEnd w:id="235"/>
      <w:r/>
      <w:bookmarkEnd w:id="236"/>
      <w:r/>
      <w:bookmarkEnd w:id="237"/>
      <w:r>
        <w:rPr>
          <w:rFonts w:hint="eastAsia" w:ascii="宋体" w:hAnsi="宋体" w:cs="宋体"/>
          <w:b/>
          <w:color w:val="auto"/>
          <w:sz w:val="24"/>
          <w:szCs w:val="24"/>
          <w:highlight w:val="none"/>
        </w:rPr>
        <w:t xml:space="preserve">履行</w:t>
      </w:r>
      <w:bookmarkEnd w:id="23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39" w:name="_Toc10611"/>
      <w:r/>
      <w:bookmarkStart w:id="240" w:name="_Toc279701254"/>
      <w:r/>
      <w:bookmarkStart w:id="241" w:name="_Ref467378121"/>
      <w:r/>
      <w:bookmarkStart w:id="242" w:name="_Toc259093683"/>
      <w:r/>
      <w:bookmarkStart w:id="243" w:name="_Toc487900364"/>
      <w:r>
        <w:rPr>
          <w:rFonts w:hint="eastAsia" w:ascii="宋体" w:hAnsi="宋体" w:cs="宋体"/>
          <w:b/>
          <w:color w:val="auto"/>
          <w:sz w:val="24"/>
          <w:szCs w:val="24"/>
          <w:highlight w:val="none"/>
        </w:rPr>
        <w:t xml:space="preserve">2.8 合同变更</w:t>
      </w:r>
      <w:bookmarkEnd w:id="23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44" w:name="_Toc259093688"/>
      <w:r/>
      <w:bookmarkStart w:id="245" w:name="_Toc279701259"/>
      <w:r/>
      <w:bookmarkStart w:id="246" w:name="_Toc487900369"/>
      <w:r/>
      <w:r/>
    </w:p>
    <w:p>
      <w:pPr>
        <w:ind w:firstLine="482"/>
        <w:spacing w:line="560" w:lineRule="exact"/>
        <w:rPr>
          <w:rFonts w:ascii="宋体" w:hAnsi="宋体" w:cs="宋体"/>
          <w:b/>
          <w:color w:val="auto"/>
          <w:sz w:val="24"/>
          <w:szCs w:val="24"/>
          <w:highlight w:val="none"/>
        </w:rPr>
      </w:pPr>
      <w:r/>
      <w:bookmarkStart w:id="247" w:name="_Toc42"/>
      <w:r/>
      <w:bookmarkStart w:id="248" w:name="_Toc23368"/>
      <w:r/>
      <w:bookmarkStart w:id="249" w:name="_Toc21830"/>
      <w:r/>
      <w:bookmarkStart w:id="250" w:name="_Toc10663"/>
      <w:r/>
      <w:bookmarkStart w:id="251" w:name="_Toc26689"/>
      <w:r>
        <w:rPr>
          <w:rFonts w:hint="eastAsia" w:ascii="宋体" w:hAnsi="宋体" w:cs="宋体"/>
          <w:b/>
          <w:color w:val="auto"/>
          <w:sz w:val="24"/>
          <w:szCs w:val="24"/>
          <w:highlight w:val="none"/>
        </w:rPr>
        <w:t xml:space="preserve">2.9 合同转让</w:t>
      </w:r>
      <w:bookmarkEnd w:id="244"/>
      <w:r/>
      <w:bookmarkEnd w:id="245"/>
      <w:r/>
      <w:bookmarkEnd w:id="246"/>
      <w:r>
        <w:rPr>
          <w:rFonts w:hint="eastAsia" w:ascii="宋体" w:hAnsi="宋体" w:cs="宋体"/>
          <w:b/>
          <w:color w:val="auto"/>
          <w:sz w:val="24"/>
          <w:szCs w:val="24"/>
          <w:highlight w:val="none"/>
        </w:rPr>
        <w:t xml:space="preserve">和分包</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52" w:name="_Toc14371"/>
      <w:r/>
      <w:bookmarkStart w:id="253" w:name="_Toc4720"/>
      <w:r/>
      <w:bookmarkStart w:id="254" w:name="_Toc25571"/>
      <w:r/>
      <w:bookmarkStart w:id="255" w:name="_Toc32494"/>
      <w:r/>
      <w:bookmarkStart w:id="256" w:name="_Toc26633"/>
      <w:r>
        <w:rPr>
          <w:rFonts w:hint="eastAsia" w:ascii="宋体" w:hAnsi="宋体" w:cs="宋体"/>
          <w:b/>
          <w:color w:val="auto"/>
          <w:sz w:val="24"/>
          <w:szCs w:val="24"/>
          <w:highlight w:val="none"/>
        </w:rPr>
        <w:t xml:space="preserve">2.10 不可抗力</w:t>
      </w:r>
      <w:bookmarkEnd w:id="252"/>
      <w:r/>
      <w:bookmarkEnd w:id="253"/>
      <w:r/>
      <w:bookmarkEnd w:id="254"/>
      <w:r/>
      <w:bookmarkEnd w:id="255"/>
      <w:r/>
      <w:bookmarkEnd w:id="25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57" w:name="_Toc487900365"/>
      <w:r/>
      <w:bookmarkStart w:id="258" w:name="_Toc3638"/>
      <w:r/>
      <w:bookmarkStart w:id="259" w:name="_Toc14115"/>
      <w:r/>
      <w:bookmarkStart w:id="260" w:name="_Toc23854"/>
      <w:r/>
      <w:bookmarkStart w:id="261" w:name="_Toc279701255"/>
      <w:r/>
      <w:bookmarkStart w:id="262" w:name="_Toc25783"/>
      <w:r/>
      <w:bookmarkStart w:id="263" w:name="_Toc24465"/>
      <w:r/>
      <w:bookmarkStart w:id="264" w:name="_Toc259093684"/>
      <w:r>
        <w:rPr>
          <w:rFonts w:hint="eastAsia" w:ascii="宋体" w:hAnsi="宋体" w:cs="宋体"/>
          <w:b/>
          <w:color w:val="auto"/>
          <w:sz w:val="24"/>
          <w:szCs w:val="24"/>
          <w:highlight w:val="none"/>
        </w:rPr>
        <w:t xml:space="preserve">2.11 税费</w:t>
      </w:r>
      <w:bookmarkEnd w:id="257"/>
      <w:r/>
      <w:bookmarkEnd w:id="258"/>
      <w:r/>
      <w:bookmarkEnd w:id="259"/>
      <w:r/>
      <w:bookmarkEnd w:id="260"/>
      <w:r/>
      <w:bookmarkEnd w:id="261"/>
      <w:r/>
      <w:bookmarkEnd w:id="262"/>
      <w:r/>
      <w:bookmarkEnd w:id="263"/>
      <w:r/>
      <w:bookmarkEnd w:id="26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65" w:name="_Toc487900368"/>
      <w:r/>
      <w:bookmarkStart w:id="266" w:name="_Toc26883"/>
      <w:r/>
      <w:bookmarkStart w:id="267" w:name="_Toc7315"/>
      <w:r/>
      <w:bookmarkStart w:id="268" w:name="_Toc259093687"/>
      <w:r/>
      <w:bookmarkStart w:id="269" w:name="_Toc25525"/>
      <w:r/>
      <w:bookmarkStart w:id="270" w:name="_Toc14814"/>
      <w:r/>
      <w:bookmarkStart w:id="271" w:name="_Toc279701258"/>
      <w:r/>
      <w:bookmarkStart w:id="272" w:name="_Toc30105"/>
      <w:r>
        <w:rPr>
          <w:rFonts w:hint="eastAsia" w:ascii="宋体" w:hAnsi="宋体" w:cs="宋体"/>
          <w:b/>
          <w:color w:val="auto"/>
          <w:sz w:val="24"/>
          <w:szCs w:val="24"/>
          <w:highlight w:val="none"/>
        </w:rPr>
        <w:t xml:space="preserve">2.12 乙方破产</w:t>
      </w:r>
      <w:bookmarkEnd w:id="265"/>
      <w:r/>
      <w:bookmarkEnd w:id="266"/>
      <w:r/>
      <w:bookmarkEnd w:id="267"/>
      <w:r/>
      <w:bookmarkEnd w:id="268"/>
      <w:r/>
      <w:bookmarkEnd w:id="269"/>
      <w:r/>
      <w:bookmarkEnd w:id="270"/>
      <w:r/>
      <w:bookmarkEnd w:id="271"/>
      <w:r/>
      <w:bookmarkEnd w:id="27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73" w:name="_Toc23323"/>
      <w:r/>
      <w:bookmarkStart w:id="274" w:name="_Toc2016"/>
      <w:r/>
      <w:bookmarkStart w:id="275" w:name="_Toc1123"/>
      <w:r>
        <w:rPr>
          <w:rFonts w:hint="eastAsia" w:ascii="宋体" w:hAnsi="宋体" w:cs="宋体"/>
          <w:b/>
          <w:color w:val="auto"/>
          <w:sz w:val="24"/>
          <w:szCs w:val="24"/>
          <w:highlight w:val="none"/>
        </w:rPr>
        <w:t xml:space="preserve">2.13 合同中止、终止</w:t>
      </w:r>
      <w:bookmarkEnd w:id="273"/>
      <w:r/>
      <w:bookmarkEnd w:id="274"/>
      <w:r/>
      <w:bookmarkEnd w:id="27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76" w:name="_Toc17363"/>
      <w:r/>
      <w:bookmarkStart w:id="277" w:name="_Toc1969"/>
      <w:r/>
      <w:bookmarkStart w:id="278" w:name="_Toc14525"/>
      <w:r>
        <w:rPr>
          <w:rFonts w:hint="eastAsia" w:ascii="宋体" w:hAnsi="宋体" w:cs="宋体"/>
          <w:b/>
          <w:color w:val="auto"/>
          <w:sz w:val="24"/>
          <w:szCs w:val="24"/>
          <w:highlight w:val="none"/>
        </w:rPr>
        <w:t xml:space="preserve">2.14 检验和验收</w:t>
      </w:r>
      <w:bookmarkEnd w:id="276"/>
      <w:r/>
      <w:bookmarkEnd w:id="277"/>
      <w:r/>
      <w:bookmarkEnd w:id="278"/>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40"/>
      <w:r/>
      <w:bookmarkEnd w:id="241"/>
      <w:r/>
      <w:bookmarkEnd w:id="242"/>
      <w:r/>
      <w:bookmarkEnd w:id="243"/>
      <w:r/>
      <w:r/>
    </w:p>
    <w:p>
      <w:pPr>
        <w:ind w:firstLine="482"/>
        <w:spacing w:line="560" w:lineRule="exact"/>
        <w:rPr>
          <w:rFonts w:ascii="宋体" w:hAnsi="宋体" w:cs="宋体"/>
          <w:b/>
          <w:color w:val="auto"/>
          <w:sz w:val="24"/>
          <w:szCs w:val="24"/>
          <w:highlight w:val="none"/>
        </w:rPr>
      </w:pPr>
      <w:r/>
      <w:bookmarkStart w:id="279" w:name="_Toc259093690"/>
      <w:r/>
      <w:bookmarkStart w:id="280" w:name="_Toc279701261"/>
      <w:r/>
      <w:bookmarkStart w:id="281" w:name="_Toc487900371"/>
      <w:r/>
      <w:bookmarkStart w:id="282" w:name="_Toc9808"/>
      <w:r/>
      <w:bookmarkStart w:id="283" w:name="_Toc25198"/>
      <w:r/>
      <w:bookmarkStart w:id="284" w:name="_Toc12666"/>
      <w:r/>
      <w:bookmarkStart w:id="285" w:name="_Toc2308"/>
      <w:r/>
      <w:bookmarkStart w:id="286" w:name="_Toc31892"/>
      <w:r>
        <w:rPr>
          <w:rFonts w:hint="eastAsia" w:ascii="宋体" w:hAnsi="宋体" w:cs="宋体"/>
          <w:b/>
          <w:color w:val="auto"/>
          <w:sz w:val="24"/>
          <w:szCs w:val="24"/>
          <w:highlight w:val="none"/>
        </w:rPr>
        <w:t xml:space="preserve">2.15 通知</w:t>
      </w:r>
      <w:bookmarkEnd w:id="279"/>
      <w:r/>
      <w:bookmarkEnd w:id="280"/>
      <w:r/>
      <w:bookmarkEnd w:id="281"/>
      <w:r>
        <w:rPr>
          <w:rFonts w:hint="eastAsia" w:ascii="宋体" w:hAnsi="宋体" w:cs="宋体"/>
          <w:b/>
          <w:color w:val="auto"/>
          <w:sz w:val="24"/>
          <w:szCs w:val="24"/>
          <w:highlight w:val="none"/>
        </w:rPr>
        <w:t xml:space="preserve">和送达</w:t>
      </w:r>
      <w:bookmarkEnd w:id="282"/>
      <w:r/>
      <w:bookmarkEnd w:id="283"/>
      <w:r/>
      <w:bookmarkEnd w:id="284"/>
      <w:r/>
      <w:bookmarkEnd w:id="285"/>
      <w:r/>
      <w:bookmarkEnd w:id="286"/>
      <w:r/>
      <w:r/>
    </w:p>
    <w:p>
      <w:pPr>
        <w:ind w:firstLine="480"/>
        <w:spacing w:line="560" w:lineRule="exact"/>
        <w:rPr>
          <w:rFonts w:ascii="宋体" w:hAnsi="宋体" w:cs="宋体"/>
          <w:color w:val="auto"/>
          <w:sz w:val="24"/>
          <w:szCs w:val="24"/>
          <w:highlight w:val="none"/>
        </w:rPr>
      </w:pPr>
      <w:r/>
      <w:bookmarkStart w:id="287" w:name="_Toc7073"/>
      <w:r/>
      <w:bookmarkStart w:id="288" w:name="_Toc29220"/>
      <w:r/>
      <w:bookmarkStart w:id="289" w:name="_Toc259093691"/>
      <w:r/>
      <w:bookmarkStart w:id="290" w:name="_Toc279701262"/>
      <w:r/>
      <w:bookmarkStart w:id="291" w:name="_Toc48790037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87"/>
      <w:r/>
      <w:bookmarkEnd w:id="288"/>
      <w:r/>
      <w:r/>
    </w:p>
    <w:p>
      <w:pPr>
        <w:ind w:firstLine="480"/>
        <w:spacing w:line="560" w:lineRule="exact"/>
        <w:rPr>
          <w:rFonts w:ascii="宋体" w:hAnsi="宋体" w:cs="宋体"/>
          <w:color w:val="auto"/>
          <w:sz w:val="24"/>
          <w:szCs w:val="24"/>
          <w:highlight w:val="none"/>
        </w:rPr>
      </w:pPr>
      <w:r/>
      <w:bookmarkStart w:id="292" w:name="_Toc27674"/>
      <w:r/>
      <w:bookmarkStart w:id="293"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2"/>
      <w:r/>
      <w:bookmarkEnd w:id="293"/>
      <w:r/>
      <w:bookmarkEnd w:id="289"/>
      <w:r/>
      <w:bookmarkEnd w:id="290"/>
      <w:r/>
      <w:bookmarkEnd w:id="291"/>
      <w:r/>
      <w:r/>
    </w:p>
    <w:p>
      <w:pPr>
        <w:ind w:firstLine="482"/>
        <w:spacing w:line="560" w:lineRule="exact"/>
        <w:rPr>
          <w:rFonts w:ascii="宋体" w:hAnsi="宋体" w:cs="宋体"/>
          <w:b/>
          <w:color w:val="auto"/>
          <w:sz w:val="24"/>
          <w:szCs w:val="24"/>
          <w:highlight w:val="none"/>
        </w:rPr>
      </w:pPr>
      <w:r/>
      <w:bookmarkStart w:id="294" w:name="_Toc27644"/>
      <w:r/>
      <w:bookmarkStart w:id="295" w:name="_Toc279701263"/>
      <w:r/>
      <w:bookmarkStart w:id="296" w:name="_Toc12254"/>
      <w:r/>
      <w:bookmarkStart w:id="297" w:name="_Toc28906"/>
      <w:r/>
      <w:bookmarkStart w:id="298" w:name="_Toc20808"/>
      <w:r/>
      <w:bookmarkStart w:id="299" w:name="_Toc487900373"/>
      <w:r/>
      <w:bookmarkStart w:id="300" w:name="_Toc259093692"/>
      <w:r/>
      <w:bookmarkStart w:id="301" w:name="_Toc5063"/>
      <w:r>
        <w:rPr>
          <w:rFonts w:hint="eastAsia" w:ascii="宋体" w:hAnsi="宋体" w:cs="宋体"/>
          <w:b/>
          <w:color w:val="auto"/>
          <w:sz w:val="24"/>
          <w:szCs w:val="24"/>
          <w:highlight w:val="none"/>
        </w:rPr>
        <w:t xml:space="preserve">2.16 合同使用的文字和适用的法律</w:t>
      </w:r>
      <w:bookmarkEnd w:id="294"/>
      <w:r/>
      <w:bookmarkEnd w:id="295"/>
      <w:r/>
      <w:bookmarkEnd w:id="296"/>
      <w:r/>
      <w:bookmarkEnd w:id="297"/>
      <w:r/>
      <w:bookmarkEnd w:id="298"/>
      <w:r/>
      <w:bookmarkEnd w:id="299"/>
      <w:r/>
      <w:bookmarkEnd w:id="300"/>
      <w:r/>
      <w:bookmarkEnd w:id="30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302" w:name="_Toc27127"/>
      <w:r/>
      <w:bookmarkStart w:id="303" w:name="_Toc259093693"/>
      <w:r/>
      <w:bookmarkStart w:id="304" w:name="_Toc27403"/>
      <w:r/>
      <w:bookmarkStart w:id="305" w:name="_Toc30096"/>
      <w:r/>
      <w:bookmarkStart w:id="306" w:name="_Toc22266"/>
      <w:r/>
      <w:bookmarkStart w:id="307" w:name="_Toc279701264"/>
      <w:r/>
      <w:bookmarkStart w:id="308" w:name="_Toc1492"/>
      <w:r>
        <w:rPr>
          <w:rFonts w:hint="eastAsia" w:ascii="宋体" w:hAnsi="宋体" w:cs="宋体"/>
          <w:b/>
          <w:color w:val="auto"/>
          <w:sz w:val="24"/>
          <w:szCs w:val="24"/>
          <w:highlight w:val="none"/>
        </w:rPr>
        <w:t xml:space="preserve">2.17 履约保证金</w:t>
      </w:r>
      <w:bookmarkEnd w:id="302"/>
      <w:r/>
      <w:bookmarkEnd w:id="303"/>
      <w:r/>
      <w:bookmarkEnd w:id="304"/>
      <w:r/>
      <w:bookmarkEnd w:id="305"/>
      <w:r/>
      <w:bookmarkEnd w:id="306"/>
      <w:r/>
      <w:bookmarkEnd w:id="307"/>
      <w:r/>
      <w:bookmarkEnd w:id="308"/>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943"/>
        <w:rPr>
          <w:color w:val="auto"/>
          <w:highlight w:val="none"/>
        </w:rPr>
      </w:pPr>
      <w:r>
        <w:rPr>
          <w:color w:val="auto"/>
          <w:highlight w:val="none"/>
        </w:rPr>
      </w:r>
      <w:r/>
    </w:p>
    <w:p>
      <w:pPr>
        <w:jc w:val="center"/>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309" w:name="_Toc157174693"/>
      <w:r/>
      <w:bookmarkStart w:id="310" w:name="_Toc27444"/>
      <w:r/>
      <w:bookmarkStart w:id="311" w:name="_Toc24602"/>
      <w:r>
        <w:rPr>
          <w:rFonts w:hint="eastAsia" w:ascii="黑体" w:hAnsi="黑体" w:eastAsia="黑体"/>
          <w:color w:val="auto"/>
          <w:sz w:val="36"/>
          <w:szCs w:val="36"/>
          <w:highlight w:val="none"/>
        </w:rPr>
        <w:t xml:space="preserve">第六章 投标文件</w:t>
      </w:r>
      <w:bookmarkEnd w:id="309"/>
      <w:r/>
      <w:bookmarkEnd w:id="310"/>
      <w:r>
        <w:rPr>
          <w:rFonts w:hint="eastAsia" w:ascii="黑体" w:hAnsi="黑体" w:eastAsia="黑体"/>
          <w:color w:val="auto"/>
          <w:sz w:val="36"/>
          <w:szCs w:val="36"/>
          <w:highlight w:val="none"/>
        </w:rPr>
        <w:t xml:space="preserve">内容与格式</w:t>
      </w:r>
      <w:bookmarkEnd w:id="311"/>
      <w:r/>
      <w:r/>
    </w:p>
    <w:p>
      <w:pPr>
        <w:pStyle w:val="959"/>
        <w:ind w:firstLine="0"/>
        <w:spacing w:line="500" w:lineRule="exact"/>
        <w:rPr>
          <w:rFonts w:cs="Arial"/>
          <w:b/>
          <w:color w:val="auto"/>
          <w:sz w:val="30"/>
          <w:szCs w:val="30"/>
          <w:highlight w:val="none"/>
        </w:rPr>
      </w:pPr>
      <w:r/>
      <w:bookmarkStart w:id="312" w:name="OLE_LINK146"/>
      <w:r/>
      <w:bookmarkStart w:id="313" w:name="OLE_LINK173"/>
      <w:r>
        <w:rPr>
          <w:rFonts w:hint="eastAsia" w:cs="Arial"/>
          <w:b/>
          <w:color w:val="auto"/>
          <w:sz w:val="30"/>
          <w:szCs w:val="30"/>
          <w:highlight w:val="none"/>
        </w:rPr>
        <w:t xml:space="preserve">第一部分  投标文件内容</w:t>
      </w:r>
      <w:r/>
    </w:p>
    <w:p>
      <w:pPr>
        <w:pStyle w:val="959"/>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3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59"/>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59"/>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5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959"/>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959"/>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95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959"/>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959"/>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59"/>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959"/>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959"/>
              <w:ind w:firstLine="0"/>
              <w:jc w:val="both"/>
              <w:spacing w:before="0" w:after="0" w:line="240" w:lineRule="auto"/>
              <w:rPr>
                <w:rFonts w:ascii="宋体" w:hAnsi="宋体" w:cs="宋体"/>
                <w:bCs/>
                <w:color w:val="auto"/>
                <w:highlight w:val="none"/>
              </w:rPr>
            </w:pPr>
            <w:r>
              <w:rPr>
                <w:rFonts w:hint="eastAsia" w:ascii="宋体" w:hAnsi="宋体"/>
                <w:bCs/>
                <w:color w:val="auto"/>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59"/>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959"/>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959"/>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959"/>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59"/>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959"/>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959"/>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959"/>
        <w:numPr>
          <w:ilvl w:val="0"/>
          <w:numId w:val="11"/>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959"/>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93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9"/>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59"/>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59"/>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59"/>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95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59"/>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959"/>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959"/>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59"/>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95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959"/>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textDirection w:val="lrTb"/>
            <w:noWrap w:val="false"/>
          </w:tcPr>
          <w:p>
            <w:pPr>
              <w:pStyle w:val="959"/>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5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shd w:val="clear" w:color="auto" w:fill="auto"/>
            <w:tcW w:w="5811" w:type="dxa"/>
            <w:vAlign w:val="center"/>
            <w:textDirection w:val="lrTb"/>
            <w:noWrap w:val="false"/>
          </w:tcPr>
          <w:p>
            <w:pPr>
              <w:pStyle w:val="95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59"/>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59"/>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59"/>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59"/>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2"/>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59"/>
        <w:ind w:firstLine="0"/>
        <w:spacing w:line="500" w:lineRule="exact"/>
        <w:rPr>
          <w:b/>
          <w:color w:val="auto"/>
          <w:sz w:val="28"/>
          <w:szCs w:val="28"/>
          <w:highlight w:val="none"/>
        </w:rPr>
      </w:pPr>
      <w:r>
        <w:rPr>
          <w:b/>
          <w:color w:val="auto"/>
          <w:sz w:val="28"/>
          <w:szCs w:val="28"/>
          <w:highlight w:val="none"/>
        </w:rPr>
      </w:r>
      <w:r/>
    </w:p>
    <w:p>
      <w:pPr>
        <w:pStyle w:val="959"/>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59"/>
        <w:ind w:firstLine="0"/>
        <w:spacing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93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959"/>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9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675" w:type="dxa"/>
            <w:vAlign w:val="center"/>
            <w:textDirection w:val="lrTb"/>
            <w:noWrap w:val="false"/>
          </w:tcPr>
          <w:p>
            <w:pPr>
              <w:pStyle w:val="959"/>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政府采购支持中小企业发展</w:t>
            </w:r>
            <w:r/>
          </w:p>
        </w:tc>
        <w:tc>
          <w:tcPr>
            <w:shd w:val="clear" w:color="auto" w:fill="auto"/>
            <w:tcW w:w="3892" w:type="dxa"/>
            <w:vAlign w:val="center"/>
            <w:textDirection w:val="lrTb"/>
            <w:noWrap w:val="false"/>
          </w:tcPr>
          <w:p>
            <w:pPr>
              <w:pStyle w:val="959"/>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color w:val="auto"/>
                <w:highlight w:val="none"/>
              </w:rPr>
              <w:t xml:space="preserve">非专</w:t>
            </w:r>
            <w:r>
              <w:rPr>
                <w:rFonts w:hint="eastAsia" w:ascii="宋体" w:hAnsi="宋体"/>
                <w:b/>
                <w:bCs/>
                <w:color w:val="auto"/>
                <w:highlight w:val="none"/>
              </w:rPr>
              <w:t xml:space="preserve">门面向中小企业采购，</w:t>
            </w:r>
            <w:r>
              <w:rPr>
                <w:rFonts w:hint="eastAsia" w:ascii="宋体" w:hAnsi="宋体"/>
                <w:bCs/>
                <w:color w:val="auto"/>
                <w:highlight w:val="none"/>
              </w:rPr>
              <w:t xml:space="preserve">对符合规定的小微企业报价给予扣除,用扣除后的价格参与评审。</w:t>
            </w:r>
            <w:r/>
          </w:p>
        </w:tc>
        <w:tc>
          <w:tcPr>
            <w:tcW w:w="2932" w:type="dxa"/>
            <w:vAlign w:val="center"/>
            <w:textDirection w:val="lrTb"/>
            <w:noWrap w:val="false"/>
          </w:tcPr>
          <w:p>
            <w:pPr>
              <w:pStyle w:val="959"/>
              <w:ind w:firstLine="0"/>
              <w:spacing w:before="0" w:after="0" w:line="240" w:lineRule="auto"/>
              <w:rPr>
                <w:rFonts w:ascii="宋体" w:hAnsi="宋体"/>
                <w:bCs/>
                <w:color w:val="auto"/>
                <w:highlight w:val="none"/>
              </w:rPr>
            </w:pPr>
            <w:r>
              <w:rPr>
                <w:rFonts w:hint="eastAsia" w:ascii="宋体" w:hAnsi="宋体" w:cs="宋体"/>
                <w:color w:val="auto"/>
                <w:highlight w:val="none"/>
              </w:rPr>
              <w:t xml:space="preserve">符合条件的投标人</w:t>
            </w:r>
            <w:r>
              <w:rPr>
                <w:rFonts w:hint="eastAsia" w:ascii="宋体" w:hAnsi="宋体"/>
                <w:bCs/>
                <w:color w:val="auto"/>
                <w:highlight w:val="none"/>
                <w:lang w:val="zh-CN"/>
              </w:rPr>
              <w:t xml:space="preserve">，应提供有效的《中小企业声明函》或《残疾人福利性单位声明函》或监狱企业的证明文件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给定格式：详见“第六章 投标文件内容与格式”第五部分</w:t>
            </w:r>
            <w:r>
              <w:rPr>
                <w:rFonts w:hint="eastAsia" w:ascii="宋体" w:hAnsi="宋体"/>
                <w:b/>
                <w:color w:val="auto"/>
                <w:highlight w:val="none"/>
                <w:lang w:val="zh-CN"/>
              </w:rPr>
              <w:t xml:space="preserve">）</w:t>
            </w:r>
            <w:r>
              <w:rPr>
                <w:rFonts w:hint="eastAsia" w:ascii="宋体" w:hAnsi="宋体"/>
                <w:bCs/>
                <w:color w:val="auto"/>
                <w:highlight w:val="none"/>
                <w:lang w:val="zh-CN"/>
              </w:rPr>
              <w:t xml:space="preserve">，</w:t>
            </w:r>
            <w:r>
              <w:rPr>
                <w:rFonts w:hint="eastAsia" w:ascii="宋体" w:hAnsi="宋体" w:cs="宋体"/>
                <w:color w:val="auto"/>
                <w:szCs w:val="21"/>
                <w:highlight w:val="none"/>
                <w:lang w:val="zh-CN"/>
              </w:rPr>
              <w:t xml:space="preserve">否则不享受报价扣除优惠</w:t>
            </w:r>
            <w:r>
              <w:rPr>
                <w:rFonts w:hint="eastAsia" w:ascii="宋体" w:hAnsi="宋体"/>
                <w:bCs/>
                <w:color w:val="auto"/>
                <w:highlight w:val="none"/>
              </w:rPr>
              <w:t xml:space="preserve">。</w:t>
            </w:r>
            <w:r/>
          </w:p>
        </w:tc>
      </w:tr>
    </w:tbl>
    <w:p>
      <w:pPr>
        <w:jc w:val="cente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959"/>
        <w:numPr>
          <w:ilvl w:val="0"/>
          <w:numId w:val="13"/>
        </w:numPr>
        <w:ind w:firstLine="0"/>
        <w:spacing w:line="500" w:lineRule="exact"/>
        <w:rPr>
          <w:rFonts w:ascii="宋体" w:hAnsi="宋体" w:cs="宋体"/>
          <w:color w:val="auto"/>
          <w:highlight w:val="none"/>
        </w:rPr>
      </w:pPr>
      <w:r>
        <w:rPr>
          <w:rFonts w:ascii="宋体" w:hAnsi="宋体" w:cs="宋体"/>
          <w:color w:val="auto"/>
          <w:highlight w:val="none"/>
        </w:rPr>
        <w:br w:type="page" w:clear="all"/>
      </w:r>
      <w:r/>
    </w:p>
    <w:p>
      <w:pP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95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jc w:val="left"/>
        <w:rPr>
          <w:rFonts w:ascii="宋体" w:hAnsi="宋体"/>
          <w:b/>
          <w:color w:val="auto"/>
          <w:sz w:val="36"/>
          <w:szCs w:val="36"/>
          <w:highlight w:val="none"/>
          <w:u w:val="single"/>
        </w:rPr>
      </w:pPr>
      <w:r/>
      <w:bookmarkStart w:id="314" w:name="_Toc10010"/>
      <w:r/>
      <w:bookmarkStart w:id="315" w:name="_Toc24371"/>
      <w:r>
        <w:rPr>
          <w:rFonts w:hint="eastAsia" w:ascii="宋体" w:hAnsi="宋体"/>
          <w:b/>
          <w:color w:val="auto"/>
          <w:sz w:val="36"/>
          <w:szCs w:val="36"/>
          <w:highlight w:val="none"/>
        </w:rPr>
        <w:t xml:space="preserve">项目名称：</w:t>
      </w:r>
      <w:bookmarkEnd w:id="314"/>
      <w:r>
        <w:rPr>
          <w:rFonts w:hint="eastAsia" w:ascii="宋体" w:hAnsi="宋体"/>
          <w:b/>
          <w:color w:val="auto"/>
          <w:sz w:val="36"/>
          <w:szCs w:val="36"/>
          <w:highlight w:val="none"/>
          <w:u w:val="single"/>
        </w:rPr>
        <w:t xml:space="preserve">2026年宜兴市环境空气质量改善服务项目</w:t>
      </w:r>
      <w:r/>
    </w:p>
    <w:p>
      <w:pPr>
        <w:jc w:val="center"/>
        <w:rPr>
          <w:rFonts w:hint="eastAsia" w:ascii="宋体" w:hAnsi="宋体" w:eastAsia="宋体"/>
          <w:b/>
          <w:color w:val="auto"/>
          <w:sz w:val="36"/>
          <w:szCs w:val="36"/>
          <w:highlight w:val="none"/>
          <w:u w:val="single"/>
          <w:lang w:eastAsia="zh-CN"/>
        </w:rPr>
      </w:pPr>
      <w:r/>
      <w:bookmarkStart w:id="316" w:name="_Toc2400"/>
      <w:r>
        <w:rPr>
          <w:rFonts w:hint="eastAsia" w:ascii="宋体" w:hAnsi="宋体"/>
          <w:b/>
          <w:color w:val="auto"/>
          <w:sz w:val="36"/>
          <w:szCs w:val="36"/>
          <w:highlight w:val="none"/>
        </w:rPr>
        <w:t xml:space="preserve">项目编号：</w:t>
      </w:r>
      <w:bookmarkEnd w:id="316"/>
      <w:r>
        <w:rPr>
          <w:rFonts w:hint="eastAsia" w:ascii="宋体" w:hAnsi="宋体"/>
          <w:b/>
          <w:color w:val="auto"/>
          <w:sz w:val="36"/>
          <w:szCs w:val="36"/>
          <w:highlight w:val="none"/>
          <w:u w:val="single"/>
          <w:lang w:eastAsia="zh-CN"/>
        </w:rPr>
        <w:t xml:space="preserve">JSZC-320282-XDFH-G2026-0006</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315"/>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317" w:name="OLE_LINK151"/>
      <w:r/>
      <w:bookmarkStart w:id="318" w:name="_Toc8000"/>
      <w:r>
        <w:rPr>
          <w:rFonts w:hint="eastAsia" w:ascii="黑体" w:hAnsi="宋体" w:eastAsia="黑体"/>
          <w:bCs/>
          <w:color w:val="auto"/>
          <w:sz w:val="28"/>
          <w:szCs w:val="28"/>
          <w:highlight w:val="none"/>
        </w:rPr>
        <w:t xml:space="preserve">二、</w:t>
      </w:r>
      <w:bookmarkStart w:id="319" w:name="_Hlk131928370"/>
      <w:r>
        <w:rPr>
          <w:rFonts w:hint="eastAsia" w:ascii="黑体" w:hAnsi="宋体" w:eastAsia="黑体"/>
          <w:bCs/>
          <w:color w:val="auto"/>
          <w:sz w:val="28"/>
          <w:szCs w:val="28"/>
          <w:highlight w:val="none"/>
        </w:rPr>
        <w:t xml:space="preserve">开标一览表</w:t>
      </w:r>
      <w:bookmarkEnd w:id="319"/>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rPr>
          <w:rFonts w:ascii="黑体" w:hAnsi="黑体" w:eastAsia="黑体"/>
          <w:color w:val="auto"/>
          <w:sz w:val="28"/>
          <w:szCs w:val="28"/>
          <w:highlight w:val="none"/>
        </w:rPr>
      </w:pPr>
      <w:r/>
      <w:bookmarkStart w:id="320" w:name="_Toc32423"/>
      <w:r/>
      <w:bookmarkStart w:id="321" w:name="OLE_LINK4"/>
      <w:r/>
      <w:bookmarkStart w:id="322" w:name="_Toc4946"/>
      <w:r>
        <w:rPr>
          <w:rFonts w:hint="eastAsia" w:ascii="黑体" w:eastAsia="黑体"/>
          <w:bCs/>
          <w:color w:val="auto"/>
          <w:sz w:val="28"/>
          <w:szCs w:val="28"/>
          <w:highlight w:val="none"/>
        </w:rPr>
        <w:t xml:space="preserve">开标一览表</w:t>
      </w:r>
      <w:bookmarkEnd w:id="320"/>
      <w:r/>
      <w:bookmarkEnd w:id="321"/>
      <w:r/>
      <w:r/>
    </w:p>
    <w:p>
      <w:pPr>
        <w:ind w:firstLine="480"/>
        <w:jc w:val="left"/>
        <w:spacing w:line="480" w:lineRule="auto"/>
        <w:rPr>
          <w:rFonts w:ascii="宋体" w:hAnsi="宋体"/>
          <w:bCs/>
          <w:color w:val="auto"/>
          <w:sz w:val="24"/>
          <w:szCs w:val="24"/>
          <w:highlight w:val="none"/>
        </w:rPr>
      </w:pPr>
      <w:r/>
      <w:bookmarkStart w:id="323"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JSZC-320282-XDFH-G2026-0006</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323"/>
      <w:r/>
      <w:r/>
    </w:p>
    <w:p>
      <w:pPr>
        <w:ind w:left="1"/>
        <w:jc w:val="center"/>
        <w:rPr>
          <w:rFonts w:ascii="宋体" w:hAnsi="宋体"/>
          <w:color w:val="auto"/>
          <w:sz w:val="24"/>
          <w:szCs w:val="24"/>
          <w:highlight w:val="none"/>
        </w:rPr>
      </w:pPr>
      <w:r>
        <w:rPr>
          <w:rFonts w:ascii="宋体" w:hAnsi="宋体"/>
          <w:color w:val="auto"/>
          <w:sz w:val="24"/>
          <w:szCs w:val="24"/>
          <w:highlight w:val="none"/>
        </w:rPr>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93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42"/>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942"/>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942"/>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942"/>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2026年宜兴市环境空气质量改善服务项目</w:t>
            </w:r>
            <w:r/>
          </w:p>
        </w:tc>
        <w:tc>
          <w:tcPr>
            <w:tcW w:w="2733" w:type="dxa"/>
            <w:vAlign w:val="center"/>
            <w:textDirection w:val="lrTb"/>
            <w:noWrap w:val="false"/>
          </w:tcPr>
          <w:p>
            <w:pPr>
              <w:pStyle w:val="942"/>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942"/>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942"/>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942"/>
              <w:jc w:val="center"/>
              <w:widowControl/>
              <w:rPr>
                <w:rFonts w:ascii="宋体" w:hAnsi="宋体" w:cs="Segoe UI"/>
                <w:color w:val="auto"/>
                <w:sz w:val="27"/>
                <w:szCs w:val="27"/>
                <w:highlight w:val="none"/>
              </w:rPr>
            </w:pPr>
            <w:r>
              <w:rPr>
                <w:rFonts w:ascii="宋体" w:hAnsi="宋体" w:cs="Segoe UI"/>
                <w:color w:val="auto"/>
                <w:sz w:val="27"/>
                <w:szCs w:val="27"/>
                <w:highlight w:val="none"/>
              </w:rPr>
            </w:r>
            <w:r/>
          </w:p>
        </w:tc>
      </w:tr>
    </w:tbl>
    <w:p>
      <w:pPr>
        <w:pStyle w:val="934"/>
        <w:rPr>
          <w:rFonts w:ascii="宋体" w:hAnsi="宋体"/>
          <w:color w:val="auto"/>
          <w:sz w:val="28"/>
          <w:szCs w:val="28"/>
          <w:highlight w:val="none"/>
        </w:rPr>
      </w:pPr>
      <w:r>
        <w:rPr>
          <w:rFonts w:ascii="宋体" w:hAnsi="宋体"/>
          <w:color w:val="auto"/>
          <w:sz w:val="28"/>
          <w:szCs w:val="28"/>
          <w:highlight w:val="none"/>
        </w:rPr>
      </w:r>
      <w:r/>
    </w:p>
    <w:p>
      <w:pPr>
        <w:pStyle w:val="942"/>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33"/>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322"/>
      <w:r/>
      <w:bookmarkStart w:id="324" w:name="_Hlk151458994"/>
      <w:r/>
      <w:bookmarkEnd w:id="324"/>
      <w:r/>
      <w:r/>
    </w:p>
    <w:p>
      <w:pPr>
        <w:pStyle w:val="959"/>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317"/>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318"/>
      <w:r/>
      <w:r/>
    </w:p>
    <w:p>
      <w:pPr>
        <w:jc w:val="center"/>
        <w:rPr>
          <w:rFonts w:ascii="黑体" w:eastAsia="黑体"/>
          <w:bCs/>
          <w:color w:val="auto"/>
          <w:sz w:val="32"/>
          <w:highlight w:val="none"/>
        </w:rPr>
      </w:pPr>
      <w:r/>
      <w:bookmarkStart w:id="325" w:name="报价方关于资格的声明函（格式）"/>
      <w:r/>
      <w:bookmarkEnd w:id="325"/>
      <w:r/>
      <w:bookmarkStart w:id="326" w:name="_Toc24943"/>
      <w:r>
        <w:rPr>
          <w:rFonts w:hint="eastAsia" w:ascii="黑体" w:eastAsia="黑体"/>
          <w:bCs/>
          <w:color w:val="auto"/>
          <w:sz w:val="28"/>
          <w:szCs w:val="28"/>
          <w:highlight w:val="none"/>
        </w:rPr>
        <w:t xml:space="preserve">关于资格的声明函</w:t>
      </w:r>
      <w:bookmarkEnd w:id="326"/>
      <w:r/>
      <w:r/>
    </w:p>
    <w:p>
      <w:pPr>
        <w:jc w:val="center"/>
        <w:spacing w:line="480" w:lineRule="auto"/>
        <w:rPr>
          <w:rFonts w:ascii="宋体"/>
          <w:bCs/>
          <w:color w:val="auto"/>
          <w:sz w:val="24"/>
          <w:szCs w:val="24"/>
          <w:highlight w:val="none"/>
        </w:rPr>
      </w:pPr>
      <w:r/>
      <w:bookmarkStart w:id="327"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无锡市宜兴生态环境局：</w:t>
      </w:r>
      <w:bookmarkEnd w:id="327"/>
      <w:r/>
      <w:r/>
    </w:p>
    <w:p>
      <w:pPr>
        <w:ind w:firstLine="480"/>
        <w:jc w:val="left"/>
        <w:spacing w:line="480" w:lineRule="auto"/>
        <w:rPr>
          <w:rFonts w:ascii="宋体"/>
          <w:bCs/>
          <w:color w:val="auto"/>
          <w:sz w:val="24"/>
          <w:szCs w:val="24"/>
          <w:highlight w:val="none"/>
        </w:rPr>
      </w:pPr>
      <w:r/>
      <w:bookmarkStart w:id="328" w:name="OLE_LINK243"/>
      <w:r>
        <w:rPr>
          <w:rFonts w:hint="eastAsia" w:ascii="宋体" w:hAnsi="宋体"/>
          <w:bCs/>
          <w:color w:val="auto"/>
          <w:sz w:val="24"/>
          <w:szCs w:val="24"/>
          <w:highlight w:val="none"/>
        </w:rPr>
        <w:t xml:space="preserve">我公司</w:t>
      </w:r>
      <w:r>
        <w:rPr>
          <w:rFonts w:hint="eastAsia" w:ascii="宋体" w:hAnsi="宋体"/>
          <w:bCs/>
          <w:color w:val="auto"/>
          <w:sz w:val="24"/>
          <w:szCs w:val="24"/>
          <w:highlight w:val="none"/>
        </w:rPr>
        <w:t xml:space="preserve">（单位、联合体）</w:t>
      </w:r>
      <w:r>
        <w:rPr>
          <w:rFonts w:hint="eastAsia" w:ascii="宋体" w:hAnsi="宋体"/>
          <w:bCs/>
          <w:color w:val="auto"/>
          <w:sz w:val="24"/>
          <w:szCs w:val="24"/>
          <w:highlight w:val="none"/>
        </w:rPr>
        <w:t xml:space="preserve">参加贵单位本项目</w:t>
      </w:r>
      <w:bookmarkStart w:id="329"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JSZC-320282-XDFH-G2026-0006</w:t>
      </w:r>
      <w:r>
        <w:rPr>
          <w:rFonts w:hint="eastAsia" w:ascii="宋体" w:hAnsi="宋体"/>
          <w:bCs/>
          <w:color w:val="auto"/>
          <w:sz w:val="24"/>
          <w:szCs w:val="24"/>
          <w:highlight w:val="none"/>
        </w:rPr>
        <w:t xml:space="preserve">）</w:t>
      </w:r>
      <w:bookmarkEnd w:id="329"/>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bookmarkStart w:id="330" w:name="OLE_LINK242"/>
      <w:r>
        <w:rPr>
          <w:rFonts w:hint="eastAsia" w:ascii="宋体" w:hAnsi="宋体" w:cs="宋体"/>
          <w:color w:val="auto"/>
          <w:sz w:val="24"/>
          <w:szCs w:val="24"/>
          <w:highlight w:val="none"/>
        </w:rPr>
        <w:t xml:space="preserve">有效期限</w:t>
      </w:r>
      <w:bookmarkEnd w:id="330"/>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w:t>
      </w:r>
      <w:r>
        <w:rPr>
          <w:rFonts w:hint="eastAsia" w:ascii="宋体" w:hAnsi="宋体" w:cs="宋体"/>
          <w:color w:val="auto"/>
          <w:sz w:val="24"/>
          <w:szCs w:val="24"/>
          <w:highlight w:val="none"/>
        </w:rPr>
        <w:t xml:space="preserve">重大税收非法失信主体</w:t>
      </w:r>
      <w:r>
        <w:rPr>
          <w:rFonts w:ascii="宋体" w:hAnsi="宋体" w:cs="宋体"/>
          <w:color w:val="auto"/>
          <w:sz w:val="24"/>
          <w:szCs w:val="24"/>
          <w:highlight w:val="none"/>
        </w:rPr>
        <w:t xml:space="preserve">；</w:t>
      </w:r>
      <w:r>
        <w:rPr>
          <w:rFonts w:hint="eastAsia" w:ascii="宋体" w:hAnsi="宋体"/>
          <w:bCs/>
          <w:color w:val="auto"/>
          <w:sz w:val="24"/>
          <w:szCs w:val="24"/>
          <w:highlight w:val="none"/>
        </w:rPr>
        <w:t xml:space="preserve">且具备履行合同所必需的设备和专业技术能力。</w:t>
      </w:r>
      <w:bookmarkEnd w:id="328"/>
      <w:r>
        <w:rPr>
          <w:rFonts w:hint="eastAsia" w:ascii="宋体" w:hAnsi="宋体"/>
          <w:bCs/>
          <w:color w:val="auto"/>
          <w:sz w:val="24"/>
          <w:szCs w:val="24"/>
          <w:highlight w:val="none"/>
        </w:rPr>
        <w:t xml:space="preserve">我公司</w:t>
      </w:r>
      <w:r>
        <w:rPr>
          <w:rFonts w:hint="eastAsia" w:ascii="宋体" w:hAnsi="宋体"/>
          <w:bCs/>
          <w:color w:val="auto"/>
          <w:sz w:val="24"/>
          <w:szCs w:val="24"/>
          <w:highlight w:val="none"/>
        </w:rPr>
        <w:t xml:space="preserve">（单位、联合体）</w:t>
      </w:r>
      <w:r>
        <w:rPr>
          <w:rFonts w:hint="eastAsia" w:ascii="宋体" w:hAnsi="宋体"/>
          <w:bCs/>
          <w:color w:val="auto"/>
          <w:sz w:val="24"/>
          <w:szCs w:val="24"/>
          <w:highlight w:val="none"/>
        </w:rPr>
        <w:t xml:space="preserve">愿针对本次项目进行投标，投标文件中所有关于投标资格的文件、证明、陈述均是真实的、准确的。若有违背，我公司</w:t>
      </w:r>
      <w:r>
        <w:rPr>
          <w:rFonts w:hint="eastAsia" w:ascii="宋体" w:hAnsi="宋体"/>
          <w:bCs/>
          <w:color w:val="auto"/>
          <w:sz w:val="24"/>
          <w:szCs w:val="24"/>
          <w:highlight w:val="none"/>
        </w:rPr>
        <w:t xml:space="preserve">（单位、联合体）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bookmarkStart w:id="331"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331"/>
      <w:r/>
      <w:r/>
    </w:p>
    <w:p>
      <w:pPr>
        <w:jc w:val="center"/>
        <w:spacing w:line="360" w:lineRule="auto"/>
        <w:rPr>
          <w:rFonts w:ascii="黑体" w:eastAsia="黑体"/>
          <w:bCs/>
          <w:color w:val="auto"/>
          <w:sz w:val="28"/>
          <w:szCs w:val="28"/>
          <w:highlight w:val="none"/>
        </w:rPr>
      </w:pPr>
      <w:r/>
      <w:bookmarkStart w:id="332" w:name="OLE_LINK36"/>
      <w:r/>
      <w:bookmarkStart w:id="333"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332"/>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934"/>
        <w:rPr>
          <w:color w:val="auto"/>
          <w:highlight w:val="none"/>
        </w:rPr>
      </w:pPr>
      <w:r>
        <w:rPr>
          <w:color w:val="auto"/>
          <w:highlight w:val="none"/>
        </w:rPr>
      </w:r>
      <w:r/>
    </w:p>
    <w:p>
      <w:pPr>
        <w:pStyle w:val="943"/>
        <w:rPr>
          <w:color w:val="auto"/>
          <w:highlight w:val="none"/>
        </w:rPr>
      </w:pPr>
      <w:r>
        <w:rPr>
          <w:color w:val="auto"/>
          <w:highlight w:val="none"/>
        </w:rPr>
      </w:r>
      <w:r/>
    </w:p>
    <w:p>
      <w:pPr>
        <w:pStyle w:val="943"/>
        <w:rPr>
          <w:color w:val="auto"/>
          <w:highlight w:val="none"/>
        </w:rPr>
      </w:pPr>
      <w:r>
        <w:rPr>
          <w:color w:val="auto"/>
          <w:highlight w:val="none"/>
        </w:rPr>
      </w:r>
      <w:r/>
    </w:p>
    <w:p>
      <w:pPr>
        <w:rPr>
          <w:rFonts w:ascii="黑体" w:hAnsi="宋体" w:eastAsia="黑体"/>
          <w:bCs/>
          <w:color w:val="auto"/>
          <w:sz w:val="24"/>
          <w:szCs w:val="24"/>
          <w:highlight w:val="none"/>
        </w:rPr>
      </w:pPr>
      <w:r/>
      <w:bookmarkStart w:id="334"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334"/>
      <w:r/>
      <w:r/>
    </w:p>
    <w:p>
      <w:pPr>
        <w:pStyle w:val="943"/>
        <w:rPr>
          <w:color w:val="auto"/>
          <w:highlight w:val="none"/>
        </w:rPr>
      </w:pPr>
      <w:r>
        <w:rPr>
          <w:color w:val="auto"/>
          <w:highlight w:val="none"/>
        </w:rPr>
      </w:r>
      <w:bookmarkEnd w:id="333"/>
      <w:r/>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spacing w:line="360" w:lineRule="auto"/>
        <w:tabs>
          <w:tab w:val="left" w:pos="255" w:leader="none"/>
        </w:tabs>
        <w:rPr>
          <w:rFonts w:ascii="宋体" w:hAnsi="宋体"/>
          <w:color w:val="auto"/>
          <w:sz w:val="24"/>
          <w:szCs w:val="21"/>
          <w:highlight w:val="none"/>
          <w:lang w:val="zh-CN"/>
        </w:rPr>
      </w:pPr>
      <w:r/>
      <w:bookmarkStart w:id="335" w:name="OLE_LINK186"/>
      <w:r>
        <w:rPr>
          <w:rFonts w:hint="eastAsia" w:ascii="宋体" w:hAnsi="宋体"/>
          <w:bCs/>
          <w:color w:val="auto"/>
          <w:sz w:val="24"/>
          <w:highlight w:val="none"/>
          <w:lang w:val="zh-CN"/>
        </w:rPr>
        <w:t xml:space="preserve">无锡市宜兴生态环境局、</w:t>
      </w:r>
      <w:bookmarkEnd w:id="335"/>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系中华人民共和国合法企业</w:t>
      </w:r>
      <w:bookmarkStart w:id="336" w:name="_Hlk144476360"/>
      <w:r>
        <w:rPr>
          <w:rFonts w:hint="eastAsia" w:ascii="宋体" w:hAnsi="宋体"/>
          <w:color w:val="auto"/>
          <w:sz w:val="24"/>
          <w:szCs w:val="21"/>
          <w:highlight w:val="none"/>
          <w:lang w:val="zh-CN"/>
        </w:rPr>
        <w:t xml:space="preserve">，法定地址：，</w:t>
      </w:r>
      <w:bookmarkEnd w:id="336"/>
      <w:r>
        <w:rPr>
          <w:rFonts w:hint="eastAsia" w:ascii="宋体" w:hAnsi="宋体"/>
          <w:color w:val="auto"/>
          <w:sz w:val="24"/>
          <w:szCs w:val="21"/>
          <w:highlight w:val="none"/>
          <w:lang w:val="zh-CN"/>
        </w:rPr>
        <w:t xml:space="preserve">特授权代表我公司（单位）全权办理针对本项目（项目编号：JSZC-320282-XDFH-G2026-0006）的投标，以我方名义签署、确认、澄清、提交、撤回、修改相关文件和处理投标活动有关事宜，其法律后果由我方承担。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firstLine="840"/>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943"/>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无锡市宜兴生态环境局</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2026年宜兴市环境空气质量改善服务项目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tbl>
      <w:tblPr>
        <w:tblStyle w:val="932"/>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2026年宜兴市环境空气质量改善服务项目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其他未列明行业</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bCs/>
          <w:color w:val="auto"/>
          <w:szCs w:val="21"/>
          <w:highlight w:val="none"/>
        </w:rPr>
        <w:t xml:space="preserve">其他未列明行业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无锡市宜兴生态环境局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2026年宜兴市环境空气质量改善服务项目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934"/>
        <w:rPr>
          <w:color w:val="auto"/>
          <w:highlight w:val="none"/>
        </w:rPr>
      </w:pPr>
      <w:r>
        <w:rPr>
          <w:color w:val="auto"/>
          <w:highlight w:val="none"/>
        </w:rPr>
      </w:r>
      <w:r/>
    </w:p>
    <w:p>
      <w:pPr>
        <w:pStyle w:val="943"/>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934"/>
        <w:rPr>
          <w:color w:val="auto"/>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pStyle w:val="943"/>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line="360" w:lineRule="auto"/>
        <w:tabs>
          <w:tab w:val="left" w:pos="255" w:leader="none"/>
        </w:tabs>
        <w:rPr>
          <w:rFonts w:ascii="宋体" w:hAnsi="宋体"/>
          <w:color w:val="auto"/>
          <w:sz w:val="24"/>
          <w:szCs w:val="21"/>
          <w:highlight w:val="none"/>
          <w:lang w:val="zh-CN"/>
        </w:rPr>
      </w:pPr>
      <w:r/>
      <w:bookmarkStart w:id="337"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38" w:name="_Hlk166058340"/>
      <w:r>
        <w:rPr>
          <w:rFonts w:hint="eastAsia" w:ascii="宋体" w:hAnsi="宋体"/>
          <w:color w:val="auto"/>
          <w:sz w:val="24"/>
          <w:szCs w:val="21"/>
          <w:highlight w:val="none"/>
          <w:lang w:val="zh-CN"/>
        </w:rPr>
        <w:t xml:space="preserve">（项目编号：JSZC-320282-XDFH-G2026-0006）</w:t>
      </w:r>
      <w:bookmarkEnd w:id="338"/>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4"/>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39"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39"/>
      <w:r/>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40" w:name="OLE_LINK82"/>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40"/>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ascii="宋体"/>
          <w:bCs/>
          <w:color w:val="auto"/>
          <w:sz w:val="24"/>
          <w:szCs w:val="24"/>
          <w:highlight w:val="none"/>
        </w:rPr>
      </w:r>
      <w:bookmarkEnd w:id="337"/>
      <w:r/>
      <w:r/>
    </w:p>
    <w:p>
      <w:pPr>
        <w:ind w:left="420" w:firstLine="480"/>
        <w:jc w:val="left"/>
        <w:spacing w:line="360" w:lineRule="auto"/>
        <w:tabs>
          <w:tab w:val="left" w:pos="255" w:leader="none"/>
        </w:tabs>
        <w:rPr>
          <w:rFonts w:ascii="宋体" w:hAnsi="宋体"/>
          <w:color w:val="auto"/>
          <w:sz w:val="24"/>
          <w:szCs w:val="21"/>
          <w:highlight w:val="none"/>
        </w:rPr>
      </w:pPr>
      <w:r/>
      <w:bookmarkStart w:id="341"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（项目编号：JSZC-320282-XDFH-G2026-0006）</w:t>
      </w:r>
      <w:r>
        <w:rPr>
          <w:rFonts w:hint="eastAsia" w:ascii="宋体" w:hAnsi="宋体" w:cs="宋体"/>
          <w:color w:val="auto"/>
          <w:sz w:val="24"/>
          <w:szCs w:val="24"/>
          <w:highlight w:val="none"/>
        </w:rPr>
        <w:t xml:space="preserve">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42" w:name="OLE_LINK203"/>
      <w:r/>
      <w:bookmarkEnd w:id="342"/>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41"/>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933"/>
        <w:rPr>
          <w:rFonts w:ascii="宋体" w:hAnsi="宋体"/>
          <w:bCs/>
          <w:color w:val="auto"/>
          <w:sz w:val="24"/>
          <w:szCs w:val="24"/>
          <w:highlight w:val="none"/>
        </w:rPr>
      </w:pPr>
      <w:r>
        <w:rPr>
          <w:rFonts w:ascii="宋体" w:hAnsi="宋体"/>
          <w:bCs/>
          <w:color w:val="auto"/>
          <w:sz w:val="24"/>
          <w:szCs w:val="24"/>
          <w:highlight w:val="none"/>
        </w:rPr>
      </w:r>
      <w:r/>
    </w:p>
    <w:p>
      <w:pPr>
        <w:pStyle w:val="933"/>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43" w:name="OLE_LINK3"/>
      <w:r>
        <w:rPr>
          <w:rFonts w:hint="eastAsia" w:ascii="黑体" w:hAnsi="黑体" w:eastAsia="黑体"/>
          <w:color w:val="auto"/>
          <w:sz w:val="28"/>
          <w:szCs w:val="28"/>
          <w:highlight w:val="none"/>
        </w:rPr>
        <w:t xml:space="preserve">明细报价表</w:t>
      </w:r>
      <w:bookmarkEnd w:id="343"/>
      <w:r/>
      <w:r/>
    </w:p>
    <w:p>
      <w:pPr>
        <w:rPr>
          <w:rFonts w:ascii="宋体" w:hAnsi="宋体"/>
          <w:color w:val="auto"/>
          <w:sz w:val="24"/>
          <w:szCs w:val="24"/>
          <w:highlight w:val="none"/>
        </w:rPr>
      </w:pPr>
      <w:r>
        <w:rPr>
          <w:rFonts w:hint="eastAsia" w:ascii="宋体" w:hAnsi="宋体"/>
          <w:color w:val="auto"/>
          <w:sz w:val="24"/>
          <w:szCs w:val="24"/>
          <w:highlight w:val="none"/>
        </w:rPr>
        <w:t xml:space="preserve">项目名称：2026年宜兴市环境空气质量改善服务项目</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JSZC-320282-XDFH-G2026-0006</w:t>
      </w:r>
      <w:r/>
    </w:p>
    <w:p>
      <w:pPr>
        <w:jc w:val="center"/>
        <w:rPr>
          <w:rFonts w:ascii="宋体" w:hAnsi="宋体"/>
          <w:color w:val="auto"/>
          <w:sz w:val="28"/>
          <w:szCs w:val="28"/>
          <w:highlight w:val="none"/>
        </w:rPr>
      </w:pPr>
      <w:r>
        <w:rPr>
          <w:rFonts w:ascii="宋体" w:hAnsi="宋体"/>
          <w:color w:val="auto"/>
          <w:sz w:val="28"/>
          <w:szCs w:val="28"/>
          <w:highlight w:val="none"/>
        </w:rPr>
      </w:r>
      <w:r/>
    </w:p>
    <w:tbl>
      <w:tblPr>
        <w:tblStyle w:val="93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44"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bookmarkEnd w:id="344"/>
      <w:r/>
      <w:r/>
    </w:p>
    <w:p>
      <w:pPr>
        <w:spacing w:line="360" w:lineRule="auto"/>
        <w:rPr>
          <w:rFonts w:ascii="宋体" w:hAnsi="宋体"/>
          <w:bCs/>
          <w:color w:val="auto"/>
          <w:sz w:val="24"/>
          <w:highlight w:val="none"/>
        </w:rPr>
      </w:pPr>
      <w:r/>
      <w:bookmarkStart w:id="345"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46"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47" w:name="_Hlk160008571"/>
      <w:r/>
      <w:bookmarkStart w:id="348" w:name="_Hlk160009870"/>
      <w:r>
        <w:rPr>
          <w:rFonts w:hint="eastAsia" w:ascii="宋体" w:hAnsi="宋体"/>
          <w:bCs/>
          <w:color w:val="auto"/>
          <w:szCs w:val="21"/>
          <w:highlight w:val="none"/>
        </w:rPr>
        <w:t xml:space="preserve">；</w:t>
      </w:r>
      <w:bookmarkEnd w:id="347"/>
      <w:r>
        <w:rPr>
          <w:rFonts w:hint="eastAsia" w:ascii="宋体" w:hAnsi="宋体"/>
          <w:bCs/>
          <w:color w:val="auto"/>
          <w:szCs w:val="21"/>
          <w:highlight w:val="none"/>
        </w:rPr>
        <w:t xml:space="preserve">如本表单价计算的结果与总价不一致，以单价为准修正总价。</w:t>
      </w:r>
      <w:bookmarkEnd w:id="348"/>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45"/>
      <w:r/>
      <w:bookmarkEnd w:id="346"/>
      <w:r>
        <w:rPr>
          <w:rFonts w:hint="eastAsia" w:ascii="黑体" w:hAnsi="黑体" w:eastAsia="黑体"/>
          <w:color w:val="auto"/>
          <w:sz w:val="28"/>
          <w:szCs w:val="28"/>
          <w:highlight w:val="none"/>
        </w:rPr>
        <w:t xml:space="preserve">九、投标函（给定格式）：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致无锡市宜兴生态环境局、江苏希地丰华项目管理集团有限公司：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我方收到你们本项目（项目编号：JSZC-320282-XDFH-G2026-0006）招标文件，经仔细阅读和研究，我方决定参加投标。</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49" w:name="_Hlk131935611"/>
      <w:r>
        <w:rPr>
          <w:rFonts w:hint="eastAsia" w:ascii="宋体" w:hAnsi="宋体"/>
          <w:bCs/>
          <w:color w:val="auto"/>
          <w:sz w:val="24"/>
          <w:highlight w:val="none"/>
          <w:lang w:val="zh-CN"/>
        </w:rPr>
        <w:t xml:space="preserve">《项目技术要求偏离表》</w:t>
      </w:r>
      <w:bookmarkEnd w:id="349"/>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bookmarkStart w:id="350" w:name="_Hlk160091472"/>
      <w:r/>
      <w:bookmarkStart w:id="351"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50"/>
      <w:r>
        <w:rPr>
          <w:rFonts w:hint="eastAsia" w:ascii="宋体" w:hAnsi="宋体"/>
          <w:bCs/>
          <w:color w:val="auto"/>
          <w:sz w:val="24"/>
          <w:highlight w:val="none"/>
          <w:lang w:val="zh-CN"/>
        </w:rPr>
        <w:t xml:space="preserve">。</w:t>
      </w:r>
      <w:bookmarkEnd w:id="351"/>
      <w:r/>
      <w:r/>
    </w:p>
    <w:p>
      <w:pPr>
        <w:numPr>
          <w:ilvl w:val="0"/>
          <w:numId w:val="15"/>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52"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52"/>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5"/>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932"/>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932"/>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bookmarkEnd w:id="312"/>
      <w:r/>
      <w:r/>
    </w:p>
    <w:p>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项目名称：2026年宜兴市环境空气质量改善服务项目</w:t>
      </w:r>
      <w:r/>
    </w:p>
    <w:p>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JSZC-320282-XDFH-G2026-0006</w:t>
      </w:r>
      <w:r/>
    </w:p>
    <w:tbl>
      <w:tblPr>
        <w:tblStyle w:val="93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项目名称：2026年宜兴市环境空气质量改善服务项目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JSZC-320282-XDFH-G2026-0006</w:t>
      </w:r>
      <w:r/>
    </w:p>
    <w:tbl>
      <w:tblPr>
        <w:tblStyle w:val="93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53"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bookmarkEnd w:id="353"/>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54" w:name="_Hlk164083408"/>
      <w:r>
        <w:rPr>
          <w:rFonts w:hint="eastAsia" w:ascii="宋体" w:hAnsi="宋体"/>
          <w:b/>
          <w:bCs/>
          <w:color w:val="auto"/>
          <w:highlight w:val="none"/>
        </w:rPr>
        <w:t xml:space="preserve">应按招标文件要求配备项目人员及提供相关证明材料，以满足项目的</w:t>
      </w:r>
      <w:bookmarkEnd w:id="354"/>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934"/>
        <w:rPr>
          <w:color w:val="auto"/>
          <w:highlight w:val="none"/>
        </w:rPr>
      </w:pPr>
      <w:r>
        <w:rPr>
          <w:color w:val="auto"/>
          <w:highlight w:val="none"/>
        </w:rPr>
      </w:r>
      <w:r/>
    </w:p>
    <w:p>
      <w:pPr>
        <w:pStyle w:val="943"/>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943"/>
        <w:jc w:val="right"/>
        <w:rPr>
          <w:color w:val="auto"/>
          <w:highlight w:val="none"/>
        </w:rPr>
      </w:pPr>
      <w:r>
        <w:rPr>
          <w:color w:val="auto"/>
          <w:highlight w:val="none"/>
        </w:rPr>
      </w:r>
      <w:r/>
    </w:p>
    <w:p>
      <w:pPr>
        <w:pStyle w:val="943"/>
        <w:jc w:val="right"/>
        <w:rPr>
          <w:color w:val="auto"/>
          <w:highlight w:val="none"/>
        </w:rPr>
      </w:pPr>
      <w:r>
        <w:rPr>
          <w:color w:val="auto"/>
          <w:highlight w:val="none"/>
        </w:rPr>
      </w:r>
      <w:r/>
    </w:p>
    <w:p>
      <w:pPr>
        <w:pStyle w:val="943"/>
        <w:jc w:val="right"/>
        <w:rPr>
          <w:color w:val="auto"/>
          <w:highlight w:val="none"/>
        </w:rPr>
      </w:pPr>
      <w:r>
        <w:rPr>
          <w:color w:val="auto"/>
          <w:highlight w:val="none"/>
        </w:rPr>
      </w:r>
      <w:r/>
    </w:p>
    <w:p>
      <w:pPr>
        <w:pStyle w:val="943"/>
        <w:jc w:val="right"/>
        <w:rPr>
          <w:color w:val="auto"/>
          <w:highlight w:val="none"/>
        </w:rPr>
      </w:pPr>
      <w:r>
        <w:rPr>
          <w:color w:val="auto"/>
          <w:highlight w:val="none"/>
        </w:rPr>
      </w:r>
      <w:bookmarkEnd w:id="313"/>
      <w:r/>
      <w:r/>
    </w:p>
    <w:p>
      <w:pPr>
        <w:jc w:val="left"/>
        <w:spacing w:line="560" w:lineRule="exact"/>
        <w:rPr>
          <w:rFonts w:ascii="宋体" w:hAnsi="宋体"/>
          <w:color w:val="auto"/>
          <w:highlight w:val="none"/>
        </w:rPr>
      </w:pPr>
      <w:r>
        <w:rPr>
          <w:rFonts w:ascii="宋体" w:hAnsi="宋体"/>
          <w:color w:val="auto"/>
          <w:highlight w:val="none"/>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rPr>
        <w:rFonts w:ascii="楷体_GB2312" w:eastAsia="楷体_GB2312"/>
        <w:sz w:val="24"/>
        <w:szCs w:val="24"/>
      </w:rPr>
    </w:pPr>
    <w:r>
      <w:rPr>
        <w:rFonts w:hint="eastAsia" w:ascii="楷体_GB2312" w:eastAsia="楷体_GB2312"/>
        <w:sz w:val="24"/>
        <w:szCs w:val="24"/>
      </w:rPr>
      <w:t xml:space="preserve">江苏希地丰华项目管理集团有限公司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1"/>
  </w:num>
  <w:num w:numId="3">
    <w:abstractNumId w:val="10"/>
  </w:num>
  <w:num w:numId="4">
    <w:abstractNumId w:val="9"/>
  </w:num>
  <w:num w:numId="5">
    <w:abstractNumId w:val="3"/>
  </w:num>
  <w:num w:numId="6">
    <w:abstractNumId w:val="7"/>
  </w:num>
  <w:num w:numId="7">
    <w:abstractNumId w:val="13"/>
  </w:num>
  <w:num w:numId="8">
    <w:abstractNumId w:val="1"/>
  </w:num>
  <w:num w:numId="9">
    <w:abstractNumId w:val="8"/>
  </w:num>
  <w:num w:numId="10">
    <w:abstractNumId w:val="5"/>
  </w:num>
  <w:num w:numId="11">
    <w:abstractNumId w:val="14"/>
  </w:num>
  <w:num w:numId="12">
    <w:abstractNumId w:val="0"/>
  </w:num>
  <w:num w:numId="13">
    <w:abstractNumId w:val="2"/>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31"/>
    <w:link w:val="929"/>
    <w:uiPriority w:val="9"/>
    <w:rPr>
      <w:rFonts w:ascii="Arial" w:hAnsi="Arial" w:eastAsia="Arial" w:cs="Arial"/>
      <w:sz w:val="40"/>
      <w:szCs w:val="40"/>
    </w:rPr>
  </w:style>
  <w:style w:type="character" w:styleId="759">
    <w:name w:val="Heading 2 Char"/>
    <w:basedOn w:val="931"/>
    <w:link w:val="930"/>
    <w:uiPriority w:val="9"/>
    <w:rPr>
      <w:rFonts w:ascii="Arial" w:hAnsi="Arial" w:eastAsia="Arial" w:cs="Arial"/>
      <w:sz w:val="34"/>
    </w:rPr>
  </w:style>
  <w:style w:type="paragraph" w:styleId="760">
    <w:name w:val="Heading 3"/>
    <w:basedOn w:val="928"/>
    <w:next w:val="928"/>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basedOn w:val="931"/>
    <w:link w:val="760"/>
    <w:uiPriority w:val="9"/>
    <w:rPr>
      <w:rFonts w:ascii="Arial" w:hAnsi="Arial" w:eastAsia="Arial" w:cs="Arial"/>
      <w:sz w:val="30"/>
      <w:szCs w:val="30"/>
    </w:rPr>
  </w:style>
  <w:style w:type="paragraph" w:styleId="762">
    <w:name w:val="Heading 4"/>
    <w:basedOn w:val="928"/>
    <w:next w:val="928"/>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basedOn w:val="931"/>
    <w:link w:val="762"/>
    <w:uiPriority w:val="9"/>
    <w:rPr>
      <w:rFonts w:ascii="Arial" w:hAnsi="Arial" w:eastAsia="Arial" w:cs="Arial"/>
      <w:b/>
      <w:bCs/>
      <w:sz w:val="26"/>
      <w:szCs w:val="26"/>
    </w:rPr>
  </w:style>
  <w:style w:type="paragraph" w:styleId="764">
    <w:name w:val="Heading 5"/>
    <w:basedOn w:val="928"/>
    <w:next w:val="928"/>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931"/>
    <w:link w:val="764"/>
    <w:uiPriority w:val="9"/>
    <w:rPr>
      <w:rFonts w:ascii="Arial" w:hAnsi="Arial" w:eastAsia="Arial" w:cs="Arial"/>
      <w:b/>
      <w:bCs/>
      <w:sz w:val="24"/>
      <w:szCs w:val="24"/>
    </w:rPr>
  </w:style>
  <w:style w:type="paragraph" w:styleId="766">
    <w:name w:val="Heading 6"/>
    <w:basedOn w:val="928"/>
    <w:next w:val="928"/>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931"/>
    <w:link w:val="766"/>
    <w:uiPriority w:val="9"/>
    <w:rPr>
      <w:rFonts w:ascii="Arial" w:hAnsi="Arial" w:eastAsia="Arial" w:cs="Arial"/>
      <w:b/>
      <w:bCs/>
      <w:sz w:val="22"/>
      <w:szCs w:val="22"/>
    </w:rPr>
  </w:style>
  <w:style w:type="paragraph" w:styleId="768">
    <w:name w:val="Heading 7"/>
    <w:basedOn w:val="928"/>
    <w:next w:val="928"/>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1"/>
    <w:link w:val="768"/>
    <w:uiPriority w:val="9"/>
    <w:rPr>
      <w:rFonts w:ascii="Arial" w:hAnsi="Arial" w:eastAsia="Arial" w:cs="Arial"/>
      <w:b/>
      <w:bCs/>
      <w:i/>
      <w:iCs/>
      <w:sz w:val="22"/>
      <w:szCs w:val="22"/>
    </w:rPr>
  </w:style>
  <w:style w:type="paragraph" w:styleId="770">
    <w:name w:val="Heading 8"/>
    <w:basedOn w:val="928"/>
    <w:next w:val="928"/>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1"/>
    <w:link w:val="770"/>
    <w:uiPriority w:val="9"/>
    <w:rPr>
      <w:rFonts w:ascii="Arial" w:hAnsi="Arial" w:eastAsia="Arial" w:cs="Arial"/>
      <w:i/>
      <w:iCs/>
      <w:sz w:val="22"/>
      <w:szCs w:val="22"/>
    </w:rPr>
  </w:style>
  <w:style w:type="paragraph" w:styleId="772">
    <w:name w:val="Heading 9"/>
    <w:basedOn w:val="928"/>
    <w:next w:val="928"/>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1"/>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8"/>
    <w:next w:val="928"/>
    <w:link w:val="776"/>
    <w:uiPriority w:val="10"/>
    <w:qFormat/>
    <w:pPr>
      <w:contextualSpacing/>
      <w:spacing w:before="300" w:after="200"/>
    </w:pPr>
    <w:rPr>
      <w:sz w:val="48"/>
      <w:szCs w:val="48"/>
    </w:rPr>
  </w:style>
  <w:style w:type="character" w:styleId="776">
    <w:name w:val="Title Char"/>
    <w:basedOn w:val="931"/>
    <w:link w:val="775"/>
    <w:uiPriority w:val="10"/>
    <w:rPr>
      <w:sz w:val="48"/>
      <w:szCs w:val="48"/>
    </w:rPr>
  </w:style>
  <w:style w:type="paragraph" w:styleId="777">
    <w:name w:val="Subtitle"/>
    <w:basedOn w:val="928"/>
    <w:next w:val="928"/>
    <w:link w:val="778"/>
    <w:uiPriority w:val="11"/>
    <w:qFormat/>
    <w:pPr>
      <w:spacing w:before="200" w:after="200"/>
    </w:pPr>
    <w:rPr>
      <w:sz w:val="24"/>
      <w:szCs w:val="24"/>
    </w:rPr>
  </w:style>
  <w:style w:type="character" w:styleId="778">
    <w:name w:val="Subtitle Char"/>
    <w:basedOn w:val="931"/>
    <w:link w:val="777"/>
    <w:uiPriority w:val="11"/>
    <w:rPr>
      <w:sz w:val="24"/>
      <w:szCs w:val="24"/>
    </w:rPr>
  </w:style>
  <w:style w:type="paragraph" w:styleId="779">
    <w:name w:val="Quote"/>
    <w:basedOn w:val="928"/>
    <w:next w:val="928"/>
    <w:link w:val="780"/>
    <w:uiPriority w:val="29"/>
    <w:qFormat/>
    <w:pPr>
      <w:ind w:left="720" w:right="720"/>
    </w:pPr>
    <w:rPr>
      <w:i/>
    </w:rPr>
  </w:style>
  <w:style w:type="character" w:styleId="780">
    <w:name w:val="Quote Char"/>
    <w:link w:val="779"/>
    <w:uiPriority w:val="29"/>
    <w:rPr>
      <w:i/>
    </w:rPr>
  </w:style>
  <w:style w:type="paragraph" w:styleId="781">
    <w:name w:val="Intense Quote"/>
    <w:basedOn w:val="928"/>
    <w:next w:val="9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1"/>
    <w:link w:val="938"/>
    <w:uiPriority w:val="99"/>
  </w:style>
  <w:style w:type="character" w:styleId="784">
    <w:name w:val="Footer Char"/>
    <w:basedOn w:val="931"/>
    <w:link w:val="937"/>
    <w:uiPriority w:val="99"/>
  </w:style>
  <w:style w:type="paragraph" w:styleId="785">
    <w:name w:val="Caption"/>
    <w:basedOn w:val="928"/>
    <w:next w:val="928"/>
    <w:uiPriority w:val="35"/>
    <w:semiHidden/>
    <w:unhideWhenUsed/>
    <w:qFormat/>
    <w:pPr>
      <w:spacing w:line="276" w:lineRule="auto"/>
    </w:pPr>
    <w:rPr>
      <w:b/>
      <w:bCs/>
      <w:color w:val="4f81bd" w:themeColor="accent1"/>
      <w:sz w:val="18"/>
      <w:szCs w:val="18"/>
    </w:rPr>
  </w:style>
  <w:style w:type="character" w:styleId="786">
    <w:name w:val="Caption Char"/>
    <w:basedOn w:val="785"/>
    <w:link w:val="937"/>
    <w:uiPriority w:val="99"/>
  </w:style>
  <w:style w:type="table" w:styleId="787">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2">
    <w:name w:val="footnote text"/>
    <w:basedOn w:val="928"/>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1"/>
    <w:uiPriority w:val="99"/>
    <w:unhideWhenUsed/>
    <w:rPr>
      <w:vertAlign w:val="superscript"/>
    </w:rPr>
  </w:style>
  <w:style w:type="paragraph" w:styleId="915">
    <w:name w:val="endnote text"/>
    <w:basedOn w:val="928"/>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1"/>
    <w:uiPriority w:val="99"/>
    <w:semiHidden/>
    <w:unhideWhenUsed/>
    <w:rPr>
      <w:vertAlign w:val="superscript"/>
    </w:r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29">
    <w:name w:val="Heading 1"/>
    <w:basedOn w:val="928"/>
    <w:next w:val="928"/>
    <w:link w:val="952"/>
    <w:uiPriority w:val="0"/>
    <w:qFormat/>
    <w:pPr>
      <w:keepLines/>
      <w:keepNext/>
      <w:spacing w:before="340" w:after="330" w:line="578" w:lineRule="auto"/>
      <w:outlineLvl w:val="0"/>
    </w:pPr>
    <w:rPr>
      <w:b/>
      <w:bCs/>
      <w:sz w:val="44"/>
      <w:szCs w:val="44"/>
    </w:rPr>
  </w:style>
  <w:style w:type="paragraph" w:styleId="930">
    <w:name w:val="Heading 2"/>
    <w:basedOn w:val="928"/>
    <w:next w:val="928"/>
    <w:link w:val="953"/>
    <w:uiPriority w:val="0"/>
    <w:qFormat/>
    <w:pPr>
      <w:keepLines/>
      <w:keepNext/>
      <w:spacing w:line="413" w:lineRule="auto"/>
      <w:outlineLvl w:val="1"/>
    </w:pPr>
    <w:rPr>
      <w:rFonts w:ascii="Arial" w:hAnsi="Arial" w:eastAsia="黑体"/>
      <w:b/>
      <w:sz w:val="32"/>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annotation text"/>
    <w:basedOn w:val="928"/>
    <w:uiPriority w:val="0"/>
    <w:qFormat/>
    <w:pPr>
      <w:jc w:val="left"/>
    </w:pPr>
  </w:style>
  <w:style w:type="paragraph" w:styleId="934">
    <w:name w:val="Body Text"/>
    <w:basedOn w:val="928"/>
    <w:next w:val="928"/>
    <w:uiPriority w:val="0"/>
    <w:qFormat/>
    <w:rPr>
      <w:sz w:val="20"/>
    </w:rPr>
  </w:style>
  <w:style w:type="paragraph" w:styleId="935">
    <w:name w:val="Plain Text"/>
    <w:basedOn w:val="928"/>
    <w:uiPriority w:val="0"/>
    <w:qFormat/>
    <w:rPr>
      <w:rFonts w:ascii="宋体" w:hAnsi="Courier New"/>
    </w:rPr>
  </w:style>
  <w:style w:type="paragraph" w:styleId="936">
    <w:name w:val="Balloon Text"/>
    <w:basedOn w:val="928"/>
    <w:link w:val="960"/>
    <w:uiPriority w:val="0"/>
    <w:rPr>
      <w:sz w:val="18"/>
      <w:szCs w:val="18"/>
    </w:rPr>
  </w:style>
  <w:style w:type="paragraph" w:styleId="937">
    <w:name w:val="Footer"/>
    <w:basedOn w:val="928"/>
    <w:link w:val="954"/>
    <w:uiPriority w:val="99"/>
    <w:qFormat/>
    <w:pPr>
      <w:jc w:val="left"/>
      <w:tabs>
        <w:tab w:val="center" w:pos="4153" w:leader="none"/>
        <w:tab w:val="right" w:pos="8306" w:leader="none"/>
      </w:tabs>
    </w:pPr>
    <w:rPr>
      <w:sz w:val="18"/>
    </w:rPr>
  </w:style>
  <w:style w:type="paragraph" w:styleId="938">
    <w:name w:val="Header"/>
    <w:basedOn w:val="928"/>
    <w:link w:val="95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9">
    <w:name w:val="toc 1"/>
    <w:basedOn w:val="928"/>
    <w:next w:val="928"/>
    <w:uiPriority w:val="39"/>
    <w:qFormat/>
  </w:style>
  <w:style w:type="paragraph" w:styleId="940">
    <w:name w:val="Body Text Indent 3"/>
    <w:basedOn w:val="928"/>
    <w:link w:val="956"/>
    <w:uiPriority w:val="0"/>
    <w:qFormat/>
    <w:pPr>
      <w:ind w:left="420"/>
      <w:spacing w:after="120"/>
    </w:pPr>
    <w:rPr>
      <w:sz w:val="16"/>
      <w:szCs w:val="16"/>
    </w:rPr>
  </w:style>
  <w:style w:type="paragraph" w:styleId="941">
    <w:name w:val="Body Text 2"/>
    <w:basedOn w:val="928"/>
    <w:uiPriority w:val="0"/>
    <w:qFormat/>
    <w:pPr>
      <w:spacing w:line="480" w:lineRule="auto"/>
    </w:pPr>
    <w:rPr>
      <w:sz w:val="20"/>
    </w:rPr>
  </w:style>
  <w:style w:type="paragraph" w:styleId="942">
    <w:name w:val="Normal (Web)"/>
    <w:basedOn w:val="928"/>
    <w:uiPriority w:val="99"/>
    <w:qFormat/>
    <w:pPr>
      <w:jc w:val="left"/>
      <w:spacing w:before="100" w:beforeAutospacing="1" w:after="100" w:afterAutospacing="1"/>
    </w:pPr>
    <w:rPr>
      <w:sz w:val="24"/>
    </w:rPr>
  </w:style>
  <w:style w:type="paragraph" w:styleId="943">
    <w:name w:val="Body Text First Indent"/>
    <w:basedOn w:val="934"/>
    <w:uiPriority w:val="0"/>
    <w:qFormat/>
    <w:pPr>
      <w:ind w:firstLine="420"/>
      <w:spacing w:after="120"/>
      <w:tabs>
        <w:tab w:val="left" w:pos="2020" w:leader="none"/>
        <w:tab w:val="center" w:pos="4535" w:leader="none"/>
      </w:tabs>
    </w:pPr>
    <w:rPr>
      <w:sz w:val="21"/>
    </w:rPr>
  </w:style>
  <w:style w:type="table" w:styleId="944">
    <w:name w:val="Table Grid"/>
    <w:basedOn w:val="9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FollowedHyperlink"/>
    <w:uiPriority w:val="0"/>
    <w:qFormat/>
    <w:rPr>
      <w:color w:val="auto"/>
      <w:u w:val="none"/>
    </w:rPr>
  </w:style>
  <w:style w:type="character" w:styleId="946">
    <w:name w:val="Hyperlink"/>
    <w:uiPriority w:val="99"/>
    <w:unhideWhenUsed/>
    <w:qFormat/>
    <w:rPr>
      <w:color w:val="0563c1"/>
      <w:u w:val="single"/>
    </w:rPr>
  </w:style>
  <w:style w:type="paragraph" w:styleId="947" w:customStyle="1">
    <w:name w:val="普通文字"/>
    <w:basedOn w:val="928"/>
    <w:next w:val="928"/>
    <w:uiPriority w:val="0"/>
    <w:qFormat/>
    <w:rPr>
      <w:rFonts w:ascii="宋体"/>
      <w:sz w:val="24"/>
    </w:rPr>
  </w:style>
  <w:style w:type="paragraph" w:styleId="948" w:customStyle="1">
    <w:name w:val="正文缩进1"/>
    <w:basedOn w:val="928"/>
    <w:uiPriority w:val="0"/>
    <w:qFormat/>
    <w:pPr>
      <w:ind w:firstLine="420"/>
      <w:jc w:val="left"/>
    </w:pPr>
    <w:rPr>
      <w:rFonts w:ascii="宋体" w:hAnsi="Calibri"/>
      <w:sz w:val="24"/>
      <w:szCs w:val="22"/>
    </w:rPr>
  </w:style>
  <w:style w:type="paragraph" w:styleId="949" w:customStyle="1">
    <w:name w:val="索引 11"/>
    <w:basedOn w:val="928"/>
    <w:next w:val="928"/>
    <w:uiPriority w:val="0"/>
    <w:qFormat/>
    <w:pPr>
      <w:spacing w:line="360" w:lineRule="auto"/>
    </w:pPr>
    <w:rPr>
      <w:rFonts w:ascii="仿宋_GB2312" w:eastAsia="仿宋_GB2312"/>
      <w:sz w:val="24"/>
    </w:rPr>
  </w:style>
  <w:style w:type="paragraph" w:styleId="950" w:customStyle="1">
    <w:name w:val="纯文本1"/>
    <w:basedOn w:val="928"/>
    <w:uiPriority w:val="0"/>
    <w:qFormat/>
    <w:rPr>
      <w:rFonts w:ascii="宋体" w:hAnsi="Courier New"/>
      <w:szCs w:val="22"/>
    </w:rPr>
  </w:style>
  <w:style w:type="paragraph" w:styleId="951">
    <w:name w:val="List Paragraph"/>
    <w:basedOn w:val="928"/>
    <w:uiPriority w:val="1"/>
    <w:qFormat/>
    <w:pPr>
      <w:ind w:firstLine="420"/>
    </w:pPr>
  </w:style>
  <w:style w:type="character" w:styleId="952" w:customStyle="1">
    <w:name w:val="标题 1 Char"/>
    <w:link w:val="929"/>
    <w:uiPriority w:val="0"/>
    <w:qFormat/>
    <w:rPr>
      <w:rFonts w:ascii="Times New Roman" w:hAnsi="Times New Roman"/>
      <w:b/>
      <w:bCs/>
      <w:sz w:val="44"/>
      <w:szCs w:val="44"/>
    </w:rPr>
  </w:style>
  <w:style w:type="character" w:styleId="953" w:customStyle="1">
    <w:name w:val="标题 2 Char"/>
    <w:link w:val="930"/>
    <w:uiPriority w:val="0"/>
    <w:qFormat/>
    <w:rPr>
      <w:rFonts w:ascii="Arial" w:hAnsi="Arial" w:eastAsia="黑体"/>
      <w:b/>
      <w:sz w:val="32"/>
    </w:rPr>
  </w:style>
  <w:style w:type="character" w:styleId="954" w:customStyle="1">
    <w:name w:val="页脚 Char"/>
    <w:link w:val="937"/>
    <w:uiPriority w:val="99"/>
    <w:qFormat/>
    <w:rPr>
      <w:rFonts w:ascii="Times New Roman" w:hAnsi="Times New Roman"/>
      <w:sz w:val="18"/>
    </w:rPr>
  </w:style>
  <w:style w:type="character" w:styleId="955" w:customStyle="1">
    <w:name w:val="页眉 Char"/>
    <w:link w:val="938"/>
    <w:uiPriority w:val="99"/>
    <w:qFormat/>
    <w:rPr>
      <w:rFonts w:ascii="Times New Roman" w:hAnsi="Times New Roman"/>
      <w:sz w:val="18"/>
    </w:rPr>
  </w:style>
  <w:style w:type="character" w:styleId="956" w:customStyle="1">
    <w:name w:val="正文文本缩进 3 Char"/>
    <w:link w:val="940"/>
    <w:uiPriority w:val="0"/>
    <w:qFormat/>
    <w:rPr>
      <w:rFonts w:ascii="Times New Roman" w:hAnsi="Times New Roman"/>
      <w:sz w:val="16"/>
      <w:szCs w:val="16"/>
    </w:rPr>
  </w:style>
  <w:style w:type="character" w:styleId="957" w:customStyle="1">
    <w:name w:val="批注引用1"/>
    <w:uiPriority w:val="0"/>
    <w:semiHidden/>
    <w:qFormat/>
    <w:rPr>
      <w:rFonts w:ascii="Times New Roman" w:hAnsi="Times New Roman" w:eastAsia="宋体" w:cs="Times New Roman"/>
      <w:sz w:val="21"/>
      <w:lang w:val="en-US" w:eastAsia="zh-CN" w:bidi="ar-SA"/>
    </w:rPr>
  </w:style>
  <w:style w:type="paragraph" w:styleId="958" w:customStyle="1">
    <w:name w:val="标题 41"/>
    <w:basedOn w:val="928"/>
    <w:next w:val="948"/>
    <w:uiPriority w:val="0"/>
    <w:qFormat/>
    <w:pPr>
      <w:keepLines/>
      <w:keepNext/>
      <w:spacing w:before="280" w:after="290" w:line="376" w:lineRule="auto"/>
      <w:outlineLvl w:val="3"/>
    </w:pPr>
    <w:rPr>
      <w:rFonts w:ascii="Arial" w:hAnsi="Arial" w:eastAsia="黑体"/>
      <w:b/>
      <w:bCs/>
      <w:sz w:val="28"/>
      <w:szCs w:val="28"/>
    </w:rPr>
  </w:style>
  <w:style w:type="paragraph" w:styleId="959" w:customStyle="1">
    <w:name w:val="普通正文"/>
    <w:basedOn w:val="928"/>
    <w:uiPriority w:val="0"/>
    <w:qFormat/>
    <w:pPr>
      <w:ind w:firstLine="480"/>
      <w:jc w:val="left"/>
      <w:spacing w:before="120" w:after="120" w:line="360" w:lineRule="auto"/>
    </w:pPr>
    <w:rPr>
      <w:rFonts w:ascii="Arial" w:hAnsi="Arial"/>
      <w:sz w:val="24"/>
      <w:szCs w:val="24"/>
    </w:rPr>
  </w:style>
  <w:style w:type="character" w:styleId="960" w:customStyle="1">
    <w:name w:val="批注框文本 Char"/>
    <w:basedOn w:val="931"/>
    <w:link w:val="936"/>
    <w:uiPriority w:val="0"/>
    <w:qFormat/>
    <w:rPr>
      <w:sz w:val="18"/>
      <w:szCs w:val="18"/>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347</cp:revision>
  <dcterms:created xsi:type="dcterms:W3CDTF">2022-12-23T01:29:00Z</dcterms:created>
  <dcterms:modified xsi:type="dcterms:W3CDTF">2026-04-23T02:33:34Z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C4FA8A98701046FCA46EA03701A618D5</vt:lpwstr>
  </property>
  <property fmtid="{D5CDD505-2E9C-101B-9397-08002B2CF9AE}" pid="4" name="KSOTemplateDocerSaveRecord">
    <vt:lpwstr>eyJoZGlkIjoiMGQ2NmIxN2ZkMzdkNDU4NGMxMmQ1N2ZlMTMwZTBiNTQifQ==</vt:lpwstr>
  </property>
</Properties>
</file>