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000000" w:themeColor="text1"/>
          <w:spacing w:val="40"/>
          <w:sz w:val="96"/>
          <w:szCs w:val="96"/>
          <w14:textFill>
            <w14:solidFill>
              <w14:schemeClr w14:val="tx1"/>
            </w14:solidFill>
          </w14:textFill>
        </w:rPr>
      </w:pPr>
      <w:r>
        <w:rPr>
          <w:rFonts w:ascii="宋体" w:hAnsi="宋体"/>
          <w:b/>
          <w:color w:val="000000" w:themeColor="text1"/>
          <w:spacing w:val="40"/>
          <w:sz w:val="96"/>
          <w:szCs w:val="96"/>
          <w14:textFill>
            <w14:solidFill>
              <w14:schemeClr w14:val="tx1"/>
            </w14:solidFill>
          </w14:textFill>
        </w:rPr>
      </w:r>
      <w:r/>
    </w:p>
    <w:p>
      <w:pPr>
        <w:jc w:val="center"/>
        <w:rPr>
          <w:rFonts w:ascii="宋体" w:hAnsi="宋体"/>
          <w:b/>
          <w:color w:val="000000" w:themeColor="text1"/>
          <w:spacing w:val="40"/>
          <w:sz w:val="96"/>
          <w:szCs w:val="96"/>
          <w14:textFill>
            <w14:solidFill>
              <w14:schemeClr w14:val="tx1"/>
            </w14:solidFill>
          </w14:textFill>
        </w:rPr>
      </w:pPr>
      <w:r>
        <w:rPr>
          <w:rFonts w:hint="eastAsia" w:ascii="宋体" w:hAnsi="宋体"/>
          <w:b/>
          <w:color w:val="000000" w:themeColor="text1"/>
          <w:spacing w:val="40"/>
          <w:sz w:val="96"/>
          <w:szCs w:val="96"/>
          <w14:textFill>
            <w14:solidFill>
              <w14:schemeClr w14:val="tx1"/>
            </w14:solidFill>
          </w14:textFill>
        </w:rPr>
        <w:t xml:space="preserve"> 政府采购竞争性</w:t>
      </w:r>
      <w:r/>
    </w:p>
    <w:p>
      <w:pPr>
        <w:jc w:val="center"/>
        <w:rPr>
          <w:color w:val="000000" w:themeColor="text1"/>
          <w14:textFill>
            <w14:solidFill>
              <w14:schemeClr w14:val="tx1"/>
            </w14:solidFill>
          </w14:textFill>
        </w:rPr>
      </w:pPr>
      <w:r>
        <w:rPr>
          <w:rFonts w:hint="eastAsia" w:ascii="宋体" w:hAnsi="宋体"/>
          <w:b/>
          <w:color w:val="000000" w:themeColor="text1"/>
          <w:spacing w:val="40"/>
          <w:sz w:val="96"/>
          <w:szCs w:val="96"/>
          <w14:textFill>
            <w14:solidFill>
              <w14:schemeClr w14:val="tx1"/>
            </w14:solidFill>
          </w14:textFill>
        </w:rPr>
        <w:t xml:space="preserve"> 磋 商 </w:t>
      </w:r>
      <w:r>
        <w:rPr>
          <w:rFonts w:hint="eastAsia" w:ascii="宋体" w:hAnsi="宋体"/>
          <w:b/>
          <w:color w:val="000000" w:themeColor="text1"/>
          <w:spacing w:val="20"/>
          <w:sz w:val="96"/>
          <w:szCs w:val="96"/>
          <w14:textFill>
            <w14:solidFill>
              <w14:schemeClr w14:val="tx1"/>
            </w14:solidFill>
          </w14:textFill>
        </w:rPr>
        <w:t xml:space="preserve">文</w:t>
      </w:r>
      <w:bookmarkStart w:id="5" w:name="_GoBack"/>
      <w:r/>
      <w:bookmarkEnd w:id="5"/>
      <w:r>
        <w:rPr>
          <w:rFonts w:hint="eastAsia" w:ascii="宋体" w:hAnsi="宋体"/>
          <w:b/>
          <w:color w:val="000000" w:themeColor="text1"/>
          <w:spacing w:val="20"/>
          <w:sz w:val="96"/>
          <w:szCs w:val="96"/>
          <w14:textFill>
            <w14:solidFill>
              <w14:schemeClr w14:val="tx1"/>
            </w14:solidFill>
          </w14:textFill>
        </w:rPr>
        <w:t xml:space="preserve"> 件</w:t>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spacing w:line="360" w:lineRule="auto"/>
        <w:rPr>
          <w:rFonts w:hint="eastAsia" w:eastAsia="宋体"/>
          <w:b/>
          <w:color w:val="000000" w:themeColor="text1"/>
          <w:sz w:val="32"/>
          <w:lang w:eastAsia="zh-CN"/>
          <w14:textFill>
            <w14:solidFill>
              <w14:schemeClr w14:val="tx1"/>
            </w14:solidFill>
          </w14:textFill>
        </w:rPr>
      </w:pPr>
      <w:r>
        <w:rPr>
          <w:rFonts w:hint="eastAsia"/>
          <w:b/>
          <w:color w:val="000000" w:themeColor="text1"/>
          <w:sz w:val="32"/>
          <w14:textFill>
            <w14:solidFill>
              <w14:schemeClr w14:val="tx1"/>
            </w14:solidFill>
          </w14:textFill>
        </w:rPr>
        <w:t xml:space="preserve">采购编号：</w:t>
      </w:r>
      <w:r>
        <w:rPr>
          <w:rFonts w:hint="eastAsia"/>
          <w:color w:val="000000" w:themeColor="text1"/>
          <w:sz w:val="30"/>
          <w:lang w:eastAsia="zh-CN"/>
          <w14:textFill>
            <w14:solidFill>
              <w14:schemeClr w14:val="tx1"/>
            </w14:solidFill>
          </w14:textFill>
        </w:rPr>
        <w:t xml:space="preserve">JSZC-320591-CCCC-C2026-0012</w:t>
      </w:r>
      <w:r/>
    </w:p>
    <w:p>
      <w:pPr>
        <w:ind w:firstLine="1606"/>
        <w:spacing w:line="360" w:lineRule="auto"/>
        <w:rPr>
          <w:color w:val="000000" w:themeColor="text1"/>
          <w:sz w:val="30"/>
          <w:szCs w:val="30"/>
          <w14:textFill>
            <w14:solidFill>
              <w14:schemeClr w14:val="tx1"/>
            </w14:solidFill>
          </w14:textFill>
        </w:rPr>
      </w:pPr>
      <w:r>
        <w:rPr>
          <w:rFonts w:hint="eastAsia"/>
          <w:b/>
          <w:color w:val="000000" w:themeColor="text1"/>
          <w:sz w:val="32"/>
          <w14:textFill>
            <w14:solidFill>
              <w14:schemeClr w14:val="tx1"/>
            </w14:solidFill>
          </w14:textFill>
        </w:rPr>
        <w:t xml:space="preserve">采购人：</w:t>
      </w:r>
      <w:r>
        <w:rPr>
          <w:rFonts w:hint="eastAsia"/>
          <w:color w:val="000000" w:themeColor="text1"/>
          <w:sz w:val="30"/>
          <w:szCs w:val="30"/>
          <w14:textFill>
            <w14:solidFill>
              <w14:schemeClr w14:val="tx1"/>
            </w14:solidFill>
          </w14:textFill>
        </w:rPr>
        <w:t xml:space="preserve">苏州工业园区胜浦街道办事处</w:t>
      </w:r>
      <w:r/>
    </w:p>
    <w:p>
      <w:pPr>
        <w:ind w:left="1260" w:firstLine="305"/>
        <w:spacing w:line="360" w:lineRule="auto"/>
        <w:rPr>
          <w:color w:val="000000" w:themeColor="text1"/>
          <w:sz w:val="30"/>
          <w:szCs w:val="30"/>
          <w14:textFill>
            <w14:solidFill>
              <w14:schemeClr w14:val="tx1"/>
            </w14:solidFill>
          </w14:textFill>
        </w:rPr>
      </w:pPr>
      <w:r>
        <w:rPr>
          <w:rFonts w:hint="eastAsia"/>
          <w:b/>
          <w:color w:val="000000" w:themeColor="text1"/>
          <w:sz w:val="32"/>
          <w14:textFill>
            <w14:solidFill>
              <w14:schemeClr w14:val="tx1"/>
            </w14:solidFill>
          </w14:textFill>
        </w:rPr>
        <w:t xml:space="preserve">采购内容</w:t>
      </w:r>
      <w:r>
        <w:rPr>
          <w:rFonts w:hint="eastAsia"/>
          <w:color w:val="000000" w:themeColor="text1"/>
          <w:sz w:val="30"/>
          <w:szCs w:val="30"/>
          <w14:textFill>
            <w14:solidFill>
              <w14:schemeClr w14:val="tx1"/>
            </w14:solidFill>
          </w14:textFill>
        </w:rPr>
        <w:t xml:space="preserve">：胜浦街道红管网格积分项目</w:t>
      </w:r>
      <w:r/>
    </w:p>
    <w:p>
      <w:pPr>
        <w:ind w:firstLine="1606"/>
        <w:spacing w:line="360" w:lineRule="auto"/>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 xml:space="preserve">采购类别：</w:t>
      </w:r>
      <w:r>
        <w:rPr>
          <w:rFonts w:hint="eastAsia"/>
          <w:color w:val="000000" w:themeColor="text1"/>
          <w:sz w:val="30"/>
          <w14:textFill>
            <w14:solidFill>
              <w14:schemeClr w14:val="tx1"/>
            </w14:solidFill>
          </w14:textFill>
        </w:rPr>
        <w:t xml:space="preserve">服务类</w:t>
      </w:r>
      <w:r/>
    </w:p>
    <w:p>
      <w:pPr>
        <w:spacing w:line="360" w:lineRule="auto"/>
        <w:rPr>
          <w:b/>
          <w:color w:val="000000" w:themeColor="text1"/>
          <w:spacing w:val="-26"/>
          <w14:textFill>
            <w14:solidFill>
              <w14:schemeClr w14:val="tx1"/>
            </w14:solidFill>
          </w14:textFill>
        </w:rPr>
      </w:pPr>
      <w:r>
        <w:rPr>
          <w:b/>
          <w:color w:val="000000" w:themeColor="text1"/>
          <w:spacing w:val="-2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1637665" cy="17138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638262"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4.9pt;mso-wrap-distance-left:0.0pt;mso-wrap-distance-top:0.0pt;mso-wrap-distance-right:0.0pt;mso-wrap-distance-bottom:0.0pt;" stroked="f">
                <v:path textboxrect="0,0,0,0"/>
                <v:imagedata r:id="rId11" o:title=""/>
              </v:shape>
            </w:pict>
          </mc:Fallback>
        </mc:AlternateContent>
      </w:r>
      <w:r/>
    </w:p>
    <w:p>
      <w:pP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                 苏州市永诚建设咨询有限公司</w:t>
      </w:r>
      <w:r/>
    </w:p>
    <w:p>
      <w:pPr>
        <w:rPr>
          <w:rFonts w:ascii="黑体" w:hAnsi="宋体" w:eastAsia="黑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                       二○二六年四月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hint="eastAsia" w:ascii="黑体" w:eastAsia="黑体"/>
          <w:b/>
          <w:color w:val="000000" w:themeColor="text1"/>
          <w:sz w:val="52"/>
          <w:szCs w:val="52"/>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14:textFill>
            <w14:solidFill>
              <w14:schemeClr w14:val="tx1"/>
            </w14:solidFill>
          </w14:textFill>
        </w:rPr>
      </w:pPr>
      <w:r>
        <w:rPr>
          <w:rFonts w:ascii="黑体" w:eastAsia="黑体"/>
          <w:b/>
          <w:color w:val="000000" w:themeColor="text1"/>
          <w:sz w:val="52"/>
          <w:szCs w:val="52"/>
          <w14:textFill>
            <w14:solidFill>
              <w14:schemeClr w14:val="tx1"/>
            </w14:solidFill>
          </w14:textFill>
        </w:rPr>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一、磋商采购公告</w:t>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二、</w:t>
      </w:r>
      <w:r>
        <w:rPr>
          <w:color w:val="000000" w:themeColor="text1"/>
          <w:sz w:val="28"/>
          <w:szCs w:val="28"/>
          <w14:textFill>
            <w14:solidFill>
              <w14:schemeClr w14:val="tx1"/>
            </w14:solidFill>
          </w14:textFill>
        </w:rPr>
        <w:t xml:space="preserve">磋商须知</w:t>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三、采购内容</w:t>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四、评审方法及评分标准</w:t>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五、合同主要条款及格式</w:t>
      </w:r>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六、磋商响应文件格式</w:t>
      </w:r>
      <w:r/>
    </w:p>
    <w:p>
      <w:pPr>
        <w:tabs>
          <w:tab w:val="left" w:pos="315" w:leader="none"/>
          <w:tab w:val="center" w:pos="4153" w:leader="none"/>
        </w:tabs>
        <w:rPr>
          <w:rFonts w:ascii="黑体" w:eastAsia="黑体"/>
          <w:b/>
          <w:color w:val="000000" w:themeColor="text1"/>
          <w:sz w:val="28"/>
          <w:szCs w:val="28"/>
          <w14:textFill>
            <w14:solidFill>
              <w14:schemeClr w14:val="tx1"/>
            </w14:solidFill>
          </w14:textFill>
        </w:rPr>
      </w:pPr>
      <w:r>
        <w:rPr>
          <w:rFonts w:ascii="黑体" w:eastAsia="黑体"/>
          <w:b/>
          <w:color w:val="000000" w:themeColor="text1"/>
          <w:sz w:val="28"/>
          <w:szCs w:val="28"/>
          <w14:textFill>
            <w14:solidFill>
              <w14:schemeClr w14:val="tx1"/>
            </w14:solidFill>
          </w14:textFill>
        </w:rPr>
      </w:r>
      <w:r/>
    </w:p>
    <w:p>
      <w:pPr>
        <w:tabs>
          <w:tab w:val="left" w:pos="315" w:leader="none"/>
          <w:tab w:val="center" w:pos="4153" w:leader="none"/>
        </w:tabs>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widowControl/>
        <w:rPr>
          <w:color w:val="000000" w:themeColor="text1"/>
          <w:sz w:val="32"/>
          <w:szCs w:val="32"/>
          <w14:textFill>
            <w14:solidFill>
              <w14:schemeClr w14:val="tx1"/>
            </w14:solidFill>
          </w14:textFill>
        </w:rPr>
      </w:pPr>
      <w:r>
        <w:rPr>
          <w:rFonts w:ascii="宋体" w:hAnsi="宋体"/>
          <w:b/>
          <w:color w:val="000000" w:themeColor="text1"/>
          <w:sz w:val="32"/>
          <w14:textFill>
            <w14:solidFill>
              <w14:schemeClr w14:val="tx1"/>
            </w14:solidFill>
          </w14:textFill>
        </w:rPr>
        <w:br w:type="page" w:clear="all"/>
      </w:r>
      <w:bookmarkStart w:id="0" w:name="_Hlk121775257"/>
      <w:r>
        <w:rPr>
          <w:rFonts w:hint="eastAsia"/>
          <w:color w:val="000000" w:themeColor="text1"/>
          <w:sz w:val="32"/>
          <w:szCs w:val="32"/>
          <w14:textFill>
            <w14:solidFill>
              <w14:schemeClr w14:val="tx1"/>
            </w14:solidFill>
          </w14:textFill>
        </w:rPr>
        <w:t xml:space="preserve">一、磋商采购公告</w:t>
      </w:r>
      <w:bookmarkEnd w:id="0"/>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胜浦街道红管网格积分项目</w:t>
      </w:r>
      <w:r>
        <w:rPr>
          <w:rFonts w:hint="eastAsia"/>
          <w:color w:val="000000" w:themeColor="text1"/>
          <w:lang w:eastAsia="zh-CN"/>
          <w14:textFill>
            <w14:solidFill>
              <w14:schemeClr w14:val="tx1"/>
            </w14:solidFill>
          </w14:textFill>
        </w:rPr>
        <w:t xml:space="preserve">JSZC-320591-CCCC-C2026-0012</w:t>
      </w:r>
      <w:r>
        <w:rPr>
          <w:rFonts w:hint="eastAsia"/>
          <w:color w:val="000000" w:themeColor="text1"/>
          <w14:textFill>
            <w14:solidFill>
              <w14:schemeClr w14:val="tx1"/>
            </w14:solidFill>
          </w14:textFill>
        </w:rPr>
        <w:t xml:space="preserve"> 采购项目的潜在供应商应在苏采云系统 获取采购文件，并于2026-05-07  09:30（北京时间）前提交响应文件。</w:t>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一、项目基本情况</w:t>
      </w:r>
      <w:r/>
    </w:p>
    <w:p>
      <w:pPr>
        <w:spacing w:line="360" w:lineRule="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JSZC-320591-CCCC-C2026-0012</w:t>
      </w:r>
      <w:r/>
    </w:p>
    <w:p>
      <w:pPr>
        <w:spacing w:line="360" w:lineRule="auto"/>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 xml:space="preserve">项目名称：胜浦街道红管网格积分项目</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采购方式：竞争性磋商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预算金额：人民币壹佰万圆整（￥1000000元），其中：专业服务：200000元；积分兑换物资服务：600000元；运营支持服务：200000元。</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14:textFill>
            <w14:solidFill>
              <w14:schemeClr w14:val="tx1"/>
            </w14:solidFill>
          </w14:textFill>
        </w:rPr>
        <w:t xml:space="preserve">：人民币壹佰万圆整（￥1000000元），其中：</w:t>
      </w:r>
      <w:r>
        <w:rPr>
          <w:rFonts w:hint="eastAsia" w:ascii="宋体" w:hAnsi="宋体" w:cs="宋体"/>
          <w:color w:val="000000" w:themeColor="text1"/>
          <w:szCs w:val="21"/>
          <w:highlight w:val="none"/>
          <w14:textFill>
            <w14:solidFill>
              <w14:schemeClr w14:val="tx1"/>
            </w14:solidFill>
          </w14:textFill>
        </w:rPr>
        <w:t xml:space="preserve">专业服务：200000元；积分兑换物资服务：600000元；运营支持服务：200000元。</w:t>
      </w:r>
      <w:r>
        <w:rPr>
          <w:highlight w:val="none"/>
        </w:rP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14:textFill>
            <w14:solidFill>
              <w14:schemeClr w14:val="tx1"/>
            </w14:solidFill>
          </w14:textFill>
        </w:rPr>
        <w:t xml:space="preserve">服务内容包括专业服务、积分兑换物资服务、运营支持服务（详见</w:t>
      </w:r>
      <w:r>
        <w:rPr>
          <w:rFonts w:hint="eastAsia" w:ascii="宋体" w:hAnsi="宋体" w:cs="宋体"/>
          <w:color w:val="000000" w:themeColor="text1"/>
          <w:szCs w:val="21"/>
          <w:highlight w:val="none"/>
          <w:lang w:val="en-US" w:eastAsia="zh-CN"/>
          <w14:textFill>
            <w14:solidFill>
              <w14:schemeClr w14:val="tx1"/>
            </w14:solidFill>
          </w14:textFill>
        </w:rPr>
        <w:t xml:space="preserve">采购内容</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14:textFill>
            <w14:solidFill>
              <w14:schemeClr w14:val="tx1"/>
            </w14:solidFill>
          </w14:textFill>
        </w:rPr>
        <w:t xml:space="preserve">续推进红管网格积分项目，一是强化队伍培育与体系建设:依托红浦“慧”治理志愿者培训学院，培育内生型自治团队，系统设计课程体系，探索并推行红管志愿者积分等级认证机制，夯实基层治理人才基础;二是优化积分兑换与激励机制:拓展积分兑换场景，丰富兑换资源，推动各条线服务与物资资源有序纳入兑换体系，提升激励吸引力和实效性;三是深化品牌拓展与治理融合:推动积分机制向企业、商圈、新业态新就业群体延伸，深化“红色朋友圈”与区域化党建共同体建设，提升品牌影响力和治理覆盖面。</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合同履行期限 : 合同签订之日起壹年。</w:t>
      </w:r>
      <w:r/>
    </w:p>
    <w:p>
      <w:pPr>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验收标准：根据磋商文件提出的要求进行验收。</w:t>
      </w:r>
      <w:r/>
    </w:p>
    <w:p>
      <w:pPr>
        <w:spacing w:line="360" w:lineRule="auto"/>
        <w:rPr>
          <w:rFonts w:hint="eastAsia"/>
        </w:rPr>
      </w:pPr>
      <w:r>
        <w:rPr>
          <w:rFonts w:hint="eastAsia"/>
          <w:color w:val="000000" w:themeColor="text1"/>
          <w14:textFill>
            <w14:solidFill>
              <w14:schemeClr w14:val="tx1"/>
            </w14:solidFill>
          </w14:textFill>
        </w:rPr>
        <w:t xml:space="preserve">本项目（是/否）接受联合体：否</w:t>
      </w:r>
      <w:r>
        <w:rPr>
          <w:color w:val="000000" w:themeColor="text1"/>
          <w14:textFill>
            <w14:solidFill>
              <w14:schemeClr w14:val="tx1"/>
            </w14:solidFill>
          </w14:textFill>
        </w:rPr>
        <w:t xml:space="preserve"> </w:t>
      </w:r>
      <w:r/>
    </w:p>
    <w:p>
      <w:pPr>
        <w:pStyle w:val="916"/>
        <w:spacing w:line="360" w:lineRule="auto"/>
        <w:shd w:val="clear" w:color="auto" w:fill="ffffff"/>
        <w:rPr>
          <w:rFonts w:ascii="Times New Roman" w:eastAsia="宋体"/>
          <w:b/>
          <w:color w:val="000000" w:themeColor="text1"/>
          <w:sz w:val="21"/>
          <w14:textFill>
            <w14:solidFill>
              <w14:schemeClr w14:val="tx1"/>
            </w14:solidFill>
          </w14:textFill>
        </w:rPr>
      </w:pPr>
      <w:r>
        <w:rPr>
          <w:rFonts w:hint="eastAsia" w:ascii="Times New Roman" w:eastAsia="宋体"/>
          <w:b/>
          <w:color w:val="000000" w:themeColor="text1"/>
          <w:sz w:val="21"/>
          <w14:textFill>
            <w14:solidFill>
              <w14:schemeClr w14:val="tx1"/>
            </w14:solidFill>
          </w14:textFill>
        </w:rPr>
        <w:t xml:space="preserve">二、申请人的资格要求：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（一）满足《中华人民共和国政府采购法》第二十二条规定；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 </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具有良好的商业信誉和健全的财务会计制度; </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具有履行合同所必备的设备和专业技术能力; </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有依法缴纳税收和社会保障基金的良好记录;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参加政府采购活动前三年内，在经营活动中没有重大违法记录；</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法律、行政法规规定的其他条件。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（二）落实政府采购政策需满足的资格要求：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本项目专门面向中小企业采购。所属行业为其他未列明行业。</w:t>
      </w:r>
      <w:r/>
    </w:p>
    <w:p>
      <w:pPr>
        <w:spacing w:line="400" w:lineRule="exact"/>
        <w:tabs>
          <w:tab w:val="left" w:pos="54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（三）本项目的特定资格要求：</w:t>
      </w:r>
      <w:r>
        <w:rPr>
          <w:rFonts w:hint="eastAsia"/>
          <w:color w:val="000000" w:themeColor="text1"/>
          <w:shd w:val="clear" w:color="auto" w:fill="ffffff"/>
          <w14:textFill>
            <w14:solidFill>
              <w14:schemeClr w14:val="tx1"/>
            </w14:solidFill>
          </w14:textFill>
        </w:rPr>
        <w:t xml:space="preserve">/。</w:t>
      </w:r>
      <w:r/>
    </w:p>
    <w:p>
      <w:pPr>
        <w:pStyle w:val="916"/>
        <w:spacing w:line="360" w:lineRule="auto"/>
        <w:shd w:val="clear" w:color="auto" w:fill="ffffff"/>
        <w:rPr>
          <w:rFonts w:ascii="Times New Roman" w:eastAsia="宋体"/>
          <w:b/>
          <w:color w:val="000000" w:themeColor="text1"/>
          <w:sz w:val="21"/>
          <w14:textFill>
            <w14:solidFill>
              <w14:schemeClr w14:val="tx1"/>
            </w14:solidFill>
          </w14:textFill>
        </w:rPr>
      </w:pPr>
      <w:r>
        <w:rPr>
          <w:rFonts w:hint="eastAsia" w:ascii="Times New Roman" w:eastAsia="宋体"/>
          <w:b/>
          <w:color w:val="000000" w:themeColor="text1"/>
          <w:sz w:val="21"/>
          <w14:textFill>
            <w14:solidFill>
              <w14:schemeClr w14:val="tx1"/>
            </w14:solidFill>
          </w14:textFill>
        </w:rPr>
        <w:t xml:space="preserve">三、获取采购文件: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时间：自磋商文件公告发布之日起5个工作日（以系统为准） </w:t>
      </w:r>
      <w:r/>
    </w:p>
    <w:p>
      <w:pPr>
        <w:spacing w:line="360" w:lineRule="auto"/>
        <w:rPr>
          <w:color w:val="000000" w:themeColor="text1"/>
          <w14:textFill>
            <w14:solidFill>
              <w14:schemeClr w14:val="tx1"/>
            </w14:solidFill>
          </w14:textFill>
        </w:rPr>
      </w:pPr>
      <w:r>
        <w:rPr>
          <w:rFonts w:hint="eastAsia" w:ascii="宋体" w:hAnsi="宋体" w:cs="宋体"/>
          <w:color w:val="auto"/>
          <w:szCs w:val="21"/>
          <w:highlight w:val="none"/>
        </w:rPr>
        <w:t xml:space="preserve">获取方式：</w:t>
      </w:r>
      <w:r>
        <w:rPr>
          <w:rFonts w:hint="eastAsia"/>
          <w:color w:val="000000" w:themeColor="text1"/>
          <w14:textFill>
            <w14:solidFill>
              <w14:schemeClr w14:val="tx1"/>
            </w14:solidFill>
          </w14:textFill>
        </w:rPr>
        <w:t xml:space="preserve">苏采云系统</w:t>
      </w:r>
      <w:r>
        <w:rPr>
          <w:rFonts w:hint="eastAsia"/>
          <w:color w:val="000000" w:themeColor="text1"/>
          <w:lang w:val="en-US" w:eastAsia="zh-CN"/>
          <w14:textFill>
            <w14:solidFill>
              <w14:schemeClr w14:val="tx1"/>
            </w14:solidFill>
          </w14:textFill>
        </w:rPr>
        <w:t xml:space="preserve">自行下载</w:t>
      </w:r>
      <w:r>
        <w:rPr>
          <w:rFonts w:hint="eastAsia"/>
          <w:color w:val="000000" w:themeColor="text1"/>
          <w14:textFill>
            <w14:solidFill>
              <w14:schemeClr w14:val="tx1"/>
            </w14:solidFill>
          </w14:textFill>
        </w:rPr>
        <w:t xml:space="preserve">  </w:t>
      </w:r>
      <w:r/>
    </w:p>
    <w:p>
      <w:pPr>
        <w:spacing w:line="360" w:lineRule="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售价：</w:t>
      </w:r>
      <w:r>
        <w:rPr>
          <w:rFonts w:hint="eastAsia"/>
          <w:color w:val="000000" w:themeColor="text1"/>
          <w:lang w:val="en-US" w:eastAsia="zh-CN"/>
          <w14:textFill>
            <w14:solidFill>
              <w14:schemeClr w14:val="tx1"/>
            </w14:solidFill>
          </w14:textFill>
        </w:rPr>
        <w:t xml:space="preserve">免费</w:t>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四、响应文件提交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截止时间：2026-05-07  09:30 （北京时间）</w:t>
      </w:r>
      <w:r/>
    </w:p>
    <w:p>
      <w:pPr>
        <w:spacing w:line="360" w:lineRule="auto"/>
        <w:rPr>
          <w:rFonts w:hint="eastAsia" w:ascii="宋体" w:hAnsi="宋体" w:cs="宋体"/>
          <w:color w:val="auto"/>
          <w:szCs w:val="21"/>
          <w:highlight w:val="none"/>
        </w:rPr>
      </w:pPr>
      <w:r>
        <w:rPr>
          <w:rFonts w:hint="eastAsia"/>
          <w:color w:val="000000" w:themeColor="text1"/>
          <w14:textFill>
            <w14:solidFill>
              <w14:schemeClr w14:val="tx1"/>
            </w14:solidFill>
          </w14:textFill>
        </w:rPr>
        <w:t xml:space="preserve">地点：</w:t>
      </w:r>
      <w:r>
        <w:rPr>
          <w:rFonts w:hint="eastAsia" w:ascii="宋体" w:hAnsi="宋体" w:cs="宋体"/>
          <w:color w:val="auto"/>
          <w:szCs w:val="21"/>
          <w:highlight w:val="none"/>
        </w:rPr>
        <w:t xml:space="preserve">苏采云</w:t>
      </w:r>
      <w:r>
        <w:rPr>
          <w:rFonts w:hint="eastAsia"/>
          <w:color w:val="000000" w:themeColor="text1"/>
          <w14:textFill>
            <w14:solidFill>
              <w14:schemeClr w14:val="tx1"/>
            </w14:solidFill>
          </w14:textFill>
        </w:rPr>
        <w:t xml:space="preserve">系统</w:t>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五、开启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时间：2026-05-07  09</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30（北京时间）</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地点：苏采云政府采购一体化平台开标大厅（网上不见面开标）</w:t>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六、公告期限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自本公告发布之日起3个工作日。 </w:t>
      </w:r>
      <w:r/>
    </w:p>
    <w:p>
      <w:pPr>
        <w:spacing w:line="360" w:lineRule="auto"/>
        <w:tabs>
          <w:tab w:val="left" w:pos="720"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七、其他补充事宜 </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1、本项目采用不见面开标方式，投标人无须到达开标现场。</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2、各投标人（供应商）应及时办理相关业务，为熟悉电子投标流程预留必要准备时间。</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3、有关电子投标具体操作方法详见苏采云系统中的客户端使用说明和供应商《操作手册》。</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4、本次采购的有关信息将在以下网站上发布：</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4.1、中国政府采购网</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4.2、江苏政府采购网</w:t>
      </w:r>
      <w:r/>
    </w:p>
    <w:p>
      <w:p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4.3、苏州市政府采购网</w:t>
      </w:r>
      <w:r/>
    </w:p>
    <w:p>
      <w:pPr>
        <w:spacing w:line="36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、苏州工业园区政府采购监督电话：0512-66681110。</w:t>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八、凡对本次采购提出询问，请按以下方式联系。 </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单位名称：苏州工业园区胜浦街道办事处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地址：苏州工业园区东长路88号2.5产业园D2栋</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联系人：顾鑫</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rPr>
          <w:rFonts w:hint="eastAsia"/>
          <w:color w:val="000000" w:themeColor="text1"/>
          <w14:textFill>
            <w14:solidFill>
              <w14:schemeClr w14:val="tx1"/>
            </w14:solidFill>
          </w14:textFill>
        </w:rPr>
        <w:t xml:space="preserve">0512-62815215</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单位名称：苏州市永诚建设咨询有限公司</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地址：苏州市东吴北路221号7楼          邮编：215007</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联系电话：0512-69157588</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项目联系人：程能之、焦秀丽</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联系电话：0512-69157588-816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传真：0512-65268668</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7"/>
        <w:rPr>
          <w:rFonts w:hint="default"/>
        </w:rPr>
      </w:pPr>
      <w:r>
        <w:rPr>
          <w:rFonts w:hint="default"/>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苏州市永诚建设咨询有限公司</w:t>
      </w:r>
      <w:r/>
      <w:r>
        <w:rPr>
          <w:color w:val="000000" w:themeColor="text1"/>
          <w14:textFill>
            <w14:solidFill>
              <w14:schemeClr w14:val="tx1"/>
            </w14:solidFill>
          </w14:textFill>
        </w:rPr>
        <w:br w:type="page" w:clear="all"/>
      </w:r>
      <w:bookmarkStart w:id="1" w:name="_Hlk121775411"/>
      <w:r/>
      <w:r/>
      <w:r>
        <w:rPr>
          <w:color w:val="000000" w:themeColor="text1"/>
          <w14:textFill>
            <w14:solidFill>
              <w14:schemeClr w14:val="tx1"/>
            </w14:solidFill>
          </w14:textFill>
        </w:rPr>
      </w:r>
    </w:p>
    <w:p>
      <w:pPr>
        <w:jc w:val="center"/>
        <w:spacing w:line="400" w:lineRule="exac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二、</w:t>
      </w:r>
      <w:r>
        <w:rPr>
          <w:rFonts w:hint="eastAsia" w:ascii="宋体" w:hAnsi="宋体"/>
          <w:b/>
          <w:color w:val="000000" w:themeColor="text1"/>
          <w:sz w:val="32"/>
          <w14:textFill>
            <w14:solidFill>
              <w14:schemeClr w14:val="tx1"/>
            </w14:solidFill>
          </w14:textFill>
        </w:rPr>
        <w:t xml:space="preserve">磋商须知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1总则</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1.1响应单位资格要求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1.1.1详见采购公告中。</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1.1.2响应单位不得存在下列情形之一：</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（3）单位负责人为同一人或者存在直接控股、管理关系的不同供应商，不得参加同一合同项下的政府采购活动。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1.1.3联合体投标：第一章竞争性磋商公告规定接受联合体投标的，联合体除应符合上述资格要求外，还应遵守以下规定：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（1）联合体各方应当向采购人提交联合体协议书，载明联合体各方承担的工作和义务，否则投标无效。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（2）联合体中有同类资质的供应商按照联合体分工承担相同工作的，应当按照资质等级较低的供应商确定资质等级。</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（4）联合体各方应当共同与采购人签订采购合同，就采购合同约定的事项对采购人承担连带责任。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1.2分包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w:t>
      </w:r>
      <w:r>
        <w:rPr>
          <w:rFonts w:ascii="Segoe UI Symbol" w:hAnsi="Segoe UI Symbol" w:cs="Segoe UI Symbol"/>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不允许分包 </w:t>
      </w:r>
      <w:r>
        <w:rPr>
          <w:color w:val="000000" w:themeColor="text1"/>
          <w14:textFill>
            <w14:solidFill>
              <w14:schemeClr w14:val="tx1"/>
            </w14:solidFill>
          </w14:textFill>
        </w:rPr>
        <w:t xml:space="preserve">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□允许分包，分包要求：/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1.3磋商费用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1.3.2本次磋商项目由苏州市永诚建设咨询有限公司代理，不收取磋商文件费用。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代理服务费：成交单位在领取成交通知书时向招标代理机构缴纳成交服务费，收费标准如下：以预算金额为基准，100万元以内1.5%、100～500万元以1.1%、500万-1000万以0.8%，1000万-5000万以0.5%差额定率累进法计算并支付成交服务费。</w:t>
      </w:r>
      <w:r/>
    </w:p>
    <w:p>
      <w:pPr>
        <w:ind w:firstLine="420"/>
        <w:spacing w:line="360" w:lineRule="auto"/>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本项目代理费：</w:t>
      </w:r>
      <w:r>
        <w:rPr>
          <w:rFonts w:hint="eastAsia"/>
          <w:b/>
          <w:color w:val="000000" w:themeColor="text1"/>
          <w:u w:val="single"/>
          <w14:textFill>
            <w14:solidFill>
              <w14:schemeClr w14:val="tx1"/>
            </w14:solidFill>
          </w14:textFill>
        </w:rPr>
        <w:t xml:space="preserve">15000元</w:t>
      </w:r>
      <w:r>
        <w:rPr>
          <w:rFonts w:hint="eastAsia"/>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服务费交纳账户：苏州市永诚建设咨询有限公司</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账号：</w:t>
      </w:r>
      <w:r>
        <w:rPr>
          <w:color w:val="000000" w:themeColor="text1"/>
          <w14:textFill>
            <w14:solidFill>
              <w14:schemeClr w14:val="tx1"/>
            </w14:solidFill>
          </w14:textFill>
        </w:rPr>
        <w:t xml:space="preserve">7066602001120149002568</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开户银行：苏州银行股份有限公司苏州分行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1.4保密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参与采购活动的各方应对采购文件和响应文件中的商业和技术等秘密保密，否则应承担相应的法律责任。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1.5语言文字</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1.6计量单位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除磋商文件有特殊要求外，所有计量均采用中华人民共和国法定计量单位。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1.7扫描件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扫描件是指原件的各种彩色复制件，包括扫描、照片等。</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1.8知识产权</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1.9现场踏勘</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供应商可自行对有关现场和周围环境进行踏勘，以获取编制响应文件和签署合同所需的信息，踏勘现场所发生的费用由供应商自己承担。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1.10集中现场考察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本项目按以下第 ① 种方式组织集中现场考察：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①采购人不组织集中现场考察；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②采购人组织集中现场考察，请供应商持在“苏采云”系统中下载本项目采购文件的《投标供应商确认函》，按以下时间地点参加集中现场考察：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集合时间：/年/月/日/时/分（北京时间）；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集合地点：/。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联系人：/；联系电话：/。</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请供应商安排好行程，不得迟到。未提供《投标供应商确认函》或迟到者，恕不接待。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（5）由于未进行现场考察造成的任何问题由供应商自行承担。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1.11法律适用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本次采购活动及因本次采购产生的合同受中华人民共和国有关的法律法规制约和保护。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2磋商文件的说明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2.1磋商文件的获取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见第一章竞争性磋商公告</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2.2磋商文件的询问</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供应商在收到磋商文件后，若有问题需要询问，应于下载磋商文件后，可通过公告中的联系方式及时提出，采购人或采购代理机构将予以解答。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2.3磋商文件的澄清或修改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2.4磋商文件的约束力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2.4.1供应商一旦参加本项目采购活动，即被认为接受了本采购文件的规定和约束。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3响应文件说明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3.1磋商保证金：无</w:t>
      </w:r>
      <w:r/>
    </w:p>
    <w:p>
      <w:pPr>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3.2响应文件的组成</w:t>
      </w:r>
      <w:r/>
    </w:p>
    <w:p>
      <w:pPr>
        <w:ind w:firstLine="420"/>
        <w:spacing w:line="360" w:lineRule="auto"/>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3.2.1资格性审查文件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3.2.1.1</w:t>
      </w:r>
      <w:r>
        <w:rPr>
          <w:rFonts w:hint="eastAsia" w:ascii="宋体" w:hAnsi="宋体" w:cs="宋体"/>
          <w:color w:val="000000" w:themeColor="text1"/>
          <w:szCs w:val="21"/>
          <w:shd w:val="clear" w:color="auto" w:fill="ffffff"/>
          <w:lang w:bidi="ar"/>
          <w14:textFill>
            <w14:solidFill>
              <w14:schemeClr w14:val="tx1"/>
            </w14:solidFill>
          </w14:textFill>
        </w:rPr>
        <w:t xml:space="preserve">具有独立承担民事责任的能力</w:t>
      </w:r>
      <w:r>
        <w:rPr>
          <w:rFonts w:hint="eastAsia"/>
          <w:color w:val="000000" w:themeColor="text1"/>
          <w14:textFill>
            <w14:solidFill>
              <w14:schemeClr w14:val="tx1"/>
            </w14:solidFill>
          </w14:textFill>
        </w:rPr>
        <w:t xml:space="preserve">：提供包括法人或者其他组织的营业执照等证明文件，自然人的身份证明；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3.2.1.2</w:t>
      </w:r>
      <w:r>
        <w:rPr>
          <w:rFonts w:hint="eastAsia" w:ascii="宋体" w:hAnsi="宋体" w:cs="宋体"/>
          <w:color w:val="000000" w:themeColor="text1"/>
          <w:szCs w:val="21"/>
          <w:shd w:val="clear" w:color="auto" w:fill="ffffff"/>
          <w:lang w:bidi="ar"/>
          <w14:textFill>
            <w14:solidFill>
              <w14:schemeClr w14:val="tx1"/>
            </w14:solidFill>
          </w14:textFill>
        </w:rPr>
        <w:t xml:space="preserve">具有良好的商业信誉和健全的财务会计制度</w:t>
      </w:r>
      <w:r>
        <w:rPr>
          <w:rFonts w:hint="eastAsia"/>
          <w:color w:val="000000" w:themeColor="text1"/>
          <w14:textFill>
            <w14:solidFill>
              <w14:schemeClr w14:val="tx1"/>
            </w14:solidFill>
          </w14:textFill>
        </w:rPr>
        <w:t xml:space="preserve">：提供最近一期财务报告，或银行出具的资信证明，或财政部门认可的政府采购专业担保机构出具的投标担保函；</w:t>
      </w:r>
      <w:r/>
    </w:p>
    <w:p>
      <w:pPr>
        <w:ind w:firstLine="420"/>
        <w:spacing w:line="4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3.2.1.3</w:t>
      </w:r>
      <w:r>
        <w:rPr>
          <w:rFonts w:hint="eastAsia" w:ascii="宋体" w:hAnsi="宋体" w:cs="宋体"/>
          <w:color w:val="000000" w:themeColor="text1"/>
          <w:szCs w:val="21"/>
          <w:shd w:val="clear" w:color="auto" w:fill="ffffff"/>
          <w:lang w:bidi="ar"/>
          <w14:textFill>
            <w14:solidFill>
              <w14:schemeClr w14:val="tx1"/>
            </w14:solidFill>
          </w14:textFill>
        </w:rPr>
        <w:t xml:space="preserve">具有履行合同所必需的设备和专业技术能力：提供具备履行合同所必需设备和专业技术能力证明材料声明函（见格式）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3.2.1.5</w:t>
      </w:r>
      <w:r>
        <w:rPr>
          <w:rFonts w:hint="eastAsia" w:ascii="宋体" w:hAnsi="宋体" w:cs="宋体"/>
          <w:color w:val="000000" w:themeColor="text1"/>
          <w:szCs w:val="21"/>
          <w:shd w:val="clear" w:color="auto" w:fill="ffffff"/>
          <w:lang w:bidi="ar"/>
          <w14:textFill>
            <w14:solidFill>
              <w14:schemeClr w14:val="tx1"/>
            </w14:solidFill>
          </w14:textFill>
        </w:rPr>
        <w:t xml:space="preserve">参加政府采购活动前三年内，在经营活动中没有重大违法记录：提供</w:t>
      </w:r>
      <w:r>
        <w:rPr>
          <w:rFonts w:hint="eastAsia"/>
          <w:color w:val="000000" w:themeColor="text1"/>
          <w14:textFill>
            <w14:solidFill>
              <w14:schemeClr w14:val="tx1"/>
            </w14:solidFill>
          </w14:textFill>
        </w:rPr>
        <w:t xml:space="preserve">参加政府采购活动前三年内，在经营活动中没有出现重大违法记录的书面声明函（见格式）；</w:t>
      </w:r>
      <w:r/>
    </w:p>
    <w:p>
      <w:pPr>
        <w:ind w:firstLine="420"/>
        <w:spacing w:line="480" w:lineRule="exact"/>
        <w:rPr>
          <w:rFonts w:ascii="宋体" w:hAnsi="宋体" w:cs="宋体"/>
          <w:color w:val="000000" w:themeColor="text1"/>
          <w:szCs w:val="21"/>
          <w:u w:val="single"/>
          <w:shd w:val="clear" w:color="auto" w:fill="ffffff"/>
          <w:lang w:bidi="ar"/>
          <w14:textFill>
            <w14:solidFill>
              <w14:schemeClr w14:val="tx1"/>
            </w14:solidFill>
          </w14:textFill>
        </w:rPr>
      </w:pPr>
      <w:r>
        <w:rPr>
          <w:rFonts w:hint="eastAsia"/>
          <w:color w:val="000000" w:themeColor="text1"/>
          <w14:textFill>
            <w14:solidFill>
              <w14:schemeClr w14:val="tx1"/>
            </w14:solidFill>
          </w14:textFill>
        </w:rPr>
        <w:t xml:space="preserve">3.2.1.6</w:t>
      </w:r>
      <w:r>
        <w:rPr>
          <w:rFonts w:hint="eastAsia" w:ascii="宋体" w:hAnsi="宋体" w:cs="宋体"/>
          <w:color w:val="000000" w:themeColor="text1"/>
          <w:szCs w:val="21"/>
          <w:shd w:val="clear" w:color="auto" w:fill="ffffff"/>
          <w:lang w:bidi="ar"/>
          <w14:textFill>
            <w14:solidFill>
              <w14:schemeClr w14:val="tx1"/>
            </w14:solidFill>
          </w14:textFill>
        </w:rPr>
        <w:t xml:space="preserve">法律、行政法规规定的其他条件:</w:t>
      </w:r>
      <w:r>
        <w:rPr>
          <w:rFonts w:hint="eastAsia" w:ascii="宋体" w:hAnsi="宋体" w:cs="宋体"/>
          <w:color w:val="000000" w:themeColor="text1"/>
          <w:szCs w:val="21"/>
          <w:u w:val="single"/>
          <w:shd w:val="clear" w:color="auto" w:fill="ffffff"/>
          <w:lang w:bidi="ar"/>
          <w14:textFill>
            <w14:solidFill>
              <w14:schemeClr w14:val="tx1"/>
            </w14:solidFill>
          </w14:textFill>
        </w:rPr>
        <w:t xml:space="preserve">/      </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211"/>
        <w:spacing w:line="480" w:lineRule="exact"/>
        <w:rPr>
          <w:rFonts w:cs="宋体"/>
          <w:b/>
          <w:bCs/>
          <w:color w:val="000000" w:themeColor="text1"/>
          <w:lang w:bidi="ar"/>
          <w14:textFill>
            <w14:solidFill>
              <w14:schemeClr w14:val="tx1"/>
            </w14:solidFill>
          </w14:textFill>
        </w:rPr>
      </w:pPr>
      <w:r>
        <w:rPr>
          <w:rFonts w:hint="eastAsia" w:cs="宋体"/>
          <w:b/>
          <w:bCs/>
          <w:color w:val="000000" w:themeColor="text1"/>
          <w:lang w:bidi="ar"/>
          <w14:textFill>
            <w14:solidFill>
              <w14:schemeClr w14:val="tx1"/>
            </w14:solidFill>
          </w14:textFill>
        </w:rPr>
        <w:t xml:space="preserve">3.2.1.7落实政府采购政策需满足的资格要求：</w:t>
      </w:r>
      <w:r/>
    </w:p>
    <w:p>
      <w:pPr>
        <w:ind w:firstLine="210"/>
        <w:spacing w:line="480" w:lineRule="exact"/>
        <w:rPr>
          <w:rFonts w:cs="宋体"/>
          <w:b/>
          <w:bCs/>
          <w:color w:val="000000" w:themeColor="text1"/>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根据《政府采购促进中小企业发展管理办法》的相关规定，本项目专门面向中小企业采购。本项目所属行业为其他未列明行业。</w:t>
      </w:r>
      <w:r/>
    </w:p>
    <w:p>
      <w:pPr>
        <w:ind w:firstLine="210"/>
        <w:spacing w:line="480" w:lineRule="exact"/>
        <w:rPr>
          <w:color w:val="000000" w:themeColor="text1"/>
          <w:u w:val="single"/>
          <w14:textFill>
            <w14:solidFill>
              <w14:schemeClr w14:val="tx1"/>
            </w14:solidFill>
          </w14:textFill>
        </w:rPr>
      </w:pPr>
      <w:r>
        <w:rPr>
          <w:rFonts w:hint="eastAsia" w:cs="宋体"/>
          <w:color w:val="000000" w:themeColor="text1"/>
          <w:u w:val="single"/>
          <w:lang w:bidi="ar"/>
          <w14:textFill>
            <w14:solidFill>
              <w14:schemeClr w14:val="tx1"/>
            </w14:solidFill>
          </w14:textFill>
        </w:rPr>
        <w:t xml:space="preserve">提供《中小企业声明函》（见格式）或提供《残疾人福利性单位声明函》（见格式）或提供由省级以上监狱管理局、戒毒管理局（含新疆生产建设兵团）出具的属于监狱企业的证明文件。（同步上传在</w:t>
      </w:r>
      <w:r>
        <w:rPr>
          <w:rFonts w:hint="eastAsia" w:cs="宋体"/>
          <w:b/>
          <w:bCs/>
          <w:color w:val="000000" w:themeColor="text1"/>
          <w:u w:val="single"/>
          <w:lang w:bidi="ar"/>
          <w14:textFill>
            <w14:solidFill>
              <w14:schemeClr w14:val="tx1"/>
            </w14:solidFill>
          </w14:textFill>
        </w:rPr>
        <w:t xml:space="preserve">“资格条件”端口</w:t>
      </w:r>
      <w:r>
        <w:rPr>
          <w:rFonts w:hint="eastAsia" w:cs="宋体"/>
          <w:color w:val="000000" w:themeColor="text1"/>
          <w:u w:val="single"/>
          <w:lang w:bidi="ar"/>
          <w14:textFill>
            <w14:solidFill>
              <w14:schemeClr w14:val="tx1"/>
            </w14:solidFill>
          </w14:textFill>
        </w:rPr>
        <w:t xml:space="preserve">以及“</w:t>
      </w:r>
      <w:r>
        <w:rPr>
          <w:rFonts w:hint="eastAsia" w:cs="宋体"/>
          <w:b/>
          <w:bCs/>
          <w:color w:val="000000" w:themeColor="text1"/>
          <w:u w:val="single"/>
          <w:lang w:bidi="ar"/>
          <w14:textFill>
            <w14:solidFill>
              <w14:schemeClr w14:val="tx1"/>
            </w14:solidFill>
          </w14:textFill>
        </w:rPr>
        <w:t xml:space="preserve">企业报价折扣证明</w:t>
      </w:r>
      <w:r>
        <w:rPr>
          <w:rFonts w:hint="eastAsia" w:cs="宋体"/>
          <w:color w:val="000000" w:themeColor="text1"/>
          <w:u w:val="single"/>
          <w:lang w:bidi="ar"/>
          <w14:textFill>
            <w14:solidFill>
              <w14:schemeClr w14:val="tx1"/>
            </w14:solidFill>
          </w14:textFill>
        </w:rPr>
        <w:t xml:space="preserve">”</w:t>
      </w:r>
      <w:r>
        <w:rPr>
          <w:rFonts w:hint="eastAsia" w:cs="宋体"/>
          <w:b/>
          <w:bCs/>
          <w:color w:val="000000" w:themeColor="text1"/>
          <w:u w:val="single"/>
          <w:lang w:bidi="ar"/>
          <w14:textFill>
            <w14:solidFill>
              <w14:schemeClr w14:val="tx1"/>
            </w14:solidFill>
          </w14:textFill>
        </w:rPr>
        <w:t xml:space="preserve">端口</w:t>
      </w:r>
      <w:r>
        <w:rPr>
          <w:rFonts w:hint="eastAsia" w:cs="宋体"/>
          <w:color w:val="000000" w:themeColor="text1"/>
          <w:u w:val="single"/>
          <w:lang w:bidi="ar"/>
          <w14:textFill>
            <w14:solidFill>
              <w14:schemeClr w14:val="tx1"/>
            </w14:solidFill>
          </w14:textFill>
        </w:rPr>
        <w:t xml:space="preserve">）</w:t>
      </w:r>
      <w:r/>
    </w:p>
    <w:p>
      <w:pPr>
        <w:spacing w:line="480" w:lineRule="exact"/>
        <w:rPr>
          <w:rFonts w:cs="宋体"/>
          <w:color w:val="000000" w:themeColor="text1"/>
          <w:u w:val="single"/>
          <w:lang w:bidi="ar"/>
          <w14:textFill>
            <w14:solidFill>
              <w14:schemeClr w14:val="tx1"/>
            </w14:solidFill>
          </w14:textFill>
        </w:rPr>
      </w:pPr>
      <w:r>
        <w:rPr>
          <w:rFonts w:cs="宋体"/>
          <w:color w:val="000000" w:themeColor="text1"/>
          <w:u w:val="single"/>
          <w:lang w:bidi="ar"/>
          <w14:textFill>
            <w14:solidFill>
              <w14:schemeClr w14:val="tx1"/>
            </w14:solidFill>
          </w14:textFill>
        </w:rPr>
      </w:r>
      <w:r/>
    </w:p>
    <w:p>
      <w:pPr>
        <w:spacing w:line="480" w:lineRule="exact"/>
        <w:rPr>
          <w:rFonts w:cs="宋体"/>
          <w:color w:val="000000" w:themeColor="text1"/>
          <w:lang w:bidi="ar"/>
          <w14:textFill>
            <w14:solidFill>
              <w14:schemeClr w14:val="tx1"/>
            </w14:solidFill>
          </w14:textFill>
        </w:rPr>
      </w:pPr>
      <w:r>
        <w:rPr>
          <w:rFonts w:hint="eastAsia" w:cs="宋体"/>
          <w:color w:val="000000" w:themeColor="text1"/>
          <w:lang w:bidi="ar"/>
          <w14:textFill>
            <w14:solidFill>
              <w14:schemeClr w14:val="tx1"/>
            </w14:solidFill>
          </w14:textFill>
        </w:rPr>
        <w:t xml:space="preserve">备注：以上资格审查必须提供的材料未完整合规提供的，资格审查不合格。</w:t>
      </w:r>
      <w:r/>
    </w:p>
    <w:p>
      <w:pPr>
        <w:pStyle w:val="768"/>
        <w:rPr>
          <w:rFonts w:cs="宋体"/>
          <w:color w:val="000000" w:themeColor="text1"/>
          <w:lang w:bidi="ar"/>
          <w14:textFill>
            <w14:solidFill>
              <w14:schemeClr w14:val="tx1"/>
            </w14:solidFill>
          </w14:textFill>
        </w:rPr>
      </w:pPr>
      <w:r>
        <w:rPr>
          <w:rFonts w:cs="宋体"/>
          <w:color w:val="000000" w:themeColor="text1"/>
          <w:lang w:bidi="ar"/>
          <w14:textFill>
            <w14:solidFill>
              <w14:schemeClr w14:val="tx1"/>
            </w14:solidFill>
          </w14:textFill>
        </w:rPr>
      </w:r>
      <w:r/>
    </w:p>
    <w:p>
      <w:pPr>
        <w:ind w:firstLine="211"/>
        <w:spacing w:line="480" w:lineRule="exact"/>
        <w:rPr>
          <w:rFonts w:cs="宋体"/>
          <w:b/>
          <w:bCs/>
          <w:color w:val="000000" w:themeColor="text1"/>
          <w:lang w:bidi="ar"/>
          <w14:textFill>
            <w14:solidFill>
              <w14:schemeClr w14:val="tx1"/>
            </w14:solidFill>
          </w14:textFill>
        </w:rPr>
      </w:pPr>
      <w:r>
        <w:rPr>
          <w:rFonts w:hint="eastAsia" w:cs="宋体"/>
          <w:b/>
          <w:bCs/>
          <w:color w:val="000000" w:themeColor="text1"/>
          <w:lang w:bidi="ar"/>
          <w14:textFill>
            <w14:solidFill>
              <w14:schemeClr w14:val="tx1"/>
            </w14:solidFill>
          </w14:textFill>
        </w:rPr>
        <w:t xml:space="preserve">3.2.1.8特定资格条件：/</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3.2.2符合性审查文件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3.2.2.1磋商响应函（格式见第六章）；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3.2.2.2磋商报价表（格式见第六章）；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3.2.2.3服务要求偏离表（格式见第六章）；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3.2.2.4法人授权委托书（如有授权委托，格式见第六章）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3.2.2.5代理人身份证（如有授权委托）</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3.2.2.6服务团队人员介绍及相关证书复印件；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3.2.2.7采购需求中所涉及到的或响应单位认为需加以说明或证明的其他材料、证明；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 综合评审文件：评分标准中所涉及到的各项方案、相关制度及其他得分证明材料等。</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以上3.2.1.1---3.2.1.5项是资格审查要求必须提供的材料，专门面向中小企业的项目还必须提供3.2.1.7项资料，否则响应无效。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以上3.2.2.1-3.2.2.3、3.2.2.6为符合性审查必须提供的资料，如有授权委托，采购需求中所涉及到的或响应单位认为需加以说明或证明的其他材料、证明还必须提供3.2.2.4、3.2.2.5、3.2.2.7项材料，否则响应无效。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rPr>
          <w:rFonts w:hint="eastAsia"/>
          <w:b/>
          <w:bCs/>
          <w:color w:val="000000" w:themeColor="text1"/>
          <w14:textFill>
            <w14:solidFill>
              <w14:schemeClr w14:val="tx1"/>
            </w14:solidFill>
          </w14:textFill>
        </w:rPr>
        <w:t xml:space="preserve">为便于评审，防止漏评、误判，制作电子投标（响应）文件时请与电子投标（响应）文件制作软件目录一一对应，将相关资料上传至对应模块</w:t>
      </w:r>
      <w:r>
        <w:rPr>
          <w:rFonts w:hint="eastAsia"/>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供应商应保证上传的投标（响应）文件完整、清晰可辨认，若因上传资料过小或模糊不清等肉眼无法辨认的都视为该资料未提供。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如供应商响应文件中某些条款不响应磋商文件提出的全部服务内容与要求，须在偏离表中逐条列出，未列出的视同响应。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3.3响应报价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3.3.3供应商应对所投项目的全部内容进行报价，只对其中部分内容报价的，其响应无效。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3.3.4一项采购内容只允许一个报价，任何有选择性响应报价的，其响应无效。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报价的大写金额和小写金额不一致的，以大写金额为准。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单价金额小数点或者百分比有明显错位的，以该次报价总价为准。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总价金额与按单价汇总金额不一致的，以单价金额计算结果为准。</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响应文件报价中的单价和总价全部采用人民币表示，费率以人民币的百分比（%）表示，除非另有规定。</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3.3.10</w:t>
      </w:r>
      <w:r>
        <w:rPr>
          <w:rFonts w:hint="eastAsia"/>
          <w:color w:val="000000" w:themeColor="text1"/>
          <w14:textFill>
            <w14:solidFill>
              <w14:schemeClr w14:val="tx1"/>
            </w14:solidFill>
          </w14:textFill>
        </w:rPr>
        <w:t xml:space="preserve">根据江苏省财政厅转发“苏财购【2026】36号”《财政部关于推动解决政府采购异常低价问题的通知》，在评标过程中，如出现投标单位低价投标（响应）的情况，评标委员会将对异常低价投标（响应）启动审查，审查的情形和具体要求，包括：</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）评</w:t>
      </w:r>
      <w:r>
        <w:rPr>
          <w:rFonts w:hint="eastAsia"/>
          <w:color w:val="000000" w:themeColor="text1"/>
          <w:lang w:val="en-US" w:eastAsia="zh-CN"/>
          <w14:textFill>
            <w14:solidFill>
              <w14:schemeClr w14:val="tx1"/>
            </w14:solidFill>
          </w14:textFill>
        </w:rPr>
        <w:t xml:space="preserve">审</w:t>
      </w:r>
      <w:r>
        <w:rPr>
          <w:rFonts w:hint="eastAsia"/>
          <w:color w:val="000000" w:themeColor="text1"/>
          <w14:textFill>
            <w14:solidFill>
              <w14:schemeClr w14:val="tx1"/>
            </w14:solidFill>
          </w14:textFill>
        </w:rPr>
        <w:t xml:space="preserve">过程中出现下列情形之一的，评</w:t>
      </w:r>
      <w:r>
        <w:rPr>
          <w:rFonts w:hint="eastAsia"/>
          <w:color w:val="000000" w:themeColor="text1"/>
          <w:lang w:val="en-US" w:eastAsia="zh-CN"/>
          <w14:textFill>
            <w14:solidFill>
              <w14:schemeClr w14:val="tx1"/>
            </w14:solidFill>
          </w14:textFill>
        </w:rPr>
        <w:t xml:space="preserve">审</w:t>
      </w:r>
      <w:r>
        <w:rPr>
          <w:rFonts w:hint="eastAsia"/>
          <w:color w:val="000000" w:themeColor="text1"/>
          <w14:textFill>
            <w14:solidFill>
              <w14:schemeClr w14:val="tx1"/>
            </w14:solidFill>
          </w14:textFill>
        </w:rPr>
        <w:t xml:space="preserve">委员会应当启动异常低价投标（响应）审查程序： </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 </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 </w:t>
      </w:r>
      <w:r/>
    </w:p>
    <w:p>
      <w:pPr>
        <w:ind w:firstLine="420"/>
        <w:spacing w:line="360" w:lineRule="auto"/>
        <w:rPr>
          <w:rFonts w:hint="eastAsia"/>
          <w:color w:val="auto"/>
          <w:highlight w:val="none"/>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3）投标（响应）报价低于采购项目最高限价45%的，即投标（响应）报价&lt;采购项目最高限价×</w:t>
      </w:r>
      <w:r>
        <w:rPr>
          <w:rFonts w:hint="eastAsia"/>
          <w:color w:val="auto"/>
          <w:highlight w:val="none"/>
        </w:rPr>
        <w:t xml:space="preserve">45% ；</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（1.4）评审委员会基于专业判断，认为供应商报价过低，有可能影响产品质量或者不能诚信履约的其他情形。 </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）启动异常低价投标（响应）审查后，评标委员会应当要求相关供应商在启动审查的40分钟内，提供项目具体成本测算等与报价合理性相关的书面说明及必要的证明材料，包括但不限于</w:t>
      </w:r>
      <w:r>
        <w:rPr>
          <w:rFonts w:hint="eastAsia"/>
          <w:color w:val="000000" w:themeColor="text1"/>
          <w14:textFill>
            <w14:solidFill>
              <w14:schemeClr w14:val="tx1"/>
            </w14:solidFill>
          </w14:textFill>
        </w:rPr>
        <w:t xml:space="preserve">原材料成本、人工成本、制造费用等对投标（响应）价格作出解释，其中属于第3项情形的，供应商已随投标（响应）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投标（响应）供应商不提供书面说明、证明材料，或者提供的书面说明、证明材料不能证明其报价合理性的，评审委员会应当将其作为无效投标（响应）处理。审查相关情况现场在评审报告中进行记录。</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3.4电子投标（响应）文件的编制与递交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3.4.3 响应文件未按照磋商文件要求加盖CA电子公章的，响应无效。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3.4.4联合体投标：如招标（采购）公告中允许联合体投标，联合体投标的投标（响应）文件制作上传操作如下：</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第一步：在投标（响应）文件中上传联合体投标协议书。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第二步；在投标（响应）文件中，由联合体中的牵头人制作投标（响应）文件。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3.4.5如投标（响应）文件制作机器码信息一致，视为不同投标供应商使用同一台电脑编制投标（响应）文件，投标（响应）无效。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3.5响应文件开启（解密）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3.5.1线上参加（观看）开标（开启）会方式：登录“苏采云”系统，点击“开标大厅”，选择对应项目，点击进入不见面开标系统。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3.5.3供应商在“苏采云”系统规定的时间内未成功解密电子响应文件的，响应无效。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3.6技术支持：联系方式见磋商采购公告</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3.7响应文件的修改和撤回</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4磋商程序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4.1磋商小组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4.1.2磋商小组与参加采购活动的供应商存在下列利害关系之一的，应当回避:</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(1)参加采购活动前三年内，与供应商存在劳动关系，或者担任过供应商的董事、监事，或者是供应商的控股股东或实际控制人；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(2)与供应商的法定代表人或者负责人有夫妻、直系血亲、三代以内旁系血亲或者近姻亲关系；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(3)与供应商有其他可能影响政府采购活动公平、公正进行的关系。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4.1.4磋商小组成员应当按照客观、公正、审慎的原则，根据磋商文件规定的评审程序、评审方法和评审标准进行独立评审。</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4.2响应文件审查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4.2.1由磋商小组按磋商文件的资格条件进行资格性审查，未通过资格性审查的响应无效。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（1）查询时间：响应文件递交截止时间。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（2）查询渠道：采购代理机构会在接收投标文件截止时间后，登录信用中国网站（www.creditchina.gov.cn）和中国政府采购网（www.ccgp.gov.cn/）查询供应商的信用记录，并将查询结果递交评标委员会。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（二）财政部门与法院、工商、税务等部门联合惩戒的失信信息，包括：</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（1）被列入失信被执行人名单；</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（2）被列入重大税收违法案件当事人名单；</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4.4澄清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4.4.1本项目采用线上澄清。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4.4.3接到磋商小组澄清、说明和更正要求的供应商如未按规定做出澄清、说明和更正，其风险由供应商自行承担。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4.5最后报价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4.5.4磋商小组认为某最后报价明显低于其他供应商的最后报价，有可能影响产品质量或者不能诚信履约的，应当要求其在</w:t>
      </w:r>
      <w:r>
        <w:rPr>
          <w:rFonts w:hint="eastAsia"/>
          <w:color w:val="000000" w:themeColor="text1"/>
          <w:lang w:val="en-US" w:eastAsia="zh-CN"/>
          <w14:textFill>
            <w14:solidFill>
              <w14:schemeClr w14:val="tx1"/>
            </w14:solidFill>
          </w14:textFill>
        </w:rPr>
        <w:t xml:space="preserve">规定</w:t>
      </w:r>
      <w:r>
        <w:rPr>
          <w:rFonts w:hint="eastAsia"/>
          <w:color w:val="000000" w:themeColor="text1"/>
          <w14:textFill>
            <w14:solidFill>
              <w14:schemeClr w14:val="tx1"/>
            </w14:solidFill>
          </w14:textFill>
        </w:rPr>
        <w:t xml:space="preserve">时间内提供</w:t>
      </w:r>
      <w:r>
        <w:rPr>
          <w:rFonts w:hint="eastAsia"/>
          <w:color w:val="000000" w:themeColor="text1"/>
          <w:lang w:val="en-US" w:eastAsia="zh-CN"/>
          <w14:textFill>
            <w14:solidFill>
              <w14:schemeClr w14:val="tx1"/>
            </w14:solidFill>
          </w14:textFill>
        </w:rPr>
        <w:t xml:space="preserve">成本测算与报价合理性的</w:t>
      </w:r>
      <w:r>
        <w:rPr>
          <w:rFonts w:hint="eastAsia"/>
          <w:color w:val="000000" w:themeColor="text1"/>
          <w14:textFill>
            <w14:solidFill>
              <w14:schemeClr w14:val="tx1"/>
            </w14:solidFill>
          </w14:textFill>
        </w:rPr>
        <w:t xml:space="preserve">相关证明材料；供应商不能证明其报价合理性的，磋商小组应当将其响应文件按无效</w:t>
      </w:r>
      <w:r>
        <w:rPr>
          <w:rFonts w:hint="eastAsia"/>
          <w:color w:val="000000" w:themeColor="text1"/>
          <w:lang w:val="en-US" w:eastAsia="zh-CN"/>
          <w14:textFill>
            <w14:solidFill>
              <w14:schemeClr w14:val="tx1"/>
            </w14:solidFill>
          </w14:textFill>
        </w:rPr>
        <w:t xml:space="preserve">响应</w:t>
      </w:r>
      <w:r>
        <w:rPr>
          <w:rFonts w:hint="eastAsia"/>
          <w:color w:val="000000" w:themeColor="text1"/>
          <w14:textFill>
            <w14:solidFill>
              <w14:schemeClr w14:val="tx1"/>
            </w14:solidFill>
          </w14:textFill>
        </w:rPr>
        <w:t xml:space="preserve">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4.5.5未在规定时间提交最后报价的，响应文件按无效处理。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4.5.6在规定时间内提交最后报价的供应商少于3家的，项目终止。</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4.5.7如磋商过程中出现本磋商文件未尽事宜，由磋商小组根据政府采购有关法律、法规讨论决定。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5项目终止</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5.1、因情况变化，不再符合规定的竞争性磋商采购方式适用情形的；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5.2、出现影响采购公正的违法、违规行为的；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项目终止后，采购代理机构将项目终止的理由告知所有供应商。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6成交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6.2磋商小组根据磋商成交原则确定成交供应商。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6.3采购人或者采购代理机构应当在成交供应商确定后2个工作日内，在政府采购信息媒体上发布成交结果，成交公告期限为1个工作日。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6.4采购人或采购代理机构根据相关规定发布成交公告，成交公告发出的同时应当向</w:t>
      </w:r>
      <w:r>
        <w:rPr>
          <w:rFonts w:hint="eastAsia"/>
          <w:color w:val="000000" w:themeColor="text1"/>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6.5成交通知书发出后，采购人不得违法改变成交结果，成交供应商无正当理由不得放弃成交。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7履约保证金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7.1详见本采购文件合同文本中的约定。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9.1质疑及答复遵守《政府采购质疑和投诉办法》（中华人民共和国财政部令第94号）规定。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9.2供应商认为采购文件、采购过程和采购结果使自己的权益受到损害的，可以在知道或应知其权益受到损害之日起七个工作日内，以书面形式向代理机构提出质疑。上述应知其权益受到损害之日，是指：</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①对可以质疑的采购文件提出质疑的，为收到采购文件之日或者采购文件公告期限届满之日；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②对采购过程提出质疑的，为各采购程序环节结束之日；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③对中标或者成交结果提出质疑的，为中标或者成交结果公告期限届满之日。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9.5供应商（含潜在供应商）询问、质疑请向采购代理机构提出，由采购代理机构负责答复。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联系单位：苏州市永诚建设咨询有限公司</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联系电话：0512-69</w:t>
      </w:r>
      <w:r>
        <w:rPr>
          <w:color w:val="000000" w:themeColor="text1"/>
          <w14:textFill>
            <w14:solidFill>
              <w14:schemeClr w14:val="tx1"/>
            </w14:solidFill>
          </w14:textFill>
        </w:rPr>
        <w:t xml:space="preserve">157588</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通讯地址：苏州市东吴北路2</w:t>
      </w:r>
      <w:r>
        <w:rPr>
          <w:color w:val="000000" w:themeColor="text1"/>
          <w14:textFill>
            <w14:solidFill>
              <w14:schemeClr w14:val="tx1"/>
            </w14:solidFill>
          </w14:textFill>
        </w:rPr>
        <w:t xml:space="preserve">21</w:t>
      </w:r>
      <w:r>
        <w:rPr>
          <w:rFonts w:hint="eastAsia"/>
          <w:color w:val="000000" w:themeColor="text1"/>
          <w14:textFill>
            <w14:solidFill>
              <w14:schemeClr w14:val="tx1"/>
            </w14:solidFill>
          </w14:textFill>
        </w:rPr>
        <w:t xml:space="preserve">号7楼</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联系人：程能之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10未尽事宜</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按《中华人民共和国政府采购法》及其他有关法律法规的规定执行。</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b/>
          <w:bCs/>
          <w:color w:val="000000" w:themeColor="text1"/>
          <w:sz w:val="32"/>
          <w:szCs w:val="32"/>
          <w14:textFill>
            <w14:solidFill>
              <w14:schemeClr w14:val="tx1"/>
            </w14:solidFill>
          </w14:textFill>
        </w:rPr>
      </w:pPr>
      <w:r>
        <w:rPr>
          <w:color w:val="000000" w:themeColor="text1"/>
          <w14:textFill>
            <w14:solidFill>
              <w14:schemeClr w14:val="tx1"/>
            </w14:solidFill>
          </w14:textFill>
        </w:rPr>
        <w:br w:type="page" w:clear="all"/>
      </w:r>
      <w:bookmarkEnd w:id="1"/>
      <w:r/>
      <w:r/>
    </w:p>
    <w:p>
      <w:pPr>
        <w:numPr>
          <w:ilvl w:val="0"/>
          <w:numId w:val="1"/>
        </w:numPr>
        <w:ind w:firstLine="3033"/>
        <w:tabs>
          <w:tab w:val="left" w:pos="315" w:leader="none"/>
          <w:tab w:val="center" w:pos="4153" w:leader="none"/>
        </w:tabs>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采购内容</w:t>
      </w:r>
      <w:r/>
    </w:p>
    <w:p>
      <w:pPr>
        <w:numPr>
          <w:ilvl w:val="0"/>
          <w:numId w:val="0"/>
        </w:numPr>
        <w:tabs>
          <w:tab w:val="left" w:pos="315" w:leader="none"/>
          <w:tab w:val="center" w:pos="4153" w:leader="none"/>
        </w:tabs>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20"/>
        <w:spacing w:line="360" w:lineRule="auto"/>
        <w:tabs>
          <w:tab w:val="left" w:pos="315" w:leader="none"/>
          <w:tab w:val="center" w:pos="415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苏州市永诚建设咨询有限公司受苏州工业园区胜浦街道办事处的委托，就其所需要采购的胜浦街道红管网格积分项目在国内组织竞争性磋商采购。欢迎符合采购文件资格条件的供应商前来参加磋商。</w:t>
      </w:r>
      <w:r/>
    </w:p>
    <w:p>
      <w:pPr>
        <w:ind w:firstLine="420"/>
        <w:spacing w:line="360" w:lineRule="auto"/>
        <w:tabs>
          <w:tab w:val="left" w:pos="315" w:leader="none"/>
          <w:tab w:val="center" w:pos="4153" w:leader="none"/>
        </w:tabs>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一、项目编号：</w:t>
      </w:r>
      <w:r>
        <w:rPr>
          <w:rFonts w:hint="eastAsia" w:ascii="宋体" w:hAnsi="宋体" w:cs="宋体"/>
          <w:color w:val="000000" w:themeColor="text1"/>
          <w:szCs w:val="21"/>
          <w:lang w:eastAsia="zh-CN"/>
          <w14:textFill>
            <w14:solidFill>
              <w14:schemeClr w14:val="tx1"/>
            </w14:solidFill>
          </w14:textFill>
        </w:rPr>
        <w:t xml:space="preserve">JSZC-320591-CCCC-C2026-0012</w:t>
      </w:r>
      <w:r/>
    </w:p>
    <w:p>
      <w:pPr>
        <w:ind w:firstLine="420"/>
        <w:spacing w:line="360" w:lineRule="auto"/>
        <w:tabs>
          <w:tab w:val="left" w:pos="315" w:leader="none"/>
          <w:tab w:val="center" w:pos="415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二、项目名称：胜浦街道红管网格积分项目</w:t>
      </w:r>
      <w:r/>
    </w:p>
    <w:p>
      <w:pPr>
        <w:ind w:firstLine="420"/>
        <w:spacing w:line="360" w:lineRule="auto"/>
        <w:tabs>
          <w:tab w:val="left" w:pos="315" w:leader="none"/>
          <w:tab w:val="center" w:pos="415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三、预算金额：人民币壹佰万圆整（￥1000000元），其中：专业服务：200000元；积分兑换物资服务：600000元；运营支持服务：200000元。</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四、最高限价：人民币壹佰万圆整（￥1000000元），其中：专业服务：200000元；积分兑换物资</w:t>
      </w:r>
      <w:r>
        <w:rPr>
          <w:rFonts w:hint="eastAsia" w:ascii="宋体" w:hAnsi="宋体" w:cs="宋体"/>
          <w:color w:val="000000" w:themeColor="text1"/>
          <w:szCs w:val="21"/>
          <w:highlight w:val="none"/>
          <w14:textFill>
            <w14:solidFill>
              <w14:schemeClr w14:val="tx1"/>
            </w14:solidFill>
          </w14:textFill>
        </w:rPr>
        <w:t xml:space="preserve">服务：600000元；运营支持服务：200000元。</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五、服务期限：合同签订之日起壹年。</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六、采购需求：</w:t>
      </w:r>
      <w:r/>
    </w:p>
    <w:p>
      <w:pPr>
        <w:ind w:firstLine="211"/>
        <w:spacing w:line="360" w:lineRule="auto"/>
        <w:tabs>
          <w:tab w:val="left" w:pos="315" w:leader="none"/>
          <w:tab w:val="center" w:pos="4153"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（一）指导思想</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习近平新时代中国特色社会主义思想为指引，突出政治功能和服务功能，充分发挥基层党组织凝聚群众、服务群众的职责，把基层党组织建设成为领导基层治理、团结动员群众的坚强战斗堡垒。持续推进红管网格积分项目，完善党委领导、政府负责、社会协同、公众参与、法治保障的社会治理体制，深化“红色朋友圈”与区域化党建共同体建设，提升品牌影响力和治理覆盖面，带领广大人民群众建设美好生活。</w:t>
      </w:r>
      <w:r/>
    </w:p>
    <w:p>
      <w:pPr>
        <w:ind w:firstLine="211"/>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（二）目标任务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街道层面</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胜浦街道原有“红管志愿者激励项目”基础上，坚持和发展新时代“枫桥经验”，持续推进红管网格积分项目，形成具有鲜明时代特色的“党政牵头、条线协助、群众参与、志愿服务、预防纠纷、化解矛盾、区域稳定、促进发展”的胜浦新经验。</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社区层面</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托红浦“慧”治理志愿者培训学院，培育内生型自治团队，系统设计课程体系，探索并推行红管志愿者积分等级认证机制，夯实基层治理人才基础，打造凝聚力强、执行力强的社区红管先锋团队，储备社区建设力量。</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社会层面</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拓展积分兑换场景，丰富兑换资源，推动各条线服务与物资资源有序纳入兑换体系，提升激励吸引力和实效性；</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推动积分机制向企业、商圈、新业态新就业群体延伸，深化“红色朋友圈”与区域化党建共同体建设，提升品牌影响力和治理覆盖面；</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加强社会资源和社会力量的参与，促进社会支持体系建设；提升区域居民的公共意识，强化党建引领、社会参与、互助精神；加强对弱势群体的关怀和帮扶，提升人民幸福感。</w:t>
      </w:r>
      <w:r/>
    </w:p>
    <w:p>
      <w:pPr>
        <w:ind w:firstLine="420"/>
        <w:spacing w:line="360" w:lineRule="auto"/>
        <w:tabs>
          <w:tab w:val="left" w:pos="315" w:leader="none"/>
          <w:tab w:val="center" w:pos="4153"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（三）服务内容及要求</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专业服务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通过对各社区开展调研及数据分析，了解掌握辖区发展特点和公共问题现状，掌握最新社区现状、需求与资源清单；完成社区公益服务需求排序；形成企事业单位合作清单。前置调研结果是一切工作开展的基础和依据。</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2）项目实施过程中，做好服务数据和条目的录入、监管、审核以及街道、社区用户的服务沟通工作，并进行工作群的运营管理；配置有经验的第三方督导团队开展全过程规范化督导工作，并出具督导工作报告。</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3）项目实施过程中，做好志愿者团队的数据校验、沟通和管理工作，并根据实施情况进行积分累积和积分等级动态调整。</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4）对项目进展进行实时监测，做好数据分析、处理，并向街道阶段性汇报，阶段性报告中须包含积分等级认证实施情况、新业态新就业群体参与数据、各条线资源整合进度等内容。</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链接各类社会资源，做好产品、服务资源的匹配工作，并对开展的服务进行质量跟踪和监管。重点拓展企业、商圈、新就业群体（快递员、外卖员、网约车司机等）参与积分体系的具体方案，并纳入项目考核指标。</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6）搜集项目实施过程中志愿者团队意见，结合实际情况向街道反馈并给出建议方案，便于及时调整。</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7）红浦“慧”治理志愿者培训学院策划与实施</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完成相关志愿者招募、面试、筛选工作；</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系统设计课程体系：包括基础培训、专项技能、实践演练、领导力提升等模块，形成分层分类的课程大纲；</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组织开展治理学院开学仪式、培训赋能、实践测试、成果呈现等全过程服务；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探索并推行红管志愿者积分等级认证机制：明确等级划分标准（如初级、中级、高级、先锋级），将积分累积、培训学时、实践表现等纳入认证依据，并对应不同的激励权益；</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在运营支持系统中实现积分等级认证模块，支持自动计算志愿者等级、等级变更提醒、等级对应权益配置等功能。</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提供积分兑换相关活动策划和组织实施服务。根据项目策划方案结合项目参与团队实际情况，策划优质的品牌活动，吸引更多人关注、参与，强化认知。活动策划应体现积分兑换场景的多元化（线上即时兑换、社区便民服务点、商圈合作点等）。</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积分兑换物资服务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1）在项目实施期间，向街道提供可积分兑换的物资和相关服务。本部分服务遵循先审批后服务的原则，将定期提交物资及服务供应计划，待街道相关部门审批通过后，供应商将开始执行具体工作。</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拓展积分兑换场景：除每月一次的集中兑换外，鼓励开展线上即时兑换、社区便民服务点兑换、商圈合作点兑换等多元场景。</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动各条线服务与物资资源有序纳入兑换体系：供应商应协助街道整合党建、民政、妇联、团委、卫健、城管等条线的现有服务与物资资源，形成统一的积分兑换目录，并建立资源入库、更新、核销的标准化流程。</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提升激励吸引力和实效性：定期分析兑换数据，优化资源匹配，根据志愿者等级设置差异化的兑换权益。</w:t>
      </w:r>
      <w:r/>
    </w:p>
    <w:p>
      <w:pPr>
        <w:ind w:firstLine="420"/>
        <w:spacing w:line="360" w:lineRule="auto"/>
        <w:tabs>
          <w:tab w:val="left" w:pos="315" w:leader="none"/>
          <w:tab w:val="center" w:pos="4153"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2）在项目执行阶段，协助街道、社区进行资源的梳理与整合，供应商应当利用自身的优势吸引更多的社会资源投入到项目中，特别是企业、商圈、新业态新就业群体相关资源。</w:t>
      </w:r>
      <w:r/>
    </w:p>
    <w:tbl>
      <w:tblPr>
        <w:tblStyle w:val="715"/>
        <w:tblW w:w="98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5"/>
        <w:gridCol w:w="4681"/>
        <w:gridCol w:w="3538"/>
      </w:tblGrid>
      <w:tr>
        <w:trPr>
          <w:jc w:val="center"/>
          <w:trHeight w:val="451"/>
        </w:trPr>
        <w:tc>
          <w:tcPr>
            <w:tcW w:w="1655" w:type="dxa"/>
            <w:textDirection w:val="lrTb"/>
            <w:noWrap w:val="false"/>
          </w:tcPr>
          <w:p>
            <w:pPr>
              <w:rPr>
                <w:rFonts w:asciiTheme="minorEastAsia" w:hAnsiTheme="minorEastAsia" w:eastAsiaTheme="minorEastAsia" w:cstheme="minorEastAsia"/>
                <w:szCs w:val="21"/>
                <w:highlight w:val="none"/>
              </w:rPr>
            </w:pPr>
            <w:r/>
            <w:bookmarkStart w:id="2" w:name="_Hlk161913413"/>
            <w:r/>
            <w:r/>
          </w:p>
        </w:tc>
        <w:tc>
          <w:tcPr>
            <w:tcW w:w="4681"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社区</w:t>
            </w:r>
            <w:r/>
          </w:p>
        </w:tc>
        <w:tc>
          <w:tcPr>
            <w:tcW w:w="3538"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企事业单位</w:t>
            </w:r>
            <w:r/>
          </w:p>
        </w:tc>
      </w:tr>
      <w:tr>
        <w:trPr>
          <w:jc w:val="center"/>
          <w:trHeight w:val="424"/>
        </w:trPr>
        <w:tc>
          <w:tcPr>
            <w:tcW w:w="1655"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方式</w:t>
            </w:r>
            <w:r/>
          </w:p>
        </w:tc>
        <w:tc>
          <w:tcPr>
            <w:tcW w:w="4681"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兑换</w:t>
            </w:r>
            <w:r/>
          </w:p>
        </w:tc>
        <w:tc>
          <w:tcPr>
            <w:tcW w:w="3538"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表彰、激励</w:t>
            </w:r>
            <w:r/>
          </w:p>
        </w:tc>
      </w:tr>
      <w:tr>
        <w:trPr>
          <w:jc w:val="center"/>
        </w:trPr>
        <w:tc>
          <w:tcPr>
            <w:tcW w:w="1655"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时间</w:t>
            </w:r>
            <w:r/>
          </w:p>
        </w:tc>
        <w:tc>
          <w:tcPr>
            <w:tcW w:w="4681"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随时</w:t>
            </w:r>
            <w:r/>
          </w:p>
        </w:tc>
        <w:tc>
          <w:tcPr>
            <w:tcW w:w="3538"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半年度</w:t>
            </w:r>
            <w:r/>
          </w:p>
        </w:tc>
      </w:tr>
      <w:tr>
        <w:trPr>
          <w:jc w:val="center"/>
        </w:trPr>
        <w:tc>
          <w:tcPr>
            <w:tcW w:w="1655"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载体</w:t>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街道资源：街道发放、社区兑换+红浦驿站兑换</w:t>
            </w:r>
            <w:r/>
          </w:p>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社区资源：社区兑换</w:t>
            </w:r>
            <w:r/>
          </w:p>
        </w:tc>
        <w:tc>
          <w:tcPr>
            <w:tcW w:w="3538"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街道表彰</w:t>
            </w:r>
            <w:r/>
          </w:p>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社区服务</w:t>
            </w:r>
            <w:r/>
          </w:p>
        </w:tc>
      </w:tr>
      <w:tr>
        <w:trPr>
          <w:jc w:val="center"/>
        </w:trPr>
        <w:tc>
          <w:tcPr>
            <w:tcW w:w="1655" w:type="dxa"/>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荣誉类</w:t>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星级红管志愿者、红管先锋</w:t>
            </w:r>
            <w:r/>
          </w:p>
        </w:tc>
        <w:tc>
          <w:tcPr>
            <w:tcW w:w="3538" w:type="dxa"/>
            <w:vAlign w:val="center"/>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星级红浦先锋</w:t>
            </w:r>
            <w:r/>
          </w:p>
        </w:tc>
      </w:tr>
      <w:tr>
        <w:trPr>
          <w:cantSplit/>
          <w:jc w:val="center"/>
        </w:trPr>
        <w:tc>
          <w:tcPr>
            <w:tcW w:w="1655" w:type="dxa"/>
            <w:vMerge w:val="restart"/>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服务类</w:t>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en-US"/>
              </w:rPr>
              <w:t xml:space="preserve">教育服务</w:t>
            </w:r>
            <w:r>
              <w:rPr>
                <w:rFonts w:hint="eastAsia" w:asciiTheme="minorEastAsia" w:hAnsiTheme="minorEastAsia" w:eastAsiaTheme="minorEastAsia" w:cstheme="minorEastAsia"/>
                <w:szCs w:val="21"/>
                <w:highlight w:val="none"/>
              </w:rPr>
              <w:t xml:space="preserve">、文娱活动</w:t>
            </w:r>
            <w:r/>
          </w:p>
        </w:tc>
        <w:tc>
          <w:tcPr>
            <w:tcW w:w="3538" w:type="dxa"/>
            <w:vAlign w:val="center"/>
            <w:vMerge w:val="restart"/>
            <w:textDirection w:val="lrTb"/>
            <w:noWrap w:val="false"/>
          </w:tcPr>
          <w:p>
            <w:pPr>
              <w:rPr>
                <w:rFonts w:asciiTheme="minorEastAsia" w:hAnsiTheme="minorEastAsia" w:eastAsiaTheme="minorEastAsia" w:cstheme="minorEastAsia"/>
                <w:szCs w:val="21"/>
                <w:highlight w:val="none"/>
                <w:lang w:eastAsia="en-US"/>
              </w:rPr>
            </w:pPr>
            <w:r>
              <w:rPr>
                <w:rFonts w:hint="eastAsia" w:asciiTheme="minorEastAsia" w:hAnsiTheme="minorEastAsia" w:eastAsiaTheme="minorEastAsia" w:cstheme="minorEastAsia"/>
                <w:szCs w:val="21"/>
                <w:highlight w:val="none"/>
                <w:lang w:eastAsia="en-US"/>
              </w:rPr>
              <w:t xml:space="preserve">无</w:t>
            </w:r>
            <w:r/>
          </w:p>
        </w:tc>
      </w:tr>
      <w:tr>
        <w:trPr>
          <w:cantSplit/>
          <w:jc w:val="center"/>
        </w:trPr>
        <w:tc>
          <w:tcPr>
            <w:tcW w:w="1655" w:type="dxa"/>
            <w:vMerge w:val="continue"/>
            <w:textDirection w:val="lrTb"/>
            <w:noWrap w:val="false"/>
          </w:tcPr>
          <w:p>
            <w:pPr>
              <w:jc w:val="center"/>
              <w:rPr>
                <w:rFonts w:asciiTheme="minorEastAsia" w:hAnsiTheme="minorEastAsia" w:eastAsiaTheme="minorEastAsia" w:cstheme="minorEastAsia"/>
                <w:b/>
                <w:bCs/>
                <w:szCs w:val="21"/>
                <w:highlight w:val="none"/>
                <w:lang w:eastAsia="en-US"/>
              </w:rPr>
            </w:pPr>
            <w:r>
              <w:rPr>
                <w:rFonts w:asciiTheme="minorEastAsia" w:hAnsiTheme="minorEastAsia" w:eastAsiaTheme="minorEastAsia" w:cstheme="minorEastAsia"/>
                <w:b/>
                <w:bCs/>
                <w:szCs w:val="21"/>
                <w:highlight w:val="none"/>
                <w:lang w:eastAsia="en-US"/>
              </w:rPr>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生活服务（家政、家电维修等）</w:t>
            </w:r>
            <w:r/>
          </w:p>
        </w:tc>
        <w:tc>
          <w:tcPr>
            <w:tcW w:w="3538" w:type="dxa"/>
            <w:vMerge w:val="continue"/>
            <w:textDirection w:val="lrTb"/>
            <w:noWrap w:val="false"/>
          </w:tcPr>
          <w:p>
            <w:pPr>
              <w:jc w:val="left"/>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r>
      <w:tr>
        <w:trPr>
          <w:cantSplit/>
          <w:jc w:val="center"/>
        </w:trPr>
        <w:tc>
          <w:tcPr>
            <w:tcW w:w="1655" w:type="dxa"/>
            <w:vMerge w:val="continue"/>
            <w:textDirection w:val="lrTb"/>
            <w:noWrap w:val="false"/>
          </w:tcPr>
          <w:p>
            <w:pPr>
              <w:jc w:val="center"/>
              <w:rPr>
                <w:rFonts w:asciiTheme="minorEastAsia" w:hAnsiTheme="minorEastAsia" w:eastAsiaTheme="minorEastAsia" w:cstheme="minorEastAsia"/>
                <w:b/>
                <w:bCs/>
                <w:szCs w:val="21"/>
                <w:highlight w:val="none"/>
              </w:rPr>
            </w:pPr>
            <w:r>
              <w:rPr>
                <w:rFonts w:asciiTheme="minorEastAsia" w:hAnsiTheme="minorEastAsia" w:eastAsiaTheme="minorEastAsia" w:cstheme="minorEastAsia"/>
                <w:b/>
                <w:bCs/>
                <w:szCs w:val="21"/>
                <w:highlight w:val="none"/>
              </w:rPr>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便民服务（餐饮、体检等）</w:t>
            </w:r>
            <w:r/>
          </w:p>
        </w:tc>
        <w:tc>
          <w:tcPr>
            <w:tcW w:w="3538" w:type="dxa"/>
            <w:vMerge w:val="continue"/>
            <w:textDirection w:val="lrTb"/>
            <w:noWrap w:val="false"/>
          </w:tcPr>
          <w:p>
            <w:pPr>
              <w:jc w:val="left"/>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r>
      <w:tr>
        <w:trPr>
          <w:cantSplit/>
          <w:jc w:val="center"/>
        </w:trPr>
        <w:tc>
          <w:tcPr>
            <w:tcW w:w="1655" w:type="dxa"/>
            <w:vMerge w:val="restart"/>
            <w:textDirection w:val="lrTb"/>
            <w:noWrap w:val="false"/>
          </w:tcPr>
          <w:p>
            <w:pPr>
              <w:jc w:val="center"/>
              <w:rPr>
                <w:rFonts w:asciiTheme="minorEastAsia" w:hAnsiTheme="minorEastAsia" w:eastAsiaTheme="minorEastAsia" w:cstheme="minorEastAsia"/>
                <w:b/>
                <w:bCs/>
                <w:szCs w:val="21"/>
                <w:highlight w:val="none"/>
                <w:lang w:eastAsia="en-US"/>
              </w:rPr>
            </w:pPr>
            <w:r>
              <w:rPr>
                <w:rFonts w:hint="eastAsia" w:asciiTheme="minorEastAsia" w:hAnsiTheme="minorEastAsia" w:eastAsiaTheme="minorEastAsia" w:cstheme="minorEastAsia"/>
                <w:b/>
                <w:bCs/>
                <w:szCs w:val="21"/>
                <w:highlight w:val="none"/>
                <w:lang w:eastAsia="en-US"/>
              </w:rPr>
              <w:t xml:space="preserve">商品类</w:t>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零食、粮油米面、洗护用品、生活用品等</w:t>
            </w:r>
            <w:r/>
          </w:p>
        </w:tc>
        <w:tc>
          <w:tcPr>
            <w:tcW w:w="3538" w:type="dxa"/>
            <w:vMerge w:val="continue"/>
            <w:textDirection w:val="lrTb"/>
            <w:noWrap w:val="false"/>
          </w:tcPr>
          <w:p>
            <w:pPr>
              <w:jc w:val="left"/>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r>
      <w:tr>
        <w:trPr>
          <w:cantSplit/>
          <w:jc w:val="center"/>
        </w:trPr>
        <w:tc>
          <w:tcPr>
            <w:tcW w:w="1655" w:type="dxa"/>
            <w:vMerge w:val="continue"/>
            <w:textDirection w:val="lrTb"/>
            <w:noWrap w:val="false"/>
          </w:tcPr>
          <w:p>
            <w:pPr>
              <w:jc w:val="center"/>
              <w:rPr>
                <w:rFonts w:asciiTheme="minorEastAsia" w:hAnsiTheme="minorEastAsia" w:eastAsiaTheme="minorEastAsia" w:cstheme="minorEastAsia"/>
                <w:b/>
                <w:bCs/>
                <w:szCs w:val="21"/>
                <w:highlight w:val="none"/>
              </w:rPr>
            </w:pPr>
            <w:r>
              <w:rPr>
                <w:rFonts w:asciiTheme="minorEastAsia" w:hAnsiTheme="minorEastAsia" w:eastAsiaTheme="minorEastAsia" w:cstheme="minorEastAsia"/>
                <w:b/>
                <w:bCs/>
                <w:szCs w:val="21"/>
                <w:highlight w:val="none"/>
              </w:rPr>
            </w:r>
            <w:r/>
          </w:p>
        </w:tc>
        <w:tc>
          <w:tcPr>
            <w:tcW w:w="4681" w:type="dxa"/>
            <w:vAlign w:val="center"/>
            <w:textDirection w:val="lrTb"/>
            <w:noWrap w:val="false"/>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农副产品、水果、水产、文具</w:t>
            </w:r>
            <w:bookmarkEnd w:id="2"/>
            <w:r/>
            <w:r/>
          </w:p>
        </w:tc>
        <w:tc>
          <w:tcPr>
            <w:tcW w:w="3538" w:type="dxa"/>
            <w:vMerge w:val="continue"/>
            <w:textDirection w:val="lrTb"/>
            <w:noWrap w:val="false"/>
          </w:tcPr>
          <w:p>
            <w:pPr>
              <w:jc w:val="left"/>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r>
    </w:tbl>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运营支持服务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过服务配套信息化功能完善，实现工作效率的提升和过程数据的留存，助力“红管志愿者”队伍逐步扩大，促进“红管志愿者”向“红管先锋”转化，支持积分机制向企业、商圈、新业态新就业群体延伸，为项目提质增效。具体包括以下运营支持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1）运营能力建设</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用户权限管理与注册流程优化</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构建基于RBAC模型的用户权限管理体系，支持社区负责人及工作人员通过SIP红色管家系统实现用户注册、角色分配、权限审核及提醒代办的全流程自动化。新增“企业/商圈/新业态群体”角色类型，支持该类用户的注册、审核与积分参与。</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优化目标：实现用户分级的细粒度管控，提升注册审核效率，优化用户操作体验（支持移动端一键式操作）。</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 多维数据查询与统计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功能描述：支持动态报表生成、多维度数据钻取（如时间、区域、人员类型、志愿者等级），覆盖专职/兼职网格员月度统计、社区发展网格员效能分析、企业及新业态群体参与度分析等场景。</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输出能力：提供标准化数据导出接口（支持Excel格式），实现可视化数据看板，满足条线业务管理的敏捷决策需求。</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安全与合规性增强</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安全态势感知与威胁防御</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功能描述：确保系统持续抵御最新威胁，修复已知漏洞，降低被攻击风险。</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加固措施：对敏感数据进行脱敏处理。</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全链路日志审计与追溯</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功能描述：实现日志集中管理，记录操作时间、主体、行为及影响范围，支持时间轴回溯与异常操作告警（如非工作时间登录、批量数据导出）。</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数据可视化与场景化赋能</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智慧治理全景可视化大屏</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功能描述：构建多场景动态大屏，实时呈现“15分钟红色志愿服务圈”核心指标（服务资源分布、居民参与热力、治理事件处置进度）。</w:t>
      </w:r>
      <w:r>
        <w:rPr>
          <w:rFonts w:hint="eastAsia" w:ascii="宋体" w:hAnsi="宋体" w:cs="宋体"/>
          <w:color w:val="000000" w:themeColor="text1"/>
          <w:szCs w:val="21"/>
          <w:highlight w:val="none"/>
          <w:lang w:val="en-US" w:eastAsia="zh-CN"/>
          <w14:textFill>
            <w14:solidFill>
              <w14:schemeClr w14:val="tx1"/>
            </w14:solidFill>
          </w14:textFill>
        </w:rPr>
        <w:t xml:space="preserve">优化</w:t>
      </w:r>
      <w:r>
        <w:rPr>
          <w:rFonts w:hint="eastAsia" w:ascii="宋体" w:hAnsi="宋体" w:cs="宋体"/>
          <w:color w:val="000000" w:themeColor="text1"/>
          <w:szCs w:val="21"/>
          <w:highlight w:val="none"/>
          <w14:textFill>
            <w14:solidFill>
              <w14:schemeClr w14:val="tx1"/>
            </w14:solidFill>
          </w14:textFill>
        </w:rPr>
        <w:t xml:space="preserve">服务资源、服务场景、治理场景等各式场景</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cs="宋体"/>
          <w:color w:val="000000" w:themeColor="text1"/>
          <w:szCs w:val="21"/>
          <w:highlight w:val="none"/>
          <w14:textFill>
            <w14:solidFill>
              <w14:schemeClr w14:val="tx1"/>
            </w14:solidFill>
          </w14:textFill>
        </w:rPr>
        <w:t xml:space="preserve">大屏</w:t>
      </w:r>
      <w:r>
        <w:rPr>
          <w:rFonts w:hint="eastAsia" w:ascii="宋体" w:hAnsi="宋体" w:cs="宋体"/>
          <w:color w:val="000000" w:themeColor="text1"/>
          <w:szCs w:val="21"/>
          <w:highlight w:val="none"/>
          <w:lang w:val="en-US"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呈现，新增“企业参与度”“新业态群体覆盖率”“共建单位数量”“积分等级分布”“各条线资源整合进度”等指标，打造胜浦街道党建引领下“政府+社会+志愿者+居民+企业/商圈/新业态”的15分钟红色志愿者服务圈。</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社区资源数字化管理</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积分治理体系</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功能描述：实现场地积分发行、流转与核销的全生命周期管理，确保积分数据不可篡改且可追溯。</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新增模块：积分等级认证模块</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自动计算志愿者等级（初级、中级、高级、先锋级）；</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等级变更提醒与通知；</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等级对应权益配置（如高级志愿者可兑换更高价值商品或服务）；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支持将培训学时、实践表现、积分累积等纳入认证依据。</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规则设计：</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积分获取：志愿者服务事件兑换（按积分规则获取相应积分）、社区贡献度评级奖励。</w:t>
      </w:r>
      <w:r/>
    </w:p>
    <w:p>
      <w:pPr>
        <w:ind w:left="420" w:firstLine="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积分消耗：热门场地预约需消耗积分；不同等级志愿者享受不同兑换折扣或专属兑换区。5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非功能性需求</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性能指标：系统响应时间≤2秒（95%场景），支持≥5000并发用户。</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扩展性：支持按需扩展业务模块（如新增网格员类型）。</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可靠性：实现双活数据中心部署，业务连续性RTO≤30分钟，RPO≤5分钟。</w:t>
      </w:r>
      <w:r/>
    </w:p>
    <w:p>
      <w:pPr>
        <w:ind w:firstLine="420"/>
        <w:spacing w:line="360" w:lineRule="auto"/>
        <w:tabs>
          <w:tab w:val="left" w:pos="315" w:leader="none"/>
          <w:tab w:val="center" w:pos="4153"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）运营辅助服务</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1提供线上兑换SAAS服务。提供项目实施期间内的线上兑换服务，供积分兑换品信息发布、人员积分线上兑换申请、兑换信息统计使用。必要功能包括：兑换物/服务信息发布、兑换信息查看、兑换订单下单、兑换订单取消、兑换订单统计等，要求积分信息可导入或与现有“苏州工业园区SIP红色管家”积分系统对接、可通过手机访问鉴权，兑换操作便捷。支持按志愿者等级展示不同兑换权益。</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6.2</w:t>
      </w:r>
      <w:r>
        <w:rPr>
          <w:rFonts w:hint="eastAsia" w:ascii="宋体" w:hAnsi="宋体" w:cs="宋体"/>
          <w:color w:val="000000" w:themeColor="text1"/>
          <w:szCs w:val="21"/>
          <w:highlight w:val="none"/>
          <w14:textFill>
            <w14:solidFill>
              <w14:schemeClr w14:val="tx1"/>
            </w14:solidFill>
          </w14:textFill>
        </w:rPr>
        <w:t xml:space="preserve"> 项目运行所需配套服务器等硬件资源由甲方另行申请提供，不在本项目范围内。</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6.3</w:t>
      </w:r>
      <w:r>
        <w:rPr>
          <w:rFonts w:hint="eastAsia" w:ascii="宋体" w:hAnsi="宋体" w:cs="宋体"/>
          <w:color w:val="000000" w:themeColor="text1"/>
          <w:szCs w:val="21"/>
          <w:highlight w:val="none"/>
          <w14:textFill>
            <w14:solidFill>
              <w14:schemeClr w14:val="tx1"/>
            </w14:solidFill>
          </w14:textFill>
        </w:rPr>
        <w:t xml:space="preserve">服务要求</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bookmarkStart w:id="3" w:name="_Hlk155210469"/>
      <w:r>
        <w:rPr>
          <w:rFonts w:hint="eastAsia" w:ascii="宋体" w:hAnsi="宋体" w:cs="宋体"/>
          <w:color w:val="000000" w:themeColor="text1"/>
          <w:szCs w:val="21"/>
          <w:highlight w:val="none"/>
          <w14:textFill>
            <w14:solidFill>
              <w14:schemeClr w14:val="tx1"/>
            </w14:solidFill>
          </w14:textFill>
        </w:rPr>
        <w:t xml:space="preserve">供应商对所有产品需提供自项目终验完成后1年免费技术维护、维修及同版本免费升级服务。供应商应对所响应的产品售后服务体系、售后服务年限、技术支持情况做出说明。质保期内应提供本地售后服务人员，负责安装、调试及维护服务。服务内容包括：使用指导，对系统进行必须的修订和微调，对隐含的错误进行纠正；维护方式包括：电话解答，远程维护，技术人员现场解决问题。对故障在1小时内响应，2小时以内到现场，4小时以内提出问题解决方案并采取相应措施保障用户正常使用。对于系统的缺陷承诺终身免费维护。定期汇报运行情况。</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在维护期满后应继续向甲方提供保证质量的售后服务，以维持系统正常运作，售后服务定价不得偏离市场价格规律。合同签订生效后，1个月内完成项目主体功能开发建设并上线试运行（具体项目开始时间以采购人通知为准）。</w:t>
      </w:r>
      <w:r/>
    </w:p>
    <w:p>
      <w:pPr>
        <w:numPr>
          <w:ilvl w:val="0"/>
          <w:numId w:val="2"/>
        </w:numPr>
        <w:ind w:firstLine="211"/>
        <w:spacing w:line="360" w:lineRule="auto"/>
        <w:tabs>
          <w:tab w:val="left" w:pos="315" w:leader="none"/>
          <w:tab w:val="center" w:pos="4153" w:leader="none"/>
        </w:tabs>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其他要求</w:t>
      </w:r>
      <w:bookmarkEnd w:id="3"/>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供应商提供的服务能够至少达到以上要求，需求调查充分，创新力、策划力佳，目标设定清晰，进度安排科学合理。</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具备资源统筹能力，掌握有利于项目开展的企业、商圈、新业态新就业群体相关资源为佳；</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管理应当制度化、现代化，积极建立架构清晰的项目团队，注重质量管理、档案管理，注重项目宣传推广；</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工作规范，责任到人，对项目现场管理负责，做到无安全事故，诚信负责，服务无投诉；</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具备专业的运营服务能力，具备本次项目需求相关的（包含但不限于党建管理类、积分管理类、积分等级认证类）知识产权为佳；</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承接过类似项目（红管网格积分项目、志愿者积分等级认证项目、企业/商圈/新业态群体积分延伸项目）且具有类似平台运营服务类经验为佳；</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供应商明确1名项目负责人，项目负责人持有社会工作者职业资格证书且具有督导服务相关经验为佳；</w:t>
      </w:r>
      <w:r/>
    </w:p>
    <w:p>
      <w:pPr>
        <w:ind w:firstLine="420"/>
        <w:spacing w:line="360" w:lineRule="auto"/>
        <w:tabs>
          <w:tab w:val="left" w:pos="315"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供应商应具备积分等级认证体系设计经验或类似案例。</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七、若中标的投标人在活动期间，出现下列情形的将被解除承包合同：</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1、将承包的项目转包他人；</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2、违反采购文件的有关规定；</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3、出现重大问题或重大事故造成严重影响的。</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八、综合说明</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磋商报价应包括完成本次项目全部工作内容所必须的所有人工费（包括人员工资、福利费、加班费、人身意外伤害险等）、设备及工具费、食宿费、交通费、技术支持与维护服务费、税费、利润、政策性文件规定和合同包含的所有风险、责任等各项应有费用，供应商报价应考虑全部内容，只投其中部分内容者，其响应文件将被拒绝。</w:t>
      </w:r>
      <w:r/>
    </w:p>
    <w:p>
      <w:pPr>
        <w:ind w:firstLine="420"/>
        <w:spacing w:line="360" w:lineRule="auto"/>
        <w:tabs>
          <w:tab w:val="left" w:pos="315"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2、供应商必须说明其是否响应采购文件中提出的全部服务内容与要求，如果以其中某些条款不响应时，应在文件中逐条列出，未列出的视同响应。</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716"/>
      </w:p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四、评审方法及评分标准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一、评标办法</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1、本次招标评标采用为综合评分法，即在满足采购文件实质性要求前提下，按照采购文件中规定的评分标准和各项因素进行综合评审后，以评标总得分最高的投标人作为相应标段的中标候选人。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3、对评委的评分（除价格分外）进行统计汇总，计算出每个投标人的得分，加上价格得分即为每个投标人的综合得分。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4、如出现评标总得分最高的投标人有两个或两个以上的，以投标报价较低者优先作为该标段中标候选人，如果投标报价也相同的，则由采购方组织以抽签方式确定中标候选人。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5、针对小微型企业的评审：</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5.1、根据财政部、工业和信息化部关于印发《政府采购促进中小企业发展管理办法》的通知规定：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（1）本项目属于专门面向中小企业采购。</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（3）本项目采购标的对应的中小企业划分标准所属行业为：</w:t>
      </w:r>
      <w:r>
        <w:rPr>
          <w:rFonts w:hint="eastAsia"/>
          <w:color w:val="000000" w:themeColor="text1"/>
          <w:highlight w:val="none"/>
          <w14:textFill>
            <w14:solidFill>
              <w14:schemeClr w14:val="tx1"/>
            </w14:solidFill>
          </w14:textFill>
        </w:rPr>
        <w:t xml:space="preserve">其他未列明行业</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5.2、残疾人福利性单位</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5.3、监狱企业</w:t>
      </w:r>
      <w:r/>
    </w:p>
    <w:p>
      <w:pPr>
        <w:ind w:firstLine="420"/>
        <w:spacing w:line="360" w:lineRule="auto"/>
        <w:rPr>
          <w:rFonts w:ascii="宋体" w:hAnsi="宋体" w:cs="宋体"/>
          <w:bCs/>
          <w:color w:val="000000" w:themeColor="text1"/>
          <w:sz w:val="20"/>
          <w:szCs w:val="20"/>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单位政策。</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信用查询：根据政府采购法及相关法规，以及苏州市财政局《关于印发苏州市市级政府采购信用记录查询和使用工作试行办法的通知》（苏财购（2017）11号）文件的规定，我们将对供应商进行信用查询，凡经评审小组确认不符合政府采购相关法律法规规定的，将拒绝其参与政府采购活动。</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6.1、查询时间：响应文件递交截止时间。 </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6.2、查询渠道：</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6.3、查询证据留存方式：</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6.4、信用记录使用规则：</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评审小组在对供应商进行资格性审查时，根据查询结果对供应商的不良信用记录逐项甄别确认。凡经评审小组确认不符合政府采购相关法律法规规定的，将拒绝其参与政府采购活动。</w:t>
      </w:r>
      <w:r/>
    </w:p>
    <w:p>
      <w:pPr>
        <w:ind w:firstLine="480"/>
        <w:jc w:val="left"/>
        <w:spacing w:line="360" w:lineRule="auto"/>
        <w:widowControl/>
        <w:rPr>
          <w:rFonts w:ascii="宋体" w:hAnsi="宋体" w:cs="宋体"/>
          <w:szCs w:val="21"/>
          <w:highlight w:val="none"/>
        </w:rPr>
      </w:pPr>
      <w:r>
        <w:rPr>
          <w:rFonts w:hint="eastAsia" w:ascii="宋体" w:hAnsi="宋体" w:cs="宋体"/>
          <w:szCs w:val="21"/>
          <w:highlight w:val="none"/>
        </w:rPr>
        <w:t xml:space="preserve">（一）价格基准分：20分</w:t>
      </w:r>
      <w:r/>
    </w:p>
    <w:p>
      <w:pPr>
        <w:ind w:firstLine="480"/>
        <w:jc w:val="left"/>
        <w:spacing w:line="360" w:lineRule="auto"/>
        <w:widowControl/>
        <w:rPr>
          <w:rFonts w:ascii="宋体" w:hAnsi="宋体" w:cs="宋体"/>
          <w:szCs w:val="21"/>
          <w:highlight w:val="none"/>
        </w:rPr>
      </w:pPr>
      <w:r>
        <w:rPr>
          <w:rFonts w:hint="eastAsia" w:ascii="宋体" w:hAnsi="宋体" w:cs="宋体"/>
          <w:szCs w:val="21"/>
          <w:highlight w:val="none"/>
        </w:rPr>
        <w:t xml:space="preserve">第一步：磋商</w:t>
      </w:r>
      <w:r>
        <w:rPr>
          <w:rFonts w:ascii="宋体" w:hAnsi="宋体" w:cs="宋体"/>
          <w:szCs w:val="21"/>
          <w:highlight w:val="none"/>
        </w:rPr>
        <w:t xml:space="preserve">报价低于或等于财政预算价格的，为有效</w:t>
      </w:r>
      <w:r>
        <w:rPr>
          <w:rFonts w:hint="eastAsia" w:ascii="宋体" w:hAnsi="宋体" w:cs="宋体"/>
          <w:szCs w:val="21"/>
          <w:highlight w:val="none"/>
        </w:rPr>
        <w:t xml:space="preserve">磋商</w:t>
      </w:r>
      <w:r>
        <w:rPr>
          <w:rFonts w:ascii="宋体" w:hAnsi="宋体" w:cs="宋体"/>
          <w:szCs w:val="21"/>
          <w:highlight w:val="none"/>
        </w:rPr>
        <w:t xml:space="preserve">报价。</w:t>
      </w:r>
      <w:r>
        <w:rPr>
          <w:rFonts w:hint="eastAsia" w:ascii="宋体" w:hAnsi="宋体" w:cs="宋体"/>
          <w:szCs w:val="21"/>
          <w:highlight w:val="none"/>
        </w:rPr>
        <w:t xml:space="preserve">超出财政预算的磋商报价文件为未实质性响应文件，不参与评审。</w:t>
      </w:r>
      <w:r/>
    </w:p>
    <w:p>
      <w:pPr>
        <w:ind w:firstLine="480"/>
        <w:jc w:val="left"/>
        <w:spacing w:line="360" w:lineRule="auto"/>
        <w:widowControl/>
        <w:rPr>
          <w:rFonts w:ascii="宋体" w:hAnsi="宋体" w:cs="宋体"/>
          <w:szCs w:val="21"/>
          <w:highlight w:val="none"/>
        </w:rPr>
      </w:pPr>
      <w:r>
        <w:rPr>
          <w:rFonts w:hint="eastAsia" w:ascii="宋体" w:hAnsi="宋体" w:cs="宋体"/>
          <w:szCs w:val="21"/>
          <w:highlight w:val="none"/>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磋商报价得分＝（评标基准价/磋商报价）×20%×100。</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（二）服务方案：3</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1、需求调查报告比较（</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分）：投标人自行对街道各社区进行需求调查，对投标人的需求调查报告进行综合比较，资料详实、分析准确的得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分；资料比较详实、分析比较准确的得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分；资料一般详实、分析一般准确的得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2、方案完整性比较（6分）：对投标人基于项目需求的理解所制定的服务实施方案的完整性进行综合比较，需求理解清晰，对应的服务方案阐述完整充分的得6分；需求理解一般，服务方案阐述较为完整充分的得</w:t>
      </w:r>
      <w:r>
        <w:rPr>
          <w:rFonts w:ascii="宋体" w:hAnsi="宋体" w:cs="宋体"/>
          <w:szCs w:val="21"/>
          <w:highlight w:val="none"/>
        </w:rPr>
        <w:t xml:space="preserve">3</w:t>
      </w:r>
      <w:r>
        <w:rPr>
          <w:rFonts w:hint="eastAsia" w:ascii="宋体" w:hAnsi="宋体" w:cs="宋体"/>
          <w:szCs w:val="21"/>
          <w:highlight w:val="none"/>
        </w:rPr>
        <w:t xml:space="preserve">分；需求理解有偏差，服务方案内容简单堆砌的得</w:t>
      </w:r>
      <w:r>
        <w:rPr>
          <w:rFonts w:ascii="宋体" w:hAnsi="宋体" w:cs="宋体"/>
          <w:szCs w:val="21"/>
          <w:highlight w:val="none"/>
        </w:rPr>
        <w:t xml:space="preserve">1</w:t>
      </w:r>
      <w:r>
        <w:rPr>
          <w:rFonts w:hint="eastAsia" w:ascii="宋体" w:hAnsi="宋体" w:cs="宋体"/>
          <w:szCs w:val="21"/>
          <w:highlight w:val="none"/>
        </w:rPr>
        <w:t xml:space="preserve">分。不提供不得分。</w:t>
      </w:r>
      <w:r/>
    </w:p>
    <w:p>
      <w:pPr>
        <w:ind w:firstLine="420"/>
        <w:jc w:val="left"/>
        <w:spacing w:line="360" w:lineRule="auto"/>
        <w:tabs>
          <w:tab w:val="left" w:pos="2870"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创新性比较（16分）</w:t>
      </w:r>
      <w:r/>
    </w:p>
    <w:p>
      <w:pPr>
        <w:numPr>
          <w:ilvl w:val="0"/>
          <w:numId w:val="0"/>
        </w:numPr>
        <w:ind w:firstLine="420"/>
        <w:jc w:val="left"/>
        <w:spacing w:line="360" w:lineRule="auto"/>
        <w:tabs>
          <w:tab w:val="left" w:pos="2870"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3.1</w:t>
      </w:r>
      <w:r>
        <w:rPr>
          <w:rFonts w:hint="eastAsia" w:ascii="宋体" w:hAnsi="宋体" w:cs="宋体"/>
          <w:szCs w:val="21"/>
          <w:highlight w:val="none"/>
        </w:rPr>
        <w:t xml:space="preserve"> </w:t>
      </w:r>
      <w:r>
        <w:rPr>
          <w:rFonts w:hint="default" w:ascii="宋体" w:hAnsi="宋体" w:cs="宋体"/>
          <w:szCs w:val="21"/>
          <w:highlight w:val="none"/>
        </w:rPr>
        <w:t xml:space="preserve">红管志愿者积分等级认证机制的设计（</w:t>
      </w:r>
      <w:r>
        <w:rPr>
          <w:rFonts w:hint="eastAsia" w:ascii="宋体" w:hAnsi="宋体" w:cs="宋体"/>
          <w:szCs w:val="21"/>
          <w:highlight w:val="none"/>
          <w:lang w:val="en-US" w:eastAsia="zh-CN"/>
        </w:rPr>
        <w:t xml:space="preserve">4</w:t>
      </w:r>
      <w:r>
        <w:rPr>
          <w:rFonts w:hint="default" w:ascii="宋体" w:hAnsi="宋体" w:cs="宋体"/>
          <w:szCs w:val="21"/>
          <w:highlight w:val="none"/>
        </w:rPr>
        <w:t xml:space="preserve">分）</w:t>
      </w:r>
      <w:r>
        <w:rPr>
          <w:rFonts w:hint="eastAsia" w:ascii="宋体" w:hAnsi="宋体" w:cs="宋体"/>
          <w:szCs w:val="21"/>
          <w:highlight w:val="none"/>
          <w:lang w:eastAsia="zh-CN"/>
        </w:rPr>
        <w:t xml:space="preserve">：</w:t>
      </w:r>
      <w:r>
        <w:rPr>
          <w:rFonts w:hint="default" w:ascii="宋体" w:hAnsi="宋体" w:cs="宋体"/>
          <w:szCs w:val="21"/>
          <w:highlight w:val="none"/>
        </w:rPr>
        <w:t xml:space="preserve">整体设计有创新，且提供具体实施细则</w:t>
      </w:r>
      <w:r>
        <w:rPr>
          <w:rFonts w:hint="eastAsia" w:ascii="宋体" w:hAnsi="宋体" w:cs="宋体"/>
          <w:szCs w:val="21"/>
          <w:highlight w:val="none"/>
          <w:lang w:eastAsia="zh-CN"/>
        </w:rPr>
        <w:t xml:space="preserve">，</w:t>
      </w:r>
      <w:r>
        <w:rPr>
          <w:rFonts w:hint="default" w:ascii="宋体" w:hAnsi="宋体" w:cs="宋体"/>
          <w:szCs w:val="21"/>
          <w:highlight w:val="none"/>
        </w:rPr>
        <w:t xml:space="preserve">思路清晰可行的得</w:t>
      </w:r>
      <w:r>
        <w:rPr>
          <w:rFonts w:hint="eastAsia" w:ascii="宋体" w:hAnsi="宋体" w:cs="宋体"/>
          <w:szCs w:val="21"/>
          <w:highlight w:val="none"/>
          <w:lang w:val="en-US" w:eastAsia="zh-CN"/>
        </w:rPr>
        <w:t xml:space="preserve">4</w:t>
      </w:r>
      <w:r>
        <w:rPr>
          <w:rFonts w:hint="default" w:ascii="宋体" w:hAnsi="宋体" w:cs="宋体"/>
          <w:szCs w:val="21"/>
          <w:highlight w:val="none"/>
        </w:rPr>
        <w:t xml:space="preserve">分；个别内容有创新，提供较可行实施细则和实操办法的得</w:t>
      </w:r>
      <w:r>
        <w:rPr>
          <w:rFonts w:hint="eastAsia" w:ascii="宋体" w:hAnsi="宋体" w:cs="宋体"/>
          <w:szCs w:val="21"/>
          <w:highlight w:val="none"/>
          <w:lang w:val="en-US" w:eastAsia="zh-CN"/>
        </w:rPr>
        <w:t xml:space="preserve">2</w:t>
      </w:r>
      <w:r>
        <w:rPr>
          <w:rFonts w:hint="default" w:ascii="宋体" w:hAnsi="宋体" w:cs="宋体"/>
          <w:szCs w:val="21"/>
          <w:highlight w:val="none"/>
        </w:rPr>
        <w:t xml:space="preserve">分；</w:t>
      </w:r>
      <w:r>
        <w:rPr>
          <w:rFonts w:hint="eastAsia" w:ascii="宋体" w:hAnsi="宋体" w:cs="宋体"/>
          <w:szCs w:val="21"/>
          <w:highlight w:val="none"/>
          <w:lang w:val="en-US" w:eastAsia="zh-CN"/>
        </w:rPr>
        <w:t xml:space="preserve">设计</w:t>
      </w:r>
      <w:r>
        <w:rPr>
          <w:rFonts w:hint="default" w:ascii="宋体" w:hAnsi="宋体" w:cs="宋体"/>
          <w:szCs w:val="21"/>
          <w:highlight w:val="none"/>
        </w:rPr>
        <w:t xml:space="preserve">无可行创新点，提供实施细则和实操办法不合理的得1分。不提供不得分。</w:t>
      </w:r>
      <w:r>
        <w:rPr>
          <w:rFonts w:hint="default" w:ascii="宋体" w:hAnsi="宋体" w:cs="宋体"/>
          <w:szCs w:val="21"/>
          <w:highlight w:val="none"/>
        </w:rPr>
        <w:br/>
      </w:r>
      <w:r>
        <w:rPr>
          <w:rFonts w:hint="eastAsia" w:ascii="宋体" w:hAnsi="宋体" w:cs="宋体"/>
          <w:szCs w:val="21"/>
          <w:highlight w:val="none"/>
          <w:lang w:val="en-US" w:eastAsia="zh-CN"/>
        </w:rPr>
        <w:t xml:space="preserve">     3.2</w:t>
      </w:r>
      <w:r>
        <w:rPr>
          <w:rFonts w:hint="default" w:ascii="宋体" w:hAnsi="宋体" w:cs="宋体"/>
          <w:szCs w:val="21"/>
          <w:highlight w:val="none"/>
        </w:rPr>
        <w:t xml:space="preserve">企业、商圈、新业态新就业群体的积分延伸方案（</w:t>
      </w:r>
      <w:r>
        <w:rPr>
          <w:rFonts w:hint="eastAsia" w:ascii="宋体" w:hAnsi="宋体" w:cs="宋体"/>
          <w:szCs w:val="21"/>
          <w:highlight w:val="none"/>
          <w:lang w:val="en-US" w:eastAsia="zh-CN"/>
        </w:rPr>
        <w:t xml:space="preserve">4</w:t>
      </w:r>
      <w:r>
        <w:rPr>
          <w:rFonts w:hint="default" w:ascii="宋体" w:hAnsi="宋体" w:cs="宋体"/>
          <w:szCs w:val="21"/>
          <w:highlight w:val="none"/>
        </w:rPr>
        <w:t xml:space="preserve">分）；</w:t>
      </w:r>
      <w:r>
        <w:rPr>
          <w:rFonts w:hint="eastAsia" w:ascii="宋体" w:hAnsi="宋体" w:cs="宋体"/>
          <w:szCs w:val="21"/>
          <w:highlight w:val="none"/>
          <w:lang w:val="en-US" w:eastAsia="zh-CN"/>
        </w:rPr>
        <w:t xml:space="preserve">方案</w:t>
      </w:r>
      <w:r>
        <w:rPr>
          <w:rFonts w:hint="default" w:ascii="宋体" w:hAnsi="宋体" w:cs="宋体"/>
          <w:szCs w:val="21"/>
          <w:highlight w:val="none"/>
        </w:rPr>
        <w:t xml:space="preserve">有创新</w:t>
      </w:r>
      <w:r>
        <w:rPr>
          <w:rFonts w:hint="eastAsia" w:ascii="宋体" w:hAnsi="宋体" w:cs="宋体"/>
          <w:szCs w:val="21"/>
          <w:highlight w:val="none"/>
          <w:lang w:val="en-US" w:eastAsia="zh-CN"/>
        </w:rPr>
        <w:t xml:space="preserve">，</w:t>
      </w:r>
      <w:r>
        <w:rPr>
          <w:rFonts w:hint="default" w:ascii="宋体" w:hAnsi="宋体" w:cs="宋体"/>
          <w:szCs w:val="21"/>
          <w:highlight w:val="none"/>
        </w:rPr>
        <w:t xml:space="preserve">且提供具体实施细则</w:t>
      </w:r>
      <w:r>
        <w:rPr>
          <w:rFonts w:hint="eastAsia" w:ascii="宋体" w:hAnsi="宋体" w:cs="宋体"/>
          <w:szCs w:val="21"/>
          <w:highlight w:val="none"/>
          <w:lang w:eastAsia="zh-CN"/>
        </w:rPr>
        <w:t xml:space="preserve">，</w:t>
      </w:r>
      <w:r>
        <w:rPr>
          <w:rFonts w:hint="default" w:ascii="宋体" w:hAnsi="宋体" w:cs="宋体"/>
          <w:szCs w:val="21"/>
          <w:highlight w:val="none"/>
        </w:rPr>
        <w:t xml:space="preserve">思路清晰可行的得</w:t>
      </w:r>
      <w:r>
        <w:rPr>
          <w:rFonts w:hint="eastAsia" w:ascii="宋体" w:hAnsi="宋体" w:cs="宋体"/>
          <w:szCs w:val="21"/>
          <w:highlight w:val="none"/>
          <w:lang w:val="en-US" w:eastAsia="zh-CN"/>
        </w:rPr>
        <w:t xml:space="preserve">4</w:t>
      </w:r>
      <w:r>
        <w:rPr>
          <w:rFonts w:hint="default" w:ascii="宋体" w:hAnsi="宋体" w:cs="宋体"/>
          <w:szCs w:val="21"/>
          <w:highlight w:val="none"/>
        </w:rPr>
        <w:t xml:space="preserve">分；个别内容有创新，提供较可行实施细则</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有可操作性</w:t>
      </w:r>
      <w:r>
        <w:rPr>
          <w:rFonts w:hint="default" w:ascii="宋体" w:hAnsi="宋体" w:cs="宋体"/>
          <w:szCs w:val="21"/>
          <w:highlight w:val="none"/>
        </w:rPr>
        <w:t xml:space="preserve">的得</w:t>
      </w:r>
      <w:r>
        <w:rPr>
          <w:rFonts w:hint="eastAsia" w:ascii="宋体" w:hAnsi="宋体" w:cs="宋体"/>
          <w:szCs w:val="21"/>
          <w:highlight w:val="none"/>
          <w:lang w:val="en-US" w:eastAsia="zh-CN"/>
        </w:rPr>
        <w:t xml:space="preserve">2</w:t>
      </w:r>
      <w:r>
        <w:rPr>
          <w:rFonts w:hint="default" w:ascii="宋体" w:hAnsi="宋体" w:cs="宋体"/>
          <w:szCs w:val="21"/>
          <w:highlight w:val="none"/>
        </w:rPr>
        <w:t xml:space="preserve">分；</w:t>
      </w:r>
      <w:r>
        <w:rPr>
          <w:rFonts w:hint="eastAsia" w:ascii="宋体" w:hAnsi="宋体" w:cs="宋体"/>
          <w:szCs w:val="21"/>
          <w:highlight w:val="none"/>
          <w:lang w:val="en-US" w:eastAsia="zh-CN"/>
        </w:rPr>
        <w:t xml:space="preserve">方案</w:t>
      </w:r>
      <w:r>
        <w:rPr>
          <w:rFonts w:hint="default" w:ascii="宋体" w:hAnsi="宋体" w:cs="宋体"/>
          <w:szCs w:val="21"/>
          <w:highlight w:val="none"/>
        </w:rPr>
        <w:t xml:space="preserve">无可行创新点，提供实施细则和实操办法不合理的得1分。不提供不得分。</w:t>
      </w:r>
      <w:r>
        <w:rPr>
          <w:rFonts w:hint="default" w:ascii="宋体" w:hAnsi="宋体" w:cs="宋体"/>
          <w:szCs w:val="21"/>
          <w:highlight w:val="none"/>
        </w:rPr>
        <w:br/>
      </w:r>
      <w:r>
        <w:rPr>
          <w:rFonts w:hint="eastAsia" w:ascii="宋体" w:hAnsi="宋体" w:cs="宋体"/>
          <w:szCs w:val="21"/>
          <w:highlight w:val="none"/>
          <w:lang w:val="en-US" w:eastAsia="zh-CN"/>
        </w:rPr>
        <w:t xml:space="preserve">     </w:t>
      </w:r>
      <w:r>
        <w:rPr>
          <w:rFonts w:hint="default" w:ascii="宋体" w:hAnsi="宋体" w:cs="宋体"/>
          <w:szCs w:val="21"/>
          <w:highlight w:val="none"/>
          <w:lang w:val="en-US" w:eastAsia="zh-CN"/>
        </w:rPr>
        <w:t xml:space="preserve">3.</w:t>
      </w:r>
      <w:r>
        <w:rPr>
          <w:rFonts w:hint="eastAsia" w:ascii="宋体" w:hAnsi="宋体" w:cs="宋体"/>
          <w:szCs w:val="21"/>
          <w:highlight w:val="none"/>
          <w:lang w:val="en-US" w:eastAsia="zh-CN"/>
        </w:rPr>
        <w:t xml:space="preserve">3</w:t>
      </w:r>
      <w:r>
        <w:rPr>
          <w:rFonts w:hint="default" w:ascii="宋体" w:hAnsi="宋体" w:cs="宋体"/>
          <w:szCs w:val="21"/>
          <w:highlight w:val="none"/>
          <w:lang w:val="en-US" w:eastAsia="zh-CN"/>
        </w:rPr>
        <w:t xml:space="preserve"> 积分兑换场景多元化（线上即时兑、便民点、商圈点）的策划创意（</w:t>
      </w:r>
      <w:r>
        <w:rPr>
          <w:rFonts w:hint="eastAsia" w:ascii="宋体" w:hAnsi="宋体" w:cs="宋体"/>
          <w:szCs w:val="21"/>
          <w:highlight w:val="none"/>
          <w:lang w:val="en-US" w:eastAsia="zh-CN"/>
        </w:rPr>
        <w:t xml:space="preserve">4</w:t>
      </w:r>
      <w:r>
        <w:rPr>
          <w:rFonts w:hint="default" w:ascii="宋体" w:hAnsi="宋体" w:cs="宋体"/>
          <w:szCs w:val="21"/>
          <w:highlight w:val="none"/>
          <w:lang w:val="en-US" w:eastAsia="zh-CN"/>
        </w:rPr>
        <w:t xml:space="preserve">分）</w:t>
      </w:r>
      <w:r>
        <w:rPr>
          <w:rFonts w:hint="eastAsia" w:ascii="宋体" w:hAnsi="宋体" w:cs="宋体"/>
          <w:szCs w:val="21"/>
          <w:highlight w:val="none"/>
          <w:lang w:val="en-US" w:eastAsia="zh-CN"/>
        </w:rPr>
        <w:t xml:space="preserve">：策划</w:t>
      </w:r>
      <w:r>
        <w:rPr>
          <w:rFonts w:hint="default" w:ascii="宋体" w:hAnsi="宋体" w:cs="宋体"/>
          <w:szCs w:val="21"/>
          <w:highlight w:val="none"/>
          <w:lang w:val="en-US" w:eastAsia="zh-CN"/>
        </w:rPr>
        <w:t xml:space="preserve">有创新，且提供具体实施细则</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思路清晰可行的得</w:t>
      </w:r>
      <w:r>
        <w:rPr>
          <w:rFonts w:hint="eastAsia" w:ascii="宋体" w:hAnsi="宋体" w:cs="宋体"/>
          <w:szCs w:val="21"/>
          <w:highlight w:val="none"/>
          <w:lang w:val="en-US" w:eastAsia="zh-CN"/>
        </w:rPr>
        <w:t xml:space="preserve">4</w:t>
      </w:r>
      <w:r>
        <w:rPr>
          <w:rFonts w:hint="default" w:ascii="宋体" w:hAnsi="宋体" w:cs="宋体"/>
          <w:szCs w:val="21"/>
          <w:highlight w:val="none"/>
          <w:lang w:val="en-US" w:eastAsia="zh-CN"/>
        </w:rPr>
        <w:t xml:space="preserve">分；个别内容有创新，提供较可行实施细则和实操办法的得</w:t>
      </w:r>
      <w:r>
        <w:rPr>
          <w:rFonts w:hint="eastAsia" w:ascii="宋体" w:hAnsi="宋体" w:cs="宋体"/>
          <w:szCs w:val="21"/>
          <w:highlight w:val="none"/>
          <w:lang w:val="en-US" w:eastAsia="zh-CN"/>
        </w:rPr>
        <w:t xml:space="preserve">2</w:t>
      </w:r>
      <w:r>
        <w:rPr>
          <w:rFonts w:hint="default" w:ascii="宋体" w:hAnsi="宋体" w:cs="宋体"/>
          <w:szCs w:val="21"/>
          <w:highlight w:val="none"/>
          <w:lang w:val="en-US" w:eastAsia="zh-CN"/>
        </w:rPr>
        <w:t xml:space="preserve">分</w:t>
      </w:r>
      <w:r>
        <w:rPr>
          <w:rFonts w:hint="eastAsia" w:ascii="宋体" w:hAnsi="宋体" w:cs="宋体"/>
          <w:szCs w:val="21"/>
          <w:highlight w:val="none"/>
          <w:lang w:val="en-US" w:eastAsia="zh-CN"/>
        </w:rPr>
        <w:t xml:space="preserve">。策划</w:t>
      </w:r>
      <w:r>
        <w:rPr>
          <w:rFonts w:hint="default" w:ascii="宋体" w:hAnsi="宋体" w:cs="宋体"/>
          <w:szCs w:val="21"/>
          <w:highlight w:val="none"/>
          <w:lang w:val="en-US" w:eastAsia="zh-CN"/>
        </w:rPr>
        <w:t xml:space="preserve">无可行创新点，提供实施细则和实操办法不合理的得1分。不提供不得分。</w:t>
      </w:r>
      <w:r/>
    </w:p>
    <w:p>
      <w:pPr>
        <w:numPr>
          <w:ilvl w:val="0"/>
          <w:numId w:val="0"/>
        </w:numPr>
        <w:ind w:firstLine="420"/>
        <w:jc w:val="left"/>
        <w:spacing w:line="360" w:lineRule="auto"/>
        <w:tabs>
          <w:tab w:val="left" w:pos="2870"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3.4培训</w:t>
      </w:r>
      <w:r>
        <w:rPr>
          <w:rFonts w:hint="default" w:ascii="宋体" w:hAnsi="宋体" w:cs="宋体"/>
          <w:szCs w:val="21"/>
          <w:highlight w:val="none"/>
          <w:lang w:val="en-US" w:eastAsia="zh-CN"/>
        </w:rPr>
        <w:t xml:space="preserve">学院课程体系、招募筛选、成果呈现的策划方案（</w:t>
      </w:r>
      <w:r>
        <w:rPr>
          <w:rFonts w:hint="eastAsia" w:ascii="宋体" w:hAnsi="宋体" w:cs="宋体"/>
          <w:szCs w:val="21"/>
          <w:highlight w:val="none"/>
          <w:lang w:val="en-US" w:eastAsia="zh-CN"/>
        </w:rPr>
        <w:t xml:space="preserve">4</w:t>
      </w:r>
      <w:r>
        <w:rPr>
          <w:rFonts w:hint="default" w:ascii="宋体" w:hAnsi="宋体" w:cs="宋体"/>
          <w:szCs w:val="21"/>
          <w:highlight w:val="none"/>
          <w:lang w:val="en-US" w:eastAsia="zh-CN"/>
        </w:rPr>
        <w:t xml:space="preserve">分）；</w:t>
      </w:r>
      <w:r>
        <w:rPr>
          <w:rFonts w:hint="eastAsia" w:ascii="宋体" w:hAnsi="宋体" w:cs="宋体"/>
          <w:szCs w:val="21"/>
          <w:highlight w:val="none"/>
          <w:lang w:val="en-US" w:eastAsia="zh-CN"/>
        </w:rPr>
        <w:t xml:space="preserve">对培训学院等类似创新基层治理新模式、新思路有整体构思和具体实施路径阐述，理解深刻、创意新颖且可行的得4分；方案有一定理解或创意，但阐述不完整或无实施路径说明的得2分；方案内容无清晰头绪，阐述不清晰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、目标设定及测量办法比较（</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分）：根据各投标人针对本项目的近期、远期服务目标，目标层次清晰具体、可执行、可测量的得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分；目标层次比较清晰具体的得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分；目标层次不清晰的得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、进度安排比较（</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分）：根据各投标人项目进度安排，时间节点，任务分解等情况进行综合比较，进度安排科学，时间节点合理的得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分；进度安排比较科学，时间节点比较合理的得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分；进度安排不科学，时间节点不合理的得1分。不提供不得分。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（三）项目管理：20分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1、资源管理（4分）：根据各投标人资源统筹能力及为本项目拓展相关资源的方案和能力等情况进行综合比较，方案科学合理的得4分；方案比较科学合理的得2分；方案不科学合理的得1分。不提供不得分。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2、项目团队管理（4分）：根据各投标人项目团队架构是否清晰，设置是否合理，工作人员岗位、职责是否明确，是否有合理的自查与绩效考核制度等情况进行综合比较，项目团队架构清晰合理，岗位职责明确的得4分；项目团队架构比较清晰合理，岗位职责比较明确的得2分；项目团队架构不合理，岗位职责不明确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3、质量管理（4分）：根据各投标人项目管理制度、措施、质量保证保障措施、服务承诺等进行综合比较，方案科学合理的得4分；方案比较科学合理的得2分；方案不科学合理的得1分。不提供不得分。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4、宣传推广（4分）：根据各投标人针对本项目的宣传推广计划，是否能提高项目的知晓度与社区居民的认同度等进行综合比较，方案科学合理的得4分；方案比较科学合理的得2分；方案不科学合理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5、档案管理（4分）：根据各投标人服务档案管理制度，能否确保项目实施过程中各类信息有据可查等进行综合比较，方案科学合理的得4分；方案比较科学合理的得2分；方案不科学合理的得1分。不提供不得分。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（四）履约能力：2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项目负责人：</w:t>
      </w:r>
      <w:r>
        <w:rPr>
          <w:rFonts w:hint="eastAsia" w:ascii="宋体" w:hAnsi="宋体" w:cs="宋体"/>
          <w:szCs w:val="21"/>
          <w:highlight w:val="none"/>
        </w:rPr>
        <w:t xml:space="preserve">磋商响应单位拟投入项目负责人持有社会工作者职业资格证书且具有督导服务相关经验的，得5分。响应文件中须同时提供（1）社会工作者职业资格证书（2）督导经验证明材料（3）本项目督导服务方案。否则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2、磋商响应单位有与本次项目需求相关的（包含但不限于党建管理类、积分管理类）知识产权，每个得2分，最高得4分。响应文件中须提供证书扫描件，否则不得分。</w:t>
      </w:r>
      <w:r/>
    </w:p>
    <w:p>
      <w:pPr>
        <w:ind w:firstLine="48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20</w:t>
      </w:r>
      <w:r>
        <w:rPr>
          <w:rFonts w:hint="eastAsia" w:ascii="宋体" w:hAnsi="宋体" w:cs="宋体"/>
          <w:szCs w:val="21"/>
          <w:highlight w:val="none"/>
        </w:rPr>
        <w:t xml:space="preserve">22年5月至今（合同签订日期为准），供应商有类似平台运维服务类项目经验的，得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分。响应文件中提供合同扫描件、项目收款发票扫描件等证明材料，否则不得分。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20</w:t>
      </w:r>
      <w:r>
        <w:rPr>
          <w:rFonts w:hint="eastAsia" w:ascii="宋体" w:hAnsi="宋体" w:cs="宋体"/>
          <w:szCs w:val="21"/>
        </w:rPr>
        <w:t xml:space="preserve">22年5月至今（合同签订日期为准），供应商为街道及以上政府部门提供过类似服务的，每个项目得</w:t>
      </w:r>
      <w:r>
        <w:rPr>
          <w:rFonts w:hint="eastAsia" w:ascii="宋体" w:hAnsi="宋体" w:cs="宋体"/>
          <w:szCs w:val="21"/>
          <w:lang w:val="en-US" w:eastAsia="zh-CN"/>
        </w:rPr>
        <w:t xml:space="preserve">4</w:t>
      </w:r>
      <w:r>
        <w:rPr>
          <w:rFonts w:hint="eastAsia" w:ascii="宋体" w:hAnsi="宋体" w:cs="宋体"/>
          <w:szCs w:val="21"/>
        </w:rPr>
        <w:t xml:space="preserve">分，最多</w:t>
      </w:r>
      <w:r>
        <w:rPr>
          <w:rFonts w:hint="eastAsia" w:ascii="宋体" w:hAnsi="宋体" w:cs="宋体"/>
          <w:szCs w:val="21"/>
          <w:lang w:val="en-US" w:eastAsia="zh-CN"/>
        </w:rPr>
        <w:t xml:space="preserve">8</w:t>
      </w:r>
      <w:r>
        <w:rPr>
          <w:rFonts w:hint="eastAsia" w:ascii="宋体" w:hAnsi="宋体" w:cs="宋体"/>
          <w:szCs w:val="21"/>
        </w:rPr>
        <w:t xml:space="preserve">分。响应文件中提供合同扫描件、项目收款发票扫描件等证明材料，否则不得分。</w:t>
      </w:r>
      <w:r/>
    </w:p>
    <w:p>
      <w:pPr>
        <w:pStyle w:val="767"/>
        <w:rPr>
          <w:rFonts w:hint="default"/>
        </w:rPr>
      </w:pPr>
      <w:r>
        <w:rPr>
          <w:rFonts w:hint="default"/>
        </w:rPr>
      </w:r>
      <w:r/>
    </w:p>
    <w:p>
      <w:pP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2570"/>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2891"/>
        <w:rPr>
          <w:color w:val="000000" w:themeColor="text1"/>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五、合同主要条款及格式</w:t>
      </w:r>
      <w:r/>
    </w:p>
    <w:p>
      <w:pPr>
        <w:ind w:right="-161" w:firstLine="3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161" w:firstLine="3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甲方（采购单位）：苏州工业园区胜浦街道办事处</w:t>
      </w:r>
      <w:r/>
    </w:p>
    <w:p>
      <w:pPr>
        <w:ind w:right="-161" w:firstLine="39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w:t>
      </w:r>
      <w:r>
        <w:rPr>
          <w:rFonts w:hint="eastAsia" w:ascii="宋体" w:hAnsi="宋体" w:eastAsia="宋体" w:cs="宋体"/>
          <w:sz w:val="21"/>
          <w:szCs w:val="21"/>
          <w:highlight w:val="none"/>
          <w:lang w:val="en-US" w:eastAsia="zh-CN"/>
        </w:rPr>
        <w:t xml:space="preserve">顾鑫</w:t>
      </w:r>
      <w:r>
        <w:rPr>
          <w:rFonts w:hint="eastAsia" w:ascii="宋体" w:hAnsi="宋体" w:eastAsia="宋体" w:cs="宋体"/>
          <w:sz w:val="21"/>
          <w:szCs w:val="21"/>
          <w:highlight w:val="none"/>
        </w:rPr>
        <w:t xml:space="preserve">                                   </w:t>
      </w:r>
      <w:r/>
    </w:p>
    <w:p>
      <w:pPr>
        <w:ind w:right="-161" w:firstLine="3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联系电话：0512-62815215</w:t>
      </w:r>
      <w:r/>
    </w:p>
    <w:p>
      <w:pPr>
        <w:ind w:right="-161" w:firstLine="3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161" w:firstLine="3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成交单位</w:t>
      </w:r>
      <w:r>
        <w:rPr>
          <w:rFonts w:hint="eastAsia" w:ascii="宋体" w:hAnsi="宋体" w:eastAsia="宋体" w:cs="宋体"/>
          <w:sz w:val="21"/>
          <w:szCs w:val="21"/>
          <w:highlight w:val="none"/>
        </w:rPr>
        <w:t xml:space="preserve">）：  </w:t>
      </w:r>
      <w:r/>
    </w:p>
    <w:p>
      <w:pPr>
        <w:ind w:right="-161" w:firstLine="392"/>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代表人：</w:t>
      </w:r>
      <w:r/>
    </w:p>
    <w:p>
      <w:pPr>
        <w:ind w:right="-161" w:firstLine="392"/>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eastAsia="宋体" w:cs="宋体"/>
          <w:sz w:val="21"/>
          <w:szCs w:val="21"/>
          <w:highlight w:val="none"/>
        </w:rPr>
        <w:t xml:space="preserve">联系电话： </w:t>
      </w:r>
      <w:r/>
    </w:p>
    <w:p>
      <w:pPr>
        <w:ind w:firstLine="480"/>
        <w:jc w:val="left"/>
        <w:spacing w:line="360" w:lineRule="auto"/>
        <w:widowControl/>
        <w:rPr>
          <w:rFonts w:ascii="宋体" w:hAnsi="宋体" w:cs="仿宋_GB2312"/>
          <w:color w:val="000000" w:themeColor="text1"/>
          <w:sz w:val="24"/>
          <w:szCs w:val="24"/>
          <w14:textFill>
            <w14:solidFill>
              <w14:schemeClr w14:val="tx1"/>
            </w14:solidFill>
          </w14:textFill>
        </w:rPr>
      </w:pPr>
      <w:r>
        <w:rPr>
          <w:rFonts w:ascii="宋体" w:hAnsi="宋体" w:cs="仿宋_GB2312"/>
          <w:color w:val="000000" w:themeColor="text1"/>
          <w:sz w:val="24"/>
          <w:szCs w:val="24"/>
          <w14:textFill>
            <w14:solidFill>
              <w14:schemeClr w14:val="tx1"/>
            </w14:solidFill>
          </w14:textFill>
        </w:rPr>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依据甲方委托</w:t>
      </w:r>
      <w:r>
        <w:rPr>
          <w:rFonts w:hint="eastAsia" w:ascii="宋体" w:hAnsi="宋体" w:cs="宋体"/>
          <w:color w:val="000000" w:themeColor="text1"/>
          <w:szCs w:val="21"/>
          <w:u w:val="single"/>
          <w14:textFill>
            <w14:solidFill>
              <w14:schemeClr w14:val="tx1"/>
            </w14:solidFill>
          </w14:textFill>
        </w:rPr>
        <w:t xml:space="preserve">苏州市永诚建设咨询有限公司</w:t>
      </w:r>
      <w:r>
        <w:rPr>
          <w:rFonts w:hint="eastAsia" w:ascii="宋体" w:hAnsi="宋体" w:cs="宋体"/>
          <w:color w:val="000000" w:themeColor="text1"/>
          <w:szCs w:val="21"/>
          <w14:textFill>
            <w14:solidFill>
              <w14:schemeClr w14:val="tx1"/>
            </w14:solidFill>
          </w14:textFill>
        </w:rPr>
        <w:t xml:space="preserve">进行本项目采购</w:t>
      </w:r>
      <w:r>
        <w:rPr>
          <w:rFonts w:hint="eastAsia" w:ascii="宋体" w:hAnsi="宋体" w:cs="宋体"/>
          <w:color w:val="000000" w:themeColor="text1"/>
          <w:szCs w:val="21"/>
          <w:u w:val="single"/>
          <w14:textFill>
            <w14:solidFill>
              <w14:schemeClr w14:val="tx1"/>
            </w14:solidFill>
          </w14:textFill>
        </w:rPr>
        <w:t xml:space="preserve">（采购编号：        </w:t>
      </w:r>
      <w:r>
        <w:rPr>
          <w:rFonts w:hint="eastAsia" w:ascii="宋体" w:hAnsi="宋体" w:cs="宋体"/>
          <w:color w:val="000000" w:themeColor="text1"/>
          <w:szCs w:val="21"/>
          <w14:textFill>
            <w14:solidFill>
              <w14:schemeClr w14:val="tx1"/>
            </w14:solidFill>
          </w14:textFill>
        </w:rPr>
        <w:t xml:space="preserve">）的采购结果，确定乙方为本次成交供应商，现依照采购文件、乙方的响应文件及相关文件的内容，签订本合同书。</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一、合同标的物和合同价格组成</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1.1采购的服务内容概述：</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服务内容包括专业服务、积分兑换物资服务、</w:t>
      </w:r>
      <w:r>
        <w:rPr>
          <w:rFonts w:hint="eastAsia" w:ascii="宋体" w:hAnsi="宋体" w:cs="宋体"/>
          <w:color w:val="000000" w:themeColor="text1"/>
          <w:szCs w:val="21"/>
          <w14:textFill>
            <w14:solidFill>
              <w14:schemeClr w14:val="tx1"/>
            </w14:solidFill>
          </w14:textFill>
        </w:rPr>
        <w:t xml:space="preserve">运营支持服务</w:t>
      </w:r>
      <w:r>
        <w:rPr>
          <w:rFonts w:hint="eastAsia" w:ascii="宋体" w:hAnsi="宋体"/>
          <w:bCs/>
          <w:szCs w:val="21"/>
        </w:rPr>
        <w:t xml:space="preserve">（详见</w:t>
      </w:r>
      <w:r>
        <w:rPr>
          <w:rFonts w:hint="eastAsia" w:ascii="宋体" w:hAnsi="宋体"/>
          <w:bCs/>
          <w:szCs w:val="21"/>
          <w:lang w:val="en-US" w:eastAsia="zh-CN"/>
        </w:rPr>
        <w:t xml:space="preserve">采购需求</w:t>
      </w:r>
      <w:r>
        <w:rPr>
          <w:rFonts w:hint="eastAsia" w:ascii="宋体" w:hAnsi="宋体"/>
          <w:bCs/>
          <w:szCs w:val="21"/>
        </w:rPr>
        <w:t xml:space="preserve">）。持续推进红管网格积分项目，一是强化队伍培育与体系建设:依托红浦“慧”治理志愿者培训学院，培育内生型自治团队，系统设计课程体系，探索并推行红管志愿者积分等级认证机制，夯实基层治理人才基础;二是优化积分兑换与激励机制:拓展积分兑换场景，丰富兑换资源，推动各条线服务与物资资源有序纳入兑换体系，提升激励吸引力和实效性;三是深化品牌拓展与治理融合:推动积分机制向企业、商圈、新业态新就业群体延伸，深化“红色朋友圈”与区域化党建共同体建设，提升品牌影响力和治理覆盖面。</w:t>
      </w:r>
      <w:r/>
    </w:p>
    <w:p>
      <w:pPr>
        <w:ind w:firstLine="420"/>
        <w:spacing w:line="360" w:lineRule="auto"/>
        <w:tabs>
          <w:tab w:val="left" w:pos="360" w:leader="none"/>
        </w:tabs>
        <w:rPr>
          <w:rFonts w:ascii="宋体" w:hAnsi="宋体"/>
          <w:bCs/>
          <w:szCs w:val="21"/>
        </w:rPr>
      </w:pPr>
      <w:r>
        <w:rPr>
          <w:rFonts w:hint="eastAsia" w:ascii="宋体" w:hAnsi="宋体"/>
          <w:bCs/>
          <w:szCs w:val="21"/>
        </w:rPr>
        <w:t xml:space="preserve">1.2合同履行期限：合同签订之日起壹年。</w:t>
      </w:r>
      <w:r/>
    </w:p>
    <w:p>
      <w:pPr>
        <w:ind w:firstLine="420"/>
        <w:spacing w:line="360" w:lineRule="auto"/>
        <w:tabs>
          <w:tab w:val="left" w:pos="360" w:leader="none"/>
        </w:tabs>
        <w:rPr>
          <w:rFonts w:ascii="宋体" w:hAnsi="宋体"/>
          <w:bCs/>
          <w:szCs w:val="21"/>
        </w:rPr>
      </w:pPr>
      <w:r>
        <w:rPr>
          <w:rFonts w:hint="eastAsia" w:ascii="宋体" w:hAnsi="宋体"/>
          <w:bCs/>
          <w:szCs w:val="21"/>
        </w:rPr>
        <w:t xml:space="preserve">1.3合同价款的组成：合同价款包含完成本次项目全部工作内容所必须的所有人工费（包括人员工资、福利费、加班费、人身意外伤害险等）、设备及工具费、食宿费、交通费、技术支持与维护服务费、税费、利润、政策性文件规定和合同包含的所有风险、责任等各项应有费用。</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二、下列文件为本合同不可分割部分</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2.1成交通知书；</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2.2乙方成交的响应文件；</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2.3采购文件；</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2.4乙方在磋商过程中所作的其它承诺、声明、书面澄清等。</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三、合同价格支付</w:t>
      </w:r>
      <w:r/>
    </w:p>
    <w:p>
      <w:pPr>
        <w:ind w:firstLine="420"/>
        <w:spacing w:line="360" w:lineRule="auto"/>
        <w:rPr>
          <w:rFonts w:ascii="宋体" w:hAnsi="宋体"/>
          <w:bCs/>
          <w:szCs w:val="21"/>
        </w:rPr>
      </w:pPr>
      <w:r>
        <w:rPr>
          <w:rFonts w:hint="eastAsia" w:ascii="宋体" w:hAnsi="宋体"/>
          <w:bCs/>
          <w:szCs w:val="21"/>
        </w:rPr>
        <w:t xml:space="preserve">3.1合同价格：</w:t>
      </w:r>
      <w:r>
        <w:rPr>
          <w:rFonts w:hint="eastAsia" w:ascii="宋体" w:hAnsi="宋体"/>
          <w:bCs/>
          <w:szCs w:val="21"/>
          <w:u w:val="single"/>
        </w:rPr>
        <w:t xml:space="preserve">￥            元（人民币             ）</w:t>
      </w:r>
      <w:r/>
    </w:p>
    <w:p>
      <w:pPr>
        <w:ind w:firstLine="420"/>
        <w:spacing w:line="360" w:lineRule="auto"/>
        <w:rPr>
          <w:rFonts w:ascii="宋体" w:hAnsi="宋体"/>
          <w:bCs/>
          <w:szCs w:val="21"/>
        </w:rPr>
      </w:pPr>
      <w:r>
        <w:rPr>
          <w:rFonts w:hint="eastAsia" w:ascii="宋体" w:hAnsi="宋体"/>
          <w:bCs/>
          <w:szCs w:val="21"/>
        </w:rPr>
        <w:t xml:space="preserve">3.2支付步骤和比例</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（1）合同签订后15日内，甲方向乙方支付合同总金额60%的预付款。</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2）中期付款：合同签订后满6个月，半年考核结果为80分及以上的，甲方向乙方支付至合同总金额的90%；考核结果为80分以下的甲方向乙方支付至合同总金额的88%，半年度考核结果不满60分的，视为未通过甲方验收，乙方无权要求甲方付款，甲方有权自行决定付款比例。</w:t>
      </w:r>
      <w:r/>
    </w:p>
    <w:p>
      <w:pPr>
        <w:ind w:firstLine="470"/>
        <w:spacing w:line="360" w:lineRule="auto"/>
        <w:tabs>
          <w:tab w:val="left" w:pos="360" w:leader="none"/>
        </w:tabs>
        <w:rPr>
          <w:rFonts w:ascii="宋体" w:hAnsi="宋体"/>
          <w:bCs/>
          <w:szCs w:val="21"/>
          <w:highlight w:val="none"/>
        </w:rPr>
      </w:pPr>
      <w:r>
        <w:rPr>
          <w:rFonts w:hint="eastAsia" w:ascii="宋体" w:hAnsi="宋体"/>
          <w:bCs/>
          <w:szCs w:val="21"/>
        </w:rPr>
        <w:t xml:space="preserve">（3）结项付款：合同签订后满12个月，乙方按甲方要求提供完整项目过程材料。年度考核结果为80分及以上的，甲方向乙方支付至合同总金额的100%；年度考核结果为80分以下的，甲方向乙方支付至合同总金额的98%，余款不予支付，年度考核结果不满60分的，视为未通过甲方验收，乙方无权要求</w:t>
      </w:r>
      <w:r>
        <w:rPr>
          <w:rFonts w:hint="eastAsia" w:ascii="宋体" w:hAnsi="宋体"/>
          <w:bCs/>
          <w:szCs w:val="21"/>
          <w:highlight w:val="none"/>
        </w:rPr>
        <w:t xml:space="preserve">甲方付款，甲方有权自行决定最终付款比例。</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3.3根据现行税法对甲方征收的与本合同有关的一切税费均由甲方承担；根据现行税法对乙方征收的与本合同有关的一切税费均由乙方承担。</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3.4甲方验收合格后，乙方</w:t>
      </w:r>
      <w:r>
        <w:rPr>
          <w:rFonts w:hint="eastAsia" w:ascii="宋体" w:hAnsi="宋体"/>
          <w:bCs/>
          <w:szCs w:val="21"/>
          <w:highlight w:val="none"/>
          <w:lang w:val="en-US" w:eastAsia="zh-CN"/>
        </w:rPr>
        <w:t xml:space="preserve">需按甲方确认的金额向甲方开具</w:t>
      </w:r>
      <w:r>
        <w:rPr>
          <w:rFonts w:hint="eastAsia" w:ascii="宋体" w:hAnsi="宋体"/>
          <w:bCs/>
          <w:szCs w:val="21"/>
          <w:highlight w:val="none"/>
        </w:rPr>
        <w:t xml:space="preserve">合格的发票。</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如乙方未按约提供上述资料，或者所提供的资料不符合甲方要求的，甲方有权拒绝付款且不承担任何延期付款的违约责任。</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3.5支付方式：银行转账、银行汇票或转账支票，具体支付方式甲方有权根据财务安排自主选择。</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乙方开户银行名称、地址、账号为：</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银行账号：                     </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户    名：                     </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开 户 行：                     </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数字人民币账户：                         </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rPr>
        <w:t xml:space="preserve">数字人民币钱包ID：   </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四、考核标准</w:t>
      </w:r>
      <w:r/>
    </w:p>
    <w:p>
      <w:pPr>
        <w:ind w:firstLine="470"/>
        <w:spacing w:line="360" w:lineRule="auto"/>
        <w:tabs>
          <w:tab w:val="left" w:pos="360" w:leader="none"/>
        </w:tabs>
        <w:rPr>
          <w:rFonts w:ascii="宋体" w:hAnsi="宋体"/>
          <w:bCs/>
          <w:szCs w:val="21"/>
        </w:rPr>
      </w:pPr>
      <w:r>
        <w:rPr>
          <w:rFonts w:hint="eastAsia" w:ascii="宋体" w:hAnsi="宋体"/>
          <w:bCs/>
          <w:szCs w:val="21"/>
          <w:highlight w:val="none"/>
        </w:rPr>
        <w:t xml:space="preserve">见附件（供参考，以甲方最终提供的</w:t>
      </w:r>
      <w:r>
        <w:rPr>
          <w:rFonts w:hint="eastAsia" w:ascii="宋体" w:hAnsi="宋体"/>
          <w:bCs/>
          <w:szCs w:val="21"/>
        </w:rPr>
        <w:t xml:space="preserve">为准）。</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五、不可抗力</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5.1因不可抗力不能履行合同的，根据不可抗力的影响，部分或者全部免除责任。但合同一方延迟履行后发生不可抗力的，不能免除责任。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5.2合同一方因不可抗力不能履行合同的，应当及时通知对方，以减轻可能给对方造成的损失，并应当在合理期限内提供证明。</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六、合同的解除和转让</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6.1甲方和乙方协商一致，可以解除合同。</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6.2有下列情形之一，合同一方可以解除合同：</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6.2.1因不可抗力致使不能实现合同目的，未受不可抗力影响的一方有权解除合同；</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6.2.2因合同一方违约导致合同不能履行，另一方有权解除合同；</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6.2.3因乙方在履行合同过程中造成社会不良影响的，甲方有权解除合同。</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6.3有权解除合同的一方，应当在违约事实或不可抗力发生之后三十天内书面通知对方以主张解除合同，合同在书面通知到达对方时解除。</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6.4合同的部分和全部都不得转让。</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七、违约责任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7.1合同一方不履行合同义务或者履行合同义务不符合约定的，应当承担继续履行、采取补救措施或赔偿损失等违约责任。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7.2甲方违约责任。甲方未按照约定时间支付合同价款的，应当承担逾期付款违约责任。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7.3乙方违约责任。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7.3.1甲方有权按照本合同第四条规定对乙方进行考核，并按照考核办法的规定要求乙方承担相应责任。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7.3.2乙方承担的违约金不足以赔偿甲方实际损失的，甲方有权要求乙方继续赔偿。</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7.3.3乙方履行合同不符合合同要求的，甲方有权责令乙方立即改正，乙方拒不改正或已经造成不良社会影响的，甲方有权要求乙方承担责任。</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八、争议解决办法</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因本合同或与本合同有关的一切事项发生争议，由双方友好协商解决。协商不成的，任何一方均可以向甲方所在地人民法院起诉。</w:t>
      </w:r>
      <w:r/>
    </w:p>
    <w:p>
      <w:pPr>
        <w:ind w:firstLine="470"/>
        <w:spacing w:line="360" w:lineRule="auto"/>
        <w:tabs>
          <w:tab w:val="left" w:pos="360" w:leader="none"/>
        </w:tabs>
        <w:rPr>
          <w:rFonts w:ascii="宋体" w:hAnsi="宋体"/>
          <w:bCs/>
          <w:szCs w:val="21"/>
          <w:highlight w:val="none"/>
        </w:rPr>
      </w:pPr>
      <w:r>
        <w:rPr>
          <w:rFonts w:hint="eastAsia" w:ascii="宋体" w:hAnsi="宋体"/>
          <w:bCs/>
          <w:szCs w:val="21"/>
        </w:rPr>
        <w:t xml:space="preserve">九、合同生效</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本合同经双方法定代表人或授权代表签字（或盖章）并经单位盖章后生效。</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十、其他</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lang w:val="en-US" w:eastAsia="zh-CN"/>
        </w:rPr>
        <w:t xml:space="preserve">10.1</w:t>
      </w:r>
      <w:r>
        <w:rPr>
          <w:rFonts w:hint="eastAsia" w:ascii="宋体" w:hAnsi="宋体"/>
          <w:bCs/>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70"/>
        <w:spacing w:line="360" w:lineRule="auto"/>
        <w:tabs>
          <w:tab w:val="left" w:pos="360" w:leader="none"/>
        </w:tabs>
        <w:rPr>
          <w:rFonts w:hint="eastAsia" w:ascii="宋体" w:hAnsi="宋体"/>
          <w:bCs/>
          <w:szCs w:val="21"/>
          <w:highlight w:val="none"/>
        </w:rPr>
      </w:pPr>
      <w:r>
        <w:rPr>
          <w:rFonts w:hint="eastAsia" w:ascii="宋体" w:hAnsi="宋体"/>
          <w:bCs/>
          <w:szCs w:val="21"/>
          <w:highlight w:val="none"/>
          <w:lang w:val="en-US" w:eastAsia="zh-CN"/>
        </w:rPr>
        <w:t xml:space="preserve">10.2</w:t>
      </w:r>
      <w:r>
        <w:rPr>
          <w:rFonts w:hint="eastAsia" w:ascii="宋体" w:hAnsi="宋体"/>
          <w:bCs/>
          <w:szCs w:val="21"/>
          <w:highlight w:val="none"/>
        </w:rPr>
        <w:t xml:space="preserve">乙方应保证所提供服务涉及到的知识产权是合法取得，并享有完整的知识产权，不会因为甲方的使用而被责令停止使用、追偿或要求赔偿损失，如出现此情况，一切经济和法律责任均由乙方承担。乙方应按采购文件的有关规定提供合格服务，质量符合国际或国家通用标准。</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十一、附则</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11.1本合同一式</w:t>
      </w:r>
      <w:r>
        <w:rPr>
          <w:rFonts w:hint="eastAsia" w:ascii="宋体" w:hAnsi="宋体"/>
          <w:bCs/>
          <w:szCs w:val="21"/>
          <w:highlight w:val="none"/>
          <w:lang w:val="en-US" w:eastAsia="zh-CN"/>
        </w:rPr>
        <w:t xml:space="preserve">四</w:t>
      </w:r>
      <w:r>
        <w:rPr>
          <w:rFonts w:hint="eastAsia" w:ascii="宋体" w:hAnsi="宋体"/>
          <w:bCs/>
          <w:szCs w:val="21"/>
          <w:highlight w:val="none"/>
        </w:rPr>
        <w:t xml:space="preserve">份，甲方执贰份，乙方执贰份。</w:t>
      </w:r>
      <w:r/>
    </w:p>
    <w:p>
      <w:pPr>
        <w:ind w:firstLine="470"/>
        <w:spacing w:line="360" w:lineRule="auto"/>
        <w:tabs>
          <w:tab w:val="left" w:pos="360" w:leader="none"/>
        </w:tabs>
        <w:rPr>
          <w:rFonts w:ascii="宋体" w:hAnsi="宋体"/>
          <w:bCs/>
          <w:szCs w:val="21"/>
          <w:highlight w:val="none"/>
        </w:rPr>
      </w:pPr>
      <w:r>
        <w:rPr>
          <w:rFonts w:hint="eastAsia" w:ascii="宋体" w:hAnsi="宋体"/>
          <w:bCs/>
          <w:szCs w:val="21"/>
          <w:highlight w:val="none"/>
        </w:rPr>
        <w:t xml:space="preserve">11.2本合同文件使用中文书写、解释和说明。</w:t>
      </w:r>
      <w:r/>
    </w:p>
    <w:p>
      <w:pPr>
        <w:ind w:firstLine="470"/>
        <w:spacing w:line="360" w:lineRule="auto"/>
        <w:tabs>
          <w:tab w:val="left" w:pos="360" w:leader="none"/>
        </w:tabs>
        <w:rPr>
          <w:rFonts w:ascii="宋体" w:hAnsi="宋体"/>
          <w:bCs/>
          <w:szCs w:val="21"/>
        </w:rPr>
      </w:pPr>
      <w:r>
        <w:rPr>
          <w:rFonts w:hint="eastAsia" w:ascii="宋体" w:hAnsi="宋体"/>
          <w:bCs/>
          <w:szCs w:val="21"/>
          <w:highlight w:val="none"/>
        </w:rPr>
        <w:t xml:space="preserve">11.3本合同履行过程中产生的纪要、协议以及成交通知书、响应文</w:t>
      </w:r>
      <w:r>
        <w:rPr>
          <w:rFonts w:hint="eastAsia" w:ascii="宋体" w:hAnsi="宋体"/>
          <w:bCs/>
          <w:szCs w:val="21"/>
        </w:rPr>
        <w:t xml:space="preserve">件和采购文件为本合同的附件，与合同具有同等效力。</w:t>
      </w:r>
      <w:r/>
    </w:p>
    <w:p>
      <w:pPr>
        <w:ind w:firstLine="470"/>
        <w:spacing w:line="360" w:lineRule="auto"/>
        <w:tabs>
          <w:tab w:val="left" w:pos="360" w:leader="none"/>
        </w:tabs>
        <w:rPr>
          <w:rFonts w:ascii="宋体" w:hAnsi="宋体"/>
          <w:bCs/>
          <w:szCs w:val="21"/>
        </w:rPr>
      </w:pPr>
      <w:r>
        <w:rPr>
          <w:rFonts w:hint="eastAsia" w:ascii="宋体" w:hAnsi="宋体"/>
          <w:bCs/>
          <w:szCs w:val="21"/>
        </w:rPr>
        <w:t xml:space="preserve">11.4未尽事宜</w:t>
      </w:r>
      <w:r/>
    </w:p>
    <w:p>
      <w:pPr>
        <w:ind w:firstLine="470"/>
        <w:spacing w:line="360" w:lineRule="auto"/>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bCs/>
          <w:szCs w:val="21"/>
        </w:rPr>
        <w:t xml:space="preserve">按《中华人民共和国民法典》及其他有关的法律法规的规定执行。</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甲方签章：                          乙方签章：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代理人：                            代理人：               </w:t>
      </w:r>
      <w:r/>
    </w:p>
    <w:p>
      <w:pPr>
        <w:ind w:firstLine="420"/>
        <w:jc w:val="left"/>
        <w:spacing w:line="360" w:lineRule="auto"/>
        <w:widowControl/>
        <w:rPr>
          <w:rFonts w:hint="default"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年   月   日                       年   月   日 </w:t>
      </w:r>
      <w:r/>
    </w:p>
    <w:p>
      <w:pPr>
        <w:pStyle w:val="767"/>
        <w:rPr>
          <w:rFonts w:hint="default"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r>
      <w:r/>
    </w:p>
    <w:p>
      <w:pPr>
        <w:pStyle w:val="767"/>
        <w:ind w:left="0" w:firstLine="0"/>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pStyle w:val="767"/>
        <w:ind w:left="0" w:firstLine="0"/>
        <w:rPr>
          <w:rFonts w:hint="default"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t xml:space="preserve">附件：</w:t>
      </w:r>
      <w:r/>
    </w:p>
    <w:tbl>
      <w:tblPr>
        <w:tblStyle w:val="715"/>
        <w:tblW w:w="102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61"/>
        <w:gridCol w:w="1464"/>
        <w:gridCol w:w="6221"/>
        <w:gridCol w:w="933"/>
      </w:tblGrid>
      <w:tr>
        <w:trPr>
          <w:jc w:val="center"/>
          <w:trHeight w:val="232"/>
          <w:tblHeader/>
        </w:trPr>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7685"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评分细则</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服务方向定位（5分）</w:t>
            </w:r>
            <w:r/>
          </w:p>
        </w:tc>
        <w:tc>
          <w:tcPr>
            <w:gridSpan w:val="2"/>
            <w:tcBorders>
              <w:top w:val="single" w:color="000000" w:sz="4" w:space="0"/>
              <w:left w:val="single" w:color="000000" w:sz="4" w:space="0"/>
              <w:bottom w:val="single" w:color="000000" w:sz="4" w:space="0"/>
              <w:right w:val="single" w:color="000000" w:sz="4" w:space="0"/>
            </w:tcBorders>
            <w:tcW w:w="76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目的，意义明确</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394"/>
        </w:trPr>
        <w:tc>
          <w:tcPr>
            <w:tcBorders>
              <w:top w:val="single" w:color="000000" w:sz="4" w:space="0"/>
              <w:left w:val="single" w:color="000000" w:sz="4" w:space="0"/>
              <w:bottom w:val="none" w:color="000000" w:sz="4" w:space="0"/>
              <w:right w:val="single" w:color="000000" w:sz="4" w:space="0"/>
            </w:tcBorders>
            <w:tcW w:w="1661"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实施进度(17分)</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时间节点</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服务符合项目要求，安排合理、贴合度高</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jc w:val="center"/>
          <w:trHeight w:val="394"/>
        </w:trPr>
        <w:tc>
          <w:tcPr>
            <w:tcBorders>
              <w:top w:val="single" w:color="000000" w:sz="4" w:space="0"/>
              <w:left w:val="single" w:color="000000" w:sz="4" w:space="0"/>
              <w:bottom w:val="non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经费预算</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经费使用明确，用途具体</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jc w:val="center"/>
          <w:trHeight w:val="455"/>
        </w:trPr>
        <w:tc>
          <w:tcPr>
            <w:tcBorders>
              <w:top w:val="single" w:color="000000" w:sz="4" w:space="0"/>
              <w:left w:val="single" w:color="000000" w:sz="4" w:space="0"/>
              <w:bottom w:val="non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人员安排</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根据项目要求匹配专职人员进行项目的实施，且人员分工明确，人数合理</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1124"/>
        </w:trPr>
        <w:tc>
          <w:tcPr>
            <w:tcBorders>
              <w:top w:val="single" w:color="000000" w:sz="4" w:space="0"/>
              <w:left w:val="single" w:color="000000" w:sz="4" w:space="0"/>
              <w:bottom w:val="none" w:color="000000" w:sz="4" w:space="0"/>
              <w:right w:val="single" w:color="000000" w:sz="4" w:space="0"/>
            </w:tcBorders>
            <w:tcW w:w="1661"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能力素质考核(33分)</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服务时效性</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好月度服务数据和条目的录入、监管、审核以及街道、社区用户的服务沟通工作，并进行工作群的运营管理；2、做好志愿者团队的数据校验、沟通和管理工作，并根据实施情况进行积分累积和调整；3、对项目进展进行实时监测，做好数据分析、处理，并向街道阶段性汇报。</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jc w:val="center"/>
          <w:trHeight w:val="901"/>
        </w:trPr>
        <w:tc>
          <w:tcPr>
            <w:tcBorders>
              <w:top w:val="single" w:color="000000" w:sz="4" w:space="0"/>
              <w:left w:val="single" w:color="000000" w:sz="4" w:space="0"/>
              <w:bottom w:val="non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服务实践性</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服务实际情况与主题切合，具有很高的实践性；2、积极搜集项目实施过程中志愿者团队意见，结合实际情况向街道反馈并给出建议方案，便于及时调整；3、积极链接各类社会资源，做好产品、服务资源的匹配工作并对开展的服务进行质量跟踪和监管。</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jc w:val="center"/>
          <w:trHeight w:val="1348"/>
        </w:trPr>
        <w:tc>
          <w:tcPr>
            <w:tcBorders>
              <w:top w:val="single" w:color="000000" w:sz="4" w:space="0"/>
              <w:left w:val="single" w:color="000000" w:sz="4" w:space="0"/>
              <w:bottom w:val="non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服务满意度</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服务人员具备倾听和理解客户需求的能力，积极倾听客户的意见和建议，及时反馈和改高效处理客户问题，遵循事务处理流程，确保问题能够及时解决和落实。2、服务人员应具备良好的问题分析能力，能够快速定位问题根源，提供有效的解决方案。3、服务人员具备处理志愿者及社区投诉的能力，能够客观地对待投诉，并及时采取相应措施解决问题。</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678"/>
        </w:trPr>
        <w:tc>
          <w:tcPr>
            <w:tcBorders>
              <w:top w:val="single" w:color="000000" w:sz="4" w:space="0"/>
              <w:left w:val="single" w:color="000000" w:sz="4" w:space="0"/>
              <w:bottom w:val="non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服务标准性</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1、以人为本，根据项目要求提供满足其需求的各个有序服务步骤，服务流程标准的建立，形成服务闭环。2、项目服务过程中产出物的标准化管理。</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项目创新考核(20分)</w:t>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项目总结推广</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注重项目经验总结及推广，借助国家、省、市各级媒体进行项目推广</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创新性分析</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业务模式创新探索，借助技术手段、服务手段的突破和服务理念的变革，探索创造全新的整体服务。</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项目成效考核(25分)</w:t>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项目影响力</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项目合作期内能有效完成运营服务，带来良好的社会影响力；</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项目完成度</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按要求完成项目内容，设定目标百分百达成；</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8</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项目执行力</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项目合作期内，处理需求的响应速度快和处理结果有效；</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146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项目风控力</w:t>
            </w:r>
            <w:r/>
          </w:p>
        </w:tc>
        <w:tc>
          <w:tcPr>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项目执行期内，能有效进行成本控制；做好业务风险的预测和控制。</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总体点评</w:t>
            </w:r>
            <w:r/>
          </w:p>
        </w:tc>
        <w:tc>
          <w:tcPr>
            <w:gridSpan w:val="2"/>
            <w:tcBorders>
              <w:top w:val="single" w:color="000000" w:sz="4" w:space="0"/>
              <w:left w:val="single" w:color="000000" w:sz="4" w:space="0"/>
              <w:bottom w:val="single" w:color="000000" w:sz="4" w:space="0"/>
              <w:right w:val="single" w:color="000000" w:sz="4" w:space="0"/>
            </w:tcBorders>
            <w:tcW w:w="7685" w:type="dxa"/>
            <w:vAlign w:val="center"/>
            <w:textDirection w:val="lrTb"/>
            <w:noWrap/>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100</w:t>
            </w:r>
            <w:r/>
          </w:p>
        </w:tc>
      </w:tr>
    </w:tbl>
    <w:p>
      <w:pPr>
        <w:pStyle w:val="767"/>
        <w:ind w:left="0" w:firstLine="0"/>
        <w:rPr>
          <w:rFonts w:hint="default"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r>
      <w:r/>
    </w:p>
    <w:p>
      <w:pPr>
        <w:pStyle w:val="767"/>
        <w:ind w:left="0" w:firstLine="0"/>
        <w:rPr>
          <w:rFonts w:hint="default" w:ascii="宋体" w:hAnsi="宋体" w:cs="宋体"/>
          <w:b/>
          <w:color w:val="000000" w:themeColor="text1"/>
          <w:szCs w:val="21"/>
          <w14:textFill>
            <w14:solidFill>
              <w14:schemeClr w14:val="tx1"/>
            </w14:solidFill>
          </w14:textFill>
        </w:rPr>
      </w:pPr>
      <w:r>
        <w:rPr>
          <w:rFonts w:hint="default" w:ascii="宋体" w:hAnsi="宋体" w:cs="宋体"/>
          <w:b/>
          <w:color w:val="000000" w:themeColor="text1"/>
          <w:szCs w:val="21"/>
          <w14:textFill>
            <w14:solidFill>
              <w14:schemeClr w14:val="tx1"/>
            </w14:solidFill>
          </w14:textFill>
        </w:rPr>
      </w:r>
      <w:r/>
    </w:p>
    <w:p>
      <w:pPr>
        <w:pStyle w:val="767"/>
        <w:rPr>
          <w:rFonts w:hint="default" w:ascii="宋体" w:hAnsi="宋体" w:cs="宋体"/>
          <w:b/>
          <w:color w:val="000000" w:themeColor="text1"/>
          <w:szCs w:val="21"/>
          <w14:textFill>
            <w14:solidFill>
              <w14:schemeClr w14:val="tx1"/>
            </w14:solidFill>
          </w14:textFill>
        </w:rPr>
      </w:pPr>
      <w:r>
        <w:rPr>
          <w:rFonts w:hint="default" w:ascii="宋体" w:hAnsi="宋体" w:cs="宋体"/>
          <w:b/>
          <w:color w:val="000000" w:themeColor="text1"/>
          <w:szCs w:val="21"/>
          <w14:textFill>
            <w14:solidFill>
              <w14:schemeClr w14:val="tx1"/>
            </w14:solidFill>
          </w14:textFill>
        </w:rPr>
      </w:r>
      <w:r/>
    </w:p>
    <w:p>
      <w:pPr>
        <w:pStyle w:val="767"/>
        <w:rPr>
          <w:rFonts w:hint="default" w:ascii="宋体" w:hAnsi="宋体" w:cs="宋体"/>
          <w:b/>
          <w:color w:val="000000" w:themeColor="text1"/>
          <w:szCs w:val="21"/>
          <w14:textFill>
            <w14:solidFill>
              <w14:schemeClr w14:val="tx1"/>
            </w14:solidFill>
          </w14:textFill>
        </w:rPr>
      </w:pPr>
      <w:r>
        <w:rPr>
          <w:rFonts w:hint="default" w:ascii="宋体" w:hAnsi="宋体" w:cs="宋体"/>
          <w:b/>
          <w:color w:val="000000" w:themeColor="text1"/>
          <w:szCs w:val="21"/>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outlineLvl w:val="0"/>
      </w:pPr>
      <w:r>
        <w:rPr>
          <w:rFonts w:hint="eastAsia" w:ascii="宋体" w:hAnsi="宋体"/>
          <w:b/>
          <w:color w:val="000000" w:themeColor="text1"/>
          <w:sz w:val="32"/>
          <w14:textFill>
            <w14:solidFill>
              <w14:schemeClr w14:val="tx1"/>
            </w14:solidFill>
          </w14:textFill>
        </w:rPr>
        <w:t xml:space="preserve">六、磋商响应文件格式</w:t>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附件</w:t>
      </w:r>
      <w:r>
        <w:rPr>
          <w:rFonts w:ascii="宋体" w:hAnsi="宋体"/>
          <w:b/>
          <w:color w:val="000000" w:themeColor="text1"/>
          <w14:textFill>
            <w14:solidFill>
              <w14:schemeClr w14:val="tx1"/>
            </w14:solidFill>
          </w14:textFill>
        </w:rPr>
        <w:t xml:space="preserve">1</w:t>
      </w:r>
      <w:r>
        <w:rPr>
          <w:rFonts w:hint="eastAsia" w:ascii="宋体" w:hAnsi="宋体"/>
          <w:b/>
          <w:color w:val="000000" w:themeColor="text1"/>
          <w14:textFill>
            <w14:solidFill>
              <w14:schemeClr w14:val="tx1"/>
            </w14:solidFill>
          </w14:textFill>
        </w:rPr>
        <w:t xml:space="preserve">、（供应商）授权委托书</w:t>
      </w:r>
      <w:r/>
    </w:p>
    <w:p>
      <w:pPr>
        <w:spacing w:line="360" w:lineRule="auto"/>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r>
      <w:r/>
    </w:p>
    <w:p>
      <w:pPr>
        <w:ind w:firstLine="3780"/>
        <w:spacing w:line="360" w:lineRule="auto"/>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授权委托书</w:t>
      </w:r>
      <w:r/>
    </w:p>
    <w:p>
      <w:pPr>
        <w:ind w:firstLine="420"/>
        <w:spacing w:line="360" w:lineRule="auto"/>
        <w:widowControl/>
        <w:rPr>
          <w:rFonts w:ascii="宋体" w:hAnsi="宋体"/>
          <w:color w:val="000000" w:themeColor="text1"/>
          <w:sz w:val="28"/>
          <w:szCs w:val="20"/>
          <w14:textFill>
            <w14:solidFill>
              <w14:schemeClr w14:val="tx1"/>
            </w14:solidFill>
          </w14:textFill>
        </w:rPr>
      </w:pPr>
      <w:r>
        <w:rPr>
          <w:rFonts w:ascii="宋体" w:hAnsi="宋体"/>
          <w:color w:val="000000" w:themeColor="text1"/>
          <w:sz w:val="28"/>
          <w:szCs w:val="20"/>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本授权委托书声明：我</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（姓名）系</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（供应商名称）</w:t>
      </w:r>
      <w:r>
        <w:rPr>
          <w:rFonts w:hint="eastAsia" w:ascii="宋体" w:hAnsi="宋体"/>
          <w:color w:val="000000" w:themeColor="text1"/>
          <w:szCs w:val="21"/>
          <w14:textFill>
            <w14:solidFill>
              <w14:schemeClr w14:val="tx1"/>
            </w14:solidFill>
          </w14:textFill>
        </w:rPr>
        <w:t xml:space="preserve">的法定代表人（负责人），现授权委托</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（姓名）为我公司授权代表（即代理人），以本公司的名义参加 </w:t>
      </w:r>
      <w:r>
        <w:rPr>
          <w:rFonts w:hint="eastAsia" w:ascii="宋体" w:hAnsi="宋体"/>
          <w:color w:val="000000" w:themeColor="text1"/>
          <w:szCs w:val="21"/>
          <w:u w:val="single"/>
          <w14:textFill>
            <w14:solidFill>
              <w14:schemeClr w14:val="tx1"/>
            </w14:solidFill>
          </w14:textFill>
        </w:rPr>
        <w:t xml:space="preserve"> 苏州市永诚建设咨询有限公司</w:t>
      </w:r>
      <w:r>
        <w:rPr>
          <w:rFonts w:hint="eastAsia" w:ascii="宋体" w:hAnsi="宋体"/>
          <w:color w:val="000000" w:themeColor="text1"/>
          <w:szCs w:val="21"/>
          <w14:textFill>
            <w14:solidFill>
              <w14:schemeClr w14:val="tx1"/>
            </w14:solidFill>
          </w14:textFill>
        </w:rPr>
        <w:t xml:space="preserve"> 组织实施的编号为</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授权代表无转委托权。特此委托。</w:t>
      </w:r>
      <w:r/>
    </w:p>
    <w:p>
      <w:pPr>
        <w:ind w:firstLine="48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供应商：（公章）</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法定代表人（负责人）：（签字或盖章）</w:t>
      </w:r>
      <w:r/>
    </w:p>
    <w:p>
      <w:pPr>
        <w:ind w:firstLine="480"/>
        <w:spacing w:line="360" w:lineRule="auto"/>
        <w:tabs>
          <w:tab w:val="left" w:pos="693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代理人：（签字或盖章）</w:t>
      </w:r>
      <w:r/>
    </w:p>
    <w:p>
      <w:pPr>
        <w:ind w:firstLine="420"/>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　　月　　日</w:t>
      </w:r>
      <w:r/>
    </w:p>
    <w:p>
      <w:pPr>
        <w:jc w:val="left"/>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380" w:lineRule="exact"/>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380" w:lineRule="exact"/>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附件2、磋商响应函</w:t>
      </w:r>
      <w:r/>
    </w:p>
    <w:p>
      <w:pPr>
        <w:jc w:val="center"/>
        <w:spacing w:line="380" w:lineRule="exact"/>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磋商响应函</w:t>
      </w:r>
      <w:r/>
    </w:p>
    <w:p>
      <w:pPr>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20"/>
        <w:jc w:val="left"/>
        <w:spacing w:line="38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苏州市永诚建设咨询有限公司 </w:t>
      </w:r>
      <w:r>
        <w:rPr>
          <w:rFonts w:hint="eastAsia" w:ascii="宋体" w:hAnsi="宋体"/>
          <w:color w:val="000000" w:themeColor="text1"/>
          <w:szCs w:val="21"/>
          <w14:textFill>
            <w14:solidFill>
              <w14:schemeClr w14:val="tx1"/>
            </w14:solidFill>
          </w14:textFill>
        </w:rPr>
        <w:t xml:space="preserve">：</w:t>
      </w:r>
      <w:r/>
    </w:p>
    <w:p>
      <w:pPr>
        <w:jc w:val="left"/>
        <w:spacing w:line="380" w:lineRule="exact"/>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我们收到贵公司</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号磋商文件，经仔细阅读和研究，我们决定参加磋商。</w:t>
      </w:r>
      <w:r/>
    </w:p>
    <w:p>
      <w:pPr>
        <w:ind w:firstLine="420"/>
        <w:spacing w:line="360" w:lineRule="auto"/>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、我们愿意按照磋商文件的一切要求，完成该项目的全部内容。</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、如果我们的磋商响应文件被接受，我们将严格履行磋商文件中规定的每一项要求，按期、按质、按量履行合同的义务。</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、我们已</w:t>
      </w:r>
      <w:r>
        <w:rPr>
          <w:rFonts w:ascii="宋体" w:hAnsi="宋体"/>
          <w:color w:val="000000" w:themeColor="text1"/>
          <w:szCs w:val="21"/>
          <w14:textFill>
            <w14:solidFill>
              <w14:schemeClr w14:val="tx1"/>
            </w14:solidFill>
          </w14:textFill>
        </w:rPr>
        <w:t xml:space="preserve">详细</w:t>
      </w:r>
      <w:r>
        <w:rPr>
          <w:rFonts w:hint="eastAsia" w:ascii="宋体" w:hAnsi="宋体"/>
          <w:color w:val="000000" w:themeColor="text1"/>
          <w:szCs w:val="21"/>
          <w14:textFill>
            <w14:solidFill>
              <w14:schemeClr w14:val="tx1"/>
            </w14:solidFill>
          </w14:textFill>
        </w:rPr>
        <w:t xml:space="preserve">阅读</w:t>
      </w:r>
      <w:r>
        <w:rPr>
          <w:rFonts w:ascii="宋体" w:hAnsi="宋体"/>
          <w:color w:val="000000" w:themeColor="text1"/>
          <w:szCs w:val="21"/>
          <w14:textFill>
            <w14:solidFill>
              <w14:schemeClr w14:val="tx1"/>
            </w14:solidFill>
          </w14:textFill>
        </w:rPr>
        <w:t xml:space="preserve">全部</w:t>
      </w:r>
      <w:r>
        <w:rPr>
          <w:rFonts w:hint="eastAsia" w:ascii="宋体" w:hAnsi="宋体"/>
          <w:color w:val="000000" w:themeColor="text1"/>
          <w:szCs w:val="21"/>
          <w14:textFill>
            <w14:solidFill>
              <w14:schemeClr w14:val="tx1"/>
            </w14:solidFill>
          </w14:textFill>
        </w:rPr>
        <w:t xml:space="preserve">磋商文件</w:t>
      </w:r>
      <w:r>
        <w:rPr>
          <w:rFonts w:ascii="宋体" w:hAnsi="宋体"/>
          <w:color w:val="000000" w:themeColor="text1"/>
          <w:szCs w:val="21"/>
          <w14:textFill>
            <w14:solidFill>
              <w14:schemeClr w14:val="tx1"/>
            </w14:solidFill>
          </w14:textFill>
        </w:rPr>
        <w:t xml:space="preserve">，包括</w:t>
      </w:r>
      <w:r>
        <w:rPr>
          <w:rFonts w:hint="eastAsia" w:ascii="宋体" w:hAnsi="宋体"/>
          <w:color w:val="000000" w:themeColor="text1"/>
          <w:szCs w:val="21"/>
          <w14:textFill>
            <w14:solidFill>
              <w14:schemeClr w14:val="tx1"/>
            </w14:solidFill>
          </w14:textFill>
        </w:rPr>
        <w:t xml:space="preserve">更正公告</w:t>
      </w:r>
      <w:r>
        <w:rPr>
          <w:rFonts w:ascii="宋体" w:hAnsi="宋体"/>
          <w:color w:val="000000" w:themeColor="text1"/>
          <w:szCs w:val="21"/>
          <w14:textFill>
            <w14:solidFill>
              <w14:schemeClr w14:val="tx1"/>
            </w14:solidFill>
          </w14:textFill>
        </w:rPr>
        <w:t xml:space="preserve">(如有)</w:t>
      </w:r>
      <w:r>
        <w:rPr>
          <w:rFonts w:hint="eastAsia" w:ascii="宋体" w:hAnsi="宋体"/>
          <w:color w:val="000000" w:themeColor="text1"/>
          <w:szCs w:val="21"/>
          <w14:textFill>
            <w14:solidFill>
              <w14:schemeClr w14:val="tx1"/>
            </w14:solidFill>
          </w14:textFill>
        </w:rPr>
        <w:t xml:space="preserve">，对磋商文件及更正公告</w:t>
      </w:r>
      <w:r>
        <w:rPr>
          <w:rFonts w:ascii="宋体" w:hAnsi="宋体"/>
          <w:color w:val="000000" w:themeColor="text1"/>
          <w:szCs w:val="21"/>
          <w14:textFill>
            <w14:solidFill>
              <w14:schemeClr w14:val="tx1"/>
            </w14:solidFill>
          </w14:textFill>
        </w:rPr>
        <w:t xml:space="preserve">(如有)</w:t>
      </w:r>
      <w:r>
        <w:rPr>
          <w:rFonts w:hint="eastAsia" w:ascii="宋体" w:hAnsi="宋体"/>
          <w:color w:val="000000" w:themeColor="text1"/>
          <w:szCs w:val="21"/>
          <w14:textFill>
            <w14:solidFill>
              <w14:schemeClr w14:val="tx1"/>
            </w14:solidFill>
          </w14:textFill>
        </w:rPr>
        <w:t xml:space="preserve">无任何异议。</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4、我们同意按磋商文件中的规定，本响应文件的有效期限自提交响应文件截止时间之日起</w:t>
      </w:r>
      <w:r>
        <w:rPr>
          <w:rFonts w:hint="eastAsia" w:ascii="宋体" w:hAnsi="宋体"/>
          <w:color w:val="000000" w:themeColor="text1"/>
          <w:szCs w:val="21"/>
          <w:u w:val="single"/>
          <w14:textFill>
            <w14:solidFill>
              <w14:schemeClr w14:val="tx1"/>
            </w14:solidFill>
          </w14:textFill>
        </w:rPr>
        <w:t xml:space="preserve">30</w:t>
      </w:r>
      <w:r>
        <w:rPr>
          <w:rFonts w:hint="eastAsia" w:ascii="宋体" w:hAnsi="宋体"/>
          <w:color w:val="000000" w:themeColor="text1"/>
          <w:szCs w:val="21"/>
          <w14:textFill>
            <w14:solidFill>
              <w14:schemeClr w14:val="tx1"/>
            </w14:solidFill>
          </w14:textFill>
        </w:rPr>
        <w:t xml:space="preserve">天。</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5、我们愿意提供磋商采购单位在磋商文件中要求的相关资料。</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6、我们愿意遵守磋商文件中所列的收费标准。</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7、我们承诺该响应文件在磋商开始后的全过程中保持有效，不作任何更改和变动。</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8、我们承诺我公司符合磋商文件中“合格供应商的基本、特定条件”的要求，若与真实情况不符，本公司愿意承担由此而产生的一切后果。</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所有有关磋商文件的函电，请按下列地址联系：</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                             联系人：</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                             邮政编码：</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联系电话：                         传真：</w:t>
      </w:r>
      <w:r/>
    </w:p>
    <w:p>
      <w:pPr>
        <w:ind w:left="3400" w:firstLine="73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供应商：（公章）</w:t>
      </w:r>
      <w:r/>
    </w:p>
    <w:p>
      <w:pPr>
        <w:ind w:left="3824" w:firstLine="31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法定代表人（负责人）或代理人：（签字或盖章）</w:t>
      </w:r>
      <w:r/>
    </w:p>
    <w:p>
      <w:pPr>
        <w:ind w:left="3400" w:firstLine="73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年 月 日</w:t>
      </w:r>
      <w:r/>
    </w:p>
    <w:p>
      <w:pPr>
        <w:jc w:val="left"/>
        <w:spacing w:line="360" w:lineRule="auto"/>
        <w:widowControl/>
        <w:rPr>
          <w:rFonts w:ascii="宋体" w:hAnsi="宋体"/>
          <w:b/>
          <w:color w:val="000000" w:themeColor="text1"/>
          <w:szCs w:val="21"/>
          <w14:textFill>
            <w14:solidFill>
              <w14:schemeClr w14:val="tx1"/>
            </w14:solidFill>
          </w14:textFill>
        </w:rPr>
      </w:pPr>
      <w:r>
        <w:rPr>
          <w:rFonts w:ascii="宋体" w:hAnsi="宋体"/>
          <w:b/>
          <w:color w:val="000000" w:themeColor="text1"/>
          <w:sz w:val="24"/>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附件</w:t>
      </w:r>
      <w:r>
        <w:rPr>
          <w:rFonts w:ascii="宋体" w:hAnsi="宋体"/>
          <w:b/>
          <w:color w:val="000000" w:themeColor="text1"/>
          <w:szCs w:val="21"/>
          <w14:textFill>
            <w14:solidFill>
              <w14:schemeClr w14:val="tx1"/>
            </w14:solidFill>
          </w14:textFill>
        </w:rPr>
        <w:t xml:space="preserve">3</w:t>
      </w:r>
      <w:r>
        <w:rPr>
          <w:rFonts w:hint="eastAsia" w:ascii="宋体" w:hAnsi="宋体"/>
          <w:b/>
          <w:color w:val="000000" w:themeColor="text1"/>
          <w:szCs w:val="21"/>
          <w14:textFill>
            <w14:solidFill>
              <w14:schemeClr w14:val="tx1"/>
            </w14:solidFill>
          </w14:textFill>
        </w:rPr>
        <w:t xml:space="preserve">、磋商报价表、报价分析表</w:t>
      </w:r>
      <w:r/>
    </w:p>
    <w:p>
      <w:pPr>
        <w:jc w:val="left"/>
        <w:spacing w:line="3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3584"/>
        <w:jc w:val="both"/>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磋商报价表</w:t>
      </w:r>
      <w:r/>
    </w:p>
    <w:p>
      <w:pPr>
        <w:ind w:firstLine="210"/>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210"/>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采购编号：                                                  价格单位：元  </w:t>
      </w:r>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bl>
      <w:tblPr>
        <w:tblStyle w:val="715"/>
        <w:tblpPr w:horzAnchor="margin" w:tblpXSpec="center" w:vertAnchor="text" w:tblpY="1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94"/>
        <w:gridCol w:w="5625"/>
      </w:tblGrid>
      <w:tr>
        <w:trPr>
          <w:cantSplit/>
          <w:trHeight w:val="605"/>
        </w:trPr>
        <w:tc>
          <w:tcPr>
            <w:tcW w:w="2794"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项目名称</w:t>
            </w:r>
            <w:r/>
          </w:p>
        </w:tc>
        <w:tc>
          <w:tcPr>
            <w:tcW w:w="5625"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cantSplit/>
          <w:trHeight w:val="930"/>
        </w:trPr>
        <w:tc>
          <w:tcPr>
            <w:tcW w:w="2794"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响应报价</w:t>
            </w:r>
            <w:r/>
          </w:p>
        </w:tc>
        <w:tc>
          <w:tcPr>
            <w:tcW w:w="5625"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cantSplit/>
          <w:trHeight w:val="908"/>
        </w:trPr>
        <w:tc>
          <w:tcPr>
            <w:tcW w:w="2794"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合同履行期限</w:t>
            </w:r>
            <w:r/>
          </w:p>
        </w:tc>
        <w:tc>
          <w:tcPr>
            <w:tcW w:w="5625"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合同签订之日起壹年</w:t>
            </w:r>
            <w:r/>
          </w:p>
        </w:tc>
      </w:tr>
      <w:tr>
        <w:trPr>
          <w:cantSplit/>
          <w:trHeight w:val="474"/>
        </w:trPr>
        <w:tc>
          <w:tcPr>
            <w:gridSpan w:val="2"/>
            <w:tcW w:w="8419" w:type="dxa"/>
            <w:vAlign w:val="center"/>
            <w:textDirection w:val="lrTb"/>
            <w:noWrap w:val="false"/>
          </w:tcPr>
          <w:p>
            <w:pPr>
              <w:pStyle w:val="946"/>
              <w:ind w:firstLine="210"/>
              <w:spacing w:line="360" w:lineRule="auto"/>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中型企业（  ）   小型企业（  ）     微型企业（  ）     监狱企业 （  ）  </w:t>
            </w:r>
            <w:r/>
          </w:p>
          <w:p>
            <w:pPr>
              <w:pStyle w:val="946"/>
              <w:ind w:firstLine="210"/>
              <w:spacing w:line="360" w:lineRule="auto"/>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残疾人福利性企业(   )</w:t>
            </w:r>
            <w:r/>
          </w:p>
        </w:tc>
      </w:tr>
    </w:tbl>
    <w:p>
      <w:pPr>
        <w:pStyle w:val="946"/>
        <w:ind w:firstLine="211"/>
        <w:jc w:val="center"/>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p>
      <w:pPr>
        <w:ind w:firstLine="525"/>
        <w:spacing w:line="360" w:lineRule="exac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注：磋商供应商如为中小微企业、监狱企业、残疾人福利性企业在相对应处打“√”。</w:t>
      </w:r>
      <w:r/>
    </w:p>
    <w:p>
      <w:pPr>
        <w:ind w:firstLine="525"/>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525"/>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供应商：（公章）</w:t>
      </w:r>
      <w:r/>
    </w:p>
    <w:p>
      <w:pPr>
        <w:ind w:firstLine="525"/>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法定代表人（负责人）或代理人：（签字或盖章）</w:t>
      </w:r>
      <w:r/>
    </w:p>
    <w:p>
      <w:pPr>
        <w:ind w:firstLine="525"/>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年  月  日</w:t>
      </w:r>
      <w:r/>
    </w:p>
    <w:p>
      <w:pPr>
        <w:pStyle w:val="724"/>
        <w:ind w:firstLine="241"/>
        <w:jc w:val="center"/>
        <w:spacing w:line="380" w:lineRule="exact"/>
        <w:rPr>
          <w:rFonts w:hAnsi="宋体"/>
          <w:b/>
          <w:color w:val="000000" w:themeColor="text1"/>
          <w:sz w:val="24"/>
          <w14:textFill>
            <w14:solidFill>
              <w14:schemeClr w14:val="tx1"/>
            </w14:solidFill>
          </w14:textFill>
        </w:rPr>
      </w:pPr>
      <w:r>
        <w:rPr>
          <w:rFonts w:hAnsi="宋体"/>
          <w:b/>
          <w:color w:val="000000" w:themeColor="text1"/>
          <w:sz w:val="24"/>
          <w14:textFill>
            <w14:solidFill>
              <w14:schemeClr w14:val="tx1"/>
            </w14:solidFill>
          </w14:textFill>
        </w:rPr>
      </w:r>
      <w:r/>
    </w:p>
    <w:p>
      <w:pPr>
        <w:ind w:firstLine="3584"/>
        <w:jc w:val="both"/>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报价分析表</w:t>
      </w:r>
      <w:r/>
    </w:p>
    <w:tbl>
      <w:tblPr>
        <w:tblStyle w:val="715"/>
        <w:tblW w:w="9191" w:type="dxa"/>
        <w:tblInd w:w="0" w:type="dxa"/>
        <w:tblLayout w:type="fixed"/>
        <w:tblCellMar>
          <w:left w:w="108" w:type="dxa"/>
          <w:top w:w="0" w:type="dxa"/>
          <w:right w:w="108" w:type="dxa"/>
          <w:bottom w:w="0" w:type="dxa"/>
        </w:tblCellMar>
        <w:tblLook w:val="04A0" w:firstRow="1" w:lastRow="0" w:firstColumn="1" w:lastColumn="0" w:noHBand="0" w:noVBand="1"/>
      </w:tblPr>
      <w:tblGrid>
        <w:gridCol w:w="828"/>
        <w:gridCol w:w="2363"/>
        <w:gridCol w:w="1666"/>
        <w:gridCol w:w="2384"/>
        <w:gridCol w:w="1950"/>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363"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服务条目</w:t>
            </w:r>
            <w:r/>
          </w:p>
        </w:tc>
        <w:tc>
          <w:tcPr>
            <w:tcBorders>
              <w:top w:val="single" w:color="auto" w:sz="6" w:space="0"/>
              <w:left w:val="single" w:color="auto" w:sz="6" w:space="0"/>
              <w:bottom w:val="single" w:color="auto" w:sz="6" w:space="0"/>
              <w:right w:val="single" w:color="auto" w:sz="6" w:space="0"/>
            </w:tcBorders>
            <w:tcW w:w="1666"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2384"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单价（元）</w:t>
            </w:r>
            <w:r/>
          </w:p>
        </w:tc>
        <w:tc>
          <w:tcPr>
            <w:tcBorders>
              <w:top w:val="single" w:color="auto" w:sz="6" w:space="0"/>
              <w:left w:val="single" w:color="auto" w:sz="6" w:space="0"/>
              <w:bottom w:val="single" w:color="auto" w:sz="6" w:space="0"/>
              <w:right w:val="single" w:color="auto" w:sz="6" w:space="0"/>
            </w:tcBorders>
            <w:tcW w:w="1950"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合价（元）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363"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66"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363"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66"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363"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66" w:type="dxa"/>
            <w:textDirection w:val="lrTb"/>
            <w:noWrap w:val="false"/>
          </w:tcPr>
          <w:p>
            <w:pPr>
              <w:spacing w:line="360" w:lineRule="auto"/>
              <w:rPr>
                <w:rFonts w:ascii="宋体" w:hAnsi="宋体" w:cs="宋体"/>
                <w:color w:val="000000" w:themeColor="text1"/>
                <w:szCs w:val="21"/>
                <w:highlight w:val="cyan"/>
                <w14:textFill>
                  <w14:solidFill>
                    <w14:schemeClr w14:val="tx1"/>
                  </w14:solidFill>
                </w14:textFill>
              </w:rPr>
            </w:pPr>
            <w:r>
              <w:rPr>
                <w:rFonts w:ascii="宋体" w:hAnsi="宋体" w:cs="宋体"/>
                <w:color w:val="000000" w:themeColor="text1"/>
                <w:szCs w:val="21"/>
                <w:highlight w:val="cya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63"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66"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63"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66"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gridSpan w:val="3"/>
            <w:tcBorders>
              <w:top w:val="single" w:color="auto" w:sz="6" w:space="0"/>
              <w:left w:val="single" w:color="auto" w:sz="6" w:space="0"/>
              <w:bottom w:val="single" w:color="auto" w:sz="6" w:space="0"/>
              <w:right w:val="single" w:color="auto" w:sz="6" w:space="0"/>
            </w:tcBorders>
            <w:tcW w:w="4857"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84"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0"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c>
          <w:tcPr>
            <w:gridSpan w:val="5"/>
            <w:tcBorders>
              <w:top w:val="none" w:color="000000" w:sz="4" w:space="0"/>
              <w:left w:val="single" w:color="auto" w:sz="6" w:space="0"/>
              <w:bottom w:val="none" w:color="000000" w:sz="4" w:space="0"/>
              <w:right w:val="single" w:color="auto" w:sz="6" w:space="0"/>
            </w:tcBorders>
            <w:tcW w:w="9191"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磋商总报价（人民币大写）：                   ￥：</w:t>
            </w:r>
            <w:r/>
          </w:p>
        </w:tc>
      </w:tr>
      <w:tr>
        <w:trPr/>
        <w:tc>
          <w:tcPr>
            <w:gridSpan w:val="5"/>
            <w:tcBorders>
              <w:top w:val="none" w:color="000000" w:sz="4" w:space="0"/>
              <w:left w:val="single" w:color="auto" w:sz="6" w:space="0"/>
              <w:bottom w:val="single" w:color="auto" w:sz="6" w:space="0"/>
              <w:right w:val="single" w:color="auto" w:sz="6" w:space="0"/>
            </w:tcBorders>
            <w:tcW w:w="9191" w:type="dxa"/>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中小微型企业（  ）     监狱企业 （  ）    残疾人福利性企业(   )</w:t>
            </w:r>
            <w:r/>
          </w:p>
        </w:tc>
      </w:tr>
    </w:tbl>
    <w:p>
      <w:pPr>
        <w:ind w:firstLine="210"/>
        <w:jc w:val="left"/>
        <w:spacing w:line="360" w:lineRule="auto"/>
        <w:rPr>
          <w:rFonts w:ascii="宋体" w:hAnsi="宋体" w:cs="宋体"/>
          <w:color w:val="000000" w:themeColor="text1"/>
          <w:szCs w:val="24"/>
          <w14:textFill>
            <w14:solidFill>
              <w14:schemeClr w14:val="tx1"/>
            </w14:solidFill>
          </w14:textFill>
        </w:rPr>
      </w:pPr>
      <w:r>
        <w:rPr>
          <w:rFonts w:hint="eastAsia" w:cs="宋体" w:asciiTheme="minorEastAsia" w:hAnsiTheme="minorEastAsia" w:eastAsiaTheme="minorEastAsia"/>
          <w:color w:val="000000" w:themeColor="text1"/>
          <w:szCs w:val="24"/>
          <w14:textFill>
            <w14:solidFill>
              <w14:schemeClr w14:val="tx1"/>
            </w14:solidFill>
          </w14:textFill>
        </w:rPr>
        <w:t xml:space="preserve">注：1、</w:t>
      </w:r>
      <w:r>
        <w:rPr>
          <w:rFonts w:hint="eastAsia" w:cs="宋体" w:asciiTheme="minorEastAsia" w:hAnsiTheme="minorEastAsia"/>
          <w:color w:val="000000" w:themeColor="text1"/>
          <w:szCs w:val="24"/>
          <w14:textFill>
            <w14:solidFill>
              <w14:schemeClr w14:val="tx1"/>
            </w14:solidFill>
          </w14:textFill>
        </w:rPr>
        <w:t xml:space="preserve">报价分析表与磋商报价表不一致，以磋商报价表为准。</w:t>
      </w:r>
      <w:r/>
    </w:p>
    <w:p>
      <w:pPr>
        <w:ind w:firstLine="210"/>
        <w:jc w:val="left"/>
        <w:spacing w:line="360" w:lineRule="auto"/>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ind w:firstLine="525"/>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360" w:lineRule="auto"/>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ascii="宋体" w:hAnsi="宋体"/>
          <w:b/>
          <w:bCs/>
          <w:color w:val="000000" w:themeColor="text1"/>
          <w:sz w:val="26"/>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附件4、服务要求偏离表</w:t>
      </w:r>
      <w:r/>
    </w:p>
    <w:p>
      <w:pPr>
        <w:jc w:val="center"/>
        <w:spacing w:line="360" w:lineRule="auto"/>
        <w:rPr>
          <w:rFonts w:ascii="宋体" w:hAnsi="宋体"/>
          <w:b/>
          <w:color w:val="000000" w:themeColor="text1"/>
          <w:spacing w:val="20"/>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服务要求偏离表</w:t>
      </w:r>
      <w:r/>
    </w:p>
    <w:p>
      <w:pPr>
        <w:spacing w:line="380" w:lineRule="exact"/>
        <w:rPr>
          <w:rFonts w:ascii="宋体" w:hAnsi="宋体"/>
          <w:b/>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w:t>
      </w:r>
      <w:r>
        <w:rPr>
          <w:rFonts w:hint="eastAsia" w:ascii="宋体" w:hAnsi="宋体"/>
          <w:color w:val="000000" w:themeColor="text1"/>
          <w:szCs w:val="21"/>
          <w:lang w:val="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采购编号</w:t>
      </w:r>
      <w:r>
        <w:rPr>
          <w:rFonts w:hint="eastAsia" w:ascii="宋体" w:hAnsi="宋体" w:cs="宋体"/>
          <w:color w:val="000000" w:themeColor="text1"/>
          <w:szCs w:val="21"/>
          <w:lang w:val="zh-CN"/>
          <w14:textFill>
            <w14:solidFill>
              <w14:schemeClr w14:val="tx1"/>
            </w14:solidFill>
          </w14:textFill>
        </w:rPr>
        <w:t xml:space="preserve">∶</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683" w:type="dxa"/>
            <w:vAlign w:val="center"/>
            <w:textDirection w:val="lrTb"/>
            <w:noWrap w:val="false"/>
          </w:tcPr>
          <w:p>
            <w:pPr>
              <w:ind w:left="54"/>
              <w:jc w:val="center"/>
              <w:spacing w:line="360" w:lineRule="auto"/>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w:t>
            </w:r>
            <w:r/>
          </w:p>
        </w:tc>
        <w:tc>
          <w:tcPr>
            <w:tcW w:w="2051"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要求</w:t>
            </w:r>
            <w:r/>
          </w:p>
        </w:tc>
        <w:tc>
          <w:tcPr>
            <w:tcW w:w="2052"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响应情况</w:t>
            </w:r>
            <w:r/>
          </w:p>
        </w:tc>
        <w:tc>
          <w:tcPr>
            <w:tcW w:w="2052"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偏离说明</w:t>
            </w:r>
            <w:r/>
          </w:p>
        </w:tc>
      </w:tr>
      <w:tr>
        <w:trPr>
          <w:jc w:val="center"/>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683"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1"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683"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1"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1683"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1"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1683"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1"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1683"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1"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052" w:type="dxa"/>
            <w:textDirection w:val="lrTb"/>
            <w:noWrap w:val="false"/>
          </w:tcPr>
          <w:p>
            <w:pPr>
              <w:ind w:firstLine="699"/>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63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注：1、供应商应对照采购文件的服务要求等，所投标的物与采购文件的规定有偏离的，应在此表中申明与技术要求条文的偏差和例外。</w:t>
      </w:r>
      <w:r/>
    </w:p>
    <w:p>
      <w:pPr>
        <w:ind w:firstLine="63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firstLine="63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3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供应商：（公章）</w:t>
      </w:r>
      <w:r/>
    </w:p>
    <w:p>
      <w:pPr>
        <w:ind w:firstLine="63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法定代表人（负责人）或代理人（签字或盖章）</w:t>
      </w:r>
      <w:r>
        <w:rPr>
          <w:rFonts w:hint="eastAsia" w:ascii="宋体" w:hAnsi="宋体"/>
          <w:bCs/>
          <w:color w:val="000000" w:themeColor="text1"/>
          <w:szCs w:val="21"/>
          <w14:textFill>
            <w14:solidFill>
              <w14:schemeClr w14:val="tx1"/>
            </w14:solidFill>
          </w14:textFill>
        </w:rPr>
        <w:t xml:space="preserve">：</w:t>
      </w:r>
      <w:r/>
    </w:p>
    <w:p>
      <w:pPr>
        <w:ind w:firstLine="630"/>
        <w:spacing w:line="400" w:lineRule="exact"/>
        <w:rPr>
          <w:rFonts w:ascii="宋体" w:hAns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磋商日期</w:t>
      </w:r>
      <w:r>
        <w:rPr>
          <w:rFonts w:ascii="宋体" w:hAnsi="宋体"/>
          <w:bCs/>
          <w:color w:val="000000" w:themeColor="text1"/>
          <w:szCs w:val="21"/>
          <w14:textFill>
            <w14:solidFill>
              <w14:schemeClr w14:val="tx1"/>
            </w14:solidFill>
          </w14:textFill>
        </w:rPr>
        <w:t xml:space="preserve">:</w:t>
      </w:r>
      <w:r/>
    </w:p>
    <w:p>
      <w:pPr>
        <w:jc w:val="center"/>
        <w:spacing w:line="360" w:lineRule="auto"/>
        <w:rPr>
          <w:rFonts w:ascii="宋体" w:hAnsi="宋体"/>
          <w:b/>
          <w:color w:val="000000" w:themeColor="text1"/>
          <w:spacing w:val="20"/>
          <w:szCs w:val="21"/>
          <w14:textFill>
            <w14:solidFill>
              <w14:schemeClr w14:val="tx1"/>
            </w14:solidFill>
          </w14:textFill>
        </w:rPr>
      </w:pPr>
      <w:r>
        <w:rPr>
          <w:rFonts w:ascii="宋体" w:hAnsi="宋体"/>
          <w:b/>
          <w:color w:val="000000" w:themeColor="text1"/>
          <w:spacing w:val="20"/>
          <w:szCs w:val="21"/>
          <w14:textFill>
            <w14:solidFill>
              <w14:schemeClr w14:val="tx1"/>
            </w14:solidFill>
          </w14:textFill>
        </w:rPr>
      </w:r>
      <w:r/>
    </w:p>
    <w:p>
      <w:pPr>
        <w:jc w:val="left"/>
        <w:spacing w:line="400" w:lineRule="exact"/>
        <w:widowControl/>
        <w:rPr>
          <w:rFonts w:hint="eastAsia" w:ascii="宋体" w:hAnsi="宋体"/>
          <w:b/>
          <w:color w:val="000000" w:themeColor="text1"/>
          <w:szCs w:val="21"/>
          <w14:textFill>
            <w14:solidFill>
              <w14:schemeClr w14:val="tx1"/>
            </w14:solidFill>
          </w14:textFill>
        </w:rPr>
      </w:pPr>
      <w:r>
        <w:rPr>
          <w:rFonts w:ascii="宋体" w:hAnsi="宋体"/>
          <w:b/>
          <w:color w:val="000000" w:themeColor="text1"/>
          <w:sz w:val="24"/>
          <w:szCs w:val="20"/>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附件5、资格证明文件</w:t>
      </w:r>
      <w:r/>
    </w:p>
    <w:p>
      <w:pPr>
        <w:pStyle w:val="716"/>
      </w:pPr>
      <w:r/>
      <w:r/>
    </w:p>
    <w:p>
      <w:pPr>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 资格文件的声明函</w:t>
      </w:r>
      <w:r/>
    </w:p>
    <w:p>
      <w:pPr>
        <w:jc w:val="left"/>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资格文件的声明函</w:t>
      </w:r>
      <w:r/>
    </w:p>
    <w:p>
      <w:pPr>
        <w:jc w:val="left"/>
        <w:spacing w:line="40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苏州市永诚建设咨询有限公司：</w:t>
      </w:r>
      <w:r/>
    </w:p>
    <w:p>
      <w:pPr>
        <w:jc w:val="left"/>
        <w:spacing w:line="40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本公司愿就由贵公司组织实施的编号为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20"/>
        <w:jc w:val="left"/>
        <w:spacing w:line="400" w:lineRule="exact"/>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jc w:val="left"/>
        <w:spacing w:line="40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法定代表人（负责人）（签字或盖章）：</w:t>
      </w:r>
      <w:r/>
    </w:p>
    <w:p>
      <w:pPr>
        <w:ind w:left="1700" w:firstLine="425"/>
        <w:jc w:val="left"/>
        <w:spacing w:line="40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供应商（公章）：</w:t>
      </w:r>
      <w:r/>
    </w:p>
    <w:p>
      <w:pPr>
        <w:ind w:firstLine="420"/>
        <w:jc w:val="left"/>
        <w:spacing w:line="400" w:lineRule="exac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年</w:t>
      </w:r>
      <w:r>
        <w:rPr>
          <w:rFonts w:ascii="宋体" w:hAnsi="宋体"/>
          <w:color w:val="000000" w:themeColor="text1"/>
          <w:szCs w:val="21"/>
          <w14:textFill>
            <w14:solidFill>
              <w14:schemeClr w14:val="tx1"/>
            </w14:solidFill>
          </w14:textFill>
        </w:rPr>
        <w:tab/>
      </w:r>
      <w:r>
        <w:rPr>
          <w:rFonts w:hint="eastAsia" w:ascii="宋体" w:hAnsi="宋体"/>
          <w:color w:val="000000" w:themeColor="text1"/>
          <w:szCs w:val="21"/>
          <w14:textFill>
            <w14:solidFill>
              <w14:schemeClr w14:val="tx1"/>
            </w14:solidFill>
          </w14:textFill>
        </w:rPr>
        <w:t xml:space="preserve">月</w:t>
      </w:r>
      <w:r>
        <w:rPr>
          <w:rFonts w:ascii="宋体" w:hAnsi="宋体"/>
          <w:color w:val="000000" w:themeColor="text1"/>
          <w:szCs w:val="21"/>
          <w14:textFill>
            <w14:solidFill>
              <w14:schemeClr w14:val="tx1"/>
            </w14:solidFill>
          </w14:textFill>
        </w:rPr>
        <w:tab/>
      </w:r>
      <w:r>
        <w:rPr>
          <w:rFonts w:hint="eastAsia" w:ascii="宋体" w:hAnsi="宋体"/>
          <w:color w:val="000000" w:themeColor="text1"/>
          <w:szCs w:val="21"/>
          <w14:textFill>
            <w14:solidFill>
              <w14:schemeClr w14:val="tx1"/>
            </w14:solidFill>
          </w14:textFill>
        </w:rPr>
        <w:t xml:space="preserve">日</w:t>
      </w:r>
      <w:r/>
    </w:p>
    <w:p>
      <w:pPr>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(2)供应商情况表</w:t>
      </w:r>
      <w:r/>
    </w:p>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供应商情况表</w:t>
      </w:r>
      <w:r/>
    </w:p>
    <w:p>
      <w:pPr>
        <w:ind w:firstLine="420"/>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widowControl/>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单位名称（盖章）</w:t>
      </w:r>
      <w:r/>
    </w:p>
    <w:tbl>
      <w:tblPr>
        <w:tblStyle w:val="71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w:t>
            </w:r>
            <w:r/>
          </w:p>
        </w:tc>
        <w:tc>
          <w:tcPr>
            <w:tcW w:w="2268"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59"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成立日期</w:t>
            </w:r>
            <w:r/>
          </w:p>
        </w:tc>
        <w:tc>
          <w:tcPr>
            <w:tcW w:w="2694"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410"/>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注册地址</w:t>
            </w:r>
            <w:r/>
          </w:p>
        </w:tc>
        <w:tc>
          <w:tcPr>
            <w:tcW w:w="2268"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59"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注册资金</w:t>
            </w:r>
            <w:r/>
          </w:p>
        </w:tc>
        <w:tc>
          <w:tcPr>
            <w:tcW w:w="2694" w:type="dxa"/>
            <w:textDirection w:val="lrTb"/>
            <w:noWrap w:val="false"/>
          </w:tcPr>
          <w:p>
            <w:pPr>
              <w:ind w:firstLine="2160"/>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402"/>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经营范围</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422"/>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企业资质等级</w:t>
            </w:r>
            <w:r/>
          </w:p>
        </w:tc>
        <w:tc>
          <w:tcPr>
            <w:tcW w:w="2268" w:type="dxa"/>
            <w:vAlign w:val="bottom"/>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5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员工总人数</w:t>
            </w:r>
            <w:r/>
          </w:p>
        </w:tc>
        <w:tc>
          <w:tcPr>
            <w:tcW w:w="2694" w:type="dxa"/>
            <w:vAlign w:val="bottom"/>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70"/>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资产总计</w:t>
            </w:r>
            <w:r/>
          </w:p>
        </w:tc>
        <w:tc>
          <w:tcPr>
            <w:tcW w:w="2268" w:type="dxa"/>
            <w:vAlign w:val="bottom"/>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万元</w:t>
            </w:r>
            <w:r/>
          </w:p>
        </w:tc>
        <w:tc>
          <w:tcPr>
            <w:tcW w:w="155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营业收入</w:t>
            </w:r>
            <w:r/>
          </w:p>
        </w:tc>
        <w:tc>
          <w:tcPr>
            <w:tcW w:w="2694" w:type="dxa"/>
            <w:vAlign w:val="bottom"/>
            <w:textDirection w:val="lrTb"/>
            <w:noWrap w:val="false"/>
          </w:tcPr>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202</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年      万元</w:t>
            </w:r>
            <w:r/>
          </w:p>
        </w:tc>
      </w:tr>
      <w:tr>
        <w:trPr>
          <w:cantSplit/>
          <w:jc w:val="center"/>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实现利润</w:t>
            </w:r>
            <w:r/>
          </w:p>
        </w:tc>
        <w:tc>
          <w:tcPr>
            <w:tcW w:w="2268" w:type="dxa"/>
            <w:vAlign w:val="bottom"/>
            <w:textDirection w:val="lrTb"/>
            <w:noWrap w:val="false"/>
          </w:tcPr>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202</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年     万元</w:t>
            </w:r>
            <w:r/>
          </w:p>
        </w:tc>
        <w:tc>
          <w:tcPr>
            <w:tcW w:w="1559"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营业面积（含厂房面积）</w:t>
            </w:r>
            <w:r/>
          </w:p>
        </w:tc>
        <w:tc>
          <w:tcPr>
            <w:tcW w:w="2694" w:type="dxa"/>
            <w:vAlign w:val="bottom"/>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平方米</w:t>
            </w:r>
            <w:r/>
          </w:p>
        </w:tc>
      </w:tr>
      <w:tr>
        <w:trPr>
          <w:cantSplit/>
          <w:jc w:val="center"/>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单位简历及内设机构情况</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488"/>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单位优势及特长</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81"/>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商业信誉和健全的财务会计制度介绍</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851"/>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履行合同所必需的设备和专业技术能力情况</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748"/>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依法缴纳税收和社会保障资金情况</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1164"/>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参加政府采购活动前三年内，在经营活动中</w:t>
            </w:r>
            <w:r>
              <w:rPr>
                <w:rFonts w:hint="eastAsia" w:ascii="宋体" w:hAnsi="宋体"/>
                <w:color w:val="000000" w:themeColor="text1"/>
                <w:szCs w:val="21"/>
                <w14:textFill>
                  <w14:solidFill>
                    <w14:schemeClr w14:val="tx1"/>
                  </w14:solidFill>
                </w14:textFill>
              </w:rPr>
              <w:t xml:space="preserve">有无</w:t>
            </w:r>
            <w:r>
              <w:rPr>
                <w:rFonts w:ascii="宋体" w:hAnsi="宋体"/>
                <w:color w:val="000000" w:themeColor="text1"/>
                <w:szCs w:val="21"/>
                <w14:textFill>
                  <w14:solidFill>
                    <w14:schemeClr w14:val="tx1"/>
                  </w14:solidFill>
                </w14:textFill>
              </w:rPr>
              <w:t xml:space="preserve">重大违法记录</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708"/>
        </w:trPr>
        <w:tc>
          <w:tcPr>
            <w:tcW w:w="2552"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其他需要说明的情况</w:t>
            </w:r>
            <w:r/>
          </w:p>
        </w:tc>
        <w:tc>
          <w:tcPr>
            <w:gridSpan w:val="3"/>
            <w:tcW w:w="6521" w:type="dxa"/>
            <w:textDirection w:val="lrTb"/>
            <w:noWrap w:val="false"/>
          </w:tcPr>
          <w:p>
            <w:pPr>
              <w:jc w:val="cente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rPr>
          <w:rFonts w:ascii="宋体" w:hAnsi="宋体"/>
          <w:b/>
          <w:color w:val="000000" w:themeColor="text1"/>
          <w:szCs w:val="21"/>
          <w14:textFill>
            <w14:solidFill>
              <w14:schemeClr w14:val="tx1"/>
            </w14:solidFill>
          </w14:textFill>
        </w:rPr>
      </w:pPr>
      <w:r>
        <w:rPr>
          <w:rFonts w:ascii="宋体" w:hAnsi="宋体"/>
          <w:b/>
          <w:color w:val="000000" w:themeColor="text1"/>
          <w14:textFill>
            <w14:solidFill>
              <w14:schemeClr w14:val="tx1"/>
            </w14:solidFill>
          </w14:textFill>
        </w:rPr>
        <w:t xml:space="preserve">附件六、</w:t>
      </w:r>
      <w:r>
        <w:rPr>
          <w:rFonts w:hint="eastAsia" w:ascii="宋体" w:hAnsi="宋体"/>
          <w:b/>
          <w:color w:val="000000" w:themeColor="text1"/>
          <w:szCs w:val="21"/>
          <w14:textFill>
            <w14:solidFill>
              <w14:schemeClr w14:val="tx1"/>
            </w14:solidFill>
          </w14:textFill>
        </w:rPr>
        <w:t xml:space="preserve">中小企业声明函（响应单位属于中小企业的需填写）</w:t>
      </w:r>
      <w:r/>
    </w:p>
    <w:p>
      <w:pPr>
        <w:jc w:val="center"/>
        <w:spacing w:line="588" w:lineRule="exact"/>
        <w:rPr>
          <w:rFonts w:ascii="宋体" w:hAnsi="宋体"/>
          <w:b/>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r>
      <w:r/>
    </w:p>
    <w:p>
      <w:pPr>
        <w:jc w:val="center"/>
        <w:spacing w:line="400" w:lineRule="exact"/>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中小企业声明函（服务）</w:t>
      </w:r>
      <w:r/>
    </w:p>
    <w:p>
      <w:pPr>
        <w:spacing w:after="1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3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本单位郑重声明，根据《政府采购促进中小企业发展管理办法》（财库﹝2020﹞46 号）的规定，本公司 （联合体）参加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（甲方名称） </w:t>
      </w:r>
      <w:r>
        <w:rPr>
          <w:rFonts w:hint="eastAsia" w:ascii="宋体" w:hAnsi="宋体" w:cs="宋体"/>
          <w:color w:val="000000" w:themeColor="text1"/>
          <w:szCs w:val="21"/>
          <w14:textFill>
            <w14:solidFill>
              <w14:schemeClr w14:val="tx1"/>
            </w14:solidFill>
          </w14:textFill>
        </w:rPr>
        <w:t xml:space="preserve">的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（采购项目名称） </w:t>
      </w:r>
      <w:r>
        <w:rPr>
          <w:rFonts w:hint="eastAsia" w:ascii="宋体" w:hAnsi="宋体" w:cs="宋体"/>
          <w:color w:val="000000" w:themeColor="text1"/>
          <w:szCs w:val="21"/>
          <w14:textFill>
            <w14:solidFill>
              <w14:schemeClr w14:val="tx1"/>
            </w14:solidFill>
          </w14:textFill>
        </w:rPr>
        <w:t xml:space="preserve">采购活动，服务全部由符合政策要求的中小企业承接。相关企业 （含联合体中的中小企业、签订分包意向协议的中小企业） 的具体情况如下：</w:t>
      </w:r>
      <w:r/>
    </w:p>
    <w:p>
      <w:pPr>
        <w:ind w:firstLine="630"/>
        <w:jc w:val="left"/>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（采购项目名称）</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 xml:space="preserve">其他未列明行业</w:t>
      </w:r>
      <w:r>
        <w:rPr>
          <w:rFonts w:hint="eastAsia" w:ascii="宋体" w:hAnsi="宋体" w:cs="宋体"/>
          <w:color w:val="000000" w:themeColor="text1"/>
          <w:szCs w:val="21"/>
          <w:u w:val="single"/>
          <w14:textFill>
            <w14:solidFill>
              <w14:schemeClr w14:val="tx1"/>
            </w14:solidFill>
          </w14:textFill>
        </w:rPr>
        <w:t xml:space="preserve">） 行 业 </w:t>
      </w:r>
      <w:r>
        <w:rPr>
          <w:rFonts w:hint="eastAsia" w:ascii="宋体" w:hAnsi="宋体" w:cs="宋体"/>
          <w:color w:val="000000" w:themeColor="text1"/>
          <w:szCs w:val="21"/>
          <w14:textFill>
            <w14:solidFill>
              <w14:schemeClr w14:val="tx1"/>
            </w14:solidFill>
          </w14:textFill>
        </w:rPr>
        <w:t xml:space="preserve">；承接企业为</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企 业 名 称 ）</w:t>
      </w:r>
      <w:r>
        <w:rPr>
          <w:rFonts w:hint="eastAsia" w:ascii="宋体" w:hAnsi="宋体" w:cs="宋体"/>
          <w:color w:val="000000" w:themeColor="text1"/>
          <w:szCs w:val="21"/>
          <w14:textFill>
            <w14:solidFill>
              <w14:schemeClr w14:val="tx1"/>
            </w14:solidFill>
          </w14:textFill>
        </w:rPr>
        <w:t xml:space="preserve"> ，从业人员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中 型 企 业 、 小 型 企 业 、 微 型 企 业 ） </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567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企业名称（盖章）： </w:t>
      </w:r>
      <w:r/>
    </w:p>
    <w:p>
      <w:pPr>
        <w:ind w:firstLine="567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p>
    <w:p>
      <w:pPr>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注：从业人员、营业收入、资产总额填报上一年度数据，无上一年度数据的新成立企业可不填报。如允许联合体投标，则联合体各方均需填写声明函。</w:t>
      </w:r>
      <w:r/>
    </w:p>
    <w:p>
      <w:pPr>
        <w:jc w:val="left"/>
        <w:spacing w:line="400" w:lineRule="exact"/>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400" w:lineRule="exact"/>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40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jc w:val="left"/>
        <w:spacing w:line="400" w:lineRule="exact"/>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附件七、残疾人福利性单位声明函</w:t>
      </w:r>
      <w:r/>
    </w:p>
    <w:p>
      <w:pPr>
        <w:jc w:val="left"/>
        <w:spacing w:line="360" w:lineRule="auto"/>
        <w:widowControl/>
        <w:rPr>
          <w:rFonts w:eastAsia="楷体_GB2312"/>
          <w:b/>
          <w:color w:val="000000" w:themeColor="text1"/>
          <w:szCs w:val="21"/>
          <w14:textFill>
            <w14:solidFill>
              <w14:schemeClr w14:val="tx1"/>
            </w14:solidFill>
          </w14:textFill>
        </w:rPr>
      </w:pPr>
      <w:r>
        <w:rPr>
          <w:rFonts w:eastAsia="楷体_GB2312"/>
          <w:b/>
          <w:color w:val="000000" w:themeColor="text1"/>
          <w:szCs w:val="21"/>
          <w14:textFill>
            <w14:solidFill>
              <w14:schemeClr w14:val="tx1"/>
            </w14:solidFill>
          </w14:textFill>
        </w:rPr>
      </w:r>
      <w:r/>
    </w:p>
    <w:p>
      <w:pPr>
        <w:ind w:firstLine="2962"/>
        <w:jc w:val="left"/>
        <w:spacing w:line="360" w:lineRule="auto"/>
        <w:widowControl/>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残疾人福利性单位声明函</w:t>
      </w:r>
      <w:r/>
    </w:p>
    <w:p>
      <w:pPr>
        <w:jc w:val="left"/>
        <w:spacing w:line="360" w:lineRule="auto"/>
        <w:widowControl/>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（甲方名称）</w:t>
      </w:r>
      <w:r>
        <w:rPr>
          <w:rFonts w:hint="eastAsia" w:ascii="宋体" w:hAnsi="宋体"/>
          <w:bCs/>
          <w:color w:val="000000" w:themeColor="text1"/>
          <w:szCs w:val="21"/>
          <w14:textFill>
            <w14:solidFill>
              <w14:schemeClr w14:val="tx1"/>
            </w14:solidFill>
          </w14:textFill>
        </w:rPr>
        <w:t xml:space="preserve">的</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本单位对上述声明的真实性负责。如有虚假，将依法承担相应责任。</w:t>
      </w:r>
      <w:r/>
    </w:p>
    <w:p>
      <w:pPr>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单位名称（盖章）：</w:t>
      </w:r>
      <w:r/>
    </w:p>
    <w:p>
      <w:pPr>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日  期：</w:t>
      </w:r>
      <w:r/>
    </w:p>
    <w:p>
      <w:pPr>
        <w:jc w:val="left"/>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br w:type="page" w:clear="all"/>
      </w:r>
      <w:r/>
    </w:p>
    <w:p>
      <w:pPr>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jc w:val="left"/>
        <w:spacing w:line="360" w:lineRule="auto"/>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附件八、</w:t>
      </w:r>
      <w:r/>
    </w:p>
    <w:p>
      <w:pPr>
        <w:jc w:val="center"/>
        <w:spacing w:line="480" w:lineRule="exact"/>
        <w:rPr>
          <w:rFonts w:cs="宋体"/>
          <w:color w:val="000000" w:themeColor="text1"/>
          <w:lang w:bidi="ar"/>
          <w14:textFill>
            <w14:solidFill>
              <w14:schemeClr w14:val="tx1"/>
            </w14:solidFill>
          </w14:textFill>
        </w:rPr>
      </w:pPr>
      <w:r>
        <w:rPr>
          <w:rFonts w:hint="eastAsia" w:cs="宋体"/>
          <w:color w:val="000000" w:themeColor="text1"/>
          <w:lang w:bidi="ar"/>
          <w14:textFill>
            <w14:solidFill>
              <w14:schemeClr w14:val="tx1"/>
            </w14:solidFill>
          </w14:textFill>
        </w:rPr>
        <w:t xml:space="preserve">投标（响应）保证承诺书</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致：苏州市永诚建设咨询有限公司  </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我             （单位/本人，以下统称我单位）自愿参加               （项目名称和采购编号）的投标（响应）,并做出如下承诺：</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一、  除不可抗力外，我单位如果发生以下行为，将在行为发生的10个工作日内，向贵方（或采购人）支付本采购文件公布的预算金额的2%作为违约赔偿金（数量不确定的单价采购须约定具体金额）。</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2.中标（成交）后不依法与采购人签订合同；</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3.中标（成交）后不按本采购文件规定向采购人提交履约保证金；</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4.中标（成交）后不按本采购文件规定向贵方缴纳采购代理费。</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  我单位知晓上述行为的法律后果，承认本承诺书作为贵方（或采购人）要求我单位履行违约赔偿义务的依据作用。</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企业名称（盖章）：</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地址：</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联系电话：</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邮件：</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法定代表人或委托代理人(签字或签章)：</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日期：                                           </w:t>
      </w:r>
      <w:r/>
    </w:p>
    <w:p>
      <w:pPr>
        <w:jc w:val="left"/>
        <w:spacing w:line="360" w:lineRule="auto"/>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附件九、</w:t>
      </w:r>
      <w:r/>
    </w:p>
    <w:p>
      <w:pPr>
        <w:jc w:val="cente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具备履行合同所必需设备和专业技术能力证明材料声明函</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致：</w:t>
      </w:r>
      <w:r>
        <w:rPr>
          <w:color w:val="000000" w:themeColor="text1"/>
          <w:lang w:bidi="ar"/>
          <w14:textFill>
            <w14:solidFill>
              <w14:schemeClr w14:val="tx1"/>
            </w14:solidFill>
          </w14:textFill>
        </w:rPr>
        <w:t xml:space="preserve">   </w:t>
      </w:r>
      <w:r>
        <w:rPr>
          <w:color w:val="000000" w:themeColor="text1"/>
          <w:u w:val="single"/>
          <w:lang w:bidi="ar"/>
          <w14:textFill>
            <w14:solidFill>
              <w14:schemeClr w14:val="tx1"/>
            </w14:solidFill>
          </w14:textFill>
        </w:rPr>
        <w:t xml:space="preserve">                   </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采购人或采购代理机构</w:t>
      </w:r>
      <w:r>
        <w:rPr>
          <w:color w:val="000000" w:themeColor="text1"/>
          <w:lang w:bidi="ar"/>
          <w14:textFill>
            <w14:solidFill>
              <w14:schemeClr w14:val="tx1"/>
            </w14:solidFill>
          </w14:textFill>
        </w:rPr>
        <w:t xml:space="preserve">) </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我方具备履行合同所必需的设备和专业技术能力，并对本声明承诺的真实性负责，否则产生不利后果由我方承担责任。</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特此声明。</w:t>
      </w:r>
      <w:r/>
    </w:p>
    <w:p>
      <w:pPr>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 xml:space="preserve"> </w:t>
      </w:r>
      <w:r/>
    </w:p>
    <w:p>
      <w:pPr>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★注意：</w:t>
      </w:r>
      <w:r/>
    </w:p>
    <w:p>
      <w:pPr>
        <w:spacing w:line="360" w:lineRule="auto"/>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1.</w:t>
      </w:r>
      <w:r>
        <w:rPr>
          <w:rFonts w:hint="eastAsia" w:cs="宋体"/>
          <w:color w:val="000000" w:themeColor="text1"/>
          <w:lang w:bidi="ar"/>
          <w14:textFill>
            <w14:solidFill>
              <w14:schemeClr w14:val="tx1"/>
            </w14:solidFill>
          </w14:textFill>
        </w:rPr>
        <w:t xml:space="preserve">采购文件“供应商的资格”中资格条件如果没有特别规定，则由供应商在投标文件中按上述格式提供其具备履行合同所必需的设备和专业技术能力的声明即可，声明函应加盖供应商签章。</w:t>
      </w:r>
      <w:r/>
    </w:p>
    <w:p>
      <w:pPr>
        <w:spacing w:line="360" w:lineRule="auto"/>
        <w:rPr>
          <w:rFonts w:cs="宋体"/>
          <w:color w:val="000000" w:themeColor="text1"/>
          <w:lang w:bidi="ar"/>
          <w14:textFill>
            <w14:solidFill>
              <w14:schemeClr w14:val="tx1"/>
            </w14:solidFill>
          </w14:textFill>
        </w:rPr>
      </w:pPr>
      <w:r>
        <w:rPr>
          <w:color w:val="000000" w:themeColor="text1"/>
          <w:lang w:bidi="ar"/>
          <w14:textFill>
            <w14:solidFill>
              <w14:schemeClr w14:val="tx1"/>
            </w14:solidFill>
          </w14:textFill>
        </w:rPr>
        <w:t xml:space="preserve">2.</w:t>
      </w:r>
      <w:r>
        <w:rPr>
          <w:rFonts w:hint="eastAsia" w:cs="宋体"/>
          <w:color w:val="000000" w:themeColor="text1"/>
          <w:lang w:bidi="ar"/>
          <w14:textFill>
            <w14:solidFill>
              <w14:schemeClr w14:val="tx1"/>
            </w14:solidFill>
          </w14:textFill>
        </w:rPr>
        <w:t xml:space="preserve">如果根据项目的特点和需要，对履行合同所必需的设备和专业技术能力的证明材料有特别专项要求的，则采购人或采购代理机构会在投标文件“供应商的资格”中特定资格条件进行明确约定，供应商可以不用提供上述格式要求的声明函，但必须按特定资格条件的规定提供相应专项证明材料，并对相应证明材料的真实性负责。</w:t>
      </w:r>
      <w:r/>
    </w:p>
    <w:p>
      <w:pPr>
        <w:spacing w:line="360" w:lineRule="auto"/>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 3.</w:t>
      </w:r>
      <w:r>
        <w:rPr>
          <w:rFonts w:hint="eastAsia" w:cs="宋体"/>
          <w:color w:val="000000" w:themeColor="text1"/>
          <w:lang w:bidi="ar"/>
          <w14:textFill>
            <w14:solidFill>
              <w14:schemeClr w14:val="tx1"/>
            </w14:solidFill>
          </w14:textFill>
        </w:rPr>
        <w:t xml:space="preserve">对于接受联合体形式的投标且供应商是联合体的，则联合体各成员都应当提交本资格证明文件。</w:t>
      </w:r>
      <w:r/>
    </w:p>
    <w:p>
      <w:pPr>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 xml:space="preserve">  </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供应商（单位盖章）：</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法定代表人或其授权人（签字或盖章）：</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日期：</w:t>
      </w:r>
      <w:r>
        <w:rPr>
          <w:rFonts w:cs="宋体"/>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年</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月</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日</w:t>
      </w:r>
      <w:r>
        <w:rPr>
          <w:color w:val="000000" w:themeColor="text1"/>
          <w:lang w:bidi="ar"/>
          <w14:textFill>
            <w14:solidFill>
              <w14:schemeClr w14:val="tx1"/>
            </w14:solidFill>
          </w14:textFill>
        </w:rPr>
        <w:t xml:space="preserve"> </w:t>
      </w:r>
      <w:r/>
    </w:p>
    <w:p>
      <w:pPr>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r>
      <w:r/>
    </w:p>
    <w:p>
      <w:pPr>
        <w:jc w:val="left"/>
        <w:spacing w:line="360" w:lineRule="auto"/>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附件十、</w:t>
      </w:r>
      <w:r/>
    </w:p>
    <w:p>
      <w:pPr>
        <w:spacing w:line="480" w:lineRule="exact"/>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参加采购活动前三年内在经营活动中没有重大违法记录书面声明</w:t>
      </w:r>
      <w:r/>
    </w:p>
    <w:p>
      <w:pPr>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r>
      <w:r/>
    </w:p>
    <w:p>
      <w:pPr>
        <w:ind w:firstLine="1260"/>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参加采购活动前三年内在经营活动中没有重大违法记录书面声明</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致：</w:t>
      </w:r>
      <w:r>
        <w:rPr>
          <w:color w:val="000000" w:themeColor="text1"/>
          <w:lang w:bidi="ar"/>
          <w14:textFill>
            <w14:solidFill>
              <w14:schemeClr w14:val="tx1"/>
            </w14:solidFill>
          </w14:textFill>
        </w:rPr>
        <w:t xml:space="preserve"> </w:t>
      </w:r>
      <w:r>
        <w:rPr>
          <w:color w:val="000000" w:themeColor="text1"/>
          <w:u w:val="single"/>
          <w:lang w:bidi="ar"/>
          <w14:textFill>
            <w14:solidFill>
              <w14:schemeClr w14:val="tx1"/>
            </w14:solidFill>
          </w14:textFill>
        </w:rPr>
        <w:t xml:space="preserve"> </w:t>
      </w:r>
      <w:bookmarkStart w:id="4" w:name="_Hlk180960057"/>
      <w:r>
        <w:rPr>
          <w:color w:val="000000" w:themeColor="text1"/>
          <w:u w:val="single"/>
          <w:lang w:bidi="ar"/>
          <w14:textFill>
            <w14:solidFill>
              <w14:schemeClr w14:val="tx1"/>
            </w14:solidFill>
          </w14:textFill>
        </w:rPr>
        <w:t xml:space="preserve">                           </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采购人或采购代理机构</w:t>
      </w:r>
      <w:r>
        <w:rPr>
          <w:color w:val="000000" w:themeColor="text1"/>
          <w:lang w:bidi="ar"/>
          <w14:textFill>
            <w14:solidFill>
              <w14:schemeClr w14:val="tx1"/>
            </w14:solidFill>
          </w14:textFill>
        </w:rPr>
        <w:t xml:space="preserve">) </w:t>
      </w:r>
      <w:bookmarkEnd w:id="4"/>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参加采购活动前三年内，我方在经营活动中没有重大违法记录。</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特此声明。</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★注意：</w:t>
      </w:r>
      <w:r/>
    </w:p>
    <w:p>
      <w:pPr>
        <w:spacing w:line="480" w:lineRule="exact"/>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1.</w:t>
      </w:r>
      <w:r>
        <w:rPr>
          <w:rFonts w:hint="eastAsia" w:cs="宋体"/>
          <w:color w:val="000000" w:themeColor="text1"/>
          <w:lang w:bidi="ar"/>
          <w14:textFill>
            <w14:solidFill>
              <w14:schemeClr w14:val="tx1"/>
            </w14:solidFill>
          </w14:textFill>
        </w:rPr>
        <w:t xml:space="preserve">“重大违法记录”指供应商因违法经营受到刑事处罚或责令停产停业、吊销许可证或执照、较大数额罚款等行政处罚。</w:t>
      </w:r>
      <w:r/>
    </w:p>
    <w:p>
      <w:pPr>
        <w:spacing w:line="480" w:lineRule="exact"/>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2.</w:t>
      </w:r>
      <w:r>
        <w:rPr>
          <w:rFonts w:hint="eastAsia" w:cs="宋体"/>
          <w:color w:val="000000" w:themeColor="text1"/>
          <w:lang w:bidi="ar"/>
          <w14:textFill>
            <w14:solidFill>
              <w14:schemeClr w14:val="tx1"/>
            </w14:solidFill>
          </w14:textFill>
        </w:rPr>
        <w:t xml:space="preserve">请供应商根据实际情况进行声明，若声明不真实，视为提供虚假材料。</w:t>
      </w:r>
      <w:r/>
    </w:p>
    <w:p>
      <w:pPr>
        <w:spacing w:line="480" w:lineRule="exact"/>
        <w:rPr>
          <w:rFonts w:ascii="Calibri" w:hAnsi="Calibri"/>
          <w:color w:val="000000" w:themeColor="text1"/>
          <w:szCs w:val="24"/>
          <w14:textFill>
            <w14:solidFill>
              <w14:schemeClr w14:val="tx1"/>
            </w14:solidFill>
          </w14:textFill>
        </w:rPr>
      </w:pPr>
      <w:r>
        <w:rPr>
          <w:color w:val="000000" w:themeColor="text1"/>
          <w:lang w:bidi="ar"/>
          <w14:textFill>
            <w14:solidFill>
              <w14:schemeClr w14:val="tx1"/>
            </w14:solidFill>
          </w14:textFill>
        </w:rPr>
        <w:t xml:space="preserve">3.</w:t>
      </w:r>
      <w:r>
        <w:rPr>
          <w:rFonts w:hint="eastAsia" w:cs="宋体"/>
          <w:color w:val="000000" w:themeColor="text1"/>
          <w:lang w:bidi="ar"/>
          <w14:textFill>
            <w14:solidFill>
              <w14:schemeClr w14:val="tx1"/>
            </w14:solidFill>
          </w14:textFill>
        </w:rPr>
        <w:t xml:space="preserve">对于接受联合体形式的投标且供应商是联合体的，则联合体各成员都应当提交本资格证明文件。</w:t>
      </w:r>
      <w:r/>
    </w:p>
    <w:p>
      <w:pPr>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 xml:space="preserve"> </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供应商（单位盖章）：</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法定代表人或其授权人（签字或盖章）：</w:t>
      </w:r>
      <w:r/>
    </w:p>
    <w:p>
      <w:pPr>
        <w:spacing w:line="480" w:lineRule="exact"/>
        <w:rPr>
          <w:color w:val="000000" w:themeColor="text1"/>
          <w14:textFill>
            <w14:solidFill>
              <w14:schemeClr w14:val="tx1"/>
            </w14:solidFill>
          </w14:textFill>
        </w:rPr>
      </w:pPr>
      <w:r>
        <w:rPr>
          <w:rFonts w:hint="eastAsia" w:cs="宋体"/>
          <w:color w:val="000000" w:themeColor="text1"/>
          <w:lang w:bidi="ar"/>
          <w14:textFill>
            <w14:solidFill>
              <w14:schemeClr w14:val="tx1"/>
            </w14:solidFill>
          </w14:textFill>
        </w:rPr>
        <w:t xml:space="preserve">日期：年</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月</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日</w:t>
      </w:r>
      <w:r/>
    </w:p>
    <w:p>
      <w:pPr>
        <w:jc w:val="left"/>
        <w:spacing w:line="360" w:lineRule="auto"/>
        <w:widowControl/>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left"/>
        <w:spacing w:line="360" w:lineRule="auto"/>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附件十一、</w:t>
      </w:r>
      <w:r/>
    </w:p>
    <w:p>
      <w:pPr>
        <w:jc w:val="center"/>
        <w:spacing w:line="400" w:lineRule="exac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针对本项目的人员配备一览表</w:t>
      </w:r>
      <w:r/>
    </w:p>
    <w:p>
      <w:pPr>
        <w:spacing w:line="380" w:lineRule="exact"/>
        <w:rPr>
          <w:rFonts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w:t>
      </w:r>
      <w:r>
        <w:rPr>
          <w:rFonts w:hint="eastAsia" w:ascii="宋体" w:hAnsi="宋体"/>
          <w:color w:val="000000" w:themeColor="text1"/>
          <w:szCs w:val="21"/>
          <w:lang w:val="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采购编号</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          </w:t>
      </w:r>
      <w:r/>
    </w:p>
    <w:tbl>
      <w:tblPr>
        <w:tblStyle w:val="715"/>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1359"/>
        <w:gridCol w:w="1530"/>
        <w:gridCol w:w="646"/>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资格证</w:t>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承当过同类项目</w:t>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在本项目拟任职务</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（可加行）</w:t>
            </w:r>
            <w:r/>
          </w:p>
        </w:tc>
      </w:tr>
    </w:tbl>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供应商（单位盖章）：</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法定代表人或其授权人（签字或盖章）：</w:t>
      </w:r>
      <w:r/>
    </w:p>
    <w:p>
      <w:pPr>
        <w:spacing w:line="480" w:lineRule="exact"/>
        <w:rPr>
          <w:rFonts w:ascii="宋体" w:hAnsi="宋体"/>
          <w:b/>
          <w:color w:val="000000" w:themeColor="text1"/>
          <w:szCs w:val="21"/>
          <w14:textFill>
            <w14:solidFill>
              <w14:schemeClr w14:val="tx1"/>
            </w14:solidFill>
          </w14:textFill>
        </w:rPr>
      </w:pPr>
      <w:r>
        <w:rPr>
          <w:rFonts w:hint="eastAsia" w:cs="宋体"/>
          <w:color w:val="000000" w:themeColor="text1"/>
          <w:lang w:bidi="ar"/>
          <w14:textFill>
            <w14:solidFill>
              <w14:schemeClr w14:val="tx1"/>
            </w14:solidFill>
          </w14:textFill>
        </w:rPr>
        <w:t xml:space="preserve">日期：年</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月</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日</w:t>
      </w:r>
      <w:r/>
    </w:p>
    <w:p>
      <w:pPr>
        <w:ind w:firstLine="359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项目负责人简历表</w:t>
      </w:r>
      <w:r/>
    </w:p>
    <w:tbl>
      <w:tblPr>
        <w:tblStyle w:val="715"/>
        <w:tblpPr w:horzAnchor="page" w:tblpX="1433" w:vertAnchor="text" w:tblpY="537" w:leftFromText="180" w:topFromText="0" w:rightFromText="180" w:bottomFromText="0"/>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姓  名</w:t>
            </w:r>
            <w:r/>
          </w:p>
        </w:tc>
        <w:tc>
          <w:tcPr>
            <w:tcW w:w="1189"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808" w:type="dxa"/>
            <w:vAlign w:val="center"/>
            <w:textDirection w:val="lrTb"/>
            <w:noWrap w:val="false"/>
          </w:tcPr>
          <w:p>
            <w:pP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 别</w:t>
            </w:r>
            <w:r/>
          </w:p>
        </w:tc>
        <w:tc>
          <w:tcPr>
            <w:tcW w:w="1428"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81"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出生日期</w:t>
            </w:r>
            <w:r/>
          </w:p>
        </w:tc>
        <w:tc>
          <w:tcPr>
            <w:gridSpan w:val="2"/>
            <w:tcW w:w="2972"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r/>
          </w:p>
        </w:tc>
      </w:tr>
      <w:tr>
        <w:trPr>
          <w:cantSplit/>
          <w:trHeight w:val="570"/>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毕业院校</w:t>
            </w:r>
            <w:r/>
          </w:p>
        </w:tc>
        <w:tc>
          <w:tcPr>
            <w:gridSpan w:val="3"/>
            <w:tcW w:w="3425"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81" w:type="dxa"/>
            <w:vAlign w:val="center"/>
            <w:textDirection w:val="lrTb"/>
            <w:noWrap w:val="false"/>
          </w:tcPr>
          <w:p>
            <w:pPr>
              <w:ind w:left="-18"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毕业时间</w:t>
            </w:r>
            <w:r/>
          </w:p>
        </w:tc>
        <w:tc>
          <w:tcPr>
            <w:gridSpan w:val="2"/>
            <w:tcW w:w="2972" w:type="dxa"/>
            <w:vAlign w:val="center"/>
            <w:textDirection w:val="lrTb"/>
            <w:noWrap w:val="false"/>
          </w:tcPr>
          <w:p>
            <w:pPr>
              <w:ind w:left="45"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r/>
          </w:p>
        </w:tc>
      </w:tr>
      <w:tr>
        <w:trPr>
          <w:trHeight w:val="556"/>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专业</w:t>
            </w:r>
            <w:r/>
          </w:p>
        </w:tc>
        <w:tc>
          <w:tcPr>
            <w:gridSpan w:val="2"/>
            <w:tcW w:w="1997"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W w:w="2609"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从事本专业时间</w:t>
            </w:r>
            <w:r/>
          </w:p>
        </w:tc>
        <w:tc>
          <w:tcPr>
            <w:gridSpan w:val="2"/>
            <w:tcW w:w="2972"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556"/>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职务</w:t>
            </w:r>
            <w:r/>
          </w:p>
        </w:tc>
        <w:tc>
          <w:tcPr>
            <w:gridSpan w:val="2"/>
            <w:tcW w:w="1997"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W w:w="2609"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职称</w:t>
            </w:r>
            <w:r/>
          </w:p>
        </w:tc>
        <w:tc>
          <w:tcPr>
            <w:gridSpan w:val="2"/>
            <w:tcW w:w="2972"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556"/>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执业资格</w:t>
            </w:r>
            <w:r/>
          </w:p>
        </w:tc>
        <w:tc>
          <w:tcPr>
            <w:gridSpan w:val="2"/>
            <w:tcW w:w="1997"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W w:w="2609"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w:t>
            </w:r>
            <w:r/>
          </w:p>
        </w:tc>
        <w:tc>
          <w:tcPr>
            <w:gridSpan w:val="2"/>
            <w:tcW w:w="2972"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556"/>
        </w:trPr>
        <w:tc>
          <w:tcPr>
            <w:gridSpan w:val="7"/>
            <w:tcW w:w="9178"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  要  经  历</w:t>
            </w:r>
            <w:r/>
          </w:p>
        </w:tc>
      </w:tr>
      <w:tr>
        <w:trPr>
          <w:trHeight w:val="980"/>
        </w:trPr>
        <w:tc>
          <w:tcPr>
            <w:tcW w:w="1600"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   间</w:t>
            </w:r>
            <w:r/>
          </w:p>
        </w:tc>
        <w:tc>
          <w:tcPr>
            <w:gridSpan w:val="5"/>
            <w:tcW w:w="6097"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参加过的项目名称及规模</w:t>
            </w:r>
            <w:r/>
          </w:p>
        </w:tc>
        <w:tc>
          <w:tcPr>
            <w:tcW w:w="1481" w:type="dxa"/>
            <w:vAlign w:val="center"/>
            <w:textDirection w:val="lrTb"/>
            <w:noWrap w:val="false"/>
          </w:tcPr>
          <w:p>
            <w:pPr>
              <w:ind w:firstLine="210"/>
              <w:jc w:val="center"/>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该项目中任职</w:t>
            </w:r>
            <w:r/>
          </w:p>
        </w:tc>
      </w:tr>
      <w:tr>
        <w:trPr>
          <w:trHeight w:val="694"/>
        </w:trPr>
        <w:tc>
          <w:tcPr>
            <w:tcW w:w="1600"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gridSpan w:val="5"/>
            <w:tcW w:w="6097"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481"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14"/>
        </w:trPr>
        <w:tc>
          <w:tcPr>
            <w:tcW w:w="1600"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5"/>
            <w:tcW w:w="6097"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481" w:type="dxa"/>
            <w:textDirection w:val="lrTb"/>
            <w:noWrap w:val="false"/>
          </w:tcPr>
          <w:p>
            <w:pPr>
              <w:ind w:firstLine="210"/>
              <w:spacing w:after="120"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ind w:firstLine="210"/>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响应供应商：（单位公章）</w:t>
      </w:r>
      <w:r/>
    </w:p>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left"/>
        <w:spacing w:line="360" w:lineRule="auto"/>
        <w:widowControl/>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附件十二、</w:t>
      </w:r>
      <w:r/>
    </w:p>
    <w:p>
      <w:pPr>
        <w:ind w:firstLine="338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类似项目业绩一览表</w:t>
      </w:r>
      <w:r/>
    </w:p>
    <w:p>
      <w:pPr>
        <w:ind w:left="420" w:right="357" w:hanging="400"/>
        <w:spacing w:before="12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w:t>
      </w:r>
      <w:r>
        <w:rPr>
          <w:rFonts w:hint="eastAsia" w:ascii="宋体" w:hAnsi="宋体"/>
          <w:color w:val="000000" w:themeColor="text1"/>
          <w:szCs w:val="21"/>
          <w:lang w:val="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采购编号</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tbl>
      <w:tblPr>
        <w:tblStyle w:val="715"/>
        <w:tblW w:w="4989" w:type="pct"/>
        <w:tblInd w:w="-108" w:type="dxa"/>
        <w:tblLayout w:type="fixed"/>
        <w:tblCellMar>
          <w:left w:w="108" w:type="dxa"/>
          <w:top w:w="0" w:type="dxa"/>
          <w:right w:w="108" w:type="dxa"/>
          <w:bottom w:w="0" w:type="dxa"/>
        </w:tblCellMar>
        <w:tblLook w:val="04A0" w:firstRow="1" w:lastRow="0" w:firstColumn="1" w:lastColumn="0" w:noHBand="0" w:noVBand="1"/>
      </w:tblPr>
      <w:tblGrid>
        <w:gridCol w:w="494"/>
        <w:gridCol w:w="1134"/>
        <w:gridCol w:w="1069"/>
        <w:gridCol w:w="1433"/>
        <w:gridCol w:w="1380"/>
        <w:gridCol w:w="1336"/>
        <w:gridCol w:w="1219"/>
        <w:gridCol w:w="1369"/>
      </w:tblGrid>
      <w:tr>
        <w:trPr>
          <w:trHeight w:val="708"/>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w:t>
            </w:r>
            <w:r/>
          </w:p>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号</w:t>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金额</w:t>
            </w:r>
            <w:r/>
          </w:p>
        </w:tc>
        <w:tc>
          <w:tcPr>
            <w:tcBorders>
              <w:top w:val="single" w:color="000000" w:sz="4" w:space="0"/>
              <w:left w:val="none" w:color="000000" w:sz="4" w:space="0"/>
              <w:bottom w:val="single" w:color="000000" w:sz="4" w:space="0"/>
              <w:right w:val="single" w:color="000000" w:sz="4" w:space="0"/>
            </w:tcBorders>
            <w:tcW w:w="13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合同签订日期</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参与人员姓名</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业主单位名称</w:t>
            </w:r>
            <w:r/>
          </w:p>
        </w:tc>
        <w:tc>
          <w:tcPr>
            <w:tcBorders>
              <w:top w:val="single" w:color="000000" w:sz="4" w:space="0"/>
              <w:left w:val="none" w:color="000000" w:sz="4" w:space="0"/>
              <w:bottom w:val="single" w:color="000000" w:sz="4" w:space="0"/>
              <w:right w:val="single" w:color="000000" w:sz="4" w:space="0"/>
            </w:tcBorders>
            <w:tcW w:w="11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业主方联系人</w:t>
            </w:r>
            <w:r/>
          </w:p>
        </w:tc>
        <w:tc>
          <w:tcPr>
            <w:tcBorders>
              <w:top w:val="single" w:color="000000" w:sz="4" w:space="0"/>
              <w:left w:val="none" w:color="000000" w:sz="4" w:space="0"/>
              <w:bottom w:val="single" w:color="000000" w:sz="4" w:space="0"/>
              <w:right w:val="single" w:color="000000" w:sz="4" w:space="0"/>
            </w:tcBorders>
            <w:tcW w:w="127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r>
      <w:tr>
        <w:trPr>
          <w:trHeight w:val="54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1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89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0" w:type="dxa"/>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0" w:type="dxa"/>
            <w:vAlign w:val="center"/>
            <w:textDirection w:val="lrTb"/>
            <w:noWrap w:val="false"/>
          </w:tcPr>
          <w:p>
            <w:pPr>
              <w:jc w:val="center"/>
              <w:spacing w:line="3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供应商（单位盖章）：</w:t>
      </w:r>
      <w:r/>
    </w:p>
    <w:p>
      <w:pPr>
        <w:spacing w:line="480" w:lineRule="exact"/>
        <w:rPr>
          <w:rFonts w:ascii="Calibri" w:hAnsi="Calibri"/>
          <w:color w:val="000000" w:themeColor="text1"/>
          <w:szCs w:val="24"/>
          <w14:textFill>
            <w14:solidFill>
              <w14:schemeClr w14:val="tx1"/>
            </w14:solidFill>
          </w14:textFill>
        </w:rPr>
      </w:pPr>
      <w:r>
        <w:rPr>
          <w:rFonts w:hint="eastAsia" w:cs="宋体"/>
          <w:color w:val="000000" w:themeColor="text1"/>
          <w:lang w:bidi="ar"/>
          <w14:textFill>
            <w14:solidFill>
              <w14:schemeClr w14:val="tx1"/>
            </w14:solidFill>
          </w14:textFill>
        </w:rPr>
        <w:t xml:space="preserve">法定代表人或其授权人（签字或盖章）：</w:t>
      </w:r>
      <w:r/>
    </w:p>
    <w:p>
      <w:pPr>
        <w:spacing w:line="480" w:lineRule="exact"/>
        <w:rPr>
          <w:rFonts w:ascii="宋体" w:hAnsi="宋体" w:cs="宋体"/>
          <w:b/>
          <w:color w:val="000000" w:themeColor="text1"/>
          <w:szCs w:val="21"/>
          <w14:textFill>
            <w14:solidFill>
              <w14:schemeClr w14:val="tx1"/>
            </w14:solidFill>
          </w14:textFill>
        </w:rPr>
      </w:pPr>
      <w:r>
        <w:rPr>
          <w:rFonts w:hint="eastAsia" w:cs="宋体"/>
          <w:color w:val="000000" w:themeColor="text1"/>
          <w:lang w:bidi="ar"/>
          <w14:textFill>
            <w14:solidFill>
              <w14:schemeClr w14:val="tx1"/>
            </w14:solidFill>
          </w14:textFill>
        </w:rPr>
        <w:t xml:space="preserve">日期：年</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月</w:t>
      </w:r>
      <w:r>
        <w:rPr>
          <w:color w:val="000000" w:themeColor="text1"/>
          <w:lang w:bidi="ar"/>
          <w14:textFill>
            <w14:solidFill>
              <w14:schemeClr w14:val="tx1"/>
            </w14:solidFill>
          </w14:textFill>
        </w:rPr>
        <w:t xml:space="preserve"> </w:t>
      </w:r>
      <w:r>
        <w:rPr>
          <w:rFonts w:hint="eastAsia" w:cs="宋体"/>
          <w:color w:val="000000" w:themeColor="text1"/>
          <w:lang w:bidi="ar"/>
          <w14:textFill>
            <w14:solidFill>
              <w14:schemeClr w14:val="tx1"/>
            </w14:solidFill>
          </w14:textFill>
        </w:rPr>
        <w:t xml:space="preserve">日</w:t>
      </w:r>
      <w:r/>
    </w:p>
    <w:p>
      <w:pPr>
        <w:spacing w:before="100" w:beforeAutospacing="1" w:after="100" w:afterAutospacing="1"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before="100" w:beforeAutospacing="1" w:after="100" w:afterAutospacing="1"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before="100" w:beforeAutospacing="1" w:after="100" w:afterAutospacing="1" w:line="360" w:lineRule="auto"/>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（全文完）</w:t>
      </w:r>
      <w:r/>
    </w:p>
    <w:sectPr>
      <w:footerReference w:type="default" r:id="rId9"/>
      <w:footerReference w:type="even" r:id="rId10"/>
      <w:footnotePr/>
      <w:endnotePr/>
      <w:type w:val="nextPage"/>
      <w:pgSz w:w="11906" w:h="16838" w:orient="portrait"/>
      <w:pgMar w:top="1020" w:right="1286" w:bottom="1318"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Calibri">
    <w:panose1 w:val="020F050202020403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33"/>
      </w:rPr>
      <w:framePr w:w="676" w:wrap="around" w:vAnchor="text" w:hAnchor="margin" w:xAlign="center" w:y="4"/>
    </w:pPr>
    <w:r>
      <w:fldChar w:fldCharType="begin"/>
    </w:r>
    <w:r>
      <w:rPr>
        <w:rStyle w:val="933"/>
      </w:rPr>
      <w:instrText xml:space="preserve">PAGE  </w:instrText>
    </w:r>
    <w:r>
      <w:fldChar w:fldCharType="separate"/>
    </w:r>
    <w:r>
      <w:rPr>
        <w:rStyle w:val="933"/>
      </w:rPr>
      <w:t xml:space="preserve">4</w:t>
    </w:r>
    <w:r>
      <w:fldChar w:fldCharType="end"/>
    </w:r>
    <w:r>
      <w:rPr>
        <w:rStyle w:val="933"/>
      </w:rPr>
      <w:t xml:space="preserve">  </w:t>
    </w:r>
    <w:r/>
  </w:p>
  <w:p>
    <w:pPr>
      <w:pStyle w:val="925"/>
      <w:jc w:val="center"/>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40</w:t>
    </w:r>
    <w:r>
      <w:rPr>
        <w:b/>
        <w:sz w:val="24"/>
        <w:szCs w:val="24"/>
      </w:rPr>
      <w:fldChar w:fldCharType="end"/>
    </w:r>
    <w:r/>
  </w:p>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- 2 -</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next w:val="716"/>
    <w:uiPriority w:val="0"/>
    <w:qFormat/>
    <w:pPr>
      <w:jc w:val="both"/>
      <w:widowControl w:val="off"/>
    </w:pPr>
    <w:rPr>
      <w:rFonts w:ascii="Times New Roman" w:hAnsi="Times New Roman" w:eastAsia="宋体" w:cs="Times New Roman"/>
      <w:sz w:val="21"/>
      <w:szCs w:val="22"/>
      <w:lang w:val="en-US" w:eastAsia="zh-CN" w:bidi="ar-SA"/>
    </w:rPr>
  </w:style>
  <w:style w:type="paragraph" w:styleId="705">
    <w:name w:val="Heading 1"/>
    <w:basedOn w:val="704"/>
    <w:next w:val="704"/>
    <w:link w:val="78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88"/>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8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9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91"/>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92"/>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93"/>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94"/>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95"/>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Indent"/>
    <w:basedOn w:val="704"/>
    <w:next w:val="717"/>
    <w:uiPriority w:val="0"/>
    <w:qFormat/>
    <w:pPr>
      <w:ind w:left="570"/>
      <w:spacing w:line="520" w:lineRule="exact"/>
    </w:pPr>
    <w:rPr>
      <w:rFonts w:ascii="方正仿宋简体" w:hAnsi="创艺简仿宋" w:eastAsia="方正仿宋简体"/>
      <w:sz w:val="24"/>
    </w:rPr>
  </w:style>
  <w:style w:type="paragraph" w:styleId="717">
    <w:name w:val="envelope return"/>
    <w:basedOn w:val="704"/>
    <w:uiPriority w:val="0"/>
    <w:qFormat/>
    <w:rPr>
      <w:rFonts w:ascii="Arial" w:hAnsi="Arial" w:eastAsia="楷体_GB2312"/>
      <w:sz w:val="26"/>
      <w:szCs w:val="20"/>
    </w:rPr>
  </w:style>
  <w:style w:type="paragraph" w:styleId="718">
    <w:name w:val="toc 7"/>
    <w:basedOn w:val="704"/>
    <w:next w:val="704"/>
    <w:uiPriority w:val="39"/>
    <w:unhideWhenUsed/>
    <w:qFormat/>
    <w:pPr>
      <w:ind w:left="1701"/>
      <w:spacing w:after="57"/>
    </w:pPr>
  </w:style>
  <w:style w:type="paragraph" w:styleId="719">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4"/>
    <w:uiPriority w:val="99"/>
    <w:semiHidden/>
    <w:unhideWhenUsed/>
    <w:qFormat/>
    <w:pPr>
      <w:jc w:val="left"/>
    </w:pPr>
  </w:style>
  <w:style w:type="paragraph" w:styleId="721">
    <w:name w:val="Block Text"/>
    <w:basedOn w:val="704"/>
    <w:uiPriority w:val="0"/>
    <w:qFormat/>
    <w:pPr>
      <w:ind w:left="630" w:right="-609" w:firstLine="420"/>
      <w:spacing w:line="360" w:lineRule="auto"/>
    </w:pPr>
    <w:rPr>
      <w:rFonts w:ascii="仿宋_GB2312" w:eastAsia="仿宋_GB2312"/>
    </w:r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Plain Text"/>
    <w:basedOn w:val="704"/>
    <w:uiPriority w:val="99"/>
    <w:qFormat/>
    <w:rPr>
      <w:rFonts w:ascii="宋体" w:hAnsi="Courier New"/>
    </w:rPr>
  </w:style>
  <w:style w:type="paragraph" w:styleId="725">
    <w:name w:val="toc 8"/>
    <w:basedOn w:val="704"/>
    <w:next w:val="704"/>
    <w:uiPriority w:val="39"/>
    <w:unhideWhenUsed/>
    <w:qFormat/>
    <w:pPr>
      <w:ind w:left="1984"/>
      <w:spacing w:after="57"/>
    </w:pPr>
  </w:style>
  <w:style w:type="paragraph" w:styleId="726">
    <w:name w:val="endnote text"/>
    <w:basedOn w:val="704"/>
    <w:link w:val="914"/>
    <w:uiPriority w:val="99"/>
    <w:semiHidden/>
    <w:unhideWhenUsed/>
    <w:qFormat/>
    <w:rPr>
      <w:sz w:val="20"/>
    </w:rPr>
  </w:style>
  <w:style w:type="paragraph" w:styleId="727">
    <w:name w:val="Balloon Text"/>
    <w:basedOn w:val="704"/>
    <w:link w:val="947"/>
    <w:uiPriority w:val="99"/>
    <w:semiHidden/>
    <w:unhideWhenUsed/>
    <w:qFormat/>
    <w:rPr>
      <w:sz w:val="18"/>
      <w:szCs w:val="18"/>
    </w:rPr>
  </w:style>
  <w:style w:type="paragraph" w:styleId="728">
    <w:name w:val="Footer"/>
    <w:basedOn w:val="704"/>
    <w:link w:val="806"/>
    <w:uiPriority w:val="99"/>
    <w:unhideWhenUsed/>
    <w:qFormat/>
    <w:pPr>
      <w:tabs>
        <w:tab w:val="center" w:pos="7143" w:leader="none"/>
        <w:tab w:val="right" w:pos="14287" w:leader="none"/>
      </w:tabs>
    </w:pPr>
  </w:style>
  <w:style w:type="paragraph" w:styleId="729">
    <w:name w:val="Header"/>
    <w:basedOn w:val="704"/>
    <w:link w:val="804"/>
    <w:uiPriority w:val="99"/>
    <w:unhideWhenUsed/>
    <w:qFormat/>
    <w:pPr>
      <w:tabs>
        <w:tab w:val="center" w:pos="7143" w:leader="none"/>
        <w:tab w:val="right" w:pos="14287" w:leader="none"/>
      </w:tabs>
    </w:pPr>
  </w:style>
  <w:style w:type="paragraph" w:styleId="730">
    <w:name w:val="toc 1"/>
    <w:basedOn w:val="704"/>
    <w:next w:val="704"/>
    <w:uiPriority w:val="39"/>
    <w:unhideWhenUsed/>
    <w:qFormat/>
    <w:pPr>
      <w:spacing w:after="57"/>
    </w:pPr>
  </w:style>
  <w:style w:type="paragraph" w:styleId="731">
    <w:name w:val="toc 4"/>
    <w:basedOn w:val="704"/>
    <w:next w:val="704"/>
    <w:uiPriority w:val="39"/>
    <w:unhideWhenUsed/>
    <w:qFormat/>
    <w:pPr>
      <w:ind w:left="850"/>
      <w:spacing w:after="57"/>
    </w:pPr>
  </w:style>
  <w:style w:type="paragraph" w:styleId="732">
    <w:name w:val="Subtitle"/>
    <w:basedOn w:val="704"/>
    <w:next w:val="704"/>
    <w:link w:val="799"/>
    <w:uiPriority w:val="11"/>
    <w:qFormat/>
    <w:pPr>
      <w:spacing w:before="200" w:after="200"/>
    </w:pPr>
    <w:rPr>
      <w:sz w:val="24"/>
      <w:szCs w:val="24"/>
    </w:rPr>
  </w:style>
  <w:style w:type="paragraph" w:styleId="733">
    <w:name w:val="footnote text"/>
    <w:basedOn w:val="704"/>
    <w:link w:val="913"/>
    <w:uiPriority w:val="99"/>
    <w:semiHidden/>
    <w:unhideWhenUsed/>
    <w:qFormat/>
    <w:pPr>
      <w:spacing w:after="40"/>
    </w:pPr>
    <w:rPr>
      <w:sz w:val="18"/>
    </w:rPr>
  </w:style>
  <w:style w:type="paragraph" w:styleId="734">
    <w:name w:val="toc 6"/>
    <w:basedOn w:val="704"/>
    <w:next w:val="704"/>
    <w:uiPriority w:val="39"/>
    <w:unhideWhenUsed/>
    <w:qFormat/>
    <w:pPr>
      <w:ind w:left="1417"/>
      <w:spacing w:after="57"/>
    </w:pPr>
  </w:style>
  <w:style w:type="paragraph" w:styleId="735">
    <w:name w:val="table of figures"/>
    <w:basedOn w:val="704"/>
    <w:next w:val="704"/>
    <w:uiPriority w:val="99"/>
    <w:unhideWhenUsed/>
    <w:qFormat/>
  </w:style>
  <w:style w:type="paragraph" w:styleId="736">
    <w:name w:val="toc 2"/>
    <w:basedOn w:val="704"/>
    <w:next w:val="704"/>
    <w:uiPriority w:val="39"/>
    <w:unhideWhenUsed/>
    <w:qFormat/>
    <w:pPr>
      <w:ind w:left="283"/>
      <w:spacing w:after="57"/>
    </w:pPr>
  </w:style>
  <w:style w:type="paragraph" w:styleId="737">
    <w:name w:val="toc 9"/>
    <w:basedOn w:val="704"/>
    <w:next w:val="704"/>
    <w:uiPriority w:val="39"/>
    <w:unhideWhenUsed/>
    <w:qFormat/>
    <w:pPr>
      <w:ind w:left="2268"/>
      <w:spacing w:after="57"/>
    </w:pPr>
  </w:style>
  <w:style w:type="paragraph" w:styleId="738">
    <w:name w:val="Body Text 2"/>
    <w:basedOn w:val="704"/>
    <w:uiPriority w:val="99"/>
    <w:unhideWhenUsed/>
    <w:qFormat/>
    <w:pPr>
      <w:spacing w:after="120" w:line="480" w:lineRule="auto"/>
    </w:pPr>
  </w:style>
  <w:style w:type="paragraph" w:styleId="739">
    <w:name w:val="Title"/>
    <w:basedOn w:val="704"/>
    <w:next w:val="704"/>
    <w:link w:val="798"/>
    <w:uiPriority w:val="10"/>
    <w:qFormat/>
    <w:pPr>
      <w:contextualSpacing/>
      <w:spacing w:before="300" w:after="200"/>
    </w:pPr>
    <w:rPr>
      <w:sz w:val="48"/>
      <w:szCs w:val="48"/>
    </w:rPr>
  </w:style>
  <w:style w:type="paragraph" w:styleId="740">
    <w:name w:val="Body Text First Indent 2"/>
    <w:basedOn w:val="716"/>
    <w:uiPriority w:val="99"/>
    <w:unhideWhenUsed/>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4"/>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basedOn w:val="714"/>
    <w:uiPriority w:val="99"/>
    <w:semiHidden/>
    <w:unhideWhenUsed/>
    <w:qFormat/>
    <w:rPr>
      <w:sz w:val="21"/>
      <w:szCs w:val="21"/>
    </w:rPr>
  </w:style>
  <w:style w:type="character" w:styleId="746">
    <w:name w:val="footnote reference"/>
    <w:uiPriority w:val="99"/>
    <w:unhideWhenUsed/>
    <w:qFormat/>
    <w:rPr>
      <w:vertAlign w:val="superscript"/>
    </w:rPr>
  </w:style>
  <w:style w:type="table" w:styleId="747"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71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清单表 7 彩色1"/>
    <w:basedOn w:val="71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qFormat/>
    <w:rPr>
      <w:rFonts w:ascii="Times New Roman" w:hAnsi="Times New Roman" w:eastAsia="宋体" w:cs="Times New Roman"/>
      <w:lang w:val="en-US" w:eastAsia="zh-CN" w:bidi="ar-SA"/>
    </w:rPr>
  </w:style>
  <w:style w:type="paragraph" w:styleId="767" w:customStyle="1">
    <w:name w:val="文本块1"/>
    <w:basedOn w:val="704"/>
    <w:uiPriority w:val="0"/>
    <w:qFormat/>
    <w:pPr>
      <w:ind w:left="630" w:right="-609" w:firstLine="420"/>
      <w:spacing w:line="360" w:lineRule="auto"/>
    </w:pPr>
    <w:rPr>
      <w:rFonts w:hint="eastAsia" w:ascii="仿宋_GB2312" w:eastAsia="仿宋_GB2312"/>
      <w:szCs w:val="20"/>
    </w:rPr>
  </w:style>
  <w:style w:type="paragraph" w:styleId="768" w:customStyle="1">
    <w:name w:val="段"/>
    <w:next w:val="704"/>
    <w:uiPriority w:val="0"/>
    <w:qFormat/>
    <w:pPr>
      <w:ind w:firstLine="200"/>
      <w:jc w:val="both"/>
    </w:pPr>
    <w:rPr>
      <w:rFonts w:ascii="宋体" w:hAnsi="Times New Roman" w:eastAsia="Times New Roman" w:cs="Times New Roman"/>
      <w:sz w:val="21"/>
      <w:szCs w:val="22"/>
      <w:lang w:val="en-US" w:eastAsia="zh-CN" w:bidi="ar-SA"/>
    </w:rPr>
  </w:style>
  <w:style w:type="character" w:styleId="769" w:customStyle="1">
    <w:name w:val="Heading 1 Char"/>
    <w:basedOn w:val="714"/>
    <w:uiPriority w:val="9"/>
    <w:qFormat/>
    <w:rPr>
      <w:rFonts w:ascii="Arial" w:hAnsi="Arial" w:eastAsia="Arial" w:cs="Arial"/>
      <w:sz w:val="40"/>
      <w:szCs w:val="40"/>
    </w:rPr>
  </w:style>
  <w:style w:type="character" w:styleId="770" w:customStyle="1">
    <w:name w:val="Heading 2 Char"/>
    <w:basedOn w:val="714"/>
    <w:uiPriority w:val="9"/>
    <w:qFormat/>
    <w:rPr>
      <w:rFonts w:ascii="Arial" w:hAnsi="Arial" w:eastAsia="Arial" w:cs="Arial"/>
      <w:sz w:val="34"/>
    </w:rPr>
  </w:style>
  <w:style w:type="character" w:styleId="771" w:customStyle="1">
    <w:name w:val="Heading 3 Char"/>
    <w:basedOn w:val="714"/>
    <w:uiPriority w:val="9"/>
    <w:qFormat/>
    <w:rPr>
      <w:rFonts w:ascii="Arial" w:hAnsi="Arial" w:eastAsia="Arial" w:cs="Arial"/>
      <w:sz w:val="30"/>
      <w:szCs w:val="30"/>
    </w:rPr>
  </w:style>
  <w:style w:type="character" w:styleId="772" w:customStyle="1">
    <w:name w:val="Heading 4 Char"/>
    <w:basedOn w:val="714"/>
    <w:uiPriority w:val="9"/>
    <w:qFormat/>
    <w:rPr>
      <w:rFonts w:ascii="Arial" w:hAnsi="Arial" w:eastAsia="Arial" w:cs="Arial"/>
      <w:b/>
      <w:bCs/>
      <w:sz w:val="26"/>
      <w:szCs w:val="26"/>
    </w:rPr>
  </w:style>
  <w:style w:type="character" w:styleId="773" w:customStyle="1">
    <w:name w:val="Heading 5 Char"/>
    <w:basedOn w:val="714"/>
    <w:uiPriority w:val="9"/>
    <w:qFormat/>
    <w:rPr>
      <w:rFonts w:ascii="Arial" w:hAnsi="Arial" w:eastAsia="Arial" w:cs="Arial"/>
      <w:b/>
      <w:bCs/>
      <w:sz w:val="24"/>
      <w:szCs w:val="24"/>
    </w:rPr>
  </w:style>
  <w:style w:type="character" w:styleId="774" w:customStyle="1">
    <w:name w:val="Heading 6 Char"/>
    <w:basedOn w:val="714"/>
    <w:uiPriority w:val="9"/>
    <w:qFormat/>
    <w:rPr>
      <w:rFonts w:ascii="Arial" w:hAnsi="Arial" w:eastAsia="Arial" w:cs="Arial"/>
      <w:b/>
      <w:bCs/>
      <w:sz w:val="22"/>
      <w:szCs w:val="22"/>
    </w:rPr>
  </w:style>
  <w:style w:type="character" w:styleId="775" w:customStyle="1">
    <w:name w:val="Heading 7 Char"/>
    <w:basedOn w:val="714"/>
    <w:uiPriority w:val="9"/>
    <w:qFormat/>
    <w:rPr>
      <w:rFonts w:ascii="Arial" w:hAnsi="Arial" w:eastAsia="Arial" w:cs="Arial"/>
      <w:b/>
      <w:bCs/>
      <w:i/>
      <w:iCs/>
      <w:sz w:val="22"/>
      <w:szCs w:val="22"/>
    </w:rPr>
  </w:style>
  <w:style w:type="character" w:styleId="776" w:customStyle="1">
    <w:name w:val="Heading 8 Char"/>
    <w:basedOn w:val="714"/>
    <w:uiPriority w:val="9"/>
    <w:qFormat/>
    <w:rPr>
      <w:rFonts w:ascii="Arial" w:hAnsi="Arial" w:eastAsia="Arial" w:cs="Arial"/>
      <w:i/>
      <w:iCs/>
      <w:sz w:val="22"/>
      <w:szCs w:val="22"/>
    </w:rPr>
  </w:style>
  <w:style w:type="character" w:styleId="777" w:customStyle="1">
    <w:name w:val="Heading 9 Char"/>
    <w:basedOn w:val="714"/>
    <w:uiPriority w:val="9"/>
    <w:qFormat/>
    <w:rPr>
      <w:rFonts w:ascii="Arial" w:hAnsi="Arial" w:eastAsia="Arial" w:cs="Arial"/>
      <w:i/>
      <w:iCs/>
      <w:sz w:val="21"/>
      <w:szCs w:val="21"/>
    </w:rPr>
  </w:style>
  <w:style w:type="character" w:styleId="778" w:customStyle="1">
    <w:name w:val="Title Char"/>
    <w:basedOn w:val="714"/>
    <w:uiPriority w:val="10"/>
    <w:qFormat/>
    <w:rPr>
      <w:sz w:val="48"/>
      <w:szCs w:val="48"/>
    </w:rPr>
  </w:style>
  <w:style w:type="character" w:styleId="779" w:customStyle="1">
    <w:name w:val="Subtitle Char"/>
    <w:basedOn w:val="714"/>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Header Char"/>
    <w:basedOn w:val="714"/>
    <w:uiPriority w:val="99"/>
    <w:qFormat/>
  </w:style>
  <w:style w:type="character" w:styleId="783" w:customStyle="1">
    <w:name w:val="Caption Char"/>
    <w:uiPriority w:val="99"/>
    <w:qFormat/>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11"/>
    <w:uiPriority w:val="39"/>
    <w:unhideWhenUsed/>
    <w:qFormat/>
    <w:rPr>
      <w:rFonts w:ascii="Times New Roman" w:hAnsi="Times New Roman" w:eastAsia="宋体" w:cs="Times New Roman"/>
      <w:lang w:val="en-US" w:eastAsia="zh-CN" w:bidi="ar-SA"/>
    </w:rPr>
  </w:style>
  <w:style w:type="character" w:styleId="787" w:customStyle="1">
    <w:name w:val="标题 1 字符"/>
    <w:link w:val="705"/>
    <w:uiPriority w:val="9"/>
    <w:qFormat/>
    <w:rPr>
      <w:rFonts w:ascii="Arial" w:hAnsi="Arial" w:eastAsia="Arial" w:cs="Arial"/>
      <w:sz w:val="40"/>
      <w:szCs w:val="40"/>
    </w:rPr>
  </w:style>
  <w:style w:type="character" w:styleId="788" w:customStyle="1">
    <w:name w:val="标题 2 字符"/>
    <w:link w:val="706"/>
    <w:uiPriority w:val="9"/>
    <w:qFormat/>
    <w:rPr>
      <w:rFonts w:ascii="Arial" w:hAnsi="Arial" w:eastAsia="Arial" w:cs="Arial"/>
      <w:sz w:val="34"/>
    </w:rPr>
  </w:style>
  <w:style w:type="character" w:styleId="789" w:customStyle="1">
    <w:name w:val="标题 3 字符"/>
    <w:link w:val="707"/>
    <w:uiPriority w:val="9"/>
    <w:qFormat/>
    <w:rPr>
      <w:rFonts w:ascii="Arial" w:hAnsi="Arial" w:eastAsia="Arial" w:cs="Arial"/>
      <w:sz w:val="30"/>
      <w:szCs w:val="30"/>
    </w:rPr>
  </w:style>
  <w:style w:type="character" w:styleId="790" w:customStyle="1">
    <w:name w:val="标题 4 字符"/>
    <w:link w:val="708"/>
    <w:uiPriority w:val="9"/>
    <w:qFormat/>
    <w:rPr>
      <w:rFonts w:ascii="Arial" w:hAnsi="Arial" w:eastAsia="Arial" w:cs="Arial"/>
      <w:b/>
      <w:bCs/>
      <w:sz w:val="26"/>
      <w:szCs w:val="26"/>
    </w:rPr>
  </w:style>
  <w:style w:type="character" w:styleId="791" w:customStyle="1">
    <w:name w:val="标题 5 字符"/>
    <w:link w:val="709"/>
    <w:uiPriority w:val="9"/>
    <w:qFormat/>
    <w:rPr>
      <w:rFonts w:ascii="Arial" w:hAnsi="Arial" w:eastAsia="Arial" w:cs="Arial"/>
      <w:b/>
      <w:bCs/>
      <w:sz w:val="24"/>
      <w:szCs w:val="24"/>
    </w:rPr>
  </w:style>
  <w:style w:type="character" w:styleId="792" w:customStyle="1">
    <w:name w:val="标题 6 字符"/>
    <w:link w:val="710"/>
    <w:uiPriority w:val="9"/>
    <w:qFormat/>
    <w:rPr>
      <w:rFonts w:ascii="Arial" w:hAnsi="Arial" w:eastAsia="Arial" w:cs="Arial"/>
      <w:b/>
      <w:bCs/>
      <w:sz w:val="22"/>
      <w:szCs w:val="22"/>
    </w:rPr>
  </w:style>
  <w:style w:type="character" w:styleId="793" w:customStyle="1">
    <w:name w:val="标题 7 字符"/>
    <w:link w:val="711"/>
    <w:uiPriority w:val="9"/>
    <w:qFormat/>
    <w:rPr>
      <w:rFonts w:ascii="Arial" w:hAnsi="Arial" w:eastAsia="Arial" w:cs="Arial"/>
      <w:b/>
      <w:bCs/>
      <w:i/>
      <w:iCs/>
      <w:sz w:val="22"/>
      <w:szCs w:val="22"/>
    </w:rPr>
  </w:style>
  <w:style w:type="character" w:styleId="794" w:customStyle="1">
    <w:name w:val="标题 8 字符"/>
    <w:link w:val="712"/>
    <w:uiPriority w:val="9"/>
    <w:qFormat/>
    <w:rPr>
      <w:rFonts w:ascii="Arial" w:hAnsi="Arial" w:eastAsia="Arial" w:cs="Arial"/>
      <w:i/>
      <w:iCs/>
      <w:sz w:val="22"/>
      <w:szCs w:val="22"/>
    </w:rPr>
  </w:style>
  <w:style w:type="character" w:styleId="795" w:customStyle="1">
    <w:name w:val="标题 9 字符"/>
    <w:link w:val="713"/>
    <w:uiPriority w:val="9"/>
    <w:qFormat/>
    <w:rPr>
      <w:rFonts w:ascii="Arial" w:hAnsi="Arial" w:eastAsia="Arial" w:cs="Arial"/>
      <w:i/>
      <w:iCs/>
      <w:sz w:val="21"/>
      <w:szCs w:val="21"/>
    </w:rPr>
  </w:style>
  <w:style w:type="paragraph" w:styleId="796">
    <w:name w:val="List Paragraph"/>
    <w:basedOn w:val="704"/>
    <w:uiPriority w:val="34"/>
    <w:qFormat/>
    <w:pPr>
      <w:contextualSpacing/>
      <w:ind w:left="720"/>
    </w:p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标题 字符"/>
    <w:link w:val="739"/>
    <w:uiPriority w:val="10"/>
    <w:qFormat/>
    <w:rPr>
      <w:sz w:val="48"/>
      <w:szCs w:val="48"/>
    </w:rPr>
  </w:style>
  <w:style w:type="character" w:styleId="799" w:customStyle="1">
    <w:name w:val="副标题 字符"/>
    <w:link w:val="732"/>
    <w:uiPriority w:val="11"/>
    <w:qFormat/>
    <w:rPr>
      <w:sz w:val="24"/>
      <w:szCs w:val="24"/>
    </w:rPr>
  </w:style>
  <w:style w:type="paragraph" w:styleId="800">
    <w:name w:val="Quote"/>
    <w:basedOn w:val="704"/>
    <w:next w:val="704"/>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04"/>
    <w:next w:val="70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1"/>
    <w:link w:val="729"/>
    <w:uiPriority w:val="99"/>
    <w:qFormat/>
  </w:style>
  <w:style w:type="character" w:styleId="805" w:customStyle="1">
    <w:name w:val="Footer Char"/>
    <w:uiPriority w:val="99"/>
    <w:qFormat/>
  </w:style>
  <w:style w:type="character" w:styleId="806" w:customStyle="1">
    <w:name w:val="页脚 字符1"/>
    <w:link w:val="728"/>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33"/>
    <w:uiPriority w:val="99"/>
    <w:qFormat/>
    <w:rPr>
      <w:sz w:val="18"/>
    </w:rPr>
  </w:style>
  <w:style w:type="character" w:styleId="914" w:customStyle="1">
    <w:name w:val="尾注文本 字符"/>
    <w:link w:val="726"/>
    <w:uiPriority w:val="99"/>
    <w:qFormat/>
    <w:rPr>
      <w:sz w:val="20"/>
    </w:rPr>
  </w:style>
  <w:style w:type="paragraph" w:styleId="915" w:customStyle="1">
    <w:name w:val="TOC 标题11"/>
    <w:uiPriority w:val="39"/>
    <w:unhideWhenUsed/>
    <w:qFormat/>
    <w:rPr>
      <w:rFonts w:ascii="Times New Roman" w:hAnsi="Times New Roman" w:eastAsia="宋体" w:cs="Times New Roman"/>
      <w:lang w:val="en-US" w:eastAsia="zh-CN" w:bidi="ar-SA"/>
    </w:rPr>
  </w:style>
  <w:style w:type="paragraph" w:styleId="916" w:customStyle="1">
    <w:name w:val="标题 21"/>
    <w:basedOn w:val="704"/>
    <w:next w:val="704"/>
    <w:uiPriority w:val="0"/>
    <w:qFormat/>
    <w:pPr>
      <w:keepNext/>
      <w:outlineLvl w:val="1"/>
    </w:pPr>
    <w:rPr>
      <w:rFonts w:ascii="新宋体" w:eastAsia="新宋体"/>
      <w:sz w:val="28"/>
    </w:rPr>
  </w:style>
  <w:style w:type="character" w:styleId="917" w:customStyle="1">
    <w:name w:val="默认段落字体1"/>
    <w:uiPriority w:val="1"/>
    <w:unhideWhenUsed/>
    <w:qFormat/>
  </w:style>
  <w:style w:type="table" w:styleId="918" w:customStyle="1">
    <w:name w:val="普通表格1"/>
    <w:uiPriority w:val="99"/>
    <w:unhideWhenUsed/>
    <w:qFormat/>
    <w:tblPr>
      <w:tblCellMar>
        <w:left w:w="0" w:type="dxa"/>
        <w:top w:w="0" w:type="dxa"/>
        <w:right w:w="0" w:type="dxa"/>
        <w:bottom w:w="0" w:type="dxa"/>
      </w:tblCellMar>
    </w:tblPr>
  </w:style>
  <w:style w:type="paragraph" w:styleId="919" w:customStyle="1">
    <w:name w:val="批注文字1"/>
    <w:basedOn w:val="704"/>
    <w:link w:val="920"/>
    <w:uiPriority w:val="99"/>
    <w:unhideWhenUsed/>
    <w:qFormat/>
    <w:pPr>
      <w:jc w:val="left"/>
    </w:pPr>
  </w:style>
  <w:style w:type="character" w:styleId="920" w:customStyle="1">
    <w:name w:val="批注文字 字符"/>
    <w:link w:val="919"/>
    <w:uiPriority w:val="99"/>
    <w:semiHidden/>
    <w:qFormat/>
    <w:rPr>
      <w:sz w:val="21"/>
      <w:szCs w:val="22"/>
    </w:rPr>
  </w:style>
  <w:style w:type="paragraph" w:styleId="921" w:customStyle="1">
    <w:name w:val="正文文本缩进1"/>
    <w:basedOn w:val="704"/>
    <w:link w:val="922"/>
    <w:uiPriority w:val="0"/>
    <w:qFormat/>
    <w:pPr>
      <w:ind w:left="420"/>
      <w:spacing w:after="120"/>
    </w:pPr>
    <w:rPr>
      <w:sz w:val="20"/>
      <w:szCs w:val="24"/>
    </w:rPr>
  </w:style>
  <w:style w:type="character" w:styleId="922" w:customStyle="1">
    <w:name w:val="正文文本缩进 字符"/>
    <w:link w:val="921"/>
    <w:uiPriority w:val="0"/>
    <w:qFormat/>
    <w:rPr>
      <w:rFonts w:ascii="Calibri" w:hAnsi="Calibri" w:eastAsia="宋体" w:cs="Times New Roman"/>
      <w:szCs w:val="24"/>
    </w:rPr>
  </w:style>
  <w:style w:type="paragraph" w:styleId="923" w:customStyle="1">
    <w:name w:val="批注框文本1"/>
    <w:basedOn w:val="704"/>
    <w:link w:val="924"/>
    <w:uiPriority w:val="99"/>
    <w:unhideWhenUsed/>
    <w:qFormat/>
    <w:rPr>
      <w:sz w:val="18"/>
      <w:szCs w:val="18"/>
    </w:rPr>
  </w:style>
  <w:style w:type="character" w:styleId="924" w:customStyle="1">
    <w:name w:val="批注框文本 字符"/>
    <w:link w:val="923"/>
    <w:uiPriority w:val="99"/>
    <w:semiHidden/>
    <w:qFormat/>
    <w:rPr>
      <w:sz w:val="18"/>
      <w:szCs w:val="18"/>
    </w:rPr>
  </w:style>
  <w:style w:type="paragraph" w:styleId="925" w:customStyle="1">
    <w:name w:val="页脚1"/>
    <w:basedOn w:val="704"/>
    <w:link w:val="926"/>
    <w:uiPriority w:val="0"/>
    <w:qFormat/>
    <w:pPr>
      <w:jc w:val="left"/>
      <w:tabs>
        <w:tab w:val="center" w:pos="4153" w:leader="none"/>
        <w:tab w:val="right" w:pos="8306" w:leader="none"/>
      </w:tabs>
    </w:pPr>
    <w:rPr>
      <w:sz w:val="18"/>
      <w:szCs w:val="18"/>
    </w:rPr>
  </w:style>
  <w:style w:type="character" w:styleId="926" w:customStyle="1">
    <w:name w:val="页脚 字符"/>
    <w:link w:val="925"/>
    <w:uiPriority w:val="0"/>
    <w:qFormat/>
    <w:rPr>
      <w:rFonts w:ascii="Calibri" w:hAnsi="Calibri" w:eastAsia="宋体" w:cs="Times New Roman"/>
      <w:sz w:val="18"/>
      <w:szCs w:val="18"/>
    </w:rPr>
  </w:style>
  <w:style w:type="paragraph" w:styleId="927" w:customStyle="1">
    <w:name w:val="页眉1"/>
    <w:basedOn w:val="704"/>
    <w:link w:val="928"/>
    <w:uiPriority w:val="99"/>
    <w:unhideWhenUsed/>
    <w:qFormat/>
    <w:pPr>
      <w:jc w:val="center"/>
      <w:tabs>
        <w:tab w:val="center" w:pos="4153" w:leader="none"/>
        <w:tab w:val="right" w:pos="8306" w:leader="none"/>
      </w:tabs>
    </w:pPr>
    <w:rPr>
      <w:sz w:val="18"/>
      <w:szCs w:val="18"/>
    </w:rPr>
  </w:style>
  <w:style w:type="character" w:styleId="928" w:customStyle="1">
    <w:name w:val="页眉 字符"/>
    <w:link w:val="927"/>
    <w:uiPriority w:val="99"/>
    <w:qFormat/>
    <w:rPr>
      <w:sz w:val="18"/>
      <w:szCs w:val="18"/>
    </w:rPr>
  </w:style>
  <w:style w:type="paragraph" w:styleId="929" w:customStyle="1">
    <w:name w:val="普通(网站)1"/>
    <w:basedOn w:val="704"/>
    <w:uiPriority w:val="99"/>
    <w:unhideWhenUsed/>
    <w:qFormat/>
    <w:pPr>
      <w:jc w:val="left"/>
      <w:spacing w:before="100" w:beforeAutospacing="1" w:after="100" w:afterAutospacing="1"/>
    </w:pPr>
    <w:rPr>
      <w:sz w:val="24"/>
    </w:rPr>
  </w:style>
  <w:style w:type="paragraph" w:styleId="930" w:customStyle="1">
    <w:name w:val="批注主题1"/>
    <w:basedOn w:val="919"/>
    <w:next w:val="919"/>
    <w:link w:val="931"/>
    <w:uiPriority w:val="99"/>
    <w:unhideWhenUsed/>
    <w:qFormat/>
    <w:rPr>
      <w:b/>
      <w:bCs/>
    </w:rPr>
  </w:style>
  <w:style w:type="character" w:styleId="931" w:customStyle="1">
    <w:name w:val="批注主题 字符"/>
    <w:link w:val="930"/>
    <w:uiPriority w:val="99"/>
    <w:semiHidden/>
    <w:qFormat/>
    <w:rPr>
      <w:b/>
      <w:bCs/>
      <w:sz w:val="21"/>
      <w:szCs w:val="22"/>
    </w:rPr>
  </w:style>
  <w:style w:type="character" w:styleId="932" w:customStyle="1">
    <w:name w:val="要点1"/>
    <w:uiPriority w:val="22"/>
    <w:qFormat/>
    <w:rPr>
      <w:b/>
      <w:bCs/>
    </w:rPr>
  </w:style>
  <w:style w:type="character" w:styleId="933" w:customStyle="1">
    <w:name w:val="页码1"/>
    <w:uiPriority w:val="99"/>
    <w:unhideWhenUsed/>
    <w:qFormat/>
  </w:style>
  <w:style w:type="character" w:styleId="934" w:customStyle="1">
    <w:name w:val="超链接1"/>
    <w:uiPriority w:val="99"/>
    <w:unhideWhenUsed/>
    <w:qFormat/>
    <w:rPr>
      <w:color w:val="0563c1"/>
      <w:u w:val="single"/>
    </w:rPr>
  </w:style>
  <w:style w:type="character" w:styleId="935" w:customStyle="1">
    <w:name w:val="批注引用1"/>
    <w:uiPriority w:val="99"/>
    <w:unhideWhenUsed/>
    <w:qFormat/>
    <w:rPr>
      <w:sz w:val="21"/>
      <w:szCs w:val="21"/>
    </w:rPr>
  </w:style>
  <w:style w:type="character" w:styleId="936" w:customStyle="1">
    <w:name w:val="NormalCharacter1"/>
    <w:uiPriority w:val="0"/>
    <w:qFormat/>
  </w:style>
  <w:style w:type="character" w:styleId="937" w:customStyle="1">
    <w:name w:val="font01"/>
    <w:uiPriority w:val="0"/>
    <w:qFormat/>
    <w:rPr>
      <w:rFonts w:ascii="宋体" w:hAnsi="宋体" w:eastAsia="宋体" w:cs="宋体"/>
      <w:color w:val="000000"/>
      <w:sz w:val="20"/>
      <w:szCs w:val="20"/>
      <w:u w:val="none"/>
    </w:rPr>
  </w:style>
  <w:style w:type="paragraph" w:styleId="938" w:customStyle="1">
    <w:name w:val="目录 11"/>
    <w:basedOn w:val="704"/>
    <w:next w:val="704"/>
    <w:uiPriority w:val="0"/>
    <w:qFormat/>
    <w:pPr>
      <w:jc w:val="left"/>
    </w:pPr>
    <w:rPr>
      <w:rFonts w:ascii="Calibri" w:hAnsi="Calibri" w:eastAsia="楷体_GB2312"/>
      <w:sz w:val="24"/>
      <w:szCs w:val="20"/>
    </w:rPr>
  </w:style>
  <w:style w:type="paragraph" w:styleId="939" w:customStyle="1">
    <w:name w:val="修订1"/>
    <w:uiPriority w:val="99"/>
    <w:semiHidden/>
    <w:qFormat/>
    <w:rPr>
      <w:rFonts w:ascii="Times New Roman" w:hAnsi="Times New Roman" w:eastAsia="宋体" w:cs="Times New Roman"/>
      <w:sz w:val="21"/>
      <w:szCs w:val="22"/>
      <w:lang w:val="en-US" w:eastAsia="zh-CN" w:bidi="ar-SA"/>
    </w:rPr>
  </w:style>
  <w:style w:type="paragraph" w:styleId="940" w:customStyle="1">
    <w:name w:val="列出段落1"/>
    <w:basedOn w:val="704"/>
    <w:uiPriority w:val="34"/>
    <w:qFormat/>
    <w:pPr>
      <w:ind w:firstLine="420"/>
      <w:spacing w:line="360" w:lineRule="auto"/>
    </w:pPr>
    <w:rPr>
      <w:sz w:val="28"/>
    </w:rPr>
  </w:style>
  <w:style w:type="character" w:styleId="941" w:customStyle="1">
    <w:name w:val="font31"/>
    <w:basedOn w:val="917"/>
    <w:uiPriority w:val="0"/>
    <w:qFormat/>
    <w:rPr>
      <w:rFonts w:hint="eastAsia" w:ascii="宋体" w:hAnsi="宋体" w:eastAsia="宋体" w:cs="宋体"/>
      <w:b/>
      <w:bCs/>
      <w:color w:val="000000"/>
      <w:sz w:val="24"/>
      <w:szCs w:val="24"/>
      <w:u w:val="none"/>
    </w:rPr>
  </w:style>
  <w:style w:type="character" w:styleId="942" w:customStyle="1">
    <w:name w:val="font11"/>
    <w:basedOn w:val="917"/>
    <w:uiPriority w:val="0"/>
    <w:qFormat/>
    <w:rPr>
      <w:rFonts w:ascii="仿宋_GB2312" w:eastAsia="仿宋_GB2312" w:cs="仿宋_GB2312"/>
      <w:b/>
      <w:bCs/>
      <w:color w:val="000000"/>
      <w:sz w:val="24"/>
      <w:szCs w:val="24"/>
      <w:u w:val="none"/>
    </w:rPr>
  </w:style>
  <w:style w:type="table" w:styleId="943" w:customStyle="1">
    <w:name w:val="网格型4"/>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4" w:customStyle="1">
    <w:name w:val="网格型3"/>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5" w:customStyle="1">
    <w:name w:val="正文缩进1"/>
    <w:basedOn w:val="704"/>
    <w:uiPriority w:val="0"/>
    <w:qFormat/>
    <w:pPr>
      <w:ind w:firstLine="420"/>
      <w:jc w:val="left"/>
    </w:pPr>
    <w:rPr>
      <w:sz w:val="24"/>
    </w:rPr>
  </w:style>
  <w:style w:type="paragraph" w:styleId="946" w:customStyle="1">
    <w:name w:val="纯文本1"/>
    <w:basedOn w:val="704"/>
    <w:uiPriority w:val="0"/>
    <w:qFormat/>
    <w:rPr>
      <w:rFonts w:ascii="宋体" w:hAnsi="Courier New"/>
    </w:rPr>
  </w:style>
  <w:style w:type="character" w:styleId="947" w:customStyle="1">
    <w:name w:val="批注框文本 字符1"/>
    <w:basedOn w:val="714"/>
    <w:link w:val="727"/>
    <w:uiPriority w:val="99"/>
    <w:semiHidden/>
    <w:qFormat/>
    <w:rPr>
      <w:sz w:val="18"/>
      <w:szCs w:val="18"/>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dc:creator>
  <cp:lastModifiedBy>程能之</cp:lastModifiedBy>
  <cp:revision>9</cp:revision>
  <dcterms:created xsi:type="dcterms:W3CDTF">2025-05-04T13:22:00Z</dcterms:created>
  <dcterms:modified xsi:type="dcterms:W3CDTF">2026-04-24T07:11:35Z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A8B68B631AE6C535400BE76992C2976E_43</vt:lpwstr>
  </property>
  <property fmtid="{D5CDD505-2E9C-101B-9397-08002B2CF9AE}" pid="4" name="KSOTemplateDocerSaveRecord">
    <vt:lpwstr>eyJoZGlkIjoiY2E5YmQ2ZTcyOTY4NGM0NjQwMGI5MDU0ZGM1MzRiOGUiLCJ1c2VySWQiOiIxNDk1MzM4NDI3In0=</vt:lpwstr>
  </property>
</Properties>
</file>