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240" w:lineRule="exact"/>
        <w:tabs>
          <w:tab w:val="left" w:pos="3841" w:leader="none"/>
        </w:tabs>
        <w:rPr>
          <w:rFonts w:ascii="宋体" w:hAnsi="宋体" w:eastAsia="宋体" w:cs="宋体"/>
          <w:b/>
          <w:i/>
          <w:color w:val="auto"/>
          <w:sz w:val="21"/>
          <w:szCs w:val="21"/>
          <w:highlight w:val="none"/>
        </w:rPr>
      </w:pPr>
      <w:r>
        <w:rPr>
          <w:rFonts w:hint="eastAsia" w:ascii="宋体" w:hAnsi="宋体" w:eastAsia="宋体" w:cs="宋体"/>
          <w:b/>
          <w:i/>
          <w:color w:val="auto"/>
          <w:sz w:val="21"/>
          <w:szCs w:val="21"/>
          <w:highlight w:val="none"/>
        </w:rPr>
        <w:t xml:space="preserve"> </w:t>
      </w:r>
      <w:r/>
    </w:p>
    <w:p>
      <w:pPr>
        <w:rPr>
          <w:rFonts w:ascii="宋体" w:hAnsi="宋体" w:eastAsia="宋体" w:cs="宋体"/>
          <w:b/>
          <w:color w:val="auto"/>
          <w:sz w:val="72"/>
          <w:highlight w:val="none"/>
        </w:rPr>
      </w:pPr>
      <w:r>
        <w:rPr>
          <w:rFonts w:ascii="宋体" w:hAnsi="宋体" w:eastAsia="宋体" w:cs="宋体"/>
          <w:b/>
          <w:color w:val="auto"/>
          <w:sz w:val="72"/>
          <w:highlight w:val="none"/>
        </w:rPr>
      </w:r>
      <w:r/>
    </w:p>
    <w:p>
      <w:pPr>
        <w:jc w:val="center"/>
        <w:rPr>
          <w:rFonts w:ascii="宋体" w:hAnsi="宋体" w:eastAsia="宋体" w:cs="宋体"/>
          <w:b/>
          <w:color w:val="auto"/>
          <w:sz w:val="72"/>
          <w:szCs w:val="72"/>
          <w:highlight w:val="none"/>
        </w:rPr>
      </w:pPr>
      <w:r>
        <w:rPr>
          <w:rFonts w:hint="eastAsia" w:ascii="宋体" w:hAnsi="宋体" w:eastAsia="宋体" w:cs="宋体"/>
          <w:b/>
          <w:color w:val="auto"/>
          <w:sz w:val="72"/>
          <w:szCs w:val="72"/>
          <w:highlight w:val="none"/>
        </w:rPr>
        <w:t xml:space="preserve">苏 州 市 政 府 采 购</w:t>
      </w:r>
      <w:r/>
    </w:p>
    <w:p>
      <w:pPr>
        <w:jc w:val="center"/>
        <w:rPr>
          <w:rFonts w:ascii="宋体" w:hAnsi="宋体" w:eastAsia="宋体" w:cs="宋体"/>
          <w:b/>
          <w:color w:val="auto"/>
          <w:sz w:val="72"/>
          <w:szCs w:val="72"/>
          <w:highlight w:val="none"/>
        </w:rPr>
      </w:pPr>
      <w:r>
        <w:rPr>
          <w:rFonts w:hint="eastAsia" w:ascii="宋体" w:hAnsi="宋体" w:eastAsia="宋体" w:cs="宋体"/>
          <w:b/>
          <w:color w:val="auto"/>
          <w:sz w:val="72"/>
          <w:szCs w:val="72"/>
          <w:highlight w:val="none"/>
        </w:rPr>
        <w:t xml:space="preserve">招 标 文 件</w:t>
      </w:r>
      <w:r/>
    </w:p>
    <w:p>
      <w:pPr>
        <w:ind w:left="-424"/>
        <w:rPr>
          <w:rFonts w:hint="default" w:ascii="宋体" w:hAnsi="宋体" w:eastAsia="宋体" w:cs="宋体"/>
          <w:b/>
          <w:color w:val="auto"/>
          <w:sz w:val="72"/>
          <w:highlight w:val="none"/>
          <w:lang w:val="en-US" w:eastAsia="zh-CN"/>
        </w:rPr>
      </w:pPr>
      <w:r>
        <w:rPr>
          <w:rFonts w:hint="default" w:ascii="宋体" w:hAnsi="宋体" w:eastAsia="宋体" w:cs="宋体"/>
          <w:b/>
          <w:color w:val="auto"/>
          <w:sz w:val="72"/>
          <w:highlight w:val="none"/>
          <w:lang w:val="en-US" w:eastAsia="zh-CN"/>
        </w:rPr>
      </w:r>
      <w:r/>
    </w:p>
    <w:p>
      <w:pPr>
        <w:ind w:left="-140" w:firstLine="137"/>
        <w:tabs>
          <w:tab w:val="left" w:pos="6760" w:leader="none"/>
        </w:tabs>
        <w:rPr>
          <w:rFonts w:ascii="宋体" w:hAnsi="宋体" w:eastAsia="宋体" w:cs="宋体"/>
          <w:b/>
          <w:color w:val="auto"/>
          <w:sz w:val="72"/>
          <w:highlight w:val="none"/>
        </w:rPr>
      </w:pPr>
      <w:r>
        <w:rPr>
          <w:rFonts w:ascii="宋体" w:hAnsi="宋体" w:eastAsia="宋体" w:cs="宋体"/>
          <w:b/>
          <w:color w:val="auto"/>
          <w:sz w:val="72"/>
          <w:highlight w:val="none"/>
        </w:rPr>
      </w:r>
      <w:r/>
    </w:p>
    <w:p>
      <w:pPr>
        <w:ind w:firstLine="1405"/>
        <w:spacing w:line="360" w:lineRule="auto"/>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rPr>
        <w:t xml:space="preserve">招标编号：</w:t>
      </w:r>
      <w:r>
        <w:rPr>
          <w:rFonts w:hint="eastAsia" w:ascii="宋体" w:hAnsi="宋体" w:eastAsia="宋体" w:cs="宋体"/>
          <w:b/>
          <w:bCs/>
          <w:color w:val="auto"/>
          <w:sz w:val="28"/>
          <w:szCs w:val="28"/>
          <w:highlight w:val="none"/>
          <w:lang w:eastAsia="zh-CN"/>
        </w:rPr>
        <w:t xml:space="preserve">JSZC-320500-CXJT-G2026-0007</w:t>
      </w:r>
      <w:r/>
    </w:p>
    <w:p>
      <w:pPr>
        <w:ind w:left="2515" w:hanging="1124"/>
        <w:spacing w:line="360" w:lineRule="auto"/>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rPr>
        <w:t xml:space="preserve">招标人：</w:t>
      </w:r>
      <w:r>
        <w:rPr>
          <w:rFonts w:hint="eastAsia" w:ascii="宋体" w:hAnsi="宋体" w:eastAsia="宋体" w:cs="宋体"/>
          <w:b/>
          <w:bCs/>
          <w:color w:val="auto"/>
          <w:sz w:val="28"/>
          <w:szCs w:val="28"/>
          <w:highlight w:val="none"/>
          <w:lang w:eastAsia="zh-CN"/>
        </w:rPr>
        <w:t xml:space="preserve">苏州市水利水务信息调度指挥中心</w:t>
      </w:r>
      <w:r/>
    </w:p>
    <w:p>
      <w:pPr>
        <w:ind w:firstLine="1405"/>
        <w:spacing w:line="360" w:lineRule="auto"/>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rPr>
        <w:t xml:space="preserve">招标代理机构：</w:t>
      </w:r>
      <w:r>
        <w:rPr>
          <w:rFonts w:hint="eastAsia" w:ascii="宋体" w:hAnsi="宋体" w:eastAsia="宋体" w:cs="宋体"/>
          <w:b/>
          <w:bCs/>
          <w:color w:val="auto"/>
          <w:sz w:val="28"/>
          <w:szCs w:val="28"/>
          <w:highlight w:val="none"/>
          <w:lang w:eastAsia="zh-CN"/>
        </w:rPr>
        <w:t xml:space="preserve">诚信金泰建设管理（苏州）有限公司</w:t>
      </w:r>
      <w:r/>
    </w:p>
    <w:p>
      <w:pPr>
        <w:ind w:left="2796" w:hanging="1405"/>
        <w:spacing w:line="360" w:lineRule="auto"/>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rPr>
        <w:t xml:space="preserve">项目名称：</w:t>
      </w:r>
      <w:r>
        <w:rPr>
          <w:rFonts w:hint="eastAsia" w:ascii="宋体" w:hAnsi="宋体" w:eastAsia="宋体" w:cs="宋体"/>
          <w:b/>
          <w:bCs/>
          <w:color w:val="auto"/>
          <w:sz w:val="28"/>
          <w:szCs w:val="28"/>
          <w:highlight w:val="none"/>
          <w:lang w:eastAsia="zh-CN"/>
        </w:rPr>
        <w:t xml:space="preserve">2026年智水苏州室外硬件</w:t>
      </w:r>
      <w:r>
        <w:rPr>
          <w:rFonts w:hint="eastAsia" w:ascii="宋体" w:hAnsi="宋体" w:eastAsia="宋体" w:cs="宋体"/>
          <w:b/>
          <w:bCs/>
          <w:color w:val="auto"/>
          <w:sz w:val="28"/>
          <w:szCs w:val="28"/>
          <w:highlight w:val="none"/>
          <w:lang w:val="en-US" w:eastAsia="zh-CN"/>
        </w:rPr>
        <w:t xml:space="preserve">设备</w:t>
      </w:r>
      <w:r>
        <w:rPr>
          <w:rFonts w:hint="eastAsia" w:ascii="宋体" w:hAnsi="宋体" w:eastAsia="宋体" w:cs="宋体"/>
          <w:b/>
          <w:bCs/>
          <w:color w:val="auto"/>
          <w:sz w:val="28"/>
          <w:szCs w:val="28"/>
          <w:highlight w:val="none"/>
          <w:lang w:eastAsia="zh-CN"/>
        </w:rPr>
        <w:t xml:space="preserve">运维项目</w:t>
      </w:r>
      <w:r/>
    </w:p>
    <w:p>
      <w:pPr>
        <w:ind w:firstLine="1405"/>
        <w:spacing w:line="360" w:lineRule="auto"/>
        <w:rPr>
          <w:rFonts w:ascii="宋体" w:hAnsi="宋体" w:eastAsia="宋体" w:cs="宋体"/>
          <w:b/>
          <w:color w:val="auto"/>
          <w:sz w:val="28"/>
          <w:szCs w:val="28"/>
          <w:highlight w:val="none"/>
        </w:rPr>
      </w:pPr>
      <w:r>
        <w:rPr>
          <w:rFonts w:hint="eastAsia" w:ascii="宋体" w:hAnsi="宋体" w:eastAsia="宋体" w:cs="宋体"/>
          <w:b/>
          <w:bCs/>
          <w:color w:val="auto"/>
          <w:sz w:val="28"/>
          <w:szCs w:val="28"/>
          <w:highlight w:val="none"/>
        </w:rPr>
        <w:t xml:space="preserve">采购类别：服务类</w:t>
      </w:r>
      <w:r/>
    </w:p>
    <w:p>
      <w:pPr>
        <w:rPr>
          <w:rFonts w:ascii="宋体" w:hAnsi="宋体" w:eastAsia="宋体" w:cs="宋体"/>
          <w:b/>
          <w:color w:val="auto"/>
          <w:sz w:val="28"/>
          <w:szCs w:val="28"/>
          <w:highlight w:val="none"/>
        </w:rPr>
      </w:pPr>
      <w:r>
        <w:rPr>
          <w:rFonts w:ascii="宋体" w:hAnsi="宋体" w:eastAsia="宋体" w:cs="宋体"/>
          <w:b/>
          <w:color w:val="auto"/>
          <w:sz w:val="28"/>
          <w:szCs w:val="28"/>
          <w:highlight w:val="none"/>
        </w:rPr>
      </w:r>
      <w:r/>
    </w:p>
    <w:p>
      <w:pPr>
        <w:pStyle w:val="848"/>
        <w:rPr>
          <w:rFonts w:ascii="宋体" w:hAnsi="宋体" w:eastAsia="宋体" w:cs="宋体"/>
          <w:b/>
          <w:color w:val="auto"/>
          <w:sz w:val="28"/>
          <w:szCs w:val="28"/>
          <w:highlight w:val="none"/>
        </w:rPr>
      </w:pPr>
      <w:r>
        <w:rPr>
          <w:rFonts w:ascii="宋体" w:hAnsi="宋体" w:eastAsia="宋体" w:cs="宋体"/>
          <w:b/>
          <w:color w:val="auto"/>
          <w:sz w:val="28"/>
          <w:szCs w:val="28"/>
          <w:highlight w:val="none"/>
        </w:rPr>
      </w:r>
      <w:r/>
    </w:p>
    <w:p>
      <w:pPr>
        <w:rPr>
          <w:rFonts w:ascii="宋体" w:hAnsi="宋体" w:eastAsia="宋体" w:cs="宋体"/>
          <w:b/>
          <w:color w:val="auto"/>
          <w:sz w:val="28"/>
          <w:szCs w:val="28"/>
          <w:highlight w:val="none"/>
        </w:rPr>
      </w:pPr>
      <w:r>
        <w:rPr>
          <w:rFonts w:ascii="宋体" w:hAnsi="宋体" w:eastAsia="宋体" w:cs="宋体"/>
          <w:b/>
          <w:color w:val="auto"/>
          <w:sz w:val="28"/>
          <w:szCs w:val="28"/>
          <w:highlight w:val="none"/>
        </w:rPr>
      </w:r>
      <w:r/>
    </w:p>
    <w:p>
      <w:pPr>
        <w:pStyle w:val="848"/>
        <w:rPr>
          <w:rFonts w:ascii="宋体" w:hAnsi="宋体" w:eastAsia="宋体" w:cs="宋体"/>
          <w:b/>
          <w:color w:val="auto"/>
          <w:sz w:val="28"/>
          <w:szCs w:val="28"/>
          <w:highlight w:val="none"/>
        </w:rPr>
      </w:pPr>
      <w:r>
        <w:rPr>
          <w:rFonts w:ascii="宋体" w:hAnsi="宋体" w:eastAsia="宋体" w:cs="宋体"/>
          <w:b/>
          <w:color w:val="auto"/>
          <w:sz w:val="28"/>
          <w:szCs w:val="28"/>
          <w:highlight w:val="none"/>
        </w:rPr>
      </w:r>
      <w:r/>
    </w:p>
    <w:p>
      <w:pPr>
        <w:rPr>
          <w:rFonts w:ascii="宋体" w:hAnsi="宋体" w:eastAsia="宋体" w:cs="宋体"/>
          <w:b/>
          <w:color w:val="auto"/>
          <w:sz w:val="28"/>
          <w:szCs w:val="28"/>
          <w:highlight w:val="none"/>
        </w:rPr>
      </w:pPr>
      <w:r>
        <w:rPr>
          <w:rFonts w:ascii="宋体" w:hAnsi="宋体" w:eastAsia="宋体" w:cs="宋体"/>
          <w:b/>
          <w:color w:val="auto"/>
          <w:sz w:val="28"/>
          <w:szCs w:val="28"/>
          <w:highlight w:val="none"/>
        </w:rPr>
      </w:r>
      <w:r/>
    </w:p>
    <w:p>
      <w:pPr>
        <w:pStyle w:val="848"/>
        <w:rPr>
          <w:rFonts w:ascii="宋体" w:hAnsi="宋体" w:eastAsia="宋体" w:cs="宋体"/>
          <w:b/>
          <w:color w:val="auto"/>
          <w:sz w:val="28"/>
          <w:szCs w:val="28"/>
          <w:highlight w:val="none"/>
        </w:rPr>
      </w:pPr>
      <w:r>
        <w:rPr>
          <w:rFonts w:ascii="宋体" w:hAnsi="宋体" w:eastAsia="宋体" w:cs="宋体"/>
          <w:b/>
          <w:color w:val="auto"/>
          <w:sz w:val="28"/>
          <w:szCs w:val="28"/>
          <w:highlight w:val="none"/>
        </w:rPr>
      </w:r>
      <w:r/>
    </w:p>
    <w:p>
      <w:pPr>
        <w:rPr>
          <w:rFonts w:ascii="宋体" w:hAnsi="宋体" w:eastAsia="宋体" w:cs="宋体"/>
          <w:b/>
          <w:color w:val="auto"/>
          <w:sz w:val="28"/>
          <w:szCs w:val="28"/>
          <w:highlight w:val="none"/>
        </w:rPr>
      </w:pPr>
      <w:r>
        <w:rPr>
          <w:rFonts w:ascii="宋体" w:hAnsi="宋体" w:eastAsia="宋体" w:cs="宋体"/>
          <w:b/>
          <w:color w:val="auto"/>
          <w:sz w:val="28"/>
          <w:szCs w:val="28"/>
          <w:highlight w:val="none"/>
        </w:rPr>
      </w:r>
      <w:r/>
    </w:p>
    <w:p>
      <w:pPr>
        <w:pStyle w:val="848"/>
        <w:rPr>
          <w:rFonts w:ascii="宋体" w:hAnsi="宋体" w:eastAsia="宋体" w:cs="宋体"/>
          <w:b/>
          <w:color w:val="auto"/>
          <w:sz w:val="28"/>
          <w:szCs w:val="28"/>
          <w:highlight w:val="none"/>
        </w:rPr>
      </w:pPr>
      <w:r>
        <w:rPr>
          <w:rFonts w:ascii="宋体" w:hAnsi="宋体" w:eastAsia="宋体" w:cs="宋体"/>
          <w:b/>
          <w:color w:val="auto"/>
          <w:sz w:val="28"/>
          <w:szCs w:val="28"/>
          <w:highlight w:val="none"/>
        </w:rPr>
      </w:r>
      <w:r/>
    </w:p>
    <w:p>
      <w:pPr>
        <w:rPr>
          <w:rFonts w:hint="eastAsia" w:ascii="宋体" w:hAnsi="宋体" w:eastAsia="宋体" w:cs="宋体"/>
        </w:rPr>
      </w:pPr>
      <w:r>
        <w:rPr>
          <w:rFonts w:hint="eastAsia" w:ascii="宋体" w:hAnsi="宋体" w:eastAsia="宋体" w:cs="宋体"/>
        </w:rPr>
      </w:r>
      <w:r/>
    </w:p>
    <w:p>
      <w:pPr>
        <w:pStyle w:val="848"/>
        <w:rPr>
          <w:rFonts w:hAnsi="宋体" w:cs="宋体"/>
          <w:color w:val="auto"/>
          <w:highlight w:val="none"/>
        </w:rPr>
      </w:pPr>
      <w:r>
        <w:rPr>
          <w:rFonts w:hAnsi="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pStyle w:val="848"/>
        <w:rPr>
          <w:rFonts w:hAnsi="宋体" w:cs="宋体"/>
          <w:color w:val="auto"/>
          <w:highlight w:val="none"/>
        </w:rPr>
      </w:pPr>
      <w:r>
        <w:rPr>
          <w:rFonts w:hAnsi="宋体" w:cs="宋体"/>
          <w:color w:val="auto"/>
          <w:highlight w:val="none"/>
        </w:rPr>
      </w:r>
      <w:r/>
    </w:p>
    <w:p>
      <w:pPr>
        <w:jc w:val="center"/>
        <w:rPr>
          <w:rFonts w:ascii="宋体" w:hAnsi="宋体" w:eastAsia="宋体" w:cs="宋体"/>
          <w:b/>
          <w:color w:val="auto"/>
          <w:sz w:val="28"/>
          <w:szCs w:val="28"/>
          <w:highlight w:val="none"/>
        </w:rPr>
      </w:pPr>
      <w:r>
        <w:rPr>
          <w:rFonts w:hint="eastAsia" w:ascii="宋体" w:hAnsi="宋体" w:eastAsia="宋体" w:cs="宋体"/>
          <w:b/>
          <w:bCs/>
          <w:color w:val="auto"/>
          <w:sz w:val="28"/>
          <w:szCs w:val="28"/>
          <w:highlight w:val="none"/>
        </w:rPr>
        <w:t xml:space="preserve">二〇二</w:t>
      </w:r>
      <w:r>
        <w:rPr>
          <w:rFonts w:hint="eastAsia" w:ascii="宋体" w:hAnsi="宋体" w:eastAsia="宋体" w:cs="宋体"/>
          <w:b/>
          <w:bCs/>
          <w:color w:val="auto"/>
          <w:sz w:val="28"/>
          <w:szCs w:val="28"/>
          <w:highlight w:val="none"/>
          <w:lang w:val="en-US" w:eastAsia="zh-CN"/>
        </w:rPr>
        <w:t xml:space="preserve">六</w:t>
      </w:r>
      <w:r>
        <w:rPr>
          <w:rFonts w:hint="eastAsia" w:ascii="宋体" w:hAnsi="宋体" w:eastAsia="宋体" w:cs="宋体"/>
          <w:b/>
          <w:bCs/>
          <w:color w:val="auto"/>
          <w:sz w:val="28"/>
          <w:szCs w:val="28"/>
          <w:highlight w:val="none"/>
        </w:rPr>
        <w:t xml:space="preserve">年</w:t>
      </w:r>
      <w:r>
        <w:rPr>
          <w:rFonts w:hint="eastAsia" w:ascii="宋体" w:hAnsi="宋体" w:eastAsia="宋体" w:cs="宋体"/>
          <w:b/>
          <w:bCs/>
          <w:color w:val="auto"/>
          <w:sz w:val="28"/>
          <w:szCs w:val="28"/>
          <w:highlight w:val="none"/>
          <w:lang w:val="en-US" w:eastAsia="zh-CN"/>
        </w:rPr>
        <w:t xml:space="preserve">四</w:t>
      </w:r>
      <w:r>
        <w:rPr>
          <w:rFonts w:hint="eastAsia" w:ascii="宋体" w:hAnsi="宋体" w:eastAsia="宋体" w:cs="宋体"/>
          <w:b/>
          <w:bCs/>
          <w:color w:val="auto"/>
          <w:sz w:val="28"/>
          <w:szCs w:val="28"/>
          <w:highlight w:val="none"/>
        </w:rPr>
        <w:t xml:space="preserve">月</w:t>
      </w:r>
      <w:r/>
    </w:p>
    <w:p>
      <w:pPr>
        <w:tabs>
          <w:tab w:val="left" w:pos="7730" w:leader="none"/>
        </w:tabs>
        <w:rPr>
          <w:rFonts w:ascii="宋体" w:hAnsi="宋体" w:eastAsia="宋体" w:cs="宋体"/>
          <w:color w:val="auto"/>
          <w:sz w:val="36"/>
          <w:szCs w:val="36"/>
          <w:highlight w:val="none"/>
        </w:rPr>
        <w:sectPr>
          <w:headerReference w:type="default" r:id="rId9"/>
          <w:headerReference w:type="first" r:id="rId10"/>
          <w:footerReference w:type="even" r:id="rId13"/>
          <w:footerReference w:type="first" r:id="rId14"/>
          <w:footnotePr/>
          <w:endnotePr/>
          <w:type w:val="nextPage"/>
          <w:pgSz w:w="11906" w:h="16838" w:orient="portrait"/>
          <w:pgMar w:top="1440" w:right="1558" w:bottom="1440" w:left="1276" w:header="851" w:footer="992" w:gutter="0"/>
          <w:pgNumType w:start="1"/>
          <w:cols w:num="1" w:sep="0" w:space="720" w:equalWidth="1"/>
          <w:docGrid w:linePitch="360"/>
        </w:sectPr>
      </w:pPr>
      <w:r>
        <w:rPr>
          <w:rFonts w:ascii="宋体" w:hAnsi="宋体" w:eastAsia="宋体" w:cs="宋体"/>
          <w:color w:val="auto"/>
          <w:sz w:val="36"/>
          <w:szCs w:val="36"/>
          <w:highlight w:val="none"/>
        </w:rPr>
      </w:r>
      <w:r/>
    </w:p>
    <w:p>
      <w:pPr>
        <w:ind w:firstLine="0"/>
        <w:jc w:val="center"/>
        <w:tabs>
          <w:tab w:val="left" w:pos="7730" w:leader="none"/>
        </w:tabs>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前附表</w:t>
      </w:r>
      <w:r/>
    </w:p>
    <w:tbl>
      <w:tblPr>
        <w:tblStyle w:val="847"/>
        <w:tblW w:w="97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6"/>
        <w:gridCol w:w="1418"/>
        <w:gridCol w:w="7577"/>
      </w:tblGrid>
      <w:tr>
        <w:trPr>
          <w:jc w:val="center"/>
          <w:trHeight w:val="472"/>
        </w:trPr>
        <w:tc>
          <w:tcPr>
            <w:tcW w:w="746"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418"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w:t>
            </w:r>
            <w:r/>
          </w:p>
        </w:tc>
        <w:tc>
          <w:tcPr>
            <w:tcW w:w="7577"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w:t>
            </w:r>
            <w:r/>
          </w:p>
        </w:tc>
      </w:tr>
      <w:tr>
        <w:trPr>
          <w:jc w:val="center"/>
          <w:trHeight w:val="90"/>
        </w:trPr>
        <w:tc>
          <w:tcPr>
            <w:tcW w:w="746"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418" w:type="dxa"/>
            <w:vAlign w:val="center"/>
            <w:textDirection w:val="lrTb"/>
            <w:noWrap w:val="false"/>
          </w:tcPr>
          <w:p>
            <w:pPr>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项目名称</w:t>
            </w:r>
            <w:r/>
          </w:p>
        </w:tc>
        <w:tc>
          <w:tcPr>
            <w:tcW w:w="7577" w:type="dxa"/>
            <w:vAlign w:val="center"/>
            <w:textDirection w:val="lrTb"/>
            <w:noWrap w:val="false"/>
          </w:tcPr>
          <w:p>
            <w:pPr>
              <w:spacing w:line="360" w:lineRule="auto"/>
              <w:rPr>
                <w:rFonts w:hint="eastAsia" w:ascii="宋体" w:hAnsi="宋体" w:eastAsia="宋体" w:cs="宋体"/>
                <w:color w:val="auto"/>
                <w:highlight w:val="none"/>
                <w:lang w:eastAsia="zh-CN"/>
              </w:rPr>
            </w:pPr>
            <w:r>
              <w:rPr>
                <w:rFonts w:hint="eastAsia" w:ascii="宋体" w:hAnsi="宋体" w:eastAsia="宋体" w:cs="宋体"/>
                <w:bCs/>
                <w:color w:val="auto"/>
                <w:sz w:val="24"/>
                <w:szCs w:val="24"/>
                <w:highlight w:val="none"/>
                <w:lang w:eastAsia="zh-CN"/>
              </w:rPr>
              <w:t xml:space="preserve">2026年智水苏州室外硬件</w:t>
            </w:r>
            <w:r>
              <w:rPr>
                <w:rFonts w:hint="eastAsia" w:ascii="宋体" w:hAnsi="宋体" w:eastAsia="宋体" w:cs="宋体"/>
                <w:bCs/>
                <w:color w:val="auto"/>
                <w:sz w:val="24"/>
                <w:szCs w:val="24"/>
                <w:highlight w:val="none"/>
                <w:lang w:val="en-US" w:eastAsia="zh-CN"/>
              </w:rPr>
              <w:t xml:space="preserve">设备</w:t>
            </w:r>
            <w:r>
              <w:rPr>
                <w:rFonts w:hint="eastAsia" w:ascii="宋体" w:hAnsi="宋体" w:eastAsia="宋体" w:cs="宋体"/>
                <w:bCs/>
                <w:color w:val="auto"/>
                <w:sz w:val="24"/>
                <w:szCs w:val="24"/>
                <w:highlight w:val="none"/>
                <w:lang w:eastAsia="zh-CN"/>
              </w:rPr>
              <w:t xml:space="preserve">运维项目</w:t>
            </w:r>
            <w:r/>
          </w:p>
        </w:tc>
      </w:tr>
      <w:tr>
        <w:trPr>
          <w:jc w:val="center"/>
          <w:trHeight w:val="744"/>
        </w:trPr>
        <w:tc>
          <w:tcPr>
            <w:tcW w:w="746"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418" w:type="dxa"/>
            <w:vAlign w:val="center"/>
            <w:textDirection w:val="lrTb"/>
            <w:noWrap w:val="false"/>
          </w:tcPr>
          <w:p>
            <w:pPr>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服务期限</w:t>
            </w:r>
            <w:r/>
          </w:p>
        </w:tc>
        <w:tc>
          <w:tcPr>
            <w:tcW w:w="7577"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bCs w:val="0"/>
                <w:color w:val="auto"/>
                <w:sz w:val="24"/>
                <w:szCs w:val="24"/>
                <w:highlight w:val="none"/>
                <w:lang w:val="en-US" w:eastAsia="zh-CN"/>
              </w:rPr>
              <w:t xml:space="preserve">24个月</w:t>
            </w:r>
            <w:r>
              <w:rPr>
                <w:rFonts w:hint="eastAsia" w:ascii="宋体" w:hAnsi="宋体" w:eastAsia="宋体" w:cs="宋体"/>
                <w:bCs w:val="0"/>
                <w:color w:val="auto"/>
                <w:sz w:val="24"/>
                <w:szCs w:val="24"/>
                <w:highlight w:val="none"/>
              </w:rPr>
              <w:t xml:space="preserve">（具体起始时间以招标人通知为准）</w:t>
            </w:r>
            <w:r/>
          </w:p>
        </w:tc>
      </w:tr>
      <w:tr>
        <w:trPr>
          <w:jc w:val="center"/>
          <w:trHeight w:val="405"/>
        </w:trPr>
        <w:tc>
          <w:tcPr>
            <w:tcW w:w="746" w:type="dxa"/>
            <w:vAlign w:val="center"/>
            <w:vMerge w:val="restart"/>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418"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采购预算</w:t>
            </w:r>
            <w:r/>
          </w:p>
        </w:tc>
        <w:tc>
          <w:tcPr>
            <w:tcW w:w="7577"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肆佰肆拾伍万陆仟贰佰元零角零分（¥4456200.00元），其中</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一标段：贰佰零柒万陆仟肆佰叁拾元整（¥2076430.00元）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二标段：贰佰叁拾柒万玖仟柒佰柒拾元整（¥2379770.00元）</w:t>
            </w:r>
            <w:r/>
          </w:p>
          <w:p>
            <w:pPr>
              <w:ind w:firstLine="420"/>
              <w:spacing w:line="360" w:lineRule="auto"/>
              <w:rPr>
                <w:rFonts w:hint="eastAsia" w:ascii="宋体" w:hAnsi="宋体" w:eastAsia="宋体" w:cs="宋体"/>
                <w:color w:val="auto"/>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pPr>
            <w:r>
              <w:rPr>
                <w:rFonts w:ascii="SimSun" w:hAnsi="SimSun" w:eastAsia="SimSun" w:cs="SimSun"/>
                <w:b/>
                <w:color w:val="000000"/>
                <w:sz w:val="21"/>
              </w:rPr>
              <w:t xml:space="preserve">注：每标段中标单位数量为一家（本项目共两个标段，投标供应商可选择其中一个或多个标段进行报名投标，但每个投标供应商的累计中标标段不得超过一个。若投标供应商按评审方法被确定为中标候选人的标段数超过一个，则依开标顺序，按先开先中的原则，确定该投标供应商的中标标段，其余标段将自动失去中标资格，由该标段的综合评审由高到低排名高的投标人获得中标资格）。</w:t>
            </w:r>
            <w:r/>
            <w:r>
              <w:rPr>
                <w:rFonts w:hint="eastAsia" w:ascii="宋体" w:hAnsi="宋体" w:eastAsia="宋体" w:cs="宋体"/>
                <w:color w:val="auto"/>
                <w:sz w:val="24"/>
                <w:szCs w:val="24"/>
                <w:highlight w:val="none"/>
                <w:shd w:val="clear" w:color="auto" w:fill="ffffff"/>
                <w:lang w:val="en-US" w:eastAsia="zh-CN"/>
              </w:rPr>
            </w:r>
            <w:r/>
          </w:p>
        </w:tc>
      </w:tr>
      <w:tr>
        <w:trPr>
          <w:jc w:val="center"/>
          <w:trHeight w:val="827"/>
        </w:trPr>
        <w:tc>
          <w:tcPr>
            <w:tcW w:w="746"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418"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资格条件</w:t>
            </w:r>
            <w:r/>
          </w:p>
        </w:tc>
        <w:tc>
          <w:tcPr>
            <w:tcW w:w="7577" w:type="dxa"/>
            <w:vAlign w:val="center"/>
            <w:textDirection w:val="lrTb"/>
            <w:noWrap w:val="false"/>
          </w:tcPr>
          <w:p>
            <w:pPr>
              <w:jc w:val="left"/>
              <w:spacing w:line="360" w:lineRule="auto"/>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 xml:space="preserve">详见招标公告</w:t>
            </w:r>
            <w:r/>
          </w:p>
        </w:tc>
      </w:tr>
      <w:tr>
        <w:trPr>
          <w:jc w:val="center"/>
          <w:trHeight w:val="796"/>
        </w:trPr>
        <w:tc>
          <w:tcPr>
            <w:tcW w:w="746"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418"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联合体投标</w:t>
            </w:r>
            <w:r/>
          </w:p>
        </w:tc>
        <w:tc>
          <w:tcPr>
            <w:tcW w:w="7577"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本项目不接受联合体</w:t>
            </w:r>
            <w:r/>
          </w:p>
        </w:tc>
      </w:tr>
      <w:tr>
        <w:trPr>
          <w:jc w:val="center"/>
          <w:trHeight w:val="501"/>
        </w:trPr>
        <w:tc>
          <w:tcPr>
            <w:tcW w:w="746"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418"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现场考察</w:t>
            </w:r>
            <w:r/>
          </w:p>
        </w:tc>
        <w:tc>
          <w:tcPr>
            <w:tcW w:w="7577"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不组织。</w:t>
            </w:r>
            <w:r/>
          </w:p>
        </w:tc>
      </w:tr>
      <w:tr>
        <w:trPr>
          <w:jc w:val="center"/>
          <w:trHeight w:val="702"/>
        </w:trPr>
        <w:tc>
          <w:tcPr>
            <w:tcW w:w="746"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418"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投标答疑会</w:t>
            </w:r>
            <w:r/>
          </w:p>
        </w:tc>
        <w:tc>
          <w:tcPr>
            <w:tcW w:w="7577" w:type="dxa"/>
            <w:vAlign w:val="center"/>
            <w:textDirection w:val="lrTb"/>
            <w:noWrap w:val="false"/>
          </w:tcPr>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不召开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投标人如有疑问需要澄清，可通过公告中的联系方式及时提出，招标人或招标代理机构将予以解答，但答复内容不得涉及商业秘密</w:t>
            </w:r>
            <w:r/>
          </w:p>
        </w:tc>
      </w:tr>
      <w:tr>
        <w:trPr>
          <w:jc w:val="center"/>
          <w:trHeight w:val="415"/>
        </w:trPr>
        <w:tc>
          <w:tcPr>
            <w:tcW w:w="746"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p>
        </w:tc>
        <w:tc>
          <w:tcPr>
            <w:tcW w:w="1418"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份数</w:t>
            </w:r>
            <w:r/>
          </w:p>
        </w:tc>
        <w:tc>
          <w:tcPr>
            <w:tcW w:w="7577"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中标单位中标后，提供纸质投标文件，送至招标代理机构</w:t>
            </w:r>
            <w:r/>
          </w:p>
        </w:tc>
      </w:tr>
      <w:tr>
        <w:trPr>
          <w:jc w:val="center"/>
          <w:trHeight w:val="420"/>
        </w:trPr>
        <w:tc>
          <w:tcPr>
            <w:shd w:val="clear" w:color="auto" w:fill="auto"/>
            <w:tcW w:w="746" w:type="dxa"/>
            <w:vAlign w:val="center"/>
            <w:textDirection w:val="lrTb"/>
            <w:noWrap w:val="false"/>
          </w:tcPr>
          <w:p>
            <w:pPr>
              <w:jc w:val="center"/>
              <w:spacing w:line="360" w:lineRule="auto"/>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9</w:t>
            </w:r>
            <w:r/>
          </w:p>
        </w:tc>
        <w:tc>
          <w:tcPr>
            <w:tcW w:w="1418"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投标货币</w:t>
            </w:r>
            <w:r/>
          </w:p>
        </w:tc>
        <w:tc>
          <w:tcPr>
            <w:tcW w:w="7577"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w:t>
            </w:r>
            <w:r/>
          </w:p>
        </w:tc>
      </w:tr>
      <w:tr>
        <w:trPr>
          <w:jc w:val="center"/>
          <w:trHeight w:val="712"/>
        </w:trPr>
        <w:tc>
          <w:tcPr>
            <w:shd w:val="clear" w:color="auto" w:fill="auto"/>
            <w:tcW w:w="746" w:type="dxa"/>
            <w:vAlign w:val="center"/>
            <w:textDirection w:val="lrTb"/>
            <w:noWrap w:val="false"/>
          </w:tcPr>
          <w:p>
            <w:pPr>
              <w:jc w:val="center"/>
              <w:spacing w:line="360" w:lineRule="auto"/>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10</w:t>
            </w:r>
            <w:r/>
          </w:p>
        </w:tc>
        <w:tc>
          <w:tcPr>
            <w:tcW w:w="1418"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投标保证金</w:t>
            </w:r>
            <w:r/>
          </w:p>
        </w:tc>
        <w:tc>
          <w:tcPr>
            <w:tcW w:w="7577"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不提交，招标文件内关于投标保证金的相关规定均不适用</w:t>
            </w:r>
            <w:r/>
          </w:p>
        </w:tc>
      </w:tr>
      <w:tr>
        <w:trPr>
          <w:jc w:val="center"/>
          <w:trHeight w:val="429"/>
        </w:trPr>
        <w:tc>
          <w:tcPr>
            <w:shd w:val="clear" w:color="auto" w:fill="auto"/>
            <w:tcW w:w="746" w:type="dxa"/>
            <w:vAlign w:val="center"/>
            <w:textDirection w:val="lrTb"/>
            <w:noWrap w:val="false"/>
          </w:tcPr>
          <w:p>
            <w:pPr>
              <w:jc w:val="center"/>
              <w:spacing w:line="360" w:lineRule="auto"/>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11</w:t>
            </w:r>
            <w:r/>
          </w:p>
        </w:tc>
        <w:tc>
          <w:tcPr>
            <w:tcW w:w="1418"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投标文件有效期</w:t>
            </w:r>
            <w:r/>
          </w:p>
        </w:tc>
        <w:tc>
          <w:tcPr>
            <w:tcW w:w="7577"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90</w:t>
            </w:r>
            <w:r>
              <w:rPr>
                <w:rFonts w:hint="eastAsia" w:ascii="宋体" w:hAnsi="宋体" w:eastAsia="宋体" w:cs="宋体"/>
                <w:color w:val="auto"/>
                <w:sz w:val="24"/>
                <w:szCs w:val="24"/>
                <w:highlight w:val="none"/>
              </w:rPr>
              <w:t xml:space="preserve">日历天（从投标截止之日算起）</w:t>
            </w:r>
            <w:r/>
          </w:p>
        </w:tc>
      </w:tr>
      <w:tr>
        <w:trPr>
          <w:jc w:val="center"/>
          <w:trHeight w:val="742"/>
        </w:trPr>
        <w:tc>
          <w:tcPr>
            <w:shd w:val="clear" w:color="auto" w:fill="auto"/>
            <w:tcW w:w="746" w:type="dxa"/>
            <w:vAlign w:val="center"/>
            <w:vMerge w:val="restart"/>
            <w:textDirection w:val="lrTb"/>
            <w:noWrap w:val="false"/>
          </w:tcPr>
          <w:p>
            <w:pPr>
              <w:jc w:val="center"/>
              <w:spacing w:line="360" w:lineRule="auto"/>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12</w:t>
            </w:r>
            <w:r/>
          </w:p>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tcW w:w="1418"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投标截止时间</w:t>
            </w:r>
            <w:r/>
          </w:p>
        </w:tc>
        <w:tc>
          <w:tcPr>
            <w:tcW w:w="7577" w:type="dxa"/>
            <w:vAlign w:val="center"/>
            <w:textDirection w:val="lrTb"/>
            <w:noWrap w:val="false"/>
          </w:tcPr>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时间：</w:t>
            </w:r>
            <w:r>
              <w:rPr>
                <w:rFonts w:hint="eastAsia" w:ascii="宋体" w:hAnsi="宋体" w:eastAsia="宋体" w:cs="宋体"/>
                <w:color w:val="auto"/>
                <w:sz w:val="24"/>
                <w:szCs w:val="24"/>
                <w:highlight w:val="none"/>
                <w:lang w:eastAsia="zh-CN"/>
              </w:rPr>
              <w:t xml:space="preserve">2026年</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月</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eastAsia="zh-CN"/>
              </w:rPr>
              <w:t xml:space="preserve">日</w:t>
            </w:r>
            <w:r>
              <w:rPr>
                <w:rFonts w:hint="eastAsia" w:ascii="宋体" w:hAnsi="宋体" w:eastAsia="宋体" w:cs="宋体"/>
                <w:color w:val="auto"/>
                <w:sz w:val="24"/>
                <w:szCs w:val="24"/>
                <w:highlight w:val="none"/>
                <w:lang w:val="en-US" w:eastAsia="zh-CN"/>
              </w:rPr>
              <w:t xml:space="preserve">09</w:t>
            </w:r>
            <w:r>
              <w:rPr>
                <w:rFonts w:hint="eastAsia" w:ascii="宋体" w:hAnsi="宋体" w:eastAsia="宋体" w:cs="宋体"/>
                <w:color w:val="auto"/>
                <w:sz w:val="24"/>
                <w:szCs w:val="24"/>
                <w:highlight w:val="none"/>
                <w:lang w:eastAsia="zh-CN"/>
              </w:rPr>
              <w:t xml:space="preserve">时30分</w:t>
            </w:r>
            <w:r/>
          </w:p>
        </w:tc>
      </w:tr>
      <w:tr>
        <w:trPr>
          <w:jc w:val="center"/>
          <w:trHeight w:val="315"/>
        </w:trPr>
        <w:tc>
          <w:tcPr>
            <w:shd w:val="clear" w:color="auto" w:fill="auto"/>
            <w:tcW w:w="746" w:type="dxa"/>
            <w:vAlign w:val="center"/>
            <w:vMerge w:val="continue"/>
            <w:textDirection w:val="lrTb"/>
            <w:noWrap w:val="false"/>
          </w:tcPr>
          <w:p>
            <w:pPr>
              <w:jc w:val="center"/>
              <w:spacing w:line="360" w:lineRule="auto"/>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c>
          <w:tcPr>
            <w:tcW w:w="1418"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投标地点</w:t>
            </w:r>
            <w:r/>
          </w:p>
        </w:tc>
        <w:tc>
          <w:tcPr>
            <w:tcW w:w="7577"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w:t>
            </w:r>
            <w:r>
              <w:rPr>
                <w:rFonts w:hint="eastAsia" w:ascii="宋体" w:hAnsi="宋体" w:eastAsia="宋体" w:cs="宋体"/>
                <w:color w:val="auto"/>
                <w:sz w:val="24"/>
                <w:szCs w:val="24"/>
                <w:highlight w:val="none"/>
                <w:lang w:eastAsia="zh-CN"/>
              </w:rPr>
              <w:t xml:space="preserve">“苏采云”</w:t>
            </w:r>
            <w:r>
              <w:rPr>
                <w:rFonts w:hint="eastAsia" w:ascii="宋体" w:hAnsi="宋体" w:eastAsia="宋体" w:cs="宋体"/>
                <w:color w:val="auto"/>
                <w:sz w:val="24"/>
                <w:szCs w:val="24"/>
                <w:highlight w:val="none"/>
              </w:rPr>
              <w:t xml:space="preserve">系统（网址：http://jszfcg.jsczt.cn/）</w:t>
            </w:r>
            <w:r/>
          </w:p>
        </w:tc>
      </w:tr>
      <w:tr>
        <w:trPr>
          <w:jc w:val="center"/>
          <w:trHeight w:val="57"/>
        </w:trPr>
        <w:tc>
          <w:tcPr>
            <w:tcW w:w="746"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418"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开标时间和</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w:t>
            </w:r>
            <w:r/>
          </w:p>
        </w:tc>
        <w:tc>
          <w:tcPr>
            <w:tcW w:w="7577" w:type="dxa"/>
            <w:vAlign w:val="center"/>
            <w:textDirection w:val="lrTb"/>
            <w:noWrap w:val="false"/>
          </w:tcPr>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时间：</w:t>
            </w:r>
            <w:r>
              <w:rPr>
                <w:rFonts w:hint="eastAsia" w:ascii="宋体" w:hAnsi="宋体" w:eastAsia="宋体" w:cs="宋体"/>
                <w:color w:val="auto"/>
                <w:sz w:val="24"/>
                <w:szCs w:val="24"/>
                <w:highlight w:val="none"/>
                <w:lang w:eastAsia="zh-CN"/>
              </w:rPr>
              <w:t xml:space="preserve">2026年</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月</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eastAsia="zh-CN"/>
              </w:rPr>
              <w:t xml:space="preserve">日1</w:t>
            </w:r>
            <w:r>
              <w:rPr>
                <w:rFonts w:hint="eastAsia" w:ascii="宋体" w:hAnsi="宋体" w:eastAsia="宋体" w:cs="宋体"/>
                <w:color w:val="auto"/>
                <w:sz w:val="24"/>
                <w:szCs w:val="24"/>
                <w:highlight w:val="none"/>
                <w:lang w:val="en-US" w:eastAsia="zh-CN"/>
              </w:rPr>
              <w:t xml:space="preserve">09</w:t>
            </w:r>
            <w:r>
              <w:rPr>
                <w:rFonts w:hint="eastAsia" w:ascii="宋体" w:hAnsi="宋体" w:eastAsia="宋体" w:cs="宋体"/>
                <w:color w:val="auto"/>
                <w:sz w:val="24"/>
                <w:szCs w:val="24"/>
                <w:highlight w:val="none"/>
                <w:lang w:eastAsia="zh-CN"/>
              </w:rPr>
              <w:t xml:space="preserve">时30分</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w:t>
            </w:r>
            <w:r>
              <w:rPr>
                <w:rFonts w:hint="eastAsia" w:ascii="宋体" w:hAnsi="宋体" w:eastAsia="宋体" w:cs="宋体"/>
                <w:color w:val="auto"/>
                <w:sz w:val="24"/>
                <w:szCs w:val="24"/>
                <w:highlight w:val="none"/>
                <w:lang w:eastAsia="zh-CN"/>
              </w:rPr>
              <w:t xml:space="preserve">“苏采云”</w:t>
            </w:r>
            <w:r>
              <w:rPr>
                <w:rFonts w:hint="eastAsia" w:ascii="宋体" w:hAnsi="宋体" w:eastAsia="宋体" w:cs="宋体"/>
                <w:color w:val="auto"/>
                <w:sz w:val="24"/>
                <w:szCs w:val="24"/>
                <w:highlight w:val="none"/>
              </w:rPr>
              <w:t xml:space="preserve">系统（网址：http://jszfcg.jsczt.cn/）</w:t>
            </w:r>
            <w:r/>
          </w:p>
        </w:tc>
      </w:tr>
      <w:tr>
        <w:trPr>
          <w:jc w:val="center"/>
          <w:trHeight w:val="90"/>
        </w:trPr>
        <w:tc>
          <w:tcPr>
            <w:shd w:val="clear" w:color="auto" w:fill="auto"/>
            <w:tcW w:w="746" w:type="dxa"/>
            <w:vAlign w:val="center"/>
            <w:textDirection w:val="lrTb"/>
            <w:noWrap w:val="false"/>
          </w:tcPr>
          <w:p>
            <w:pPr>
              <w:jc w:val="center"/>
              <w:spacing w:line="360" w:lineRule="auto"/>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14</w:t>
            </w:r>
            <w:r/>
          </w:p>
        </w:tc>
        <w:tc>
          <w:tcPr>
            <w:tcW w:w="1418"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评标办法</w:t>
            </w:r>
            <w:r/>
          </w:p>
        </w:tc>
        <w:tc>
          <w:tcPr>
            <w:tcW w:w="7577"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综合评分法</w:t>
            </w:r>
            <w:r/>
          </w:p>
        </w:tc>
      </w:tr>
      <w:tr>
        <w:trPr>
          <w:jc w:val="center"/>
          <w:trHeight w:val="844"/>
        </w:trPr>
        <w:tc>
          <w:tcPr>
            <w:shd w:val="clear" w:color="auto" w:fill="auto"/>
            <w:tcW w:w="746" w:type="dxa"/>
            <w:vAlign w:val="center"/>
            <w:textDirection w:val="lrTb"/>
            <w:noWrap w:val="false"/>
          </w:tcPr>
          <w:p>
            <w:pPr>
              <w:jc w:val="center"/>
              <w:spacing w:line="360" w:lineRule="auto"/>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15</w:t>
            </w:r>
            <w:r/>
          </w:p>
        </w:tc>
        <w:tc>
          <w:tcPr>
            <w:tcW w:w="1418"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定标办法</w:t>
            </w:r>
            <w:r/>
          </w:p>
        </w:tc>
        <w:tc>
          <w:tcPr>
            <w:tcW w:w="7577"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招标人根据评标委员会推荐的中标候选供应商顺序确定中标单位。</w:t>
            </w:r>
            <w:r/>
          </w:p>
        </w:tc>
      </w:tr>
      <w:tr>
        <w:trPr>
          <w:jc w:val="center"/>
          <w:trHeight w:val="657"/>
        </w:trPr>
        <w:tc>
          <w:tcPr>
            <w:shd w:val="clear" w:color="auto" w:fill="auto"/>
            <w:tcW w:w="746" w:type="dxa"/>
            <w:vAlign w:val="center"/>
            <w:textDirection w:val="lrTb"/>
            <w:noWrap w:val="false"/>
          </w:tcPr>
          <w:p>
            <w:pPr>
              <w:jc w:val="center"/>
              <w:spacing w:line="360" w:lineRule="auto"/>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16</w:t>
            </w:r>
            <w:r/>
          </w:p>
        </w:tc>
        <w:tc>
          <w:tcPr>
            <w:tcW w:w="1418" w:type="dxa"/>
            <w:vAlign w:val="center"/>
            <w:textDirection w:val="lrTb"/>
            <w:noWrap w:val="false"/>
          </w:tcPr>
          <w:p>
            <w:pPr>
              <w:ind w:left="0" w:right="0" w:firstLine="0"/>
              <w:jc w:val="left"/>
              <w:keepLines w:val="0"/>
              <w:keepNext w:val="0"/>
              <w:pageBreakBefore w:val="0"/>
              <w:spacing w:before="0" w:after="0" w:line="360" w:lineRule="auto"/>
              <w:widowControl/>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履约保证金</w:t>
            </w:r>
            <w:r/>
          </w:p>
        </w:tc>
        <w:tc>
          <w:tcPr>
            <w:tcW w:w="7577" w:type="dxa"/>
            <w:vAlign w:val="center"/>
            <w:textDirection w:val="lrTb"/>
            <w:noWrap w:val="false"/>
          </w:tcPr>
          <w:p>
            <w:pPr>
              <w:ind w:left="0" w:right="0" w:firstLine="0"/>
              <w:jc w:val="both"/>
              <w:keepLines w:val="0"/>
              <w:keepNext w:val="0"/>
              <w:pageBreakBefore w:val="0"/>
              <w:spacing w:before="0" w:after="0" w:line="360" w:lineRule="auto"/>
              <w:widowControl/>
              <w:rPr>
                <w:rFonts w:hint="eastAsia" w:ascii="宋体" w:hAnsi="宋体" w:eastAsia="宋体" w:cs="宋体"/>
                <w:b/>
                <w:bCs/>
                <w:color w:val="auto"/>
                <w:sz w:val="24"/>
                <w:highlight w:val="none"/>
                <w:lang w:eastAsia="zh-CN"/>
              </w:rPr>
              <w:pBdr>
                <w:top w:val="none" w:color="000000" w:sz="0" w:space="0"/>
                <w:left w:val="none" w:color="000000" w:sz="0" w:space="0"/>
                <w:bottom w:val="none" w:color="000000" w:sz="0" w:space="0"/>
                <w:right w:val="none" w:color="000000" w:sz="0" w:space="0"/>
              </w:pBdr>
            </w:pPr>
            <w:r>
              <w:rPr>
                <w:rFonts w:ascii="Wingdings" w:hAnsi="Wingdings" w:eastAsia="Wingdings" w:cs="Wingdings"/>
                <w:b/>
                <w:bCs/>
                <w:color w:val="auto"/>
                <w:sz w:val="24"/>
                <w:highlight w:val="none"/>
                <w:lang w:eastAsia="zh-CN"/>
              </w:rPr>
              <w:t xml:space="preserve">¨</w:t>
            </w:r>
            <w:r>
              <w:rPr>
                <w:rFonts w:hint="eastAsia" w:ascii="宋体" w:hAnsi="宋体" w:eastAsia="宋体" w:cs="宋体"/>
                <w:b/>
                <w:bCs/>
                <w:color w:val="auto"/>
                <w:sz w:val="24"/>
                <w:highlight w:val="none"/>
                <w:lang w:eastAsia="zh-CN"/>
              </w:rPr>
              <w:t xml:space="preserve">提交</w:t>
            </w:r>
            <w:r/>
          </w:p>
          <w:p>
            <w:pPr>
              <w:keepLines w:val="0"/>
              <w:keepNext w:val="0"/>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bCs/>
                <w:color w:val="auto"/>
                <w:sz w:val="24"/>
                <w:highlight w:val="none"/>
                <w:lang w:eastAsia="zh-CN"/>
              </w:rPr>
              <w:t xml:space="preserve">þ</w:t>
            </w:r>
            <w:r>
              <w:rPr>
                <w:rFonts w:hint="eastAsia" w:ascii="宋体" w:hAnsi="宋体" w:eastAsia="宋体" w:cs="宋体"/>
                <w:b/>
                <w:bCs/>
                <w:color w:val="auto"/>
                <w:sz w:val="24"/>
                <w:highlight w:val="none"/>
                <w:lang w:val="en-US" w:eastAsia="zh-CN"/>
              </w:rPr>
              <w:t xml:space="preserve">不</w:t>
            </w:r>
            <w:r>
              <w:rPr>
                <w:rFonts w:hint="eastAsia" w:ascii="宋体" w:hAnsi="宋体" w:eastAsia="宋体" w:cs="宋体"/>
                <w:b/>
                <w:bCs/>
                <w:color w:val="auto"/>
                <w:sz w:val="24"/>
                <w:highlight w:val="none"/>
                <w:lang w:eastAsia="zh-CN"/>
              </w:rPr>
              <w:t xml:space="preserve">提交</w:t>
            </w:r>
            <w:r/>
          </w:p>
        </w:tc>
      </w:tr>
      <w:tr>
        <w:trPr>
          <w:jc w:val="center"/>
          <w:trHeight w:val="627"/>
        </w:trPr>
        <w:tc>
          <w:tcPr>
            <w:shd w:val="clear" w:color="auto" w:fill="auto"/>
            <w:tcW w:w="746" w:type="dxa"/>
            <w:vAlign w:val="center"/>
            <w:textDirection w:val="lrTb"/>
            <w:noWrap w:val="false"/>
          </w:tcPr>
          <w:p>
            <w:pPr>
              <w:jc w:val="center"/>
              <w:spacing w:line="360" w:lineRule="auto"/>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17</w:t>
            </w:r>
            <w:r/>
          </w:p>
        </w:tc>
        <w:tc>
          <w:tcPr>
            <w:tcW w:w="1418"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签订合同</w:t>
            </w:r>
            <w:r/>
          </w:p>
        </w:tc>
        <w:tc>
          <w:tcPr>
            <w:tcW w:w="7577"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中标通知书发出之日起30日内</w:t>
            </w:r>
            <w:r/>
          </w:p>
        </w:tc>
      </w:tr>
      <w:tr>
        <w:trPr>
          <w:jc w:val="center"/>
          <w:trHeight w:val="571"/>
        </w:trPr>
        <w:tc>
          <w:tcPr>
            <w:shd w:val="clear" w:color="auto" w:fill="auto"/>
            <w:tcW w:w="746" w:type="dxa"/>
            <w:vAlign w:val="center"/>
            <w:textDirection w:val="lrTb"/>
            <w:noWrap w:val="false"/>
          </w:tcPr>
          <w:p>
            <w:pPr>
              <w:jc w:val="center"/>
              <w:spacing w:line="360" w:lineRule="auto"/>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18</w:t>
            </w:r>
            <w:r/>
          </w:p>
        </w:tc>
        <w:tc>
          <w:tcPr>
            <w:tcW w:w="1418"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代理服务费</w:t>
            </w:r>
            <w:r/>
          </w:p>
        </w:tc>
        <w:tc>
          <w:tcPr>
            <w:tcW w:w="7577"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代理</w:t>
            </w:r>
            <w:r>
              <w:rPr>
                <w:rFonts w:hint="eastAsia" w:ascii="宋体" w:hAnsi="宋体" w:eastAsia="宋体" w:cs="宋体"/>
                <w:color w:val="auto"/>
                <w:sz w:val="24"/>
                <w:szCs w:val="24"/>
                <w:highlight w:val="none"/>
              </w:rPr>
              <w:t xml:space="preserve">收费标准：按以下方式差额定率累计后收取，领取中标通知书时</w:t>
            </w:r>
            <w:r>
              <w:rPr>
                <w:rFonts w:hint="eastAsia" w:ascii="宋体" w:hAnsi="宋体" w:eastAsia="宋体" w:cs="宋体"/>
                <w:color w:val="auto"/>
                <w:sz w:val="24"/>
                <w:szCs w:val="24"/>
                <w:highlight w:val="none"/>
                <w:lang w:eastAsia="zh-CN"/>
              </w:rPr>
              <w:t xml:space="preserve">由</w:t>
            </w:r>
            <w:r>
              <w:rPr>
                <w:rFonts w:hint="eastAsia" w:ascii="宋体" w:hAnsi="宋体" w:eastAsia="宋体" w:cs="宋体"/>
                <w:color w:val="auto"/>
                <w:sz w:val="24"/>
                <w:szCs w:val="24"/>
                <w:highlight w:val="none"/>
              </w:rPr>
              <w:t xml:space="preserve">中标人向采购代理机构一次性付清。</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预算金额100万元以下部分的费率为预算金额的1.5%；预算金额100-500万元部分的费率为预算金额的1.1%。预算金额</w:t>
            </w:r>
            <w:r>
              <w:rPr>
                <w:rFonts w:hint="eastAsia" w:ascii="宋体" w:hAnsi="宋体" w:eastAsia="宋体" w:cs="宋体"/>
                <w:color w:val="auto"/>
                <w:sz w:val="24"/>
                <w:szCs w:val="24"/>
                <w:highlight w:val="none"/>
                <w:lang w:val="en-US" w:eastAsia="zh-CN"/>
              </w:rPr>
              <w:t xml:space="preserve">500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1000</w:t>
            </w:r>
            <w:r>
              <w:rPr>
                <w:rFonts w:hint="eastAsia" w:ascii="宋体" w:hAnsi="宋体" w:eastAsia="宋体" w:cs="宋体"/>
                <w:color w:val="auto"/>
                <w:sz w:val="24"/>
                <w:szCs w:val="24"/>
                <w:highlight w:val="none"/>
              </w:rPr>
              <w:t xml:space="preserve">万元部分的费率为预算金额的</w:t>
            </w:r>
            <w:r>
              <w:rPr>
                <w:rFonts w:hint="eastAsia" w:ascii="宋体" w:hAnsi="宋体" w:eastAsia="宋体" w:cs="宋体"/>
                <w:color w:val="auto"/>
                <w:sz w:val="24"/>
                <w:szCs w:val="24"/>
                <w:highlight w:val="none"/>
                <w:lang w:val="en-US" w:eastAsia="zh-CN"/>
              </w:rPr>
              <w:t xml:space="preserve">0.8</w:t>
            </w:r>
            <w:r>
              <w:rPr>
                <w:rFonts w:hint="eastAsia" w:ascii="宋体" w:hAnsi="宋体" w:eastAsia="宋体" w:cs="宋体"/>
                <w:color w:val="auto"/>
                <w:sz w:val="24"/>
                <w:szCs w:val="24"/>
                <w:highlight w:val="none"/>
              </w:rPr>
              <w:t xml:space="preserve">%按照差额累进法计算。</w:t>
            </w:r>
            <w:r/>
          </w:p>
          <w:p>
            <w:pPr>
              <w:spacing w:line="360" w:lineRule="auto"/>
              <w:rPr>
                <w:rFonts w:hint="default"/>
                <w:lang w:val="en-US" w:eastAsia="zh-CN"/>
              </w:rPr>
            </w:pPr>
            <w:r>
              <w:rPr>
                <w:rFonts w:hint="eastAsia" w:ascii="宋体" w:hAnsi="宋体" w:eastAsia="宋体" w:cs="宋体"/>
                <w:color w:val="auto"/>
                <w:sz w:val="24"/>
                <w:szCs w:val="24"/>
                <w:highlight w:val="none"/>
                <w:lang w:val="en-US" w:eastAsia="zh-CN"/>
              </w:rPr>
              <w:t xml:space="preserve">因预算金额包含代理费，故本项目</w:t>
            </w:r>
            <w:r>
              <w:rPr>
                <w:rFonts w:hint="eastAsia" w:ascii="宋体" w:hAnsi="宋体" w:eastAsia="宋体" w:cs="宋体"/>
                <w:color w:val="auto"/>
                <w:sz w:val="24"/>
                <w:szCs w:val="24"/>
                <w:highlight w:val="none"/>
                <w:lang w:eastAsia="zh-CN"/>
              </w:rPr>
              <w:t xml:space="preserve">代理服务费由中标人支付：</w:t>
            </w:r>
            <w:r>
              <w:rPr>
                <w:rFonts w:hint="eastAsia" w:ascii="宋体" w:hAnsi="宋体" w:eastAsia="宋体" w:cs="宋体"/>
                <w:color w:val="auto"/>
                <w:sz w:val="24"/>
                <w:szCs w:val="24"/>
                <w:highlight w:val="none"/>
                <w:lang w:val="en-US" w:eastAsia="zh-CN"/>
              </w:rPr>
              <w:t xml:space="preserve">一标段：23611.00元、二标段：26038.00元。</w:t>
            </w:r>
            <w:r>
              <w:rPr>
                <w:rFonts w:hint="eastAsia" w:ascii="宋体" w:hAnsi="宋体" w:eastAsia="宋体" w:cs="宋体"/>
                <w:color w:val="auto"/>
                <w:sz w:val="24"/>
                <w:szCs w:val="24"/>
                <w:highlight w:val="none"/>
                <w:lang w:eastAsia="zh-CN"/>
              </w:rPr>
              <w:t xml:space="preserve">该费用请投标供应商包含在报价中。</w:t>
            </w:r>
            <w:r/>
          </w:p>
        </w:tc>
      </w:tr>
      <w:tr>
        <w:trPr>
          <w:jc w:val="center"/>
          <w:trHeight w:val="571"/>
        </w:trPr>
        <w:tc>
          <w:tcPr>
            <w:shd w:val="clear" w:color="auto" w:fill="auto"/>
            <w:tcW w:w="746" w:type="dxa"/>
            <w:vAlign w:val="center"/>
            <w:textDirection w:val="lrTb"/>
            <w:noWrap w:val="false"/>
          </w:tcPr>
          <w:p>
            <w:pPr>
              <w:jc w:val="center"/>
              <w:spacing w:line="360" w:lineRule="auto"/>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19</w:t>
            </w:r>
            <w:r/>
          </w:p>
        </w:tc>
        <w:tc>
          <w:tcPr>
            <w:tcW w:w="1418"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监督电话</w:t>
            </w:r>
            <w:r/>
          </w:p>
        </w:tc>
        <w:tc>
          <w:tcPr>
            <w:tcW w:w="7577"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苏州市政府采购监督电话：0512-68616651</w:t>
            </w:r>
            <w:r/>
          </w:p>
        </w:tc>
      </w:tr>
      <w:tr>
        <w:trPr>
          <w:jc w:val="center"/>
          <w:trHeight w:val="571"/>
        </w:trPr>
        <w:tc>
          <w:tcPr>
            <w:shd w:val="clear" w:color="auto" w:fill="auto"/>
            <w:tcW w:w="746"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20</w:t>
            </w:r>
            <w:r/>
          </w:p>
        </w:tc>
        <w:tc>
          <w:tcPr>
            <w:tcW w:w="1418"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ascii="宋体" w:hAnsi="宋体" w:eastAsia="宋体" w:cs="宋体"/>
                <w:color w:val="auto"/>
                <w:sz w:val="24"/>
                <w:highlight w:val="none"/>
              </w:rPr>
              <w:t xml:space="preserve">特别提醒</w:t>
            </w:r>
            <w:r/>
          </w:p>
        </w:tc>
        <w:tc>
          <w:tcPr>
            <w:tcW w:w="7577" w:type="dxa"/>
            <w:vAlign w:val="center"/>
            <w:textDirection w:val="lrTb"/>
            <w:noWrap w:val="false"/>
          </w:tcPr>
          <w:p>
            <w:pPr>
              <w:ind w:left="0" w:right="0" w:firstLine="0"/>
              <w:jc w:val="both"/>
              <w:keepLines w:val="0"/>
              <w:keepNext w:val="0"/>
              <w:pageBreakBefore w:val="0"/>
              <w:spacing w:before="0" w:after="0" w:line="360" w:lineRule="auto"/>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本项目采用电子网上招投标。</w:t>
            </w:r>
            <w:r/>
          </w:p>
          <w:p>
            <w:pPr>
              <w:ind w:left="0" w:right="0" w:firstLine="0"/>
              <w:jc w:val="both"/>
              <w:keepLines w:val="0"/>
              <w:keepNext w:val="0"/>
              <w:pageBreakBefore w:val="0"/>
              <w:spacing w:before="0" w:after="0" w:line="360" w:lineRule="auto"/>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hint="eastAsia" w:ascii="宋体" w:hAnsi="宋体" w:eastAsia="宋体" w:cs="宋体"/>
                <w:color w:val="auto"/>
                <w:sz w:val="24"/>
                <w:highlight w:val="none"/>
                <w:lang w:eastAsia="zh-CN"/>
              </w:rPr>
              <w:t xml:space="preserve">供应商</w:t>
            </w:r>
            <w:r>
              <w:rPr>
                <w:rFonts w:ascii="宋体" w:hAnsi="宋体" w:eastAsia="宋体" w:cs="宋体"/>
                <w:color w:val="auto"/>
                <w:sz w:val="24"/>
                <w:highlight w:val="none"/>
              </w:rPr>
              <w:t xml:space="preserve">需要通过CA证书，使用政府采购客户端工具制作电子投标文件，并在提交投标文件上传截止时间之前对投标文件进行加密并上传；</w:t>
            </w:r>
            <w:r/>
          </w:p>
          <w:p>
            <w:pPr>
              <w:spacing w:line="360" w:lineRule="auto"/>
              <w:rPr>
                <w:rFonts w:hint="eastAsia" w:ascii="宋体" w:hAnsi="宋体" w:eastAsia="宋体" w:cs="宋体"/>
                <w:color w:val="auto"/>
                <w:sz w:val="24"/>
                <w:szCs w:val="24"/>
                <w:highlight w:val="none"/>
              </w:rPr>
            </w:pPr>
            <w:r>
              <w:rPr>
                <w:rFonts w:ascii="宋体" w:hAnsi="宋体" w:eastAsia="宋体" w:cs="宋体"/>
                <w:color w:val="auto"/>
                <w:sz w:val="24"/>
                <w:highlight w:val="none"/>
              </w:rPr>
              <w:t xml:space="preserve">2.</w:t>
            </w:r>
            <w:r>
              <w:rPr>
                <w:rFonts w:hint="eastAsia" w:ascii="宋体" w:hAnsi="宋体" w:eastAsia="宋体" w:cs="宋体"/>
                <w:color w:val="auto"/>
                <w:sz w:val="24"/>
                <w:highlight w:val="none"/>
                <w:lang w:eastAsia="zh-CN"/>
              </w:rPr>
              <w:t xml:space="preserve">供应商</w:t>
            </w:r>
            <w:r>
              <w:rPr>
                <w:rFonts w:ascii="宋体" w:hAnsi="宋体" w:eastAsia="宋体" w:cs="宋体"/>
                <w:color w:val="auto"/>
                <w:sz w:val="24"/>
                <w:highlight w:val="none"/>
              </w:rPr>
              <w:t xml:space="preserve">需携带加密文件的CA证书，在项目开启后，开始解密投标文件，请</w:t>
            </w:r>
            <w:r>
              <w:rPr>
                <w:rFonts w:hint="eastAsia" w:ascii="宋体" w:hAnsi="宋体" w:eastAsia="宋体" w:cs="宋体"/>
                <w:color w:val="auto"/>
                <w:sz w:val="24"/>
                <w:highlight w:val="none"/>
                <w:lang w:eastAsia="zh-CN"/>
              </w:rPr>
              <w:t xml:space="preserve">供应商</w:t>
            </w:r>
            <w:r>
              <w:rPr>
                <w:rFonts w:ascii="宋体" w:hAnsi="宋体" w:eastAsia="宋体" w:cs="宋体"/>
                <w:color w:val="auto"/>
                <w:sz w:val="24"/>
                <w:highlight w:val="none"/>
              </w:rPr>
              <w:t xml:space="preserve">预留足够的解密时间。</w:t>
            </w:r>
            <w:r/>
          </w:p>
        </w:tc>
      </w:tr>
    </w:tbl>
    <w:p>
      <w:pPr>
        <w:jc w:val="center"/>
        <w:rPr>
          <w:rFonts w:ascii="宋体" w:hAnsi="宋体" w:eastAsia="宋体" w:cs="宋体"/>
          <w:b/>
          <w:color w:val="auto"/>
          <w:sz w:val="36"/>
          <w:szCs w:val="36"/>
          <w:highlight w:val="none"/>
        </w:rPr>
      </w:pPr>
      <w:r>
        <w:rPr>
          <w:rFonts w:ascii="宋体" w:hAnsi="宋体" w:eastAsia="宋体" w:cs="宋体"/>
          <w:b/>
          <w:color w:val="auto"/>
          <w:sz w:val="36"/>
          <w:szCs w:val="36"/>
          <w:highlight w:val="none"/>
        </w:rPr>
      </w:r>
      <w:r/>
    </w:p>
    <w:p>
      <w:pPr>
        <w:jc w:val="lef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r/>
    </w:p>
    <w:p>
      <w:pPr>
        <w:jc w:val="center"/>
        <w:rPr>
          <w:rFonts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目  录</w:t>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873"/>
        <w:tabs>
          <w:tab w:val="right" w:pos="9604" w:leader="dot"/>
        </w:tabs>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fldChar w:fldCharType="begin"/>
      </w:r>
      <w:r>
        <w:rPr>
          <w:rFonts w:hint="eastAsia" w:ascii="宋体" w:hAnsi="宋体" w:eastAsia="宋体" w:cs="宋体"/>
          <w:b/>
          <w:color w:val="auto"/>
          <w:sz w:val="28"/>
          <w:szCs w:val="28"/>
          <w:highlight w:val="none"/>
        </w:rPr>
        <w:instrText xml:space="preserve"> TOC  \* MERGEFORMAT </w:instrText>
      </w:r>
      <w:r>
        <w:rPr>
          <w:rFonts w:hint="eastAsia" w:ascii="宋体" w:hAnsi="宋体" w:eastAsia="宋体" w:cs="宋体"/>
          <w:b/>
          <w:color w:val="auto"/>
          <w:sz w:val="28"/>
          <w:szCs w:val="28"/>
          <w:highlight w:val="none"/>
        </w:rPr>
        <w:fldChar w:fldCharType="separate"/>
      </w:r>
      <w:r>
        <w:rPr>
          <w:rFonts w:hint="eastAsia" w:ascii="宋体" w:hAnsi="宋体" w:eastAsia="宋体" w:cs="宋体"/>
          <w:b/>
          <w:color w:val="auto"/>
          <w:sz w:val="28"/>
          <w:szCs w:val="28"/>
          <w:highlight w:val="none"/>
        </w:rPr>
        <w:t xml:space="preserve">第一章 招标公告</w:t>
      </w:r>
      <w:r>
        <w:rPr>
          <w:rFonts w:hint="eastAsia" w:ascii="宋体" w:hAnsi="宋体" w:eastAsia="宋体" w:cs="宋体"/>
          <w:b/>
          <w:color w:val="auto"/>
          <w:sz w:val="28"/>
          <w:szCs w:val="28"/>
          <w:highlight w:val="none"/>
        </w:rPr>
        <w:tab/>
      </w:r>
      <w:r>
        <w:rPr>
          <w:rFonts w:hint="eastAsia" w:ascii="宋体" w:hAnsi="宋体" w:eastAsia="宋体" w:cs="宋体"/>
          <w:b/>
          <w:color w:val="auto"/>
          <w:sz w:val="28"/>
          <w:szCs w:val="28"/>
          <w:highlight w:val="none"/>
        </w:rPr>
        <w:fldChar w:fldCharType="begin"/>
      </w:r>
      <w:r>
        <w:rPr>
          <w:rFonts w:hint="eastAsia" w:ascii="宋体" w:hAnsi="宋体" w:eastAsia="宋体" w:cs="宋体"/>
          <w:b/>
          <w:color w:val="auto"/>
          <w:sz w:val="28"/>
          <w:szCs w:val="28"/>
          <w:highlight w:val="none"/>
        </w:rPr>
        <w:instrText xml:space="preserve"> PAGEREF _Toc160701720 \h </w:instrText>
      </w:r>
      <w:r>
        <w:rPr>
          <w:rFonts w:hint="eastAsia" w:ascii="宋体" w:hAnsi="宋体" w:eastAsia="宋体" w:cs="宋体"/>
          <w:b/>
          <w:color w:val="auto"/>
          <w:sz w:val="28"/>
          <w:szCs w:val="28"/>
          <w:highlight w:val="none"/>
        </w:rPr>
        <w:fldChar w:fldCharType="separate"/>
      </w:r>
      <w:r>
        <w:rPr>
          <w:rFonts w:ascii="宋体" w:hAnsi="宋体" w:eastAsia="宋体" w:cs="宋体"/>
          <w:b/>
          <w:color w:val="auto"/>
          <w:sz w:val="28"/>
          <w:szCs w:val="28"/>
          <w:highlight w:val="none"/>
        </w:rPr>
        <w:t xml:space="preserve">4</w:t>
      </w:r>
      <w:r>
        <w:rPr>
          <w:rFonts w:hint="eastAsia" w:ascii="宋体" w:hAnsi="宋体" w:eastAsia="宋体" w:cs="宋体"/>
          <w:b/>
          <w:color w:val="auto"/>
          <w:sz w:val="28"/>
          <w:szCs w:val="28"/>
          <w:highlight w:val="none"/>
        </w:rPr>
        <w:fldChar w:fldCharType="end"/>
      </w:r>
      <w:r/>
    </w:p>
    <w:p>
      <w:pPr>
        <w:pStyle w:val="873"/>
        <w:tabs>
          <w:tab w:val="right" w:pos="9604" w:leader="dot"/>
        </w:tabs>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第二章 投标人须知</w:t>
      </w:r>
      <w:r>
        <w:rPr>
          <w:rFonts w:hint="eastAsia" w:ascii="宋体" w:hAnsi="宋体" w:eastAsia="宋体" w:cs="宋体"/>
          <w:b/>
          <w:color w:val="auto"/>
          <w:sz w:val="28"/>
          <w:szCs w:val="28"/>
          <w:highlight w:val="none"/>
        </w:rPr>
        <w:tab/>
      </w:r>
      <w:r>
        <w:rPr>
          <w:rFonts w:hint="eastAsia" w:ascii="宋体" w:hAnsi="宋体" w:eastAsia="宋体" w:cs="宋体"/>
          <w:b/>
          <w:color w:val="auto"/>
          <w:sz w:val="28"/>
          <w:szCs w:val="28"/>
          <w:highlight w:val="none"/>
        </w:rPr>
        <w:fldChar w:fldCharType="begin"/>
      </w:r>
      <w:r>
        <w:rPr>
          <w:rFonts w:hint="eastAsia" w:ascii="宋体" w:hAnsi="宋体" w:eastAsia="宋体" w:cs="宋体"/>
          <w:b/>
          <w:color w:val="auto"/>
          <w:sz w:val="28"/>
          <w:szCs w:val="28"/>
          <w:highlight w:val="none"/>
        </w:rPr>
        <w:instrText xml:space="preserve"> PAGEREF _Toc160701721 \h </w:instrText>
      </w:r>
      <w:r>
        <w:rPr>
          <w:rFonts w:hint="eastAsia" w:ascii="宋体" w:hAnsi="宋体" w:eastAsia="宋体" w:cs="宋体"/>
          <w:b/>
          <w:color w:val="auto"/>
          <w:sz w:val="28"/>
          <w:szCs w:val="28"/>
          <w:highlight w:val="none"/>
        </w:rPr>
        <w:fldChar w:fldCharType="separate"/>
      </w:r>
      <w:r>
        <w:rPr>
          <w:rFonts w:ascii="宋体" w:hAnsi="宋体" w:eastAsia="宋体" w:cs="宋体"/>
          <w:b/>
          <w:color w:val="auto"/>
          <w:sz w:val="28"/>
          <w:szCs w:val="28"/>
          <w:highlight w:val="none"/>
        </w:rPr>
        <w:t xml:space="preserve">10</w:t>
      </w:r>
      <w:r>
        <w:rPr>
          <w:rFonts w:hint="eastAsia" w:ascii="宋体" w:hAnsi="宋体" w:eastAsia="宋体" w:cs="宋体"/>
          <w:b/>
          <w:color w:val="auto"/>
          <w:sz w:val="28"/>
          <w:szCs w:val="28"/>
          <w:highlight w:val="none"/>
        </w:rPr>
        <w:fldChar w:fldCharType="end"/>
      </w:r>
      <w:r/>
    </w:p>
    <w:p>
      <w:pPr>
        <w:pStyle w:val="873"/>
        <w:tabs>
          <w:tab w:val="right" w:pos="9604" w:leader="dot"/>
        </w:tabs>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第三章 投标文件格式</w:t>
      </w:r>
      <w:r>
        <w:rPr>
          <w:rFonts w:hint="eastAsia" w:ascii="宋体" w:hAnsi="宋体" w:eastAsia="宋体" w:cs="宋体"/>
          <w:b/>
          <w:color w:val="auto"/>
          <w:sz w:val="28"/>
          <w:szCs w:val="28"/>
          <w:highlight w:val="none"/>
        </w:rPr>
        <w:tab/>
      </w:r>
      <w:r>
        <w:rPr>
          <w:rFonts w:hint="eastAsia" w:ascii="宋体" w:hAnsi="宋体" w:eastAsia="宋体" w:cs="宋体"/>
          <w:b/>
          <w:color w:val="auto"/>
          <w:sz w:val="28"/>
          <w:szCs w:val="28"/>
          <w:highlight w:val="none"/>
        </w:rPr>
        <w:fldChar w:fldCharType="begin"/>
      </w:r>
      <w:r>
        <w:rPr>
          <w:rFonts w:hint="eastAsia" w:ascii="宋体" w:hAnsi="宋体" w:eastAsia="宋体" w:cs="宋体"/>
          <w:b/>
          <w:color w:val="auto"/>
          <w:sz w:val="28"/>
          <w:szCs w:val="28"/>
          <w:highlight w:val="none"/>
        </w:rPr>
        <w:instrText xml:space="preserve"> PAGEREF _Toc160701722 \h </w:instrText>
      </w:r>
      <w:r>
        <w:rPr>
          <w:rFonts w:hint="eastAsia" w:ascii="宋体" w:hAnsi="宋体" w:eastAsia="宋体" w:cs="宋体"/>
          <w:b/>
          <w:color w:val="auto"/>
          <w:sz w:val="28"/>
          <w:szCs w:val="28"/>
          <w:highlight w:val="none"/>
        </w:rPr>
        <w:fldChar w:fldCharType="separate"/>
      </w:r>
      <w:r>
        <w:rPr>
          <w:rFonts w:ascii="宋体" w:hAnsi="宋体" w:eastAsia="宋体" w:cs="宋体"/>
          <w:b/>
          <w:color w:val="auto"/>
          <w:sz w:val="28"/>
          <w:szCs w:val="28"/>
          <w:highlight w:val="none"/>
        </w:rPr>
        <w:t xml:space="preserve">30</w:t>
      </w:r>
      <w:r>
        <w:rPr>
          <w:rFonts w:hint="eastAsia" w:ascii="宋体" w:hAnsi="宋体" w:eastAsia="宋体" w:cs="宋体"/>
          <w:b/>
          <w:color w:val="auto"/>
          <w:sz w:val="28"/>
          <w:szCs w:val="28"/>
          <w:highlight w:val="none"/>
        </w:rPr>
        <w:fldChar w:fldCharType="end"/>
      </w:r>
      <w:r/>
    </w:p>
    <w:p>
      <w:pPr>
        <w:pStyle w:val="873"/>
        <w:tabs>
          <w:tab w:val="right" w:pos="9604" w:leader="dot"/>
        </w:tabs>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第四章 采购内容</w:t>
      </w:r>
      <w:r>
        <w:rPr>
          <w:rFonts w:hint="eastAsia" w:ascii="宋体" w:hAnsi="宋体" w:eastAsia="宋体" w:cs="宋体"/>
          <w:b/>
          <w:color w:val="auto"/>
          <w:sz w:val="28"/>
          <w:szCs w:val="28"/>
          <w:highlight w:val="none"/>
        </w:rPr>
        <w:tab/>
      </w:r>
      <w:r>
        <w:rPr>
          <w:rFonts w:hint="eastAsia" w:ascii="宋体" w:hAnsi="宋体" w:eastAsia="宋体" w:cs="宋体"/>
          <w:b/>
          <w:color w:val="auto"/>
          <w:sz w:val="28"/>
          <w:szCs w:val="28"/>
          <w:highlight w:val="none"/>
        </w:rPr>
        <w:fldChar w:fldCharType="begin"/>
      </w:r>
      <w:r>
        <w:rPr>
          <w:rFonts w:hint="eastAsia" w:ascii="宋体" w:hAnsi="宋体" w:eastAsia="宋体" w:cs="宋体"/>
          <w:b/>
          <w:color w:val="auto"/>
          <w:sz w:val="28"/>
          <w:szCs w:val="28"/>
          <w:highlight w:val="none"/>
        </w:rPr>
        <w:instrText xml:space="preserve"> PAGEREF _Toc160701726 \h </w:instrText>
      </w:r>
      <w:r>
        <w:rPr>
          <w:rFonts w:hint="eastAsia" w:ascii="宋体" w:hAnsi="宋体" w:eastAsia="宋体" w:cs="宋体"/>
          <w:b/>
          <w:color w:val="auto"/>
          <w:sz w:val="28"/>
          <w:szCs w:val="28"/>
          <w:highlight w:val="none"/>
        </w:rPr>
        <w:fldChar w:fldCharType="separate"/>
      </w:r>
      <w:r>
        <w:rPr>
          <w:rFonts w:ascii="宋体" w:hAnsi="宋体" w:eastAsia="宋体" w:cs="宋体"/>
          <w:b/>
          <w:color w:val="auto"/>
          <w:sz w:val="28"/>
          <w:szCs w:val="28"/>
          <w:highlight w:val="none"/>
        </w:rPr>
        <w:t xml:space="preserve">49</w:t>
      </w:r>
      <w:r>
        <w:rPr>
          <w:rFonts w:hint="eastAsia" w:ascii="宋体" w:hAnsi="宋体" w:eastAsia="宋体" w:cs="宋体"/>
          <w:b/>
          <w:color w:val="auto"/>
          <w:sz w:val="28"/>
          <w:szCs w:val="28"/>
          <w:highlight w:val="none"/>
        </w:rPr>
        <w:fldChar w:fldCharType="end"/>
      </w:r>
      <w:r/>
    </w:p>
    <w:p>
      <w:pPr>
        <w:pStyle w:val="873"/>
        <w:tabs>
          <w:tab w:val="right" w:pos="9604" w:leader="dot"/>
        </w:tabs>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第五章 合同主要条款</w:t>
      </w:r>
      <w:r>
        <w:rPr>
          <w:rFonts w:hint="eastAsia" w:ascii="宋体" w:hAnsi="宋体" w:eastAsia="宋体" w:cs="宋体"/>
          <w:b/>
          <w:color w:val="auto"/>
          <w:sz w:val="28"/>
          <w:szCs w:val="28"/>
          <w:highlight w:val="none"/>
        </w:rPr>
        <w:tab/>
      </w:r>
      <w:r>
        <w:rPr>
          <w:rFonts w:hint="eastAsia" w:ascii="宋体" w:hAnsi="宋体" w:eastAsia="宋体" w:cs="宋体"/>
          <w:b/>
          <w:color w:val="auto"/>
          <w:sz w:val="28"/>
          <w:szCs w:val="28"/>
          <w:highlight w:val="none"/>
        </w:rPr>
        <w:fldChar w:fldCharType="begin"/>
      </w:r>
      <w:r>
        <w:rPr>
          <w:rFonts w:hint="eastAsia" w:ascii="宋体" w:hAnsi="宋体" w:eastAsia="宋体" w:cs="宋体"/>
          <w:b/>
          <w:color w:val="auto"/>
          <w:sz w:val="28"/>
          <w:szCs w:val="28"/>
          <w:highlight w:val="none"/>
        </w:rPr>
        <w:instrText xml:space="preserve"> PAGEREF _Toc160701727 \h </w:instrText>
      </w:r>
      <w:r>
        <w:rPr>
          <w:rFonts w:hint="eastAsia" w:ascii="宋体" w:hAnsi="宋体" w:eastAsia="宋体" w:cs="宋体"/>
          <w:b/>
          <w:color w:val="auto"/>
          <w:sz w:val="28"/>
          <w:szCs w:val="28"/>
          <w:highlight w:val="none"/>
        </w:rPr>
        <w:fldChar w:fldCharType="separate"/>
      </w:r>
      <w:r>
        <w:rPr>
          <w:rFonts w:ascii="宋体" w:hAnsi="宋体" w:eastAsia="宋体" w:cs="宋体"/>
          <w:b/>
          <w:color w:val="auto"/>
          <w:sz w:val="28"/>
          <w:szCs w:val="28"/>
          <w:highlight w:val="none"/>
        </w:rPr>
        <w:t xml:space="preserve">63</w:t>
      </w:r>
      <w:r>
        <w:rPr>
          <w:rFonts w:hint="eastAsia" w:ascii="宋体" w:hAnsi="宋体" w:eastAsia="宋体" w:cs="宋体"/>
          <w:b/>
          <w:color w:val="auto"/>
          <w:sz w:val="28"/>
          <w:szCs w:val="28"/>
          <w:highlight w:val="none"/>
        </w:rPr>
        <w:fldChar w:fldCharType="end"/>
      </w:r>
      <w:r/>
    </w:p>
    <w:p>
      <w:pPr>
        <w:pStyle w:val="873"/>
        <w:tabs>
          <w:tab w:val="right" w:pos="9604" w:leader="dot"/>
        </w:tabs>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第六章 评标办法及标准</w:t>
      </w:r>
      <w:r>
        <w:rPr>
          <w:rFonts w:hint="eastAsia" w:ascii="宋体" w:hAnsi="宋体" w:eastAsia="宋体" w:cs="宋体"/>
          <w:b/>
          <w:color w:val="auto"/>
          <w:sz w:val="28"/>
          <w:szCs w:val="28"/>
          <w:highlight w:val="none"/>
        </w:rPr>
        <w:tab/>
      </w:r>
      <w:r>
        <w:rPr>
          <w:rFonts w:hint="eastAsia" w:ascii="宋体" w:hAnsi="宋体" w:eastAsia="宋体" w:cs="宋体"/>
          <w:b/>
          <w:color w:val="auto"/>
          <w:sz w:val="28"/>
          <w:szCs w:val="28"/>
          <w:highlight w:val="none"/>
        </w:rPr>
        <w:fldChar w:fldCharType="begin"/>
      </w:r>
      <w:r>
        <w:rPr>
          <w:rFonts w:hint="eastAsia" w:ascii="宋体" w:hAnsi="宋体" w:eastAsia="宋体" w:cs="宋体"/>
          <w:b/>
          <w:color w:val="auto"/>
          <w:sz w:val="28"/>
          <w:szCs w:val="28"/>
          <w:highlight w:val="none"/>
        </w:rPr>
        <w:instrText xml:space="preserve"> PAGEREF _Toc160701728 \h </w:instrText>
      </w:r>
      <w:r>
        <w:rPr>
          <w:rFonts w:hint="eastAsia" w:ascii="宋体" w:hAnsi="宋体" w:eastAsia="宋体" w:cs="宋体"/>
          <w:b/>
          <w:color w:val="auto"/>
          <w:sz w:val="28"/>
          <w:szCs w:val="28"/>
          <w:highlight w:val="none"/>
        </w:rPr>
        <w:fldChar w:fldCharType="separate"/>
      </w:r>
      <w:r>
        <w:rPr>
          <w:rFonts w:ascii="宋体" w:hAnsi="宋体" w:eastAsia="宋体" w:cs="宋体"/>
          <w:b/>
          <w:color w:val="auto"/>
          <w:sz w:val="28"/>
          <w:szCs w:val="28"/>
          <w:highlight w:val="none"/>
        </w:rPr>
        <w:t xml:space="preserve">72</w:t>
      </w:r>
      <w:r>
        <w:rPr>
          <w:rFonts w:hint="eastAsia" w:ascii="宋体" w:hAnsi="宋体" w:eastAsia="宋体" w:cs="宋体"/>
          <w:b/>
          <w:color w:val="auto"/>
          <w:sz w:val="28"/>
          <w:szCs w:val="28"/>
          <w:highlight w:val="none"/>
        </w:rPr>
        <w:fldChar w:fldCharType="end"/>
      </w:r>
      <w:r/>
    </w:p>
    <w:p>
      <w:pPr>
        <w:jc w:val="center"/>
        <w:spacing w:line="480" w:lineRule="auto"/>
        <w:rPr>
          <w:rFonts w:ascii="宋体" w:hAnsi="宋体" w:eastAsia="宋体" w:cs="宋体"/>
          <w:b/>
          <w:color w:val="auto"/>
          <w:sz w:val="24"/>
          <w:szCs w:val="24"/>
          <w:highlight w:val="none"/>
        </w:rPr>
      </w:pPr>
      <w:r>
        <w:rPr>
          <w:rFonts w:hint="eastAsia" w:ascii="宋体" w:hAnsi="宋体" w:eastAsia="宋体" w:cs="宋体"/>
          <w:b/>
          <w:color w:val="auto"/>
          <w:sz w:val="28"/>
          <w:szCs w:val="28"/>
          <w:highlight w:val="none"/>
        </w:rPr>
        <w:fldChar w:fldCharType="end"/>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line="360" w:lineRule="auto"/>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p>
      <w:pPr>
        <w:spacing w:line="360" w:lineRule="auto"/>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p>
      <w:pPr>
        <w:spacing w:line="360" w:lineRule="auto"/>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p>
      <w:pPr>
        <w:rPr>
          <w:rFonts w:ascii="宋体" w:hAnsi="宋体" w:eastAsia="宋体" w:cs="宋体"/>
          <w:color w:val="auto"/>
          <w:highlight w:val="none"/>
        </w:rPr>
      </w:pPr>
      <w:r>
        <w:rPr>
          <w:rFonts w:hint="eastAsia" w:ascii="宋体" w:hAnsi="宋体" w:eastAsia="宋体" w:cs="宋体"/>
          <w:color w:val="auto"/>
          <w:highlight w:val="none"/>
        </w:rPr>
        <w:br w:type="page" w:clear="all"/>
      </w:r>
      <w:bookmarkStart w:id="0" w:name="_Toc388026583"/>
      <w:r/>
      <w:r/>
    </w:p>
    <w:p>
      <w:pPr>
        <w:pStyle w:val="837"/>
        <w:jc w:val="center"/>
        <w:rPr>
          <w:rFonts w:ascii="宋体" w:hAnsi="宋体" w:eastAsia="宋体" w:cs="宋体"/>
          <w:color w:val="auto"/>
          <w:highlight w:val="none"/>
        </w:rPr>
      </w:pPr>
      <w:r/>
      <w:bookmarkStart w:id="1" w:name="_Toc494471870"/>
      <w:r/>
      <w:bookmarkStart w:id="2" w:name="_Toc160701720"/>
      <w:r>
        <w:rPr>
          <w:rFonts w:hint="eastAsia" w:ascii="宋体" w:hAnsi="宋体" w:eastAsia="宋体" w:cs="宋体"/>
          <w:color w:val="auto"/>
          <w:highlight w:val="none"/>
        </w:rPr>
        <w:t xml:space="preserve">第一章 </w:t>
      </w:r>
      <w:bookmarkEnd w:id="0"/>
      <w:r/>
      <w:bookmarkEnd w:id="1"/>
      <w:r>
        <w:rPr>
          <w:rFonts w:hint="eastAsia" w:ascii="宋体" w:hAnsi="宋体" w:eastAsia="宋体" w:cs="宋体"/>
          <w:color w:val="auto"/>
          <w:highlight w:val="none"/>
        </w:rPr>
        <w:t xml:space="preserve">招标公告</w:t>
      </w:r>
      <w:bookmarkEnd w:id="2"/>
      <w:r/>
      <w:r/>
    </w:p>
    <w:p>
      <w:pPr>
        <w:ind w:firstLine="480"/>
        <w:spacing w:line="360" w:lineRule="auto"/>
        <w:rPr>
          <w:rFonts w:hint="eastAsia" w:ascii="宋体" w:hAnsi="宋体" w:eastAsia="宋体" w:cs="宋体"/>
          <w:color w:val="auto"/>
          <w:sz w:val="24"/>
          <w:szCs w:val="24"/>
          <w:highlight w:val="none"/>
        </w:rPr>
        <w:pBdr>
          <w:top w:val="single" w:color="auto" w:sz="4" w:space="1"/>
          <w:left w:val="single" w:color="auto" w:sz="4" w:space="4"/>
          <w:bottom w:val="single" w:color="auto" w:sz="4" w:space="1"/>
          <w:right w:val="single" w:color="auto" w:sz="4" w:space="4"/>
        </w:pBdr>
      </w:pPr>
      <w:r/>
      <w:bookmarkStart w:id="3" w:name="OLE_LINK16"/>
      <w:r/>
      <w:bookmarkStart w:id="4" w:name="OLE_LINK37"/>
      <w:r>
        <w:rPr>
          <w:rFonts w:hint="eastAsia" w:ascii="宋体" w:hAnsi="宋体" w:eastAsia="宋体" w:cs="宋体"/>
          <w:color w:val="auto"/>
          <w:sz w:val="24"/>
          <w:szCs w:val="24"/>
          <w:highlight w:val="none"/>
        </w:rPr>
        <w:t xml:space="preserve">项目概况</w:t>
      </w:r>
      <w:r/>
    </w:p>
    <w:p>
      <w:pPr>
        <w:ind w:firstLine="480"/>
        <w:spacing w:line="360" w:lineRule="auto"/>
        <w:rPr>
          <w:rFonts w:hint="eastAsia" w:ascii="宋体" w:hAnsi="宋体" w:eastAsia="宋体" w:cs="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szCs w:val="24"/>
          <w:highlight w:val="none"/>
          <w:u w:val="single"/>
          <w:lang w:eastAsia="zh-CN"/>
        </w:rPr>
        <w:t xml:space="preserve">2026年智水苏州室外硬件运维项目</w:t>
      </w:r>
      <w:r>
        <w:rPr>
          <w:rFonts w:hint="eastAsia" w:ascii="宋体" w:hAnsi="宋体" w:eastAsia="宋体" w:cs="宋体"/>
          <w:color w:val="auto"/>
          <w:sz w:val="24"/>
          <w:szCs w:val="24"/>
          <w:highlight w:val="none"/>
        </w:rPr>
        <w:t xml:space="preserve">招标项目的潜在投标人应在</w:t>
      </w:r>
      <w:r>
        <w:rPr>
          <w:rFonts w:hint="eastAsia" w:ascii="宋体" w:hAnsi="宋体" w:eastAsia="宋体" w:cs="宋体"/>
          <w:color w:val="auto"/>
          <w:sz w:val="24"/>
          <w:szCs w:val="24"/>
          <w:highlight w:val="none"/>
          <w:u w:val="single"/>
        </w:rPr>
        <w:t xml:space="preserve">“苏采云”系统</w:t>
      </w:r>
      <w:r>
        <w:rPr>
          <w:rFonts w:hint="eastAsia" w:ascii="宋体" w:hAnsi="宋体" w:eastAsia="宋体" w:cs="宋体"/>
          <w:color w:val="auto"/>
          <w:sz w:val="24"/>
          <w:szCs w:val="24"/>
          <w:highlight w:val="none"/>
        </w:rPr>
        <w:t xml:space="preserve">获取招标文件，并于</w:t>
      </w:r>
      <w:r>
        <w:rPr>
          <w:rFonts w:hint="eastAsia" w:ascii="宋体" w:hAnsi="宋体" w:eastAsia="宋体" w:cs="宋体"/>
          <w:color w:val="auto"/>
          <w:sz w:val="24"/>
          <w:szCs w:val="24"/>
          <w:highlight w:val="none"/>
          <w:u w:val="single"/>
          <w:lang w:eastAsia="zh-CN"/>
        </w:rPr>
        <w:t xml:space="preserve">2026年</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lang w:eastAsia="zh-CN"/>
        </w:rPr>
        <w:t xml:space="preserve">月</w:t>
      </w:r>
      <w:r>
        <w:rPr>
          <w:rFonts w:hint="eastAsia" w:ascii="宋体" w:hAnsi="宋体" w:eastAsia="宋体" w:cs="宋体"/>
          <w:color w:val="auto"/>
          <w:sz w:val="24"/>
          <w:szCs w:val="24"/>
          <w:highlight w:val="none"/>
          <w:u w:val="single"/>
          <w:lang w:val="en-US" w:eastAsia="zh-CN"/>
        </w:rPr>
        <w:t xml:space="preserve">12</w:t>
      </w:r>
      <w:r>
        <w:rPr>
          <w:rFonts w:hint="eastAsia" w:ascii="宋体" w:hAnsi="宋体" w:eastAsia="宋体" w:cs="宋体"/>
          <w:color w:val="auto"/>
          <w:sz w:val="24"/>
          <w:szCs w:val="24"/>
          <w:highlight w:val="none"/>
          <w:u w:val="single"/>
          <w:lang w:eastAsia="zh-CN"/>
        </w:rPr>
        <w:t xml:space="preserve">日</w:t>
      </w:r>
      <w:r>
        <w:rPr>
          <w:rFonts w:hint="eastAsia" w:ascii="宋体" w:hAnsi="宋体" w:eastAsia="宋体" w:cs="宋体"/>
          <w:color w:val="auto"/>
          <w:sz w:val="24"/>
          <w:szCs w:val="24"/>
          <w:highlight w:val="none"/>
          <w:u w:val="single"/>
          <w:lang w:val="en-US" w:eastAsia="zh-CN"/>
        </w:rPr>
        <w:t xml:space="preserve">09</w:t>
      </w:r>
      <w:r>
        <w:rPr>
          <w:rFonts w:hint="eastAsia" w:ascii="宋体" w:hAnsi="宋体" w:eastAsia="宋体" w:cs="宋体"/>
          <w:color w:val="auto"/>
          <w:sz w:val="24"/>
          <w:szCs w:val="24"/>
          <w:highlight w:val="none"/>
          <w:u w:val="single"/>
        </w:rPr>
        <w:t xml:space="preserve">点30分</w:t>
      </w:r>
      <w:r>
        <w:rPr>
          <w:rFonts w:hint="eastAsia" w:ascii="宋体" w:hAnsi="宋体" w:eastAsia="宋体" w:cs="宋体"/>
          <w:color w:val="auto"/>
          <w:sz w:val="24"/>
          <w:szCs w:val="24"/>
          <w:highlight w:val="none"/>
        </w:rPr>
        <w:t xml:space="preserve">（北京时间）前递交投标文件。</w:t>
      </w:r>
      <w:r/>
    </w:p>
    <w:p>
      <w:pPr>
        <w:pStyle w:val="838"/>
        <w:ind w:left="0" w:right="0" w:firstLine="0"/>
        <w:jc w:val="both"/>
        <w:spacing w:before="260" w:after="26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项目编号：JSZC-320500-CXJT-G2026-0007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项目名称：2026年智水苏州室外硬件设备运维项目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预算金额：445.620000万元（采购包1：207.643000万元；采购包2：237.977000万元）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最高限价（如有）：一标段：贰佰零柒万陆仟肆佰叁拾元整（¥2076430.00元） </w:t>
      </w:r>
      <w:r/>
    </w:p>
    <w:p>
      <w:pPr>
        <w:ind w:left="0" w:right="0" w:firstLine="25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二标段：贰佰叁拾柒万玖仟柒佰柒拾元整（¥2379770.00元）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每标段中标单位数量为一家（本项目共两个标段，投标供应商可选择其中一个或多个标段进行报名投标，但每个投标供应商的累计中标标段不得超过一个。若投标供应商按评审方法被确定为中标候选人的标段数超过一个，则依开标顺序，按先开先中的原则，确定该投标供应商的中标标段，其余标段将自动失去中标资格，由该标段的综合评审由高到低排名高的投标人获得中标资格）。</w:t>
      </w: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采购需求：具体详见第四章采购内容。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合同履行期限：24个月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本项目（是/否）接受联合体投标：否</w:t>
      </w:r>
      <w:r/>
    </w:p>
    <w:p>
      <w:pPr>
        <w:pStyle w:val="838"/>
        <w:ind w:left="0" w:right="0" w:firstLine="0"/>
        <w:jc w:val="both"/>
        <w:spacing w:before="260" w:after="26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（一）满足《中华人民共和国政府采购法》第二十二条规定：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4.具有依法缴纳税收和社会保障资金的良好记录；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5.参加政府采购活动近三年内，在经营活动中没有重大违法记录；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6.根据政府采购法及相关法规，招标代理人将对供应商进行信用查询。对列入失信被执行人、重大税收违法案件当事人名单、政府采购严重违法失信行为记录名单的供应商，拒绝其参与政府采购活动；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7.法律、行政法规规定的其他条件。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（二）落实政府采购政策需满足的资格要求：本项目专门面向中小企业，所属行业为其他未列明行业，供应商应为中小微企业或残疾人福利性单位或监狱企业。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（三）本项目的特定资格要求：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1.未被“信用中国”网站（www.creditchina.gov.cn）列入失信被执行人、重大税收违法案件当事人名单、政府采购严重失信行为记录名单。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单位负责人为同一人或者存在直接控股、管理关系的不同供应商，不得参加同一合同项下的政府采购活动。除单一来源采购项目外，为采购项目提供整体设计、规范编制或者项目管理、监理、检测等服务的供应商，不得参加该采购项目的其他采购活动。</w:t>
      </w:r>
      <w:r/>
    </w:p>
    <w:p>
      <w:pPr>
        <w:pStyle w:val="838"/>
        <w:ind w:left="0" w:right="0" w:firstLine="0"/>
        <w:jc w:val="both"/>
        <w:spacing w:before="260" w:after="26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三、获取招标文件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时间：自招标文件公告发布之日起5个工作日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地点：苏采云政府采购一体化平台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方式：苏采云系统自行下载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售价：0.00元 </w:t>
      </w:r>
      <w:r/>
    </w:p>
    <w:p>
      <w:pPr>
        <w:pStyle w:val="838"/>
        <w:ind w:left="0" w:right="0" w:firstLine="0"/>
        <w:jc w:val="both"/>
        <w:spacing w:before="260" w:after="26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四、提交投标文件截止时间、开标时间和地点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2026-05-12 09:30 （北京时间）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地点：苏采云政府采购一体化平台 </w:t>
      </w:r>
      <w:r/>
    </w:p>
    <w:p>
      <w:pPr>
        <w:pStyle w:val="838"/>
        <w:ind w:left="0" w:right="0" w:firstLine="0"/>
        <w:jc w:val="both"/>
        <w:spacing w:before="260" w:after="26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五、公告期限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自本公告发布之日起5个工作日。</w:t>
      </w:r>
      <w:r/>
    </w:p>
    <w:p>
      <w:pPr>
        <w:pStyle w:val="838"/>
        <w:ind w:left="0" w:right="0" w:firstLine="0"/>
        <w:jc w:val="both"/>
        <w:spacing w:before="260" w:after="26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六、其他补充事宜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1、本项目需要使用CA数字证书制作、上传电子投标文件完成电子投标，请供应商在参加投标活动前办理好CA数字证书申领及电子签章等操作。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有关供应商注册、报名、下载电子招标文件、制作上传电子投标文件、不见面开标及其他注意事项登录苏州政府采购网，在“下载中心”栏目下载“苏采云系统供应商操作手册”查阅。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3、采购文件获取（网上获取）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申领CA证书：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电话：0512-657</w:t>
      </w:r>
      <w:r>
        <w:rPr>
          <w:rFonts w:ascii="SimSun" w:hAnsi="SimSun" w:eastAsia="SimSun" w:cs="SimSun"/>
          <w:color w:val="000000"/>
          <w:sz w:val="24"/>
        </w:rPr>
        <w:t xml:space="preserve">37699。</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4、制作、提交电子响应文件：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网络环境、网络带宽等风险因素，如因供应商自身原因造成的电子响应文件上传不成功由供应商自行承担全部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5、开标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5.1本项目采用不见面开标，投标人开标时无需到开标现场进行解密，采取网上开标大厅解密电子投标文件，投标人远程解密要求如下：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1）投标人使用CA数字证书进行远程解密，解密的CA数字证书与生成加密电子投标文件时的CA数字证书需为同一个CA数字证书，否则无法解密，造成的后果由投标人自行负责。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2）投标人登录苏采云系统，点击开标大厅，选择开标项目，完成不见面开标流程。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3）投标截止时间后根据系统提示解密电子投标文件。解密时间为30分钟，未在规定时间内完成解密，其投标文件将被拒绝，不参与后续投标流程。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4）在开标、评标过程中投标人代表须在网上不见面开标系统中保持在线状态，以应对可能发生的澄清、说明等回复，由于投标人代表不在线所造成的一切后果由投标人自行承担。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有关苏采云系统驱动安装，登录苏州政府采购网，点击页面底部苏采云图标，进入苏采云政府采购一体化平台，点击“驱动下载”，下载“政务CA、方正签章控件驱动安装包及安装说明”文件，按要求安装驱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7、投标保证金：本项目无需缴纳投标保证金。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8、苏州市财政局政府采购管理处监督电话：0512-68616651。</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9、政府采购履约资金扶持政策：中标供应商可凭政府采购合同办理融资贷款，详情请见江苏政府采购网“政采贷”专栏。</w:t>
      </w:r>
      <w:r/>
    </w:p>
    <w:p>
      <w:pPr>
        <w:pStyle w:val="838"/>
        <w:ind w:left="0" w:right="0" w:firstLine="0"/>
        <w:jc w:val="both"/>
        <w:spacing w:before="260" w:after="26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七、对本次招标提出询问，请按以下方式联系。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采购包1、采购包2</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单位名称：苏州市水利水务信息调度指挥中心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单位地址：苏州市高新区玉山路11号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联系人：曹孟晔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联系电话：18362578333</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2.采购代理机构信息（如有）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单位名称：诚信金泰建设管理（苏州）有限公司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单位地址：苏州市吴中区盘蠡新村25-1幢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联系人：徐珊珊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联系电话：17312310992</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项目联系人：徐珊珊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电话：17312310992</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jc w:val="center"/>
        <w:rPr>
          <w:rFonts w:ascii="宋体" w:hAnsi="宋体" w:eastAsia="宋体" w:cs="宋体"/>
          <w:color w:val="auto"/>
          <w:highlight w:val="none"/>
        </w:rPr>
      </w:pPr>
      <w:r/>
      <w:bookmarkStart w:id="5" w:name="_Toc160701721"/>
      <w:r/>
      <w:bookmarkStart w:id="6" w:name="_Toc388026584"/>
      <w:r/>
      <w:bookmarkStart w:id="7" w:name="_Toc494471871"/>
      <w:r>
        <w:rPr>
          <w:rFonts w:hint="eastAsia" w:ascii="宋体" w:hAnsi="宋体" w:eastAsia="宋体" w:cs="宋体"/>
          <w:color w:val="auto"/>
          <w:highlight w:val="none"/>
        </w:rPr>
        <w:br w:type="page" w:clear="all"/>
      </w:r>
      <w:r/>
    </w:p>
    <w:p>
      <w:pPr>
        <w:pStyle w:val="837"/>
        <w:jc w:val="center"/>
        <w:spacing w:line="560" w:lineRule="exact"/>
        <w:rPr>
          <w:rFonts w:ascii="宋体" w:hAnsi="宋体" w:eastAsia="宋体" w:cs="宋体"/>
          <w:color w:val="auto"/>
          <w:highlight w:val="none"/>
        </w:rPr>
      </w:pPr>
      <w:r>
        <w:rPr>
          <w:rFonts w:hint="eastAsia" w:ascii="宋体" w:hAnsi="宋体" w:eastAsia="宋体" w:cs="宋体"/>
          <w:color w:val="auto"/>
          <w:highlight w:val="none"/>
        </w:rPr>
        <w:t xml:space="preserve">第二章 投标人须知</w:t>
      </w:r>
      <w:bookmarkEnd w:id="5"/>
      <w:r/>
      <w:bookmarkEnd w:id="6"/>
      <w:r/>
      <w:bookmarkEnd w:id="7"/>
      <w:r/>
      <w:r/>
    </w:p>
    <w:p>
      <w:pPr>
        <w:ind w:firstLine="0"/>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一、说明和释义</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 说明</w:t>
      </w:r>
      <w:r/>
    </w:p>
    <w:p>
      <w:pPr>
        <w:pStyle w:val="850"/>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1.1本招标文件仅适用于</w:t>
      </w:r>
      <w:r>
        <w:rPr>
          <w:rFonts w:hint="eastAsia" w:ascii="宋体" w:hAnsi="宋体" w:eastAsia="宋体" w:cs="宋体"/>
          <w:bCs/>
          <w:color w:val="auto"/>
          <w:szCs w:val="24"/>
          <w:highlight w:val="none"/>
          <w:lang w:eastAsia="zh-CN"/>
        </w:rPr>
        <w:t xml:space="preserve">诚信金泰建设管理（苏州）有限公司</w:t>
      </w:r>
      <w:r>
        <w:rPr>
          <w:rFonts w:hint="eastAsia" w:ascii="宋体" w:hAnsi="宋体" w:eastAsia="宋体" w:cs="宋体"/>
          <w:color w:val="auto"/>
          <w:szCs w:val="24"/>
          <w:highlight w:val="none"/>
        </w:rPr>
        <w:t xml:space="preserve">组织的招标活动。</w:t>
      </w:r>
      <w:r/>
    </w:p>
    <w:p>
      <w:pPr>
        <w:pStyle w:val="850"/>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1.2本次招标活动及因本次招标产生的合同受中国法律制约和保护。</w:t>
      </w:r>
      <w:r/>
    </w:p>
    <w:p>
      <w:pPr>
        <w:pStyle w:val="850"/>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1.3本招标文件的解释权属于</w:t>
      </w:r>
      <w:r>
        <w:rPr>
          <w:rFonts w:hint="eastAsia" w:ascii="宋体" w:hAnsi="宋体" w:eastAsia="宋体" w:cs="宋体"/>
          <w:bCs/>
          <w:color w:val="auto"/>
          <w:szCs w:val="24"/>
          <w:highlight w:val="none"/>
          <w:lang w:eastAsia="zh-CN"/>
        </w:rPr>
        <w:t xml:space="preserve">诚信金泰建设管理（苏州）有限公司</w:t>
      </w:r>
      <w:r>
        <w:rPr>
          <w:rFonts w:hint="eastAsia" w:ascii="宋体" w:hAnsi="宋体" w:eastAsia="宋体" w:cs="宋体"/>
          <w:color w:val="auto"/>
          <w:szCs w:val="24"/>
          <w:highlight w:val="none"/>
        </w:rPr>
        <w:t xml:space="preserve">。</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 词语释义</w:t>
      </w:r>
      <w:r/>
    </w:p>
    <w:p>
      <w:pPr>
        <w:pStyle w:val="850"/>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2.1招标人：指依法进行政府采购的国家机关、事业单位、团体组织。</w:t>
      </w:r>
      <w:r/>
    </w:p>
    <w:p>
      <w:pPr>
        <w:pStyle w:val="850"/>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2.2供应商：指向招标人提供货物、工程或服务的法人、其他组织或者自然人。</w:t>
      </w:r>
      <w:r/>
    </w:p>
    <w:p>
      <w:pPr>
        <w:pStyle w:val="850"/>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2.3投标单位/投标人：指参加政府采购货物服务投标活动的供应商。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2.4招标代理机构：指依法接受招标人委托，从事货物、工程和服务等政府采购招标代理业务的社会中介机构。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2.5招标采购单位：招标人及招标代理机构的统称。</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2.6评标委员会： 是指在招标投标和政府采购活动中，依法由招标人代表和有关技术、经济等方面的专家组建，负责对投标文件进行评审并提出评审意见的临时性权威机构。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2.7响应：投标人根据招标人或招标代理机构发布的招标文件，编制投标文件并按规定投标的行为。</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2.8知识产权：指专利权、商标权、著作权等无形财产专有权的统称。</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2.9天：日历日。</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2.10服务地点：合同中明确约定的乙方履行服务的最终地点。</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2.11不可抗力：不能预见、不能避免并且不能克服的客观情况。</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实质性响应：满足有关本次采购标的、数量、质量、价款或者报酬、履行期限、履行地点和方式、违约责任和解决争议方法等要求。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2.13书面形式：指书面文字、合同书、信件和传真等可以有形地表现所载内容的形式。</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 投标人</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 合格投标人的基本条件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详见招标公告</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4．合格投标人的特定条件、落实政府采购政策需满足的资格要求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详见招标公告</w:t>
      </w:r>
      <w:r/>
    </w:p>
    <w:p>
      <w:pPr>
        <w:ind w:firstLine="482"/>
        <w:spacing w:line="360" w:lineRule="auto"/>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5．</w:t>
      </w:r>
      <w:r>
        <w:rPr>
          <w:rFonts w:hint="eastAsia" w:ascii="宋体" w:hAnsi="宋体" w:eastAsia="宋体" w:cs="宋体"/>
          <w:color w:val="auto"/>
          <w:sz w:val="24"/>
          <w:szCs w:val="24"/>
          <w:highlight w:val="none"/>
        </w:rPr>
        <w:t xml:space="preserve">投标人必须进入苏采云系统进行网上报名，否则不能参加本次招标活动。</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6. 投标人代表</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6.1指全权代表投标人参加投标活动并签署投标文件的人，如果投标人代表不是法人代表，须持有《法人代表授权委托书》（详见统一格式）。</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 联合投标（本项目不接受联合体投标）</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接受联合体投标的，由两个或两个以上法人组成一个联合体以一个投标人的身份共同投标时，联合体各方均应当符合政府采购法第二十二条第一款规定的条件。同时还应符合以下要求：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7.1联合体各方中至少应当有一方符合本招标文件规定的投标人资格条件的特定条件。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联合体各方应签订联合投标协议（详见统一格式)，明确联合体的牵头人，明确约定各方拟承担的工作和责任，并将该联合投标协议随投标文件一并提交给招标代理机构。联合体牵头人应被授权作为联合体所有成员的代表承担责任和接受指令，并负责整个合同的全面履行。</w:t>
      </w:r>
      <w:r/>
    </w:p>
    <w:p>
      <w:pPr>
        <w:pStyle w:val="850"/>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7.3联合体各成员之间签订的联合体协议书应与投标文件一起递交。</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7.4参加联合体的各成员不得再以自己名义单独投标，也不得同时参加两个或两个以上的联合体投标。如有违反将取消该联合体各成员的投标资格。</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7.5联合体各方应当共同与招标人签订合同，就采购合同约定的事项对招标人承担连带责任。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7.6 除非另有规定或说明，本文中“投标人”一词亦指联合体各成员。</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8. 投标费用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8.1投标人应自行承担所有准备及参加投标的相关费用。不论投标结果如何，招标人和招标代理机构在任何情况下均无义务也无责任承担这些费用。</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 招标文件说明</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9. 招标文件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招标文件由招标文件目录所列内容组成，投标人报名确认后下载获取招标文件后，应仔细检查招标文件的所有内容，如有残缺等问题应在获取招标文件2日内向招标采购单位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10.现场考察（如涉及）</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10.1投标人应按</w:t>
      </w:r>
      <w:r>
        <w:rPr>
          <w:rFonts w:hint="eastAsia" w:ascii="宋体" w:hAnsi="宋体" w:eastAsia="宋体" w:cs="宋体"/>
          <w:bCs/>
          <w:color w:val="auto"/>
          <w:sz w:val="24"/>
          <w:szCs w:val="24"/>
          <w:highlight w:val="none"/>
        </w:rPr>
        <w:t xml:space="preserve">招标文件中所述时间</w:t>
      </w:r>
      <w:r>
        <w:rPr>
          <w:rFonts w:hint="eastAsia" w:ascii="宋体" w:hAnsi="宋体" w:eastAsia="宋体" w:cs="宋体"/>
          <w:color w:val="auto"/>
          <w:sz w:val="24"/>
          <w:szCs w:val="24"/>
          <w:highlight w:val="none"/>
        </w:rPr>
        <w:t xml:space="preserve">对有关现场和周围环境进行考察，以获取编制投标文件和签署合同所需的信息。考察现场所发生的费用由投标人自己承担。</w:t>
      </w:r>
      <w:r/>
    </w:p>
    <w:p>
      <w:pPr>
        <w:pStyle w:val="850"/>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10.2招标采购单位向投标人提供的有关现场的资料和数据，是招标采购单位现有的并认为能使投标人可利用的资料。招标采购单位对投标人由此而做出的推论、理解和结论概不负责。</w:t>
      </w:r>
      <w:r/>
    </w:p>
    <w:p>
      <w:pPr>
        <w:pStyle w:val="850"/>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10.3 经招标采购单位允许，投标人可为考察目的进入招标采购单位的项目现场，但投标人不得因此使招标采购单位承担有关的责任和蒙受损失。投标人应承担考察现场的责任和风险。</w:t>
      </w:r>
      <w:r/>
    </w:p>
    <w:p>
      <w:pPr>
        <w:ind w:firstLine="480"/>
        <w:spacing w:line="360" w:lineRule="auto"/>
        <w:rPr>
          <w:rFonts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10.4投标人应在现场考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11.招标文件的澄清和修改</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11.1</w:t>
      </w:r>
      <w:r>
        <w:rPr>
          <w:rFonts w:hint="eastAsia" w:ascii="宋体" w:hAnsi="宋体" w:eastAsia="宋体" w:cs="宋体"/>
          <w:color w:val="auto"/>
          <w:sz w:val="24"/>
          <w:szCs w:val="24"/>
          <w:highlight w:val="none"/>
        </w:rPr>
        <w:t xml:space="preserve">投标人如有疑问需要澄清，可通过公告中的联系方式及时提出，招标人或招标代理机构将予以解答，但答复内容不得涉及商业秘密。</w:t>
      </w:r>
      <w:r/>
    </w:p>
    <w:p>
      <w:pPr>
        <w:ind w:firstLine="480"/>
        <w:spacing w:line="360" w:lineRule="auto"/>
        <w:rPr>
          <w:rFonts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11.2迟于前附表规定时间的询问或提交的疑问</w:t>
      </w:r>
      <w:r>
        <w:rPr>
          <w:rFonts w:hint="eastAsia" w:ascii="宋体" w:hAnsi="宋体" w:eastAsia="宋体" w:cs="宋体"/>
          <w:color w:val="auto"/>
          <w:sz w:val="24"/>
          <w:szCs w:val="24"/>
          <w:highlight w:val="none"/>
        </w:rPr>
        <w:t xml:space="preserve">提出的</w:t>
      </w:r>
      <w:r>
        <w:rPr>
          <w:rFonts w:hint="eastAsia" w:ascii="宋体" w:hAnsi="宋体" w:eastAsia="宋体" w:cs="宋体"/>
          <w:bCs/>
          <w:color w:val="auto"/>
          <w:sz w:val="24"/>
          <w:szCs w:val="24"/>
          <w:highlight w:val="none"/>
        </w:rPr>
        <w:t xml:space="preserve">，招标人和招标代理机构有权拒绝回答，也不承担由此带来的对投标人投标结果的影响。</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11.3在投标截止时间15日前，招标采购单位无论出于自己的考虑，还是出于对投标人提问的澄清，均可对已发出的招标文件进行必要澄清或者修改。</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11.4为使投标人有足够的时间按招标文件的修改要求考虑修正投标文件，或出于其他原因，招标采购单位有权推迟投标截止日期和开标日期，将此变更通知所有招标文件的收受人。</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11.5招标文件的更正（含澄清、修改等）内容与原招标文件在同一内容上表述不一致时，以发出日期最接近开标时间的公告为准。</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11.6招标文件的更正（含澄清、修改等）内容将在财政部门指定的政府采购信息发布媒体上发布，作为招标文件的组成部分，对投标人起约束作用。</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 投标文件说明</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12. 投标文件计量单位和使用文字</w:t>
      </w:r>
      <w:r/>
    </w:p>
    <w:p>
      <w:pPr>
        <w:pStyle w:val="850"/>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12.1投标文件中所使用的计量单位，除招标文件中有特殊要求外，均应使用中华人民共和国法定计量单位。</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投标文件应使用中文编制，投标文件中必须使用其他文字的，必须附有中文译本，且以中文译本为准。对于未附有中文译本和中文译本不准确的投标文件可能引起的对投标人不利的后果，招标采购单位概不负责。</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Start w:id="8" w:name="_Toc217446047"/>
      <w:r>
        <w:rPr>
          <w:rFonts w:hint="eastAsia" w:ascii="宋体" w:hAnsi="宋体" w:eastAsia="宋体" w:cs="宋体"/>
          <w:color w:val="auto"/>
          <w:sz w:val="24"/>
          <w:szCs w:val="24"/>
          <w:highlight w:val="none"/>
        </w:rPr>
        <w:t xml:space="preserve">3. 知识产权</w:t>
      </w:r>
      <w:bookmarkEnd w:id="8"/>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投标人应保证在本项目使用的任何服务（包括部分使用）时，不会产生因第三方提出侵犯其专利权、商标权或其它知识产权而引起的法律和经济纠纷，如因专利权、商标权或其它知识产权而引起法律和经济纠纷，由投标人承担所有相关责任。</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14. 投标文件的组成</w:t>
      </w:r>
      <w:r/>
    </w:p>
    <w:p>
      <w:pPr>
        <w:pStyle w:val="1110"/>
        <w:ind w:firstLine="470"/>
        <w:spacing w:line="360" w:lineRule="auto"/>
        <w:rPr>
          <w:rFonts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 xml:space="preserve">基本目录：</w:t>
      </w:r>
      <w:r/>
    </w:p>
    <w:p>
      <w:pPr>
        <w:pStyle w:val="1110"/>
        <w:ind w:firstLine="468"/>
        <w:spacing w:line="360" w:lineRule="auto"/>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1、封面；</w:t>
      </w:r>
      <w:r/>
    </w:p>
    <w:p>
      <w:pPr>
        <w:pStyle w:val="1110"/>
        <w:ind w:firstLine="468"/>
        <w:spacing w:line="360" w:lineRule="auto"/>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2、开标一览表（系统自动生成）；</w:t>
      </w:r>
      <w:r/>
    </w:p>
    <w:p>
      <w:pPr>
        <w:pStyle w:val="1110"/>
        <w:ind w:firstLine="468"/>
        <w:spacing w:line="360" w:lineRule="auto"/>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3、法定代表人授权委托书（如有授权）；</w:t>
      </w:r>
      <w:r/>
    </w:p>
    <w:p>
      <w:pPr>
        <w:pStyle w:val="1110"/>
        <w:ind w:firstLine="468"/>
        <w:spacing w:line="360" w:lineRule="auto"/>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4、法定代表人身份证扫描件、授权委托人身份证扫描件签公章（如有授权）；</w:t>
      </w:r>
      <w:r/>
    </w:p>
    <w:p>
      <w:pPr>
        <w:pStyle w:val="1110"/>
        <w:ind w:firstLine="468"/>
        <w:spacing w:line="360" w:lineRule="auto"/>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5、</w:t>
      </w:r>
      <w:r>
        <w:rPr>
          <w:rFonts w:hint="eastAsia" w:ascii="宋体" w:hAnsi="宋体" w:eastAsia="宋体" w:cs="宋体"/>
          <w:color w:val="auto"/>
          <w:highlight w:val="none"/>
          <w:lang w:val="en-US" w:eastAsia="zh-CN"/>
        </w:rPr>
        <w:t xml:space="preserve">供应商</w:t>
      </w:r>
      <w:r>
        <w:rPr>
          <w:rFonts w:hint="eastAsia" w:ascii="宋体" w:hAnsi="宋体" w:eastAsia="宋体" w:cs="宋体"/>
          <w:color w:val="auto"/>
          <w:highlight w:val="none"/>
          <w:lang w:eastAsia="zh-CN"/>
        </w:rPr>
        <w:t xml:space="preserve">授权委托人社保缴纳证明签公章（如有授权）；</w:t>
      </w:r>
      <w:r/>
    </w:p>
    <w:p>
      <w:pPr>
        <w:pStyle w:val="1110"/>
        <w:ind w:firstLine="468"/>
        <w:spacing w:line="360" w:lineRule="auto"/>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6、《项目负责人情况一览表》、《人员配备一览表》；</w:t>
      </w:r>
      <w:r/>
    </w:p>
    <w:p>
      <w:pPr>
        <w:pStyle w:val="1110"/>
        <w:ind w:firstLine="468"/>
        <w:spacing w:line="360" w:lineRule="auto"/>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7、企业类似业绩一览表；</w:t>
      </w:r>
      <w:r/>
    </w:p>
    <w:p>
      <w:pPr>
        <w:pStyle w:val="1110"/>
        <w:ind w:firstLine="468"/>
        <w:spacing w:line="360" w:lineRule="auto"/>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8、投标（响应）保证承诺书；</w:t>
      </w:r>
      <w:r/>
    </w:p>
    <w:p>
      <w:pPr>
        <w:pStyle w:val="1110"/>
        <w:ind w:firstLine="468"/>
        <w:spacing w:line="360" w:lineRule="auto"/>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9、</w:t>
      </w:r>
      <w:r>
        <w:rPr>
          <w:rFonts w:hint="eastAsia" w:ascii="宋体" w:hAnsi="宋体" w:eastAsia="宋体" w:cs="宋体"/>
          <w:color w:val="auto"/>
          <w:highlight w:val="none"/>
          <w:lang w:val="en-US" w:eastAsia="zh-CN"/>
        </w:rPr>
        <w:t xml:space="preserve">供应商</w:t>
      </w:r>
      <w:r>
        <w:rPr>
          <w:rFonts w:hint="eastAsia" w:ascii="宋体" w:hAnsi="宋体" w:eastAsia="宋体" w:cs="宋体"/>
          <w:color w:val="auto"/>
          <w:highlight w:val="none"/>
          <w:lang w:eastAsia="zh-CN"/>
        </w:rPr>
        <w:t xml:space="preserve">情况表；</w:t>
      </w:r>
      <w:r/>
    </w:p>
    <w:p>
      <w:pPr>
        <w:pStyle w:val="1110"/>
        <w:ind w:firstLine="468"/>
        <w:spacing w:line="360" w:lineRule="auto"/>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10、项目服务方案；</w:t>
      </w:r>
      <w:r/>
    </w:p>
    <w:p>
      <w:pPr>
        <w:pStyle w:val="1110"/>
        <w:ind w:firstLine="468"/>
        <w:spacing w:line="360" w:lineRule="auto"/>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11、采购需求所涉及到的其他材料等。</w:t>
      </w:r>
      <w:r/>
    </w:p>
    <w:p>
      <w:pPr>
        <w:pStyle w:val="1110"/>
        <w:ind w:firstLine="470"/>
        <w:spacing w:line="360" w:lineRule="auto"/>
        <w:rPr>
          <w:rFonts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 xml:space="preserve">资格条件：</w:t>
      </w:r>
      <w:r/>
    </w:p>
    <w:p>
      <w:pPr>
        <w:pStyle w:val="1110"/>
        <w:ind w:firstLine="468"/>
        <w:spacing w:line="360" w:lineRule="auto"/>
        <w:rPr>
          <w:rFonts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12、响应供应商营业执照副本扫描件；</w:t>
      </w:r>
      <w:r/>
    </w:p>
    <w:p>
      <w:pPr>
        <w:pStyle w:val="1110"/>
        <w:ind w:firstLine="468"/>
        <w:spacing w:line="360" w:lineRule="auto"/>
        <w:rPr>
          <w:rFonts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13、响应供应商具有良好的商业信誉和健全的财务会计制度。提供包括但不限于最近一期财务报表或经审计的财务报告，其他组织、自然人及成立未满一年的法人应提供银行出具的资信证明；</w:t>
      </w:r>
      <w:r/>
    </w:p>
    <w:p>
      <w:pPr>
        <w:pStyle w:val="1110"/>
        <w:ind w:firstLine="468"/>
        <w:spacing w:line="360" w:lineRule="auto"/>
        <w:rPr>
          <w:rFonts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14、响应供应商具有履行合同所必需的设备和专业技术能力，提供证明材料或承诺函；</w:t>
      </w:r>
      <w:r/>
    </w:p>
    <w:p>
      <w:pPr>
        <w:pStyle w:val="1110"/>
        <w:ind w:firstLine="468"/>
        <w:spacing w:line="360" w:lineRule="auto"/>
        <w:rPr>
          <w:rFonts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15、响应供应商具有依法缴纳税收和社会保障资金的良好记录：提供税务登记证（如有）和近三个月内依法缴纳税收的凭据；提供近三个月内依法缴纳社会保险的凭据的相关材料。供应商如依法享受缓缴、免缴税收、社会保障资金的应提供相关主管部门出具的证明材料；</w:t>
      </w:r>
      <w:r/>
    </w:p>
    <w:p>
      <w:pPr>
        <w:pStyle w:val="1110"/>
        <w:ind w:firstLine="468"/>
        <w:spacing w:line="360" w:lineRule="auto"/>
        <w:rPr>
          <w:rFonts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16、响应供应商参加政府采购活动前3年内在经营活动中没有重大违法记录的书面声明函；</w:t>
      </w:r>
      <w:r/>
    </w:p>
    <w:p>
      <w:pPr>
        <w:pStyle w:val="1110"/>
        <w:ind w:firstLine="468"/>
        <w:spacing w:line="360" w:lineRule="auto"/>
        <w:rPr>
          <w:rFonts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17、单位负责人为同一人或者存在直接控股、管理关系的不同供应商，不得参加同一合同项下的政府采购活动。除单一来源采购项目外，为采购项目提供整体设计、规范编制或者项目管理、监理、检测等服务的供应商，不得参加该采购项目的其他采购活动。提供关于资格文件的声明函及供应商与其他单位存在控股、管理关系情况表；</w:t>
      </w:r>
      <w:r/>
    </w:p>
    <w:p>
      <w:pPr>
        <w:pStyle w:val="1110"/>
        <w:ind w:firstLine="468"/>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18、落实政府采购政策需满足的资格要求：</w:t>
      </w:r>
      <w:r>
        <w:rPr>
          <w:rFonts w:hint="eastAsia" w:ascii="宋体" w:hAnsi="宋体" w:eastAsia="宋体" w:cs="宋体"/>
          <w:b/>
          <w:bCs/>
          <w:color w:val="auto"/>
          <w:highlight w:val="none"/>
          <w:lang w:val="en-US" w:eastAsia="zh-CN"/>
        </w:rPr>
        <w:t xml:space="preserve">本项目专门面向中小企业，所属行业为其他未列明行业</w:t>
      </w:r>
      <w:r>
        <w:rPr>
          <w:rFonts w:hint="eastAsia" w:ascii="宋体" w:hAnsi="宋体" w:eastAsia="宋体" w:cs="宋体"/>
          <w:color w:val="auto"/>
          <w:highlight w:val="none"/>
          <w:lang w:val="en-US" w:eastAsia="zh-CN"/>
        </w:rPr>
        <w:t xml:space="preserve">，供应商应为中小微企业或残疾人福利性单位或监狱企业。提供对应的《中小企业声明函》或《残疾人福利性单位声明函》或省级以上监狱管理局、戒毒管理局（含新疆生产建设兵团）出具的属于监狱企业的证明文件；</w:t>
      </w:r>
      <w:r/>
    </w:p>
    <w:p>
      <w:pPr>
        <w:pStyle w:val="1110"/>
        <w:ind w:firstLine="468"/>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19、</w:t>
      </w:r>
      <w:r>
        <w:rPr>
          <w:rFonts w:ascii="宋体" w:hAnsi="宋体" w:eastAsia="宋体" w:cs="宋体"/>
          <w:color w:val="000000"/>
          <w:sz w:val="24"/>
          <w:highlight w:val="none"/>
        </w:rPr>
        <w:t xml:space="preserve">符合本项目特殊资格要求的证明材料以及其它有关资格证明文件</w:t>
      </w:r>
      <w:r>
        <w:rPr>
          <w:rFonts w:hint="eastAsia" w:ascii="宋体" w:hAnsi="宋体" w:eastAsia="宋体" w:cs="宋体"/>
          <w:color w:val="000000"/>
          <w:sz w:val="24"/>
          <w:highlight w:val="none"/>
          <w:lang w:eastAsia="zh-CN"/>
        </w:rPr>
        <w:t xml:space="preserve">。</w:t>
      </w:r>
      <w:r/>
    </w:p>
    <w:p>
      <w:pPr>
        <w:pStyle w:val="1110"/>
        <w:ind w:firstLine="470"/>
        <w:spacing w:line="360" w:lineRule="auto"/>
        <w:rPr>
          <w:rFonts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 xml:space="preserve">符合条件：</w:t>
      </w:r>
      <w:r/>
    </w:p>
    <w:p>
      <w:pPr>
        <w:pStyle w:val="1110"/>
        <w:ind w:firstLine="468"/>
        <w:spacing w:line="360" w:lineRule="auto"/>
        <w:rPr>
          <w:rFonts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20、</w:t>
      </w:r>
      <w:r>
        <w:rPr>
          <w:rFonts w:hint="eastAsia" w:ascii="宋体" w:hAnsi="宋体" w:eastAsia="宋体" w:cs="宋体"/>
          <w:color w:val="auto"/>
          <w:highlight w:val="none"/>
          <w:lang w:eastAsia="zh-CN"/>
        </w:rPr>
        <w:t xml:space="preserve">投标函（详见投标文件格式）；</w:t>
      </w:r>
      <w:r/>
    </w:p>
    <w:p>
      <w:pPr>
        <w:pStyle w:val="1110"/>
        <w:ind w:firstLine="468"/>
        <w:spacing w:line="360" w:lineRule="auto"/>
        <w:rPr>
          <w:rFonts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21、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投标报价表</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分项报价明细表</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如有</w:t>
      </w:r>
      <w:r>
        <w:rPr>
          <w:rFonts w:hint="eastAsia" w:ascii="宋体" w:hAnsi="宋体" w:eastAsia="宋体" w:cs="宋体"/>
          <w:color w:val="auto"/>
          <w:highlight w:val="none"/>
          <w:lang w:eastAsia="zh-CN"/>
        </w:rPr>
        <w:t xml:space="preserve">）(详见投标文件格式)；</w:t>
      </w:r>
      <w:r/>
    </w:p>
    <w:p>
      <w:pPr>
        <w:pStyle w:val="1110"/>
        <w:ind w:firstLine="468"/>
        <w:spacing w:line="360" w:lineRule="auto"/>
        <w:rPr>
          <w:rFonts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22、</w:t>
      </w:r>
      <w:r>
        <w:rPr>
          <w:rFonts w:hint="eastAsia" w:ascii="宋体" w:hAnsi="宋体" w:eastAsia="宋体" w:cs="宋体"/>
          <w:color w:val="auto"/>
          <w:highlight w:val="none"/>
          <w:lang w:eastAsia="zh-CN"/>
        </w:rPr>
        <w:t xml:space="preserve">《服务要求偏离表》、《商务条款偏离表》（详见投标文件格式）；</w:t>
      </w:r>
      <w:r/>
    </w:p>
    <w:p>
      <w:pPr>
        <w:pStyle w:val="1110"/>
        <w:ind w:firstLine="468"/>
        <w:spacing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23、项目相关的符合性审查证明文件。（如有要求则必须提供相应材料，否则将被认定为未实质性响应招标文件要求）；</w:t>
      </w:r>
      <w:r/>
    </w:p>
    <w:p>
      <w:pPr>
        <w:pStyle w:val="1110"/>
        <w:ind w:firstLine="470"/>
        <w:spacing w:line="360" w:lineRule="auto"/>
        <w:rPr>
          <w:rFonts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 xml:space="preserve">综合评审评分项：</w:t>
      </w:r>
      <w:r/>
    </w:p>
    <w:p>
      <w:pPr>
        <w:pStyle w:val="1110"/>
        <w:ind w:firstLine="468"/>
        <w:spacing w:line="360" w:lineRule="auto"/>
        <w:rPr>
          <w:rFonts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24、</w:t>
      </w:r>
      <w:r>
        <w:rPr>
          <w:rFonts w:hint="eastAsia" w:ascii="宋体" w:hAnsi="宋体" w:eastAsia="宋体" w:cs="宋体"/>
          <w:color w:val="auto"/>
          <w:highlight w:val="none"/>
          <w:lang w:eastAsia="zh-CN"/>
        </w:rPr>
        <w:t xml:space="preserve">招标文件评分标准中规定提交的其他相关材料；</w:t>
      </w:r>
      <w:r/>
    </w:p>
    <w:p>
      <w:pPr>
        <w:pStyle w:val="1110"/>
        <w:ind w:firstLine="470"/>
        <w:spacing w:line="360" w:lineRule="auto"/>
        <w:rPr>
          <w:rFonts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 xml:space="preserve">价格折扣文件：</w:t>
      </w:r>
      <w:r/>
    </w:p>
    <w:p>
      <w:pPr>
        <w:pStyle w:val="1110"/>
        <w:ind w:firstLine="468"/>
        <w:spacing w:line="360" w:lineRule="auto"/>
        <w:rPr>
          <w:rFonts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25、</w:t>
      </w:r>
      <w:r>
        <w:rPr>
          <w:rFonts w:hint="eastAsia" w:ascii="宋体" w:hAnsi="宋体" w:eastAsia="宋体" w:cs="宋体"/>
          <w:color w:val="auto"/>
          <w:highlight w:val="none"/>
          <w:lang w:eastAsia="zh-CN"/>
        </w:rPr>
        <w:t xml:space="preserve">提供对应的《中小企业声明函》或《残疾人福利性单位声明函》或省级以上监狱管理局、戒毒管理局（含新疆生产建设兵团）出具的属于监狱企业的证明文件。</w:t>
      </w:r>
      <w:r/>
    </w:p>
    <w:p>
      <w:pPr>
        <w:pStyle w:val="850"/>
        <w:jc w:val="both"/>
        <w:spacing w:line="360" w:lineRule="auto"/>
        <w:tabs>
          <w:tab w:val="left" w:pos="0" w:leader="none"/>
        </w:tabs>
        <w:rPr>
          <w:rFonts w:ascii="宋体" w:hAnsi="宋体" w:eastAsia="宋体" w:cs="宋体"/>
          <w:bCs/>
          <w:color w:val="auto"/>
          <w:szCs w:val="24"/>
          <w:highlight w:val="none"/>
        </w:rPr>
      </w:pPr>
      <w:r>
        <w:rPr>
          <w:rFonts w:hint="eastAsia" w:ascii="宋体" w:hAnsi="宋体" w:eastAsia="宋体" w:cs="宋体"/>
          <w:bCs/>
          <w:color w:val="auto"/>
          <w:szCs w:val="24"/>
          <w:highlight w:val="none"/>
        </w:rPr>
        <w:t xml:space="preserve">注：</w:t>
      </w:r>
      <w:r>
        <w:rPr>
          <w:rFonts w:hint="eastAsia" w:ascii="宋体" w:hAnsi="宋体" w:eastAsia="宋体" w:cs="宋体"/>
          <w:b/>
          <w:color w:val="auto"/>
          <w:szCs w:val="24"/>
          <w:highlight w:val="none"/>
        </w:rPr>
        <w:t xml:space="preserve">投标人应完整提交上述资料，制作电子投标文件时必须与投标文件制作软件目录一一对应，将相关资料上传至相应模块。注意不要漏项。如有不确定上传的位置的，可以上传至其他相关材料。否则，投标文件将可能因资格性条件不符或符合性审查不符而判定为无效标；</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15. 投标文件编制要求</w:t>
      </w:r>
      <w:r/>
    </w:p>
    <w:p>
      <w:pPr>
        <w:pStyle w:val="850"/>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15.1</w:t>
      </w:r>
      <w:bookmarkStart w:id="9" w:name="_Hlk140247794"/>
      <w:r>
        <w:rPr>
          <w:rFonts w:hint="eastAsia" w:ascii="宋体" w:hAnsi="宋体" w:eastAsia="宋体" w:cs="宋体"/>
          <w:color w:val="auto"/>
          <w:szCs w:val="24"/>
          <w:highlight w:val="none"/>
        </w:rPr>
        <w:t xml:space="preserve">电子投标（响应）文件制作：本项目为网上招投标项目，请投标人插入CA 证书登陆“苏采云”系统下载客户端（参与项目页面可下载客户端及客户端使用说明），在客户端编制电子投标（响应）文件并进行CA加密。操作步骤详见“苏采云”系统页面提示和《操作手册》。</w:t>
      </w:r>
      <w:r/>
    </w:p>
    <w:p>
      <w:pPr>
        <w:pStyle w:val="850"/>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15.2电子投标（响应)文件递交：投标人应当按照《操作手册》指引，在投标（响应）文件提交截止时间前完成电子投标（响应）文件的上传，未按要求成功上传的投标（响应）文件视为未递交。投标人应充分考虑到网络环境、网络带宽等风险因素，如因投标人自身原因造成的电子投标（响应）文件上传不成功由投标人自行承担全部责任。</w:t>
      </w:r>
      <w:r/>
    </w:p>
    <w:p>
      <w:pPr>
        <w:pStyle w:val="850"/>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注：（1）请投标人务必保管好编制递交电子投标（响应）文件时使用的CA，如因丢失、损坏等原因更换CA锁时，需重新制作电子投标（响应）文件并递交，否则可能无法解密，因此导致的响应失败等不利后果由投标人自行承担。</w:t>
      </w:r>
      <w:r/>
    </w:p>
    <w:p>
      <w:pPr>
        <w:pStyle w:val="850"/>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如本项目在政府采购信息发布媒体上发布了更正（补充）公告，请供应商务必在“苏采云”系统中下载更正（补充）资料，根据更正后的招标文件重新编制电子投标（响应）文件并递交，否则可能无法解密，因此导致的响应失败等不利后果由投标人自行承担。</w:t>
      </w:r>
      <w:r/>
    </w:p>
    <w:p>
      <w:pPr>
        <w:pStyle w:val="850"/>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投标文件未按照招标文件要求加盖CA电子公章的，投标无效。</w:t>
      </w:r>
      <w:r/>
    </w:p>
    <w:p>
      <w:pPr>
        <w:pStyle w:val="850"/>
        <w:ind w:firstLine="480"/>
        <w:jc w:val="both"/>
        <w:spacing w:line="360" w:lineRule="auto"/>
        <w:rPr>
          <w:rFonts w:ascii="宋体" w:hAnsi="宋体" w:eastAsia="宋体" w:cs="宋体"/>
          <w:color w:val="auto"/>
          <w:szCs w:val="24"/>
          <w:highlight w:val="none"/>
        </w:rPr>
      </w:pPr>
      <w:r/>
      <w:bookmarkStart w:id="10" w:name="_Hlk158134955"/>
      <w:r>
        <w:rPr>
          <w:rFonts w:hint="eastAsia" w:ascii="宋体" w:hAnsi="宋体" w:eastAsia="宋体" w:cs="宋体"/>
          <w:color w:val="auto"/>
          <w:szCs w:val="24"/>
          <w:highlight w:val="none"/>
        </w:rPr>
        <w:t xml:space="preserve">联合体投标</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lang w:val="en-US" w:eastAsia="zh-CN"/>
        </w:rPr>
        <w:t xml:space="preserve">如有</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：如招标（采购）公告中允许联合体投标，联合体投标的投标（响应）文件制作上传操作如下：</w:t>
      </w:r>
      <w:r/>
    </w:p>
    <w:p>
      <w:pPr>
        <w:pStyle w:val="850"/>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第一步：在投标（响应）文件中上传联合体投标协议书。</w:t>
      </w:r>
      <w:r/>
    </w:p>
    <w:p>
      <w:pPr>
        <w:pStyle w:val="850"/>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第二步；在投标（响应）文件中，由联合体中的牵头人制作投标（响应）文件。</w:t>
      </w:r>
      <w:bookmarkEnd w:id="10"/>
      <w:r/>
      <w:r/>
    </w:p>
    <w:p>
      <w:pPr>
        <w:pStyle w:val="850"/>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如投标（响应）文件制作机器码信息一致，视为不同供应商使用同一台电脑编制投标（响应）文件，投标（响应）无效。</w:t>
      </w:r>
      <w:bookmarkEnd w:id="9"/>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15.3《开标一览表》为在开标仪式上唱标的内容，要求按格式填写，统一规范，不得自行增减内容。</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16. 投标报价（编制）要求的说明</w:t>
      </w:r>
      <w:r/>
    </w:p>
    <w:p>
      <w:pPr>
        <w:pStyle w:val="850"/>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16.1除非合同中另有规定，投标人对《开标一览表》的报价应包含完成全部服务内容所需的人工费用、税费、利润、其它临时性杂项应急服务费用、劳保与培训、政策性文件规定及合同包含的所有风险、责任等服务过程中所需的全部费用。同时，除非合同条款中另有规定，否则，供应商所报价格在合同实施期间不因市场因素变化而变动。</w:t>
      </w:r>
      <w:r/>
    </w:p>
    <w:p>
      <w:pPr>
        <w:pStyle w:val="850"/>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16.2投标人应对招标文件内所要采购的全部内容进行报价，只投其中部分内容者，其标书将被拒绝。</w:t>
      </w:r>
      <w:r/>
    </w:p>
    <w:p>
      <w:pPr>
        <w:pStyle w:val="850"/>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16.3一项投标内容只允许一个报价，招标采购单位不接受任何有选择性的投标报价。</w:t>
      </w:r>
      <w:r/>
    </w:p>
    <w:p>
      <w:pPr>
        <w:pStyle w:val="850"/>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16.4投标文件报价中的单价和总价全部采用人民币表示，除非合同的特殊条款另有规定。</w:t>
      </w:r>
      <w:r/>
    </w:p>
    <w:p>
      <w:pPr>
        <w:pStyle w:val="850"/>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16.5</w:t>
      </w:r>
      <w:r>
        <w:rPr>
          <w:rFonts w:hint="eastAsia" w:ascii="宋体" w:hAnsi="宋体" w:eastAsia="宋体" w:cs="宋体"/>
          <w:bCs/>
          <w:color w:val="auto"/>
          <w:szCs w:val="24"/>
          <w:highlight w:val="none"/>
        </w:rPr>
        <w:t xml:space="preserve">最低报价不能作为中标的保证</w:t>
      </w:r>
      <w:r>
        <w:rPr>
          <w:rFonts w:hint="eastAsia" w:ascii="宋体" w:hAnsi="宋体" w:eastAsia="宋体" w:cs="宋体"/>
          <w:color w:val="auto"/>
          <w:szCs w:val="24"/>
          <w:highlight w:val="none"/>
        </w:rPr>
        <w:t xml:space="preserve">。</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17. 投标保证金</w:t>
      </w:r>
      <w:r/>
    </w:p>
    <w:p>
      <w:pPr>
        <w:ind w:firstLine="482"/>
        <w:spacing w:line="360" w:lineRule="auto"/>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本项目不提交，文件内关于投标保证金的相关规定均不适用。</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18. 投标文件的有效期</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18.1在本招标文件前附表规定的投标文件有效期内，投标人所提交的投标文件应保持有效。有效期短于这个规定期限的投标文件，将被认定为未实质性响应招标文件要求。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在特殊情况下，招标采购单位可与投标人协商延长投标书的有效期。这种要求和答复都应以书面形式进行。同意延长有效期的投标人不能修改投标文件，按本须知规定的投标保证金的有效期也相应延长。拒绝接受延期要求的投标人的投标将被拒绝，但投标保证金不会被没收。</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 投标文件的递交</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19. 投标截止时间</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19.1电子投标文件上传截止时间之前对投标文件进行加密并上传，否则视为放弃参加该采购项目。</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19.2招标采购单位推迟投标截止时间时，应以书面形式通知所有投标人。在这种情况下，招标采购单位和投标人的权利和义务将受到新的截止期的约束。</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19.3在投标截止时间以后送达的投标文件，招标采购单位拒绝接收。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19.4在投标截止时间止招标采购单位收到该项目的投标文件少于三份，招标采购单位有权宣布该项目本次招标失败。</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20. 投标文件的修改和撤回</w:t>
      </w:r>
      <w:r/>
    </w:p>
    <w:p>
      <w:pPr>
        <w:ind w:firstLine="502"/>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投标人在提交投标文件后可对其投标文件进行修改或撤回，但须在投标截止时间之前。</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六、开标和评标</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21. 开标</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21.1开标由招标人或者招标代理机构主持，投标人参加。评标委员会成员不得参加开标活动。</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21.2本项目为不见面开标（开启）项目，开标阶段供应商在【解密环节】必须使用 CA证书解密电子投标（响应）文件，请供应商确保电脑、系统及其他设备（视频输入输出设备等）无误，且开启直至项目结束始终保持系统在线状态。</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bookmarkStart w:id="11" w:name="_Hlk90652960"/>
      <w:r>
        <w:rPr>
          <w:rFonts w:hint="eastAsia" w:ascii="宋体" w:hAnsi="宋体" w:eastAsia="宋体" w:cs="宋体"/>
          <w:color w:val="auto"/>
          <w:sz w:val="24"/>
          <w:szCs w:val="24"/>
          <w:highlight w:val="none"/>
        </w:rPr>
        <w:t xml:space="preserve">21.3线上参加（观看）开标（开启）会方式：登录“苏采云”系统，点击“开标大厅”，选择对应项目，点击进入不见面开标系统。</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开标时，投标人对开标过程和开标记录有疑义，以及认为招标人、招标代理机构相关工作人员有需要回避的情形的，应当场通过不见面开标系统的“留言板”栏目提出询问或者回避申请。招标人、招标代理机构对投标人代表提出的询问或者回避申请应当及时处理。为了保证开标秩序，请不要在互动交流中发表与开标无关的言论。开标中出现异常情况时，将通过“公告栏”栏目发布相关信息，请投标人及时关注。</w:t>
      </w:r>
      <w:bookmarkEnd w:id="11"/>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bookmarkStart w:id="12" w:name="_Hlk158135485"/>
      <w:r>
        <w:rPr>
          <w:rFonts w:hint="eastAsia" w:ascii="宋体" w:hAnsi="宋体" w:eastAsia="宋体" w:cs="宋体"/>
          <w:color w:val="auto"/>
          <w:sz w:val="24"/>
          <w:szCs w:val="24"/>
          <w:highlight w:val="none"/>
        </w:rPr>
        <w:t xml:space="preserve">21.5开标时，投标人应当按照《操作手册》规定，在“苏采云”系统规定的时间内对投标文件进行解密。等待开标流程进入“解锁环境”，点击“点击立即解密”进行标书解密，解锁完成后及时关注开标大厅，等待答疑澄清等提示，否则导致的对投标人不利的后果由供应商自行承担</w:t>
      </w:r>
      <w:bookmarkEnd w:id="12"/>
      <w:r>
        <w:rPr>
          <w:rFonts w:hint="eastAsia" w:ascii="宋体" w:hAnsi="宋体" w:eastAsia="宋体" w:cs="宋体"/>
          <w:color w:val="auto"/>
          <w:sz w:val="24"/>
          <w:szCs w:val="24"/>
          <w:highlight w:val="none"/>
        </w:rPr>
        <w:t xml:space="preserve">。</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21.6投标人在“苏采云”系统规定的时间内未成功解密电子投标文件的，投标无效。</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21.7投标人电脑环境最低要求：谷歌浏览器，版本可直接网上下载最新版本即可。如需收听现场语音需配置放音设备，如视频直播、互动交流使用异常，请刷新网页，如仍无法解决，请联系技术支持。</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21.8至投标文件提交截止时间，递交投标文件的投标人不足三家的，不得开标。</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21.9投标人未参加开标的，视同认可开标结果。</w:t>
      </w:r>
      <w:r/>
    </w:p>
    <w:p>
      <w:pPr>
        <w:ind w:firstLine="482"/>
        <w:spacing w:line="360" w:lineRule="auto"/>
        <w:tabs>
          <w:tab w:val="center" w:pos="4479"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22.资格审查</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22.1招标人或招标代理机构在开标后，评标前按照招标文件投标人须知第3款、第4款和第14款资格审查证明文件的规定对投标人的资格进行资格审查。</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22.2未通过资格审查的投标人为无效投标人，招标人或招标代理机构将未通过资格审查的投标人名单和原因提交评标委员会，以便编制评标报告；通过资格审查的投标人将提交评标委员会进行符合性审查。</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22.3招标人或招标代理机构现场告知未通过资格审查的投标人未通过的原因。</w:t>
      </w:r>
      <w:r/>
    </w:p>
    <w:p>
      <w:pPr>
        <w:ind w:firstLine="482"/>
        <w:spacing w:line="360" w:lineRule="auto"/>
        <w:tabs>
          <w:tab w:val="center" w:pos="4479"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23.评标工作的组织</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招标人或者招标代理机构负责组织评标工作，并履行下列职责：</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23.1核对评审专家身份和招标人代表授权函，对评审专家在政府采购活动中的职责履行情况予以记录，并及时将有关违法违规行为向财政部门报告；</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23.2宣布评标纪律；</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23.3公布投标人名单，告知评审专家应当回避的情形；</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23.4组织评标委员会推选评标组长，招标人代表不得担任组长；</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23.5在评标期间采取必要的通讯管理措施，保证评标活动不受外界干扰；</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23.6根据评标委员会的要求介绍政府采购相关政策法规、招标文件；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23.7维护评标秩序，监督评标委员会依照招标文件规定的评标程序、方法和标准进行独立评审，及时制止和纠正招标人代表、评审专家的倾向性言论或者违法违规行为；</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23.8核对评标结果，有《政府采购货物和服务招标投标管理办法》第六十四条规定情形的，要求评标委员会复核或者书面说明理由，评标委员会拒绝的，应予记录并向本级财政部门报告；</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23.9评审工作完成后，按照规定向评审专家支付劳务报酬和异地评审差旅费，不得向评审专家以外的其他人员支付评审劳务报酬；</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23.10处理与评标有关的其他事项。</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招标人可以在评标前说明项目背景和采购需求，说明内容不得含有歧视性、倾向性意见，不得超出招标文件所述范围。说明应当提交书面材料，并随招标文件一并存档。</w:t>
      </w:r>
      <w:r/>
    </w:p>
    <w:p>
      <w:pPr>
        <w:ind w:firstLine="482"/>
        <w:spacing w:line="360" w:lineRule="auto"/>
        <w:tabs>
          <w:tab w:val="center" w:pos="4479"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24. 评标委员会</w:t>
      </w:r>
      <w:r>
        <w:rPr>
          <w:rFonts w:hint="eastAsia" w:ascii="宋体" w:hAnsi="宋体" w:eastAsia="宋体" w:cs="宋体"/>
          <w:b/>
          <w:color w:val="auto"/>
          <w:sz w:val="24"/>
          <w:szCs w:val="24"/>
          <w:highlight w:val="none"/>
        </w:rPr>
        <w:tab/>
      </w:r>
      <w:r/>
    </w:p>
    <w:p>
      <w:pPr>
        <w:pStyle w:val="850"/>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24.1评标委员会由招标采购单位依法组建，负责本项目的评标事务。</w:t>
      </w:r>
      <w:r/>
    </w:p>
    <w:p>
      <w:pPr>
        <w:pStyle w:val="850"/>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24.2评标委员会独立履行下列职责：</w:t>
      </w:r>
      <w:r/>
    </w:p>
    <w:p>
      <w:pPr>
        <w:pStyle w:val="850"/>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24.2.1审查、评价投标文件是否符合招标文件的商务、技术等实质性要求；</w:t>
      </w:r>
      <w:r/>
    </w:p>
    <w:p>
      <w:pPr>
        <w:pStyle w:val="850"/>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24.2.2要求投标人对投标文件有关事项作出澄清或者说明；</w:t>
      </w:r>
      <w:r/>
    </w:p>
    <w:p>
      <w:pPr>
        <w:pStyle w:val="850"/>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24.2.3对投标文件进行比较和评价；</w:t>
      </w:r>
      <w:r/>
    </w:p>
    <w:p>
      <w:pPr>
        <w:pStyle w:val="850"/>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24.2.4确定中标候选人名单，以及根据招标人委托直接确定中标人；</w:t>
      </w:r>
      <w:r/>
    </w:p>
    <w:p>
      <w:pPr>
        <w:pStyle w:val="850"/>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24.2.5向招标人、招标代理机构或者有关部门报告评标中发现的违法行为。</w:t>
      </w:r>
      <w:r/>
    </w:p>
    <w:p>
      <w:pPr>
        <w:pStyle w:val="850"/>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24.3评标委员会成员应当履行下列义务：</w:t>
      </w:r>
      <w:r/>
    </w:p>
    <w:p>
      <w:pPr>
        <w:pStyle w:val="850"/>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24.3.1遵纪守法，客观、公正、廉洁地履行职责；</w:t>
      </w:r>
      <w:r/>
    </w:p>
    <w:p>
      <w:pPr>
        <w:pStyle w:val="850"/>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24.3.2按照招标文件规定的评标办法和评标标准进行评标，对评审意见承担个人责任；</w:t>
      </w:r>
      <w:r/>
    </w:p>
    <w:p>
      <w:pPr>
        <w:pStyle w:val="850"/>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24.3.3对评标过程和结果，以及投标人的商业秘密保密；</w:t>
      </w:r>
      <w:r/>
    </w:p>
    <w:p>
      <w:pPr>
        <w:pStyle w:val="850"/>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24.3.4参与评标报告的起草；</w:t>
      </w:r>
      <w:r/>
    </w:p>
    <w:p>
      <w:pPr>
        <w:pStyle w:val="850"/>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24.3.5配合相关部门的投诉处理工作；</w:t>
      </w:r>
      <w:r/>
    </w:p>
    <w:p>
      <w:pPr>
        <w:pStyle w:val="850"/>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24.3.6配合招标采购单位答复供应商提出的质疑。</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25. 评标内容的保密</w:t>
      </w:r>
      <w:r/>
    </w:p>
    <w:p>
      <w:pPr>
        <w:pStyle w:val="850"/>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25.1公开开标后，直到宣布授予中标单位商合同为止，凡属于审查、澄清、评价和比较投标的所有资料，有关授予合同的信息都不应向投标人或与评标无关的其他人泄露。</w:t>
      </w:r>
      <w:r/>
    </w:p>
    <w:p>
      <w:pPr>
        <w:pStyle w:val="850"/>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25.2 在投标文件的审查、澄清、评价和比较以及授予合同的过程中，投标人对招标采购单位和评标委员会成员施加影响的任何行为，都将取消其投标资格。</w:t>
      </w:r>
      <w:r/>
    </w:p>
    <w:p>
      <w:pPr>
        <w:pStyle w:val="850"/>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25.3在评标期间，招标采购单位将通过指定联络人与投标人进行联系。</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26.符合性审查</w:t>
      </w:r>
      <w:r/>
    </w:p>
    <w:p>
      <w:pPr>
        <w:pStyle w:val="850"/>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26.1评标委员会依据招标文件的规定对投标文件进行符合性审查。存在以下情形，符合性审查不合格：</w:t>
      </w:r>
      <w:r/>
    </w:p>
    <w:p>
      <w:pPr>
        <w:pStyle w:val="850"/>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1）投标文件存在招标文件投标人须知第29款“无效投标”规定情形的；</w:t>
      </w:r>
      <w:r/>
    </w:p>
    <w:p>
      <w:pPr>
        <w:pStyle w:val="850"/>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2）投标文件载明的有效期短于招标文件规定；</w:t>
      </w:r>
      <w:r/>
    </w:p>
    <w:p>
      <w:pPr>
        <w:pStyle w:val="850"/>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3）投标文件载明的招标项目完成期限不满足招标文件规定；</w:t>
      </w:r>
      <w:r/>
    </w:p>
    <w:p>
      <w:pPr>
        <w:pStyle w:val="850"/>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4）投标文件载明的履约保证、付款方式不满足招标文件规定；</w:t>
      </w:r>
      <w:r/>
    </w:p>
    <w:p>
      <w:pPr>
        <w:pStyle w:val="850"/>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5）投标文件未按招标文件规定的格式填写或递交，内容不全或关键字迹模糊、无法辨认的，从而影响投标文件有效性；</w:t>
      </w:r>
      <w:r/>
    </w:p>
    <w:p>
      <w:pPr>
        <w:pStyle w:val="850"/>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6）不同投标人的投标文件以及投标文件制作过程出现了评标委员会认为不应当雷同的情况的；</w:t>
      </w:r>
      <w:r/>
    </w:p>
    <w:p>
      <w:pPr>
        <w:pStyle w:val="850"/>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7）不同投标人的投标文件存在“视为串通投标”的情形；</w:t>
      </w:r>
      <w:r/>
    </w:p>
    <w:p>
      <w:pPr>
        <w:pStyle w:val="850"/>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8）投标人的报价存在选择性的；</w:t>
      </w:r>
      <w:r/>
    </w:p>
    <w:p>
      <w:pPr>
        <w:pStyle w:val="850"/>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9）投标人的报价或响应只响应了项目中部分招标内容；</w:t>
      </w:r>
      <w:r/>
    </w:p>
    <w:p>
      <w:pPr>
        <w:pStyle w:val="850"/>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10）投标人拒绝修正错误影响评标的；</w:t>
      </w:r>
      <w:r/>
    </w:p>
    <w:p>
      <w:pPr>
        <w:pStyle w:val="850"/>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11）投标文件不符合招标文件规定的其他实质性条款；</w:t>
      </w:r>
      <w:r/>
    </w:p>
    <w:p>
      <w:pPr>
        <w:pStyle w:val="850"/>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12）不同投标文件存在“机器码”一致情形；</w:t>
      </w:r>
      <w:r/>
    </w:p>
    <w:p>
      <w:pPr>
        <w:pStyle w:val="850"/>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13）投标文件存在招标文件规定的其他无效投标情形的。</w:t>
      </w:r>
      <w:r/>
    </w:p>
    <w:p>
      <w:pPr>
        <w:pStyle w:val="850"/>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26.2对于不允许偏离的实质性要求和条件，招标人或者招标代理机构应当在招标文件中规定，并以醒目的方式标明。</w:t>
      </w:r>
      <w:r/>
    </w:p>
    <w:p>
      <w:pPr>
        <w:pStyle w:val="850"/>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26.3投标人不能通过修正或撤销不符之处而使其投标成为实质性响应的投标。</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27.投标澄清</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对于投标文件中含义不明确、同类问题表述不一致或者有明显文字和计算错误的内容，评标委员会应当要求投标人作出必要的澄清、说明或者补正。投标人的澄清、说明或者补正不得超出投标文件的范围或者改变投标文件的实质性内容。</w:t>
      </w:r>
      <w:r/>
    </w:p>
    <w:p>
      <w:pPr>
        <w:ind w:firstLine="480"/>
        <w:spacing w:line="360" w:lineRule="auto"/>
        <w:rPr>
          <w:rFonts w:ascii="宋体" w:hAnsi="宋体" w:eastAsia="宋体" w:cs="宋体"/>
          <w:color w:val="auto"/>
          <w:sz w:val="24"/>
          <w:szCs w:val="24"/>
          <w:highlight w:val="none"/>
        </w:rPr>
      </w:pPr>
      <w:r/>
      <w:bookmarkStart w:id="13" w:name="_Hlk158140503"/>
      <w:r/>
      <w:bookmarkStart w:id="14" w:name="_Hlk158140452"/>
      <w:r/>
      <w:bookmarkStart w:id="15" w:name="_Hlk90656398"/>
      <w:r>
        <w:rPr>
          <w:rFonts w:hint="eastAsia" w:ascii="宋体" w:hAnsi="宋体" w:eastAsia="宋体" w:cs="宋体"/>
          <w:color w:val="auto"/>
          <w:sz w:val="24"/>
          <w:szCs w:val="24"/>
          <w:highlight w:val="none"/>
        </w:rPr>
        <w:t xml:space="preserve">本项目采用线上澄清</w:t>
      </w:r>
      <w:bookmarkEnd w:id="13"/>
      <w:r>
        <w:rPr>
          <w:rFonts w:hint="eastAsia" w:ascii="宋体" w:hAnsi="宋体" w:eastAsia="宋体" w:cs="宋体"/>
          <w:color w:val="auto"/>
          <w:sz w:val="24"/>
          <w:szCs w:val="24"/>
          <w:highlight w:val="none"/>
        </w:rPr>
        <w:t xml:space="preserve">。</w:t>
      </w:r>
      <w:bookmarkEnd w:id="14"/>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线上澄清答复的方式：需要供应商进行澄清、说明和更正的，招标代理机构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接到评标委员会澄清、说明和更正要求的投标人如未按规定做出澄清、说明和更正，其风险由投标人自行承担。</w:t>
      </w:r>
      <w:bookmarkEnd w:id="15"/>
      <w:r/>
      <w:r/>
    </w:p>
    <w:p>
      <w:pPr>
        <w:pStyle w:val="850"/>
        <w:ind w:firstLine="482"/>
        <w:jc w:val="both"/>
        <w:spacing w:line="360" w:lineRule="auto"/>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28.投标报价评审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28.1投标文件报价出现前后不一致的，除招标文件另有规定外，按照下列规定修正：</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28.1.1投标文件中开标一览表（报价表）内容与投标文件中相应内容不一致的，以开标一览表（报价表）为准；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28.1.2大写金额和小写金额不一致的，以大写金额为准；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28.1.3单价金额小数点或者百分比有明显错位的，以开标一览表的总价为准，并修改单价；</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28.1.4总价金额与按单价汇总金额不一致的，以单价金额计算结果为准。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同时出现两种以上不一致的，按照前款规定的顺序修正。修正后的报价按照《政府采购货物和服务招标投标管理办法》第五十一条第二款的规定经投标人确认后产生约束力，投标人不确认的，其投标无效。</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评标委员会认为投标人的报价明显低于其他通过符合性审查投标人的报价，有可能影响产品质量或者不能诚信履约的，应当要求其在评标现场合理的时间内提供书面说明（线上开评标项目可通过“苏采云”系统要求其提供），必要时提交相关证明材料；投标人不能证明其报价合理性的，评标委员会应当将其作为无效投标处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价格分应当采用低价优先法计算，即满足招标文件要求且投标价格最低的投标报价为评标基准价，其价格分为满分。其他投标人的价格分统一按照下列公式计算：投标报价得分=(评标基准价／投标报价)×100×价格权值。</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28.4评标过程中，不得去掉报价中的最高报价和最低报价。因落实政府采购政策进行价格调整的，以调整后的价格计算评标基准价和投标报价。</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29.无效投标</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投标人存在下列情况之一的，投标无效:</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29.1投标文件未按招标文件要求签署、签章的；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29.2不具备招标文件中规定的资格要求的；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29.3报价超过招标文件中规定的最高限价的；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29.4投标文件含有招标人不能接受的附加条件的；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29.5法律、法规和招标文件规定的其他无效情形。</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w:t>
      </w:r>
      <w:r>
        <w:rPr>
          <w:rFonts w:hint="eastAsia" w:ascii="宋体" w:hAnsi="宋体" w:eastAsia="宋体" w:cs="宋体"/>
          <w:color w:val="auto"/>
          <w:sz w:val="24"/>
          <w:szCs w:val="24"/>
          <w:highlight w:val="none"/>
          <w:lang w:val="zh-CN"/>
        </w:rPr>
        <w:t xml:space="preserve">投标人未对电子投标文件进行解密或解密失败的。</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30.废标</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 在招标采购中，出现下列情形之一的，该项目应予废标：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30.1.1该项目符合专业条件的供应商或者对招标文件作实质响应的供应商不足三家的；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30.1.2出现影响采购公正的违法、违规行为的；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30.1.3投标人的报价均超过了最高限价，招标人不能支付的；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30.1.4因重大变故，采购任务取消的。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 废标后，招标人应当将废标理由通知所有投标人。</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31. 投标文件的评价和比较</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31.1评标委员会按招标文件规定的评标方法和标准，仅对资格性检查和符合性检查合格的投标文件进行商务和技术评估，综合比较与评价。</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31.2评价和比较采用的办法：综合评分法，具体内容详见招标文件第六章。</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31.3 最低的投标报价或最高的折扣比例是中标的重要条件，但不是唯一条件。</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七、授予合同</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32. 中标单位商的确认</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32.1评标委员会按招标文件规定的评标方法和标准进行详细评审后，按招标采购单位的委托向招标采购单位推荐中标候选单位。</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32.2招标代理机构应当在评标结束后2个工作日内将评标报告送招标人。招标人应当自收到评标报告之日起5个工作日内，在评标报告确定的中标候选人名单中按顺序确定中标人。中标候选人并列的，由招标人自主确定中标人。招标人在收到评标报告5个工作日内未按评标报告推荐的中标候选人顺序确定中标人，又不能说明合法理由的，视同按评标报告推荐的顺序确定排名第一的中标候选人为中标人。</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w:t>
      </w:r>
      <w:r>
        <w:rPr>
          <w:rFonts w:hint="eastAsia" w:ascii="宋体" w:hAnsi="宋体" w:eastAsia="宋体" w:cs="宋体"/>
          <w:b/>
          <w:bCs/>
          <w:color w:val="auto"/>
          <w:sz w:val="24"/>
          <w:szCs w:val="24"/>
          <w:highlight w:val="none"/>
        </w:rPr>
        <w:t xml:space="preserve">本项目中标单位商数量：1</w:t>
      </w:r>
      <w:r>
        <w:rPr>
          <w:rFonts w:hint="eastAsia" w:ascii="宋体" w:hAnsi="宋体" w:eastAsia="宋体" w:cs="宋体"/>
          <w:b/>
          <w:bCs/>
          <w:color w:val="auto"/>
          <w:sz w:val="24"/>
          <w:szCs w:val="24"/>
          <w:highlight w:val="none"/>
          <w:lang w:val="en-US" w:eastAsia="zh-CN"/>
        </w:rPr>
        <w:t xml:space="preserve">家</w:t>
      </w:r>
      <w:r>
        <w:rPr>
          <w:rFonts w:hint="eastAsia" w:ascii="宋体" w:hAnsi="宋体" w:eastAsia="宋体" w:cs="宋体"/>
          <w:b/>
          <w:bCs/>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32.4招标人或者招标代理机构自中标人确定之日起2个工作日内在省级以上财政部门指定的媒体上公告中标结果。中标公告期限为1个工作日。</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33. 合同授予标准</w:t>
      </w:r>
      <w:r/>
    </w:p>
    <w:p>
      <w:pPr>
        <w:pStyle w:val="850"/>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33.1招标采购单位将把合同授予其投标文件在实质上响应招标文件要求和按本须知规定评选出的投标人。确定为中标的投标人必须具有实施本合同的能力和资源。</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33.2政府采购合同履行中，招标人需追加与合同标的物相同的货物、工程或者服务的，在不改变合同其他条款的前提下，可以与中标单位商签订补充合同，但所有补充合同的采购金额不得超过原合同采购金额的百分之十。</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34. 中标通知书</w:t>
      </w:r>
      <w:r/>
    </w:p>
    <w:p>
      <w:pPr>
        <w:pStyle w:val="850"/>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34.1在公告中标结果的同时，招标人或者招标代理机构应当向中标人发出中标通知书，中标通知书对招标人和中标单位商具有同等法律效力。中标通知书发出后，招标人不得违法改变中标结果，中标人无正当理由不得放弃中标，否则应当承担相应的法律责任。</w:t>
      </w:r>
      <w:r/>
    </w:p>
    <w:p>
      <w:pPr>
        <w:pStyle w:val="850"/>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34.2中标通知书将成为合同的组成部分。</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35.告知招标结果</w:t>
      </w:r>
      <w:r/>
    </w:p>
    <w:p>
      <w:pPr>
        <w:pStyle w:val="850"/>
        <w:ind w:firstLine="480"/>
        <w:jc w:val="both"/>
        <w:spacing w:line="360" w:lineRule="auto"/>
        <w:rPr>
          <w:rFonts w:ascii="宋体" w:hAnsi="宋体" w:eastAsia="宋体" w:cs="宋体"/>
          <w:color w:val="auto"/>
          <w:szCs w:val="24"/>
          <w:highlight w:val="none"/>
          <w:lang w:val="zh-CN"/>
        </w:rPr>
      </w:pPr>
      <w:r>
        <w:rPr>
          <w:rFonts w:hint="eastAsia" w:ascii="宋体" w:hAnsi="宋体" w:eastAsia="宋体" w:cs="宋体"/>
          <w:color w:val="auto"/>
          <w:szCs w:val="24"/>
          <w:highlight w:val="none"/>
        </w:rPr>
        <w:t xml:space="preserve">35</w:t>
      </w:r>
      <w:r>
        <w:rPr>
          <w:rFonts w:hint="eastAsia" w:ascii="宋体" w:hAnsi="宋体" w:eastAsia="宋体" w:cs="宋体"/>
          <w:color w:val="auto"/>
          <w:szCs w:val="24"/>
          <w:highlight w:val="none"/>
          <w:lang w:val="zh-CN"/>
        </w:rPr>
        <w:t xml:space="preserve">.1 对未通过资格审查的投标人，告知其未通过的原因。</w:t>
      </w:r>
      <w:r/>
    </w:p>
    <w:p>
      <w:pPr>
        <w:pStyle w:val="850"/>
        <w:ind w:firstLine="480"/>
        <w:jc w:val="both"/>
        <w:spacing w:line="360" w:lineRule="auto"/>
        <w:rPr>
          <w:rFonts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35.2 采购单位或其委托的代理机构根据相关规定发布</w:t>
      </w:r>
      <w:r>
        <w:rPr>
          <w:rFonts w:hint="eastAsia" w:ascii="宋体" w:hAnsi="宋体" w:eastAsia="宋体" w:cs="宋体"/>
          <w:color w:val="auto"/>
          <w:szCs w:val="24"/>
          <w:highlight w:val="none"/>
        </w:rPr>
        <w:t xml:space="preserve">中标</w:t>
      </w:r>
      <w:r>
        <w:rPr>
          <w:rFonts w:hint="eastAsia" w:ascii="宋体" w:hAnsi="宋体" w:eastAsia="宋体" w:cs="宋体"/>
          <w:color w:val="auto"/>
          <w:szCs w:val="24"/>
          <w:highlight w:val="none"/>
          <w:lang w:val="zh-CN"/>
        </w:rPr>
        <w:t xml:space="preserve">公告，</w:t>
      </w:r>
      <w:r>
        <w:rPr>
          <w:rFonts w:hint="eastAsia" w:ascii="宋体" w:hAnsi="宋体" w:eastAsia="宋体" w:cs="宋体"/>
          <w:color w:val="auto"/>
          <w:szCs w:val="24"/>
          <w:highlight w:val="none"/>
        </w:rPr>
        <w:t xml:space="preserve">中标</w:t>
      </w:r>
      <w:r>
        <w:rPr>
          <w:rFonts w:hint="eastAsia" w:ascii="宋体" w:hAnsi="宋体" w:eastAsia="宋体" w:cs="宋体"/>
          <w:color w:val="auto"/>
          <w:szCs w:val="24"/>
          <w:highlight w:val="none"/>
          <w:lang w:val="zh-CN"/>
        </w:rPr>
        <w:t xml:space="preserve">公告发出的同时应当向</w:t>
      </w:r>
      <w:r>
        <w:rPr>
          <w:rFonts w:hint="eastAsia" w:ascii="宋体" w:hAnsi="宋体" w:eastAsia="宋体" w:cs="宋体"/>
          <w:color w:val="auto"/>
          <w:szCs w:val="24"/>
          <w:highlight w:val="none"/>
        </w:rPr>
        <w:t xml:space="preserve">中标单位</w:t>
      </w:r>
      <w:r>
        <w:rPr>
          <w:rFonts w:hint="eastAsia" w:ascii="宋体" w:hAnsi="宋体" w:eastAsia="宋体" w:cs="宋体"/>
          <w:color w:val="auto"/>
          <w:szCs w:val="24"/>
          <w:highlight w:val="none"/>
          <w:lang w:val="zh-CN"/>
        </w:rPr>
        <w:t xml:space="preserve">商发出《</w:t>
      </w:r>
      <w:r>
        <w:rPr>
          <w:rFonts w:hint="eastAsia" w:ascii="宋体" w:hAnsi="宋体" w:eastAsia="宋体" w:cs="宋体"/>
          <w:color w:val="auto"/>
          <w:szCs w:val="24"/>
          <w:highlight w:val="none"/>
        </w:rPr>
        <w:t xml:space="preserve">中标</w:t>
      </w:r>
      <w:r>
        <w:rPr>
          <w:rFonts w:hint="eastAsia" w:ascii="宋体" w:hAnsi="宋体" w:eastAsia="宋体" w:cs="宋体"/>
          <w:color w:val="auto"/>
          <w:szCs w:val="24"/>
          <w:highlight w:val="none"/>
          <w:lang w:val="zh-CN"/>
        </w:rPr>
        <w:t xml:space="preserve">通知书》，请</w:t>
      </w:r>
      <w:r>
        <w:rPr>
          <w:rFonts w:hint="eastAsia" w:ascii="宋体" w:hAnsi="宋体" w:eastAsia="宋体" w:cs="宋体"/>
          <w:color w:val="auto"/>
          <w:szCs w:val="24"/>
          <w:highlight w:val="none"/>
        </w:rPr>
        <w:t xml:space="preserve">中标单位</w:t>
      </w:r>
      <w:r>
        <w:rPr>
          <w:rFonts w:hint="eastAsia" w:ascii="宋体" w:hAnsi="宋体" w:eastAsia="宋体" w:cs="宋体"/>
          <w:color w:val="auto"/>
          <w:szCs w:val="24"/>
          <w:highlight w:val="none"/>
          <w:lang w:val="zh-CN"/>
        </w:rPr>
        <w:t xml:space="preserve">商在</w:t>
      </w:r>
      <w:r>
        <w:rPr>
          <w:rFonts w:hint="eastAsia" w:ascii="宋体" w:hAnsi="宋体" w:eastAsia="宋体" w:cs="宋体"/>
          <w:color w:val="auto"/>
          <w:szCs w:val="24"/>
          <w:highlight w:val="none"/>
        </w:rPr>
        <w:t xml:space="preserve">中标</w:t>
      </w:r>
      <w:r>
        <w:rPr>
          <w:rFonts w:hint="eastAsia" w:ascii="宋体" w:hAnsi="宋体" w:eastAsia="宋体" w:cs="宋体"/>
          <w:color w:val="auto"/>
          <w:szCs w:val="24"/>
          <w:highlight w:val="none"/>
          <w:lang w:val="zh-CN"/>
        </w:rPr>
        <w:t xml:space="preserve">结果公告届满之日起30日内,使用CA数字证书登录“苏采云”系统及时下载</w:t>
      </w:r>
      <w:r>
        <w:rPr>
          <w:rFonts w:hint="eastAsia" w:ascii="宋体" w:hAnsi="宋体" w:eastAsia="宋体" w:cs="宋体"/>
          <w:color w:val="auto"/>
          <w:szCs w:val="24"/>
          <w:highlight w:val="none"/>
        </w:rPr>
        <w:t xml:space="preserve">中标</w:t>
      </w:r>
      <w:r>
        <w:rPr>
          <w:rFonts w:hint="eastAsia" w:ascii="宋体" w:hAnsi="宋体" w:eastAsia="宋体" w:cs="宋体"/>
          <w:color w:val="auto"/>
          <w:szCs w:val="24"/>
          <w:highlight w:val="none"/>
          <w:lang w:val="zh-CN"/>
        </w:rPr>
        <w:t xml:space="preserve">通知书。因系统存储空间有限，自</w:t>
      </w:r>
      <w:r>
        <w:rPr>
          <w:rFonts w:hint="eastAsia" w:ascii="宋体" w:hAnsi="宋体" w:eastAsia="宋体" w:cs="宋体"/>
          <w:color w:val="auto"/>
          <w:szCs w:val="24"/>
          <w:highlight w:val="none"/>
        </w:rPr>
        <w:t xml:space="preserve">中标</w:t>
      </w:r>
      <w:r>
        <w:rPr>
          <w:rFonts w:hint="eastAsia" w:ascii="宋体" w:hAnsi="宋体" w:eastAsia="宋体" w:cs="宋体"/>
          <w:color w:val="auto"/>
          <w:szCs w:val="24"/>
          <w:highlight w:val="none"/>
          <w:lang w:val="zh-CN"/>
        </w:rPr>
        <w:t xml:space="preserve">结果公告届满之日起30日后，“苏采云”系统不再保证提供下载</w:t>
      </w:r>
      <w:r>
        <w:rPr>
          <w:rFonts w:hint="eastAsia" w:ascii="宋体" w:hAnsi="宋体" w:eastAsia="宋体" w:cs="宋体"/>
          <w:color w:val="auto"/>
          <w:szCs w:val="24"/>
          <w:highlight w:val="none"/>
        </w:rPr>
        <w:t xml:space="preserve">中标</w:t>
      </w:r>
      <w:r>
        <w:rPr>
          <w:rFonts w:hint="eastAsia" w:ascii="宋体" w:hAnsi="宋体" w:eastAsia="宋体" w:cs="宋体"/>
          <w:color w:val="auto"/>
          <w:szCs w:val="24"/>
          <w:highlight w:val="none"/>
          <w:lang w:val="zh-CN"/>
        </w:rPr>
        <w:t xml:space="preserve">通知书服务,因未及时下载而造成的不利后果由</w:t>
      </w:r>
      <w:r>
        <w:rPr>
          <w:rFonts w:hint="eastAsia" w:ascii="宋体" w:hAnsi="宋体" w:eastAsia="宋体" w:cs="宋体"/>
          <w:color w:val="auto"/>
          <w:szCs w:val="24"/>
          <w:highlight w:val="none"/>
        </w:rPr>
        <w:t xml:space="preserve">中标单位</w:t>
      </w:r>
      <w:r>
        <w:rPr>
          <w:rFonts w:hint="eastAsia" w:ascii="宋体" w:hAnsi="宋体" w:eastAsia="宋体" w:cs="宋体"/>
          <w:color w:val="auto"/>
          <w:szCs w:val="24"/>
          <w:highlight w:val="none"/>
          <w:lang w:val="zh-CN"/>
        </w:rPr>
        <w:t xml:space="preserve">商自行承担）；对未通过资格审查的供应商，应当告知其未通过的原因；未</w:t>
      </w:r>
      <w:r>
        <w:rPr>
          <w:rFonts w:hint="eastAsia" w:ascii="宋体" w:hAnsi="宋体" w:eastAsia="宋体" w:cs="宋体"/>
          <w:color w:val="auto"/>
          <w:szCs w:val="24"/>
          <w:highlight w:val="none"/>
        </w:rPr>
        <w:t xml:space="preserve">中标单位</w:t>
      </w:r>
      <w:r>
        <w:rPr>
          <w:rFonts w:hint="eastAsia" w:ascii="宋体" w:hAnsi="宋体" w:eastAsia="宋体" w:cs="宋体"/>
          <w:color w:val="auto"/>
          <w:szCs w:val="24"/>
          <w:highlight w:val="none"/>
          <w:lang w:val="zh-CN"/>
        </w:rPr>
        <w:t xml:space="preserve">商须在</w:t>
      </w:r>
      <w:r>
        <w:rPr>
          <w:rFonts w:hint="eastAsia" w:ascii="宋体" w:hAnsi="宋体" w:eastAsia="宋体" w:cs="宋体"/>
          <w:color w:val="auto"/>
          <w:szCs w:val="24"/>
          <w:highlight w:val="none"/>
        </w:rPr>
        <w:t xml:space="preserve">中标</w:t>
      </w:r>
      <w:r>
        <w:rPr>
          <w:rFonts w:hint="eastAsia" w:ascii="宋体" w:hAnsi="宋体" w:eastAsia="宋体" w:cs="宋体"/>
          <w:color w:val="auto"/>
          <w:szCs w:val="24"/>
          <w:highlight w:val="none"/>
          <w:lang w:val="zh-CN"/>
        </w:rPr>
        <w:t xml:space="preserve">公告发出之日起2个工作日内向招标代理机构另行提供用以接收《未</w:t>
      </w:r>
      <w:r>
        <w:rPr>
          <w:rFonts w:hint="eastAsia" w:ascii="宋体" w:hAnsi="宋体" w:eastAsia="宋体" w:cs="宋体"/>
          <w:color w:val="auto"/>
          <w:szCs w:val="24"/>
          <w:highlight w:val="none"/>
        </w:rPr>
        <w:t xml:space="preserve">中标</w:t>
      </w:r>
      <w:r>
        <w:rPr>
          <w:rFonts w:hint="eastAsia" w:ascii="宋体" w:hAnsi="宋体" w:eastAsia="宋体" w:cs="宋体"/>
          <w:color w:val="auto"/>
          <w:szCs w:val="24"/>
          <w:highlight w:val="none"/>
          <w:lang w:val="zh-CN"/>
        </w:rPr>
        <w:t xml:space="preserve">通知书》的电子邮件地址，未按时提供电子邮件地址或提供信息有误的，视为自动放弃并自行承担相应后果。</w:t>
      </w:r>
      <w:r/>
    </w:p>
    <w:p>
      <w:pPr>
        <w:ind w:firstLine="482"/>
        <w:spacing w:line="360" w:lineRule="auto"/>
        <w:rPr>
          <w:rFonts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36.履约保证金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详见前附表</w:t>
      </w:r>
      <w:r>
        <w:rPr>
          <w:rFonts w:hint="eastAsia" w:ascii="宋体" w:hAnsi="宋体" w:eastAsia="宋体" w:cs="宋体"/>
          <w:color w:val="auto"/>
          <w:sz w:val="24"/>
          <w:szCs w:val="24"/>
          <w:highlight w:val="none"/>
        </w:rPr>
        <w:t xml:space="preserve">。</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37. 合同的签订</w:t>
      </w:r>
      <w:r/>
    </w:p>
    <w:p>
      <w:pPr>
        <w:pStyle w:val="850"/>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37.1招标人应当自中标通知书发出之日起15日内，按照招标文件和中标人投标文件的规定，与中标人签订书面合同。所签订的合同不得对招标文件确定的事项和中标人投标文件作实质性修改。</w:t>
      </w:r>
      <w:r/>
    </w:p>
    <w:p>
      <w:pPr>
        <w:pStyle w:val="850"/>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37.2签订合同及合同条款应以招标文件和中标单位商的投标文件及其澄清文件为依据。</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八、其他事项</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38. 招标代理服务费</w:t>
      </w:r>
      <w:r/>
    </w:p>
    <w:p>
      <w:pPr>
        <w:pStyle w:val="850"/>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38.1中标单位商须按前附表的规定，按其预算总金额计算并支付招标代理服务费，该费用应在领取中标通知书时付清。</w:t>
      </w:r>
      <w:r/>
    </w:p>
    <w:p>
      <w:pPr>
        <w:pStyle w:val="850"/>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38.2中标单位商如果未按规定支付招标代理服务费，招标采购单位将不予退还其投标保证金，并保留诉讼的权利。</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39. 监督和公证</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39.1政府有关监督部门将对招投标全过程进行监督。</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39.2招标人的开标、评标过程将通过公证机关进行公证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如有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40. 未尽事宜</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40.1按《中华人民共和国政府采购法》</w:t>
      </w:r>
      <w:r>
        <w:rPr>
          <w:rStyle w:val="899"/>
          <w:rFonts w:hint="eastAsia" w:ascii="宋体" w:hAnsi="宋体" w:eastAsia="宋体" w:cs="宋体"/>
          <w:color w:val="auto"/>
          <w:highlight w:val="none"/>
        </w:rPr>
        <w:t xml:space="preserve">、</w:t>
      </w:r>
      <w:r>
        <w:rPr>
          <w:rFonts w:hint="eastAsia" w:ascii="宋体" w:hAnsi="宋体" w:eastAsia="宋体" w:cs="宋体"/>
          <w:color w:val="auto"/>
          <w:sz w:val="24"/>
          <w:szCs w:val="24"/>
          <w:highlight w:val="none"/>
        </w:rPr>
        <w:t xml:space="preserve">《中华人民共和国政府采购法实施条例》及《政府采购货物和服务招标投标管理办法》执行。</w:t>
      </w:r>
      <w:r/>
    </w:p>
    <w:p>
      <w:pPr>
        <w:ind w:firstLine="482"/>
        <w:jc w:val="left"/>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41、政府采购政策</w:t>
      </w:r>
      <w:r/>
    </w:p>
    <w:p>
      <w:pPr>
        <w:ind w:firstLine="482"/>
        <w:jc w:val="left"/>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41.1促进中小企业发展</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1、中小微型企业的认定：</w:t>
      </w:r>
      <w:r/>
    </w:p>
    <w:p>
      <w:pPr>
        <w:ind w:firstLine="480"/>
        <w:spacing w:line="360" w:lineRule="auto"/>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根据《政府采购促进中小企业发展管理办法》（财库〔2020〕46号）及《关于做好政府采购支持企业发展有关事项的通知》（苏财购〔2020〕52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bCs/>
          <w:color w:val="auto"/>
          <w:sz w:val="24"/>
          <w:szCs w:val="24"/>
          <w:highlight w:val="none"/>
        </w:rPr>
        <w:t xml:space="preserve">《中小企业声明函》中所填的行业应与本采购标的对应的中小企业划分标准所属行业一致，声明函未签公章或未提交声明函或所提交的声明函中行业与本采购标的对应的中小企业划分标准所属行业不一致的不享受相关政策</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视为非实质性响应采购文件。</w:t>
      </w:r>
      <w:r/>
    </w:p>
    <w:p>
      <w:pPr>
        <w:ind w:firstLine="480"/>
        <w:spacing w:line="360" w:lineRule="auto"/>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p>
    <w:p>
      <w:pPr>
        <w:ind w:firstLine="480"/>
        <w:jc w:val="left"/>
        <w:spacing w:line="360" w:lineRule="auto"/>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eastAsia="宋体" w:cs="宋体"/>
          <w:b/>
          <w:bCs/>
          <w:color w:val="auto"/>
          <w:sz w:val="24"/>
          <w:szCs w:val="24"/>
          <w:highlight w:val="none"/>
          <w:u w:val="single"/>
        </w:rPr>
        <w:t xml:space="preserve">其他未列明行业。</w:t>
      </w:r>
      <w:r/>
    </w:p>
    <w:p>
      <w:pPr>
        <w:ind w:firstLine="482"/>
        <w:jc w:val="left"/>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41.2促进残疾人就业和支持监狱企业发展有关政策：</w:t>
      </w:r>
      <w:r/>
    </w:p>
    <w:p>
      <w:pPr>
        <w:pStyle w:val="1086"/>
        <w:jc w:val="left"/>
        <w:spacing w:after="46"/>
        <w:rPr>
          <w:rFonts w:hint="eastAsia" w:cs="宋体"/>
          <w:color w:val="auto"/>
          <w:highlight w:val="none"/>
        </w:rPr>
      </w:pPr>
      <w:r>
        <w:rPr>
          <w:rFonts w:hint="eastAsia" w:cs="宋体"/>
          <w:color w:val="auto"/>
          <w:highlight w:val="none"/>
          <w:lang w:val="en-US" w:eastAsia="zh-CN"/>
        </w:rPr>
        <w:t xml:space="preserve">41.2.1</w:t>
      </w:r>
      <w:r>
        <w:rPr>
          <w:rFonts w:hint="eastAsia" w:cs="宋体"/>
          <w:color w:val="auto"/>
          <w:highlight w:val="none"/>
        </w:rPr>
        <w:t xml:space="preserve">根据《关于促进残疾人就业政府采购政策的通知》（财库〔2017〕141号）的相关规定，在政府采购活动中残疾人福利性单位视同小型、微型企业。符合条件的残疾人福利性单位，应提交《残疾人福利性单位声明函》，并对声明的真实性负责</w:t>
      </w:r>
      <w:r>
        <w:rPr>
          <w:rFonts w:hint="eastAsia" w:cs="宋体"/>
          <w:color w:val="auto"/>
          <w:highlight w:val="none"/>
          <w:lang w:eastAsia="zh-CN"/>
        </w:rPr>
        <w:t xml:space="preserve">，</w:t>
      </w:r>
      <w:r>
        <w:rPr>
          <w:rFonts w:cs="宋体"/>
          <w:color w:val="auto"/>
          <w:highlight w:val="none"/>
        </w:rPr>
        <w:t xml:space="preserve">未提交则视为</w:t>
      </w:r>
      <w:r>
        <w:rPr>
          <w:rFonts w:cs="宋体"/>
          <w:b/>
          <w:bCs/>
          <w:color w:val="auto"/>
          <w:highlight w:val="none"/>
        </w:rPr>
        <w:t xml:space="preserve">非实质性</w:t>
      </w:r>
      <w:r>
        <w:rPr>
          <w:rFonts w:cs="宋体"/>
          <w:color w:val="auto"/>
          <w:highlight w:val="none"/>
        </w:rPr>
        <w:t xml:space="preserve">响应采购文件。</w:t>
      </w:r>
      <w:r/>
    </w:p>
    <w:p>
      <w:pPr>
        <w:pStyle w:val="1086"/>
        <w:jc w:val="left"/>
        <w:spacing w:after="46"/>
        <w:rPr>
          <w:rFonts w:cs="宋体"/>
          <w:color w:val="auto"/>
          <w:highlight w:val="none"/>
        </w:rPr>
      </w:pPr>
      <w:r>
        <w:rPr>
          <w:rFonts w:hint="eastAsia" w:cs="宋体"/>
          <w:color w:val="auto"/>
          <w:highlight w:val="none"/>
          <w:lang w:val="en-US" w:eastAsia="zh-CN"/>
        </w:rPr>
        <w:t xml:space="preserve">41.2.2</w:t>
      </w:r>
      <w:r>
        <w:rPr>
          <w:rFonts w:hint="eastAsia" w:cs="宋体"/>
          <w:color w:val="auto"/>
          <w:highlight w:val="none"/>
        </w:rPr>
        <w:t xml:space="preserve">根据《关于政府采购支持监狱企业发展有关问题的通知》（财库〔2014〕68号）的相关规定在政府采购活动中，监狱企业视同小型、微型企业。监狱企业应当提供由省级以上监狱管理局、戒毒管理局（含新疆生产建设兵团）出具的属于监狱企业的证明文件</w:t>
      </w:r>
      <w:r>
        <w:rPr>
          <w:rFonts w:hint="eastAsia" w:cs="宋体"/>
          <w:color w:val="auto"/>
          <w:highlight w:val="none"/>
          <w:lang w:eastAsia="zh-CN"/>
        </w:rPr>
        <w:t xml:space="preserve">，</w:t>
      </w:r>
      <w:r>
        <w:rPr>
          <w:rFonts w:cs="宋体"/>
          <w:color w:val="auto"/>
          <w:highlight w:val="none"/>
        </w:rPr>
        <w:t xml:space="preserve">未提交则视为</w:t>
      </w:r>
      <w:r>
        <w:rPr>
          <w:rFonts w:cs="宋体"/>
          <w:b/>
          <w:bCs/>
          <w:color w:val="auto"/>
          <w:highlight w:val="none"/>
        </w:rPr>
        <w:t xml:space="preserve">非实质性</w:t>
      </w:r>
      <w:r>
        <w:rPr>
          <w:rFonts w:cs="宋体"/>
          <w:color w:val="auto"/>
          <w:highlight w:val="none"/>
        </w:rPr>
        <w:t xml:space="preserve">响应采购文件。</w:t>
      </w:r>
      <w:r/>
    </w:p>
    <w:p>
      <w:pPr>
        <w:pStyle w:val="1086"/>
        <w:ind w:firstLine="482"/>
        <w:jc w:val="left"/>
        <w:spacing w:after="53"/>
        <w:rPr>
          <w:rFonts w:cs="宋体"/>
          <w:b/>
          <w:bCs/>
          <w:color w:val="auto"/>
          <w:highlight w:val="none"/>
        </w:rPr>
      </w:pPr>
      <w:r>
        <w:rPr>
          <w:rFonts w:hint="eastAsia" w:cs="宋体"/>
          <w:b/>
          <w:bCs/>
          <w:color w:val="auto"/>
          <w:highlight w:val="none"/>
        </w:rPr>
        <w:t xml:space="preserve">41.3信用记录</w:t>
      </w:r>
      <w:r/>
    </w:p>
    <w:p>
      <w:pPr>
        <w:pStyle w:val="1086"/>
        <w:jc w:val="left"/>
        <w:spacing w:after="53"/>
        <w:rPr>
          <w:rFonts w:cs="宋体"/>
          <w:color w:val="auto"/>
          <w:highlight w:val="none"/>
        </w:rPr>
      </w:pPr>
      <w:r>
        <w:rPr>
          <w:rFonts w:hint="eastAsia" w:cs="宋体"/>
          <w:color w:val="auto"/>
          <w:highlight w:val="none"/>
        </w:rPr>
        <w:t xml:space="preserve">根据政府采购法及相关法规，以及苏州市财政局《关于苏州市政府采购网下线“供应商信用查询”功能的通知》的规定，我们将依法对供应商进行信用查询，凡经评审小组确认不符合政府采购相关法律法规规定的，将拒绝其参与政府采购活动。</w:t>
      </w:r>
      <w:r/>
    </w:p>
    <w:p>
      <w:pPr>
        <w:pStyle w:val="1086"/>
        <w:jc w:val="left"/>
        <w:spacing w:after="53"/>
        <w:rPr>
          <w:rFonts w:cs="宋体"/>
          <w:color w:val="auto"/>
          <w:highlight w:val="none"/>
        </w:rPr>
      </w:pPr>
      <w:r>
        <w:rPr>
          <w:rFonts w:hint="eastAsia" w:cs="宋体"/>
          <w:color w:val="auto"/>
          <w:highlight w:val="none"/>
        </w:rPr>
        <w:t xml:space="preserve">1、查询截止时点：投标文件递交截止时间。</w:t>
      </w:r>
      <w:r/>
    </w:p>
    <w:p>
      <w:pPr>
        <w:pStyle w:val="1086"/>
        <w:jc w:val="left"/>
        <w:spacing w:after="53"/>
        <w:rPr>
          <w:rFonts w:cs="宋体"/>
          <w:color w:val="auto"/>
          <w:highlight w:val="none"/>
        </w:rPr>
      </w:pPr>
      <w:r>
        <w:rPr>
          <w:rFonts w:hint="eastAsia" w:cs="宋体"/>
          <w:color w:val="auto"/>
          <w:highlight w:val="none"/>
        </w:rPr>
        <w:t xml:space="preserve">2、查询渠道：</w:t>
      </w:r>
      <w:r/>
    </w:p>
    <w:p>
      <w:pPr>
        <w:pStyle w:val="1086"/>
        <w:jc w:val="left"/>
        <w:spacing w:after="53"/>
        <w:rPr>
          <w:rFonts w:cs="宋体"/>
          <w:color w:val="auto"/>
          <w:highlight w:val="none"/>
        </w:rPr>
      </w:pPr>
      <w:r>
        <w:rPr>
          <w:rFonts w:hint="eastAsia" w:cs="宋体"/>
          <w:color w:val="auto"/>
          <w:highlight w:val="none"/>
        </w:rPr>
        <w:t xml:space="preserve">将通过苏采云系统跳转查询实现,一是</w:t>
      </w:r>
      <w:r>
        <w:rPr>
          <w:rFonts w:hint="eastAsia" w:cs="宋体"/>
          <w:color w:val="auto"/>
          <w:highlight w:val="none"/>
          <w:lang w:eastAsia="zh-CN"/>
        </w:rPr>
        <w:t xml:space="preserve">：</w:t>
      </w:r>
      <w:r>
        <w:rPr>
          <w:rFonts w:hint="eastAsia" w:cs="宋体"/>
          <w:color w:val="auto"/>
          <w:highlight w:val="none"/>
        </w:rPr>
        <w:t xml:space="preserve">信用中国涉及政府采购数据无缝对接查询,在评标过程中,在线实时获取并生成各供应商的信用情况,对于失信供应商将展现‘其处罚行为信息,招标人(代理机构)、评审专家等即可根据获取信息进行评审；二是“交易管理平台”与中国政府采购网相对接,实现自动跳转至“中国政府采购失信行为信息记录”查询页面,招标人(代理机构)、评审专家等进一步审核各供应商的信用情况。</w:t>
      </w:r>
      <w:r/>
    </w:p>
    <w:p>
      <w:pPr>
        <w:pStyle w:val="1086"/>
        <w:jc w:val="left"/>
        <w:spacing w:after="53"/>
        <w:rPr>
          <w:rFonts w:cs="宋体"/>
          <w:color w:val="auto"/>
          <w:highlight w:val="none"/>
        </w:rPr>
      </w:pPr>
      <w:r>
        <w:rPr>
          <w:rFonts w:hint="eastAsia" w:cs="宋体"/>
          <w:color w:val="auto"/>
          <w:highlight w:val="none"/>
        </w:rPr>
        <w:t xml:space="preserve">3、查询证据留存方式：</w:t>
      </w:r>
      <w:r/>
    </w:p>
    <w:p>
      <w:pPr>
        <w:pStyle w:val="1086"/>
        <w:jc w:val="left"/>
        <w:spacing w:after="53"/>
        <w:rPr>
          <w:rFonts w:cs="宋体"/>
          <w:color w:val="auto"/>
          <w:highlight w:val="none"/>
        </w:rPr>
      </w:pPr>
      <w:r>
        <w:rPr>
          <w:rFonts w:hint="eastAsia" w:cs="宋体"/>
          <w:color w:val="auto"/>
          <w:highlight w:val="none"/>
        </w:rPr>
        <w:t xml:space="preserve">对存在失信信息的供应商，评审小组应填写《苏州市级政府采购供应商失信信息确认函》，由失信供应商应签名确认。同时，招标代理机构工作人员应根据评审小组确认的失信信息，登陆到来源网站页面进行复核并打印，作为证据留存。</w:t>
      </w:r>
      <w:r/>
    </w:p>
    <w:p>
      <w:pPr>
        <w:pStyle w:val="1086"/>
        <w:jc w:val="left"/>
        <w:spacing w:after="53"/>
        <w:rPr>
          <w:rFonts w:cs="宋体"/>
          <w:color w:val="auto"/>
          <w:highlight w:val="none"/>
        </w:rPr>
      </w:pPr>
      <w:r>
        <w:rPr>
          <w:rFonts w:hint="eastAsia" w:cs="宋体"/>
          <w:color w:val="auto"/>
          <w:highlight w:val="none"/>
        </w:rPr>
        <w:t xml:space="preserve">4、信用记录使用规则：</w:t>
      </w:r>
      <w:r/>
    </w:p>
    <w:p>
      <w:pPr>
        <w:pStyle w:val="1086"/>
        <w:jc w:val="left"/>
        <w:spacing w:after="53"/>
        <w:rPr>
          <w:rFonts w:cs="宋体"/>
          <w:color w:val="auto"/>
          <w:highlight w:val="none"/>
        </w:rPr>
      </w:pPr>
      <w:r>
        <w:rPr>
          <w:rFonts w:hint="eastAsia" w:cs="宋体"/>
          <w:color w:val="auto"/>
          <w:highlight w:val="none"/>
        </w:rPr>
        <w:t xml:space="preserve">评审小组在对供应商进行资格性审查时，应根据查询结果对供应商的不良信用记录逐项甄别确认。</w:t>
      </w:r>
      <w:r/>
    </w:p>
    <w:p>
      <w:pPr>
        <w:ind w:firstLine="482"/>
        <w:jc w:val="left"/>
        <w:spacing w:line="360" w:lineRule="auto"/>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41.4、招标文件的质疑、澄清</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41.4.1 根据《政府采购质疑和投诉办法》财政部第94号令，供应商认为招标文件、采购过程、中标结果使自己的权益受到损害的，可以在知道或者应知其权益受到损害之日起7个工作日内，以书面形式向招标人、招标代理机构提出质疑。</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41.4.2本次招标文件要求供应商在法定质疑期内一次性提出针对同一采购程序环节的质疑。</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41.4.3招标人、招标代理机构收到质疑供应商在法定质疑期内发出的质疑函，应当在收到质疑函后7个工作日内作出答复，并以书面形式通知质疑供应商和其他有关供应商。</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41.4.4供应商提出质疑应当提交质疑函、报名确认单和必要的证明材料。质疑函应当包括下列内容：</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41.4.5供应商的姓名或者名称、地址、邮编、联系人及联系电话；</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41.4.6质疑项目的名称、编号；</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41.4.7具体、明确的质疑事项和与质疑事项相关的请求；</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41.4.8事实依据；</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41.4.9必要的法律依据；</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41.4.10提出质疑的日期。</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41.4.11质疑联系方式详见采购公告。</w:t>
      </w:r>
      <w:r/>
    </w:p>
    <w:p>
      <w:pPr>
        <w:ind w:firstLine="482"/>
        <w:jc w:val="left"/>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42.未尽事宜</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42.1按《中华人民共和国政府采购法》及其他有关法律法规的规定执行。</w:t>
      </w:r>
      <w:r/>
    </w:p>
    <w:p>
      <w:pPr>
        <w:pStyle w:val="873"/>
        <w:ind w:firstLine="482"/>
        <w:spacing w:line="360" w:lineRule="auto"/>
        <w:rPr>
          <w:rFonts w:ascii="宋体" w:hAnsi="宋体" w:eastAsia="宋体" w:cs="宋体"/>
          <w:color w:val="auto"/>
          <w:szCs w:val="24"/>
          <w:highlight w:val="none"/>
        </w:rPr>
      </w:pPr>
      <w:r>
        <w:rPr>
          <w:rFonts w:hint="eastAsia" w:ascii="宋体" w:hAnsi="宋体" w:eastAsia="宋体" w:cs="宋体"/>
          <w:b/>
          <w:bCs/>
          <w:color w:val="auto"/>
          <w:szCs w:val="24"/>
          <w:highlight w:val="none"/>
        </w:rPr>
        <w:t xml:space="preserve">43、</w:t>
      </w:r>
      <w:r>
        <w:rPr>
          <w:rFonts w:hint="eastAsia" w:ascii="宋体" w:hAnsi="宋体" w:eastAsia="宋体" w:cs="宋体"/>
          <w:color w:val="auto"/>
          <w:szCs w:val="24"/>
          <w:highlight w:val="none"/>
        </w:rPr>
        <w:t xml:space="preserve">凡涉及招标文件的补充说明和修改，均以苏州市政府采购网发布内容为准。</w:t>
      </w:r>
      <w:r/>
    </w:p>
    <w:p>
      <w:pPr>
        <w:rPr>
          <w:rFonts w:ascii="宋体" w:hAnsi="宋体" w:eastAsia="宋体" w:cs="宋体"/>
          <w:color w:val="auto"/>
          <w:highlight w:val="none"/>
        </w:rPr>
      </w:pPr>
      <w:r>
        <w:rPr>
          <w:rFonts w:ascii="宋体" w:hAnsi="宋体" w:eastAsia="宋体" w:cs="宋体"/>
          <w:color w:val="auto"/>
          <w:highlight w:val="none"/>
        </w:rPr>
      </w:r>
      <w:r/>
    </w:p>
    <w:p>
      <w:pPr>
        <w:pStyle w:val="837"/>
        <w:jc w:val="center"/>
        <w:rPr>
          <w:rFonts w:ascii="宋体" w:hAnsi="宋体" w:eastAsia="宋体" w:cs="宋体"/>
          <w:color w:val="auto"/>
          <w:highlight w:val="none"/>
        </w:rPr>
      </w:pPr>
      <w:r/>
      <w:bookmarkStart w:id="16" w:name="_Toc160701722"/>
      <w:r>
        <w:rPr>
          <w:rFonts w:hint="eastAsia" w:ascii="宋体" w:hAnsi="宋体" w:eastAsia="宋体" w:cs="宋体"/>
          <w:color w:val="auto"/>
          <w:highlight w:val="none"/>
        </w:rPr>
        <w:br w:type="page" w:clear="all"/>
      </w:r>
      <w:r>
        <w:rPr>
          <w:rFonts w:hint="eastAsia" w:ascii="宋体" w:hAnsi="宋体" w:eastAsia="宋体" w:cs="宋体"/>
          <w:color w:val="auto"/>
          <w:highlight w:val="none"/>
        </w:rPr>
        <w:t xml:space="preserve">第三章 投标文件格式</w:t>
      </w:r>
      <w:bookmarkEnd w:id="16"/>
      <w:r/>
      <w:r/>
    </w:p>
    <w:p>
      <w:pPr>
        <w:pStyle w:val="850"/>
        <w:ind w:firstLine="0"/>
        <w:spacing w:line="360" w:lineRule="auto"/>
        <w:rPr>
          <w:rFonts w:ascii="宋体" w:hAnsi="宋体" w:eastAsia="宋体" w:cs="宋体"/>
          <w:b/>
          <w:color w:val="auto"/>
          <w:highlight w:val="none"/>
        </w:rPr>
      </w:pPr>
      <w:r>
        <w:rPr>
          <w:rFonts w:hint="eastAsia" w:ascii="宋体" w:hAnsi="宋体" w:eastAsia="宋体" w:cs="宋体"/>
          <w:b/>
          <w:color w:val="auto"/>
          <w:highlight w:val="none"/>
        </w:rPr>
        <w:t xml:space="preserve">说明：</w:t>
      </w:r>
      <w:r/>
    </w:p>
    <w:p>
      <w:pPr>
        <w:pStyle w:val="850"/>
        <w:ind w:firstLine="0"/>
        <w:spacing w:line="360" w:lineRule="auto"/>
        <w:rPr>
          <w:rFonts w:ascii="宋体" w:hAnsi="宋体" w:eastAsia="宋体" w:cs="宋体"/>
          <w:b/>
          <w:color w:val="auto"/>
          <w:highlight w:val="none"/>
        </w:rPr>
      </w:pPr>
      <w:r>
        <w:rPr>
          <w:rFonts w:hint="eastAsia" w:ascii="宋体" w:hAnsi="宋体" w:eastAsia="宋体" w:cs="宋体"/>
          <w:b/>
          <w:color w:val="auto"/>
          <w:highlight w:val="none"/>
        </w:rPr>
        <w:t xml:space="preserve">    对本章所有的投标书格式 ，投标方可根据自身情况进行补充和修改，但补充和修改不得造成与本格式内容有实质性的违背。</w:t>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jc w:val="center"/>
        <w:spacing w:line="360" w:lineRule="auto"/>
        <w:rPr>
          <w:rFonts w:ascii="宋体" w:hAnsi="宋体" w:eastAsia="宋体" w:cs="宋体"/>
          <w:b/>
          <w:color w:val="auto"/>
          <w:sz w:val="30"/>
          <w:szCs w:val="30"/>
          <w:highlight w:val="none"/>
        </w:rPr>
      </w:pPr>
      <w:r>
        <w:rPr>
          <w:rFonts w:hint="eastAsia" w:ascii="宋体" w:hAnsi="宋体" w:eastAsia="宋体" w:cs="宋体"/>
          <w:color w:val="auto"/>
          <w:sz w:val="32"/>
          <w:szCs w:val="32"/>
          <w:highlight w:val="none"/>
        </w:rPr>
        <w:br w:type="page" w:clear="all"/>
      </w:r>
      <w:bookmarkStart w:id="17" w:name="_Toc142194266"/>
      <w:r/>
      <w:bookmarkStart w:id="18" w:name="_Toc388026586"/>
      <w:r>
        <w:rPr>
          <w:rFonts w:hint="eastAsia" w:ascii="宋体" w:hAnsi="宋体" w:eastAsia="宋体" w:cs="宋体"/>
          <w:b/>
          <w:color w:val="auto"/>
          <w:highlight w:val="none"/>
        </w:rPr>
        <w:t xml:space="preserve">一、</w:t>
      </w:r>
      <w:bookmarkEnd w:id="17"/>
      <w:r>
        <w:rPr>
          <w:rFonts w:hint="eastAsia" w:ascii="宋体" w:hAnsi="宋体" w:eastAsia="宋体" w:cs="宋体"/>
          <w:b/>
          <w:color w:val="auto"/>
          <w:sz w:val="30"/>
          <w:szCs w:val="30"/>
          <w:highlight w:val="none"/>
        </w:rPr>
        <w:t xml:space="preserve">投标函</w:t>
      </w:r>
      <w:r/>
    </w:p>
    <w:p>
      <w:pPr>
        <w:pStyle w:val="1091"/>
        <w:jc w:val="left"/>
        <w:spacing w:line="360" w:lineRule="auto"/>
        <w:rPr>
          <w:rFonts w:hAnsi="宋体" w:eastAsia="宋体" w:cs="宋体"/>
          <w:color w:val="auto"/>
          <w:sz w:val="24"/>
          <w:szCs w:val="24"/>
          <w:highlight w:val="none"/>
          <w:u w:val="single"/>
        </w:rPr>
      </w:pPr>
      <w:r>
        <w:rPr>
          <w:rFonts w:hint="eastAsia" w:hAnsi="宋体" w:eastAsia="宋体" w:cs="宋体"/>
          <w:color w:val="auto"/>
          <w:sz w:val="24"/>
          <w:szCs w:val="24"/>
          <w:highlight w:val="none"/>
          <w:u w:val="single"/>
          <w:lang w:eastAsia="zh-CN"/>
        </w:rPr>
        <w:t xml:space="preserve">诚信金泰建设管理（苏州）有限公司</w:t>
      </w:r>
      <w:r>
        <w:rPr>
          <w:rFonts w:hint="eastAsia" w:hAnsi="宋体" w:eastAsia="宋体" w:cs="宋体"/>
          <w:color w:val="auto"/>
          <w:sz w:val="24"/>
          <w:szCs w:val="24"/>
          <w:highlight w:val="none"/>
        </w:rPr>
        <w:t xml:space="preserve">：</w:t>
      </w:r>
      <w:r/>
    </w:p>
    <w:p>
      <w:pPr>
        <w:pStyle w:val="1091"/>
        <w:ind w:firstLine="480"/>
        <w:jc w:val="left"/>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我们收到贵公司 </w:t>
      </w:r>
      <w:r>
        <w:rPr>
          <w:rFonts w:hint="eastAsia" w:hAnsi="宋体" w:eastAsia="宋体" w:cs="宋体"/>
          <w:color w:val="auto"/>
          <w:sz w:val="24"/>
          <w:szCs w:val="24"/>
          <w:highlight w:val="none"/>
          <w:u w:val="single"/>
        </w:rPr>
        <w:t xml:space="preserve">   （招标编号）    </w:t>
      </w:r>
      <w:r>
        <w:rPr>
          <w:rFonts w:hint="eastAsia" w:hAnsi="宋体" w:eastAsia="宋体" w:cs="宋体"/>
          <w:color w:val="auto"/>
          <w:sz w:val="24"/>
          <w:szCs w:val="24"/>
          <w:highlight w:val="none"/>
        </w:rPr>
        <w:t xml:space="preserve">号招标文件，经仔细阅读和研究，我们决定参加投标,并向贵公司承诺：</w:t>
      </w:r>
      <w:r/>
    </w:p>
    <w:p>
      <w:pPr>
        <w:pStyle w:val="1091"/>
        <w:ind w:firstLine="480"/>
        <w:jc w:val="left"/>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1、我们愿意按照招标文件的一切要求，提供包括完成该项目所需的全部内容，我们的投标报价包括包含完成全部服务内容所需的人工费用、税费、利润、其它临时性杂项应急服务费用、劳保与培训、政策性文件规定及合同包含的所有风险、责任等服务过程中所需的全部费用。</w:t>
      </w:r>
      <w:r/>
    </w:p>
    <w:p>
      <w:pPr>
        <w:pStyle w:val="1091"/>
        <w:ind w:firstLine="480"/>
        <w:jc w:val="left"/>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2、如果我们的投标书被接受，我们将严格履行招标文件中规定的每一项要求，严格履行合同的责任和义务，保证按期、按质履行合同。</w:t>
      </w:r>
      <w:r/>
    </w:p>
    <w:p>
      <w:pPr>
        <w:pStyle w:val="1091"/>
        <w:ind w:firstLine="480"/>
        <w:jc w:val="left"/>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3、我们同意按招标文件中的规定，本投标书的有效期限为开标后</w:t>
      </w:r>
      <w:r>
        <w:rPr>
          <w:rFonts w:hint="eastAsia" w:hAnsi="宋体" w:eastAsia="宋体" w:cs="宋体"/>
          <w:color w:val="auto"/>
          <w:sz w:val="24"/>
          <w:szCs w:val="24"/>
          <w:highlight w:val="none"/>
          <w:u w:val="single"/>
        </w:rPr>
        <w:t xml:space="preserve">90</w:t>
      </w:r>
      <w:r>
        <w:rPr>
          <w:rFonts w:hint="eastAsia" w:hAnsi="宋体" w:eastAsia="宋体" w:cs="宋体"/>
          <w:color w:val="auto"/>
          <w:sz w:val="24"/>
          <w:szCs w:val="24"/>
          <w:highlight w:val="none"/>
        </w:rPr>
        <w:t xml:space="preserve">日历天，如果我们在开标后规定的投标有效期内撤回投标，我们的投标保证金可被贵方没收。</w:t>
      </w:r>
      <w:r/>
    </w:p>
    <w:p>
      <w:pPr>
        <w:pStyle w:val="1119"/>
        <w:ind w:firstLine="480"/>
        <w:jc w:val="left"/>
        <w:spacing w:line="360" w:lineRule="auto"/>
        <w:rPr>
          <w:rFonts w:hint="default" w:hAnsi="宋体" w:eastAsia="宋体" w:cs="宋体"/>
          <w:color w:val="auto"/>
          <w:sz w:val="24"/>
          <w:szCs w:val="24"/>
          <w:highlight w:val="none"/>
        </w:rPr>
      </w:pPr>
      <w:r>
        <w:rPr>
          <w:rFonts w:hAnsi="宋体" w:eastAsia="宋体" w:cs="宋体"/>
          <w:color w:val="auto"/>
          <w:sz w:val="24"/>
          <w:szCs w:val="24"/>
          <w:highlight w:val="none"/>
        </w:rPr>
        <w:t xml:space="preserve">4、我们愿意提供招标方在招标文件中要求的所有资料。也同意向贵方提供贵方可能另外要求的与其投标有关的任何证据或资料。并保证所提供的资料全部是真实的、有效的，若有虚假，我们愿承担一切责任。</w:t>
      </w:r>
      <w:r/>
    </w:p>
    <w:p>
      <w:pPr>
        <w:pStyle w:val="1119"/>
        <w:ind w:firstLine="480"/>
        <w:jc w:val="left"/>
        <w:spacing w:line="360" w:lineRule="auto"/>
        <w:rPr>
          <w:rFonts w:hint="default" w:hAnsi="宋体" w:eastAsia="宋体" w:cs="宋体"/>
          <w:color w:val="auto"/>
          <w:sz w:val="24"/>
          <w:szCs w:val="24"/>
          <w:highlight w:val="none"/>
        </w:rPr>
      </w:pPr>
      <w:r>
        <w:rPr>
          <w:rFonts w:hAnsi="宋体" w:eastAsia="宋体" w:cs="宋体"/>
          <w:color w:val="auto"/>
          <w:sz w:val="24"/>
          <w:szCs w:val="24"/>
          <w:highlight w:val="none"/>
        </w:rPr>
        <w:t xml:space="preserve">5、我们认为你们有权决定中标者，还认为你们有权接受或拒绝所有的投标者。</w:t>
      </w:r>
      <w:r/>
    </w:p>
    <w:p>
      <w:pPr>
        <w:pStyle w:val="850"/>
        <w:ind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6、我们愿意遵守招标公告及招标文件中所列的收费标准。</w:t>
      </w:r>
      <w:r/>
    </w:p>
    <w:p>
      <w:pPr>
        <w:pStyle w:val="1119"/>
        <w:ind w:firstLine="480"/>
        <w:jc w:val="left"/>
        <w:spacing w:line="360" w:lineRule="auto"/>
        <w:rPr>
          <w:rFonts w:hint="default" w:hAnsi="宋体" w:eastAsia="宋体" w:cs="宋体"/>
          <w:color w:val="auto"/>
          <w:sz w:val="24"/>
          <w:szCs w:val="24"/>
          <w:highlight w:val="none"/>
        </w:rPr>
      </w:pPr>
      <w:r>
        <w:rPr>
          <w:rFonts w:hAnsi="宋体" w:eastAsia="宋体" w:cs="宋体"/>
          <w:color w:val="auto"/>
          <w:sz w:val="24"/>
          <w:szCs w:val="24"/>
          <w:highlight w:val="none"/>
        </w:rPr>
        <w:t xml:space="preserve">7、我们承诺该项投标在开标后的全过程中保持有效，不作任何更改和变动。我们同意中标后若不履行投标文件的内容要求和各项承诺及义务的即被视为违约，其中标资格将被取消，并接受相应的处罚。</w:t>
      </w:r>
      <w:r/>
    </w:p>
    <w:p>
      <w:pPr>
        <w:pStyle w:val="1119"/>
        <w:ind w:firstLine="480"/>
        <w:jc w:val="left"/>
        <w:spacing w:line="360" w:lineRule="auto"/>
        <w:rPr>
          <w:rFonts w:hint="default" w:hAnsi="宋体" w:eastAsia="宋体" w:cs="宋体"/>
          <w:color w:val="auto"/>
          <w:sz w:val="24"/>
          <w:szCs w:val="24"/>
          <w:highlight w:val="none"/>
        </w:rPr>
      </w:pPr>
      <w:r>
        <w:rPr>
          <w:rFonts w:hAnsi="宋体" w:eastAsia="宋体" w:cs="宋体"/>
          <w:color w:val="auto"/>
          <w:sz w:val="24"/>
          <w:szCs w:val="24"/>
          <w:highlight w:val="none"/>
        </w:rPr>
        <w:t xml:space="preserve">8、如果我们中标，我们愿意按前附表的规定在领取中标通过书时向贵公司支付中标服务费，逾期按中国人民银行公布的同期人民币贷款最高利率计付利息；</w:t>
      </w:r>
      <w:r/>
    </w:p>
    <w:p>
      <w:pPr>
        <w:pStyle w:val="1119"/>
        <w:ind w:firstLine="480"/>
        <w:jc w:val="left"/>
        <w:spacing w:line="360" w:lineRule="auto"/>
        <w:rPr>
          <w:rFonts w:hint="default" w:hAnsi="宋体" w:eastAsia="宋体" w:cs="宋体"/>
          <w:color w:val="auto"/>
          <w:sz w:val="24"/>
          <w:szCs w:val="24"/>
          <w:highlight w:val="none"/>
        </w:rPr>
      </w:pPr>
      <w:r>
        <w:rPr>
          <w:rFonts w:hAnsi="宋体" w:eastAsia="宋体" w:cs="宋体"/>
          <w:color w:val="auto"/>
          <w:sz w:val="24"/>
          <w:szCs w:val="24"/>
          <w:highlight w:val="none"/>
        </w:rPr>
        <w:t xml:space="preserve">9、与本投标有关的通讯地址：</w:t>
      </w:r>
      <w:r/>
    </w:p>
    <w:p>
      <w:pPr>
        <w:pStyle w:val="1119"/>
        <w:jc w:val="left"/>
        <w:spacing w:line="360" w:lineRule="auto"/>
        <w:rPr>
          <w:rFonts w:hint="default" w:hAnsi="宋体" w:eastAsia="宋体" w:cs="宋体"/>
          <w:color w:val="auto"/>
          <w:sz w:val="24"/>
          <w:szCs w:val="24"/>
          <w:highlight w:val="none"/>
          <w:u w:val="single"/>
        </w:rPr>
      </w:pPr>
      <w:r>
        <w:rPr>
          <w:rFonts w:hAnsi="宋体" w:eastAsia="宋体" w:cs="宋体"/>
          <w:color w:val="auto"/>
          <w:sz w:val="24"/>
          <w:szCs w:val="24"/>
          <w:highlight w:val="none"/>
        </w:rPr>
        <w:t xml:space="preserve">单    位： </w:t>
      </w:r>
      <w:r>
        <w:rPr>
          <w:rFonts w:hAnsi="宋体" w:eastAsia="宋体" w:cs="宋体"/>
          <w:color w:val="auto"/>
          <w:sz w:val="24"/>
          <w:szCs w:val="24"/>
          <w:highlight w:val="none"/>
          <w:u w:val="single"/>
        </w:rPr>
        <w:t xml:space="preserve">                                </w:t>
      </w:r>
      <w:r>
        <w:rPr>
          <w:rFonts w:hAnsi="宋体" w:eastAsia="宋体" w:cs="宋体"/>
          <w:color w:val="auto"/>
          <w:sz w:val="24"/>
          <w:szCs w:val="24"/>
          <w:highlight w:val="none"/>
        </w:rPr>
        <w:t xml:space="preserve">联 系 人：</w:t>
      </w:r>
      <w:r>
        <w:rPr>
          <w:rFonts w:hAnsi="宋体" w:eastAsia="宋体" w:cs="宋体"/>
          <w:color w:val="auto"/>
          <w:sz w:val="24"/>
          <w:szCs w:val="24"/>
          <w:highlight w:val="none"/>
          <w:u w:val="single"/>
        </w:rPr>
        <w:t xml:space="preserve">                   </w:t>
      </w:r>
      <w:r/>
    </w:p>
    <w:p>
      <w:pPr>
        <w:pStyle w:val="1119"/>
        <w:jc w:val="left"/>
        <w:spacing w:line="360" w:lineRule="auto"/>
        <w:rPr>
          <w:rFonts w:hint="default" w:hAnsi="宋体" w:eastAsia="宋体" w:cs="宋体"/>
          <w:color w:val="auto"/>
          <w:sz w:val="24"/>
          <w:szCs w:val="24"/>
          <w:highlight w:val="none"/>
          <w:u w:val="single"/>
        </w:rPr>
      </w:pPr>
      <w:r>
        <w:rPr>
          <w:rFonts w:hAnsi="宋体" w:eastAsia="宋体" w:cs="宋体"/>
          <w:color w:val="auto"/>
          <w:sz w:val="24"/>
          <w:szCs w:val="24"/>
          <w:highlight w:val="none"/>
        </w:rPr>
        <w:t xml:space="preserve">地    址：</w:t>
      </w:r>
      <w:r>
        <w:rPr>
          <w:rFonts w:hAnsi="宋体" w:eastAsia="宋体" w:cs="宋体"/>
          <w:color w:val="auto"/>
          <w:sz w:val="24"/>
          <w:szCs w:val="24"/>
          <w:highlight w:val="none"/>
          <w:u w:val="single"/>
        </w:rPr>
        <w:t xml:space="preserve">                                </w:t>
      </w:r>
      <w:r>
        <w:rPr>
          <w:rFonts w:hAnsi="宋体" w:eastAsia="宋体" w:cs="宋体"/>
          <w:color w:val="auto"/>
          <w:sz w:val="24"/>
          <w:szCs w:val="24"/>
          <w:highlight w:val="none"/>
        </w:rPr>
        <w:t xml:space="preserve"> 邮政编码：</w:t>
      </w:r>
      <w:r>
        <w:rPr>
          <w:rFonts w:hAnsi="宋体" w:eastAsia="宋体" w:cs="宋体"/>
          <w:color w:val="auto"/>
          <w:sz w:val="24"/>
          <w:szCs w:val="24"/>
          <w:highlight w:val="none"/>
          <w:u w:val="single"/>
        </w:rPr>
        <w:t xml:space="preserve">                </w:t>
      </w:r>
      <w:r/>
    </w:p>
    <w:p>
      <w:pPr>
        <w:pStyle w:val="1119"/>
        <w:jc w:val="left"/>
        <w:spacing w:line="360" w:lineRule="auto"/>
        <w:rPr>
          <w:rFonts w:hint="default" w:hAnsi="宋体" w:eastAsia="宋体" w:cs="宋体"/>
          <w:color w:val="auto"/>
          <w:sz w:val="24"/>
          <w:szCs w:val="24"/>
          <w:highlight w:val="none"/>
          <w:u w:val="single"/>
        </w:rPr>
      </w:pPr>
      <w:r>
        <w:rPr>
          <w:rFonts w:hAnsi="宋体" w:eastAsia="宋体" w:cs="宋体"/>
          <w:color w:val="auto"/>
          <w:sz w:val="24"/>
          <w:szCs w:val="24"/>
          <w:highlight w:val="none"/>
        </w:rPr>
        <w:t xml:space="preserve">联系电话：</w:t>
      </w:r>
      <w:r>
        <w:rPr>
          <w:rFonts w:hAnsi="宋体" w:eastAsia="宋体" w:cs="宋体"/>
          <w:color w:val="auto"/>
          <w:sz w:val="24"/>
          <w:szCs w:val="24"/>
          <w:highlight w:val="none"/>
          <w:u w:val="single"/>
        </w:rPr>
        <w:t xml:space="preserve">                                </w:t>
      </w:r>
      <w:r>
        <w:rPr>
          <w:rFonts w:hAnsi="宋体" w:eastAsia="宋体" w:cs="宋体"/>
          <w:color w:val="auto"/>
          <w:sz w:val="24"/>
          <w:szCs w:val="24"/>
          <w:highlight w:val="none"/>
        </w:rPr>
        <w:t xml:space="preserve"> 传    真：</w:t>
      </w:r>
      <w:r>
        <w:rPr>
          <w:rFonts w:hAnsi="宋体" w:eastAsia="宋体" w:cs="宋体"/>
          <w:color w:val="auto"/>
          <w:sz w:val="24"/>
          <w:szCs w:val="24"/>
          <w:highlight w:val="none"/>
          <w:u w:val="single"/>
        </w:rPr>
        <w:t xml:space="preserve">                    </w:t>
      </w:r>
      <w:r/>
    </w:p>
    <w:p>
      <w:pPr>
        <w:pStyle w:val="1119"/>
        <w:jc w:val="left"/>
        <w:spacing w:line="360" w:lineRule="auto"/>
        <w:rPr>
          <w:rFonts w:hint="default" w:hAnsi="宋体" w:eastAsia="宋体" w:cs="宋体"/>
          <w:color w:val="auto"/>
          <w:sz w:val="24"/>
          <w:szCs w:val="24"/>
          <w:highlight w:val="none"/>
        </w:rPr>
      </w:pPr>
      <w:r>
        <w:rPr>
          <w:rFonts w:hAnsi="宋体" w:eastAsia="宋体" w:cs="宋体"/>
          <w:color w:val="auto"/>
          <w:sz w:val="24"/>
          <w:szCs w:val="24"/>
          <w:highlight w:val="none"/>
        </w:rPr>
        <w:t xml:space="preserve">供应商：（单位盖章）</w:t>
      </w:r>
      <w:r/>
    </w:p>
    <w:p>
      <w:pPr>
        <w:pStyle w:val="1119"/>
        <w:jc w:val="left"/>
        <w:spacing w:line="360" w:lineRule="auto"/>
        <w:rPr>
          <w:rFonts w:hint="default" w:hAnsi="宋体" w:eastAsia="宋体" w:cs="宋体"/>
          <w:color w:val="auto"/>
          <w:sz w:val="24"/>
          <w:szCs w:val="24"/>
          <w:highlight w:val="none"/>
        </w:rPr>
      </w:pPr>
      <w:r>
        <w:rPr>
          <w:rFonts w:hAnsi="宋体" w:eastAsia="宋体" w:cs="宋体"/>
          <w:color w:val="auto"/>
          <w:sz w:val="24"/>
          <w:szCs w:val="24"/>
          <w:highlight w:val="none"/>
        </w:rPr>
        <w:t xml:space="preserve">单位法定代表人或授权委托人：（签字或盖章）</w:t>
      </w:r>
      <w:r/>
    </w:p>
    <w:p>
      <w:pPr>
        <w:pStyle w:val="850"/>
        <w:ind w:firstLine="0"/>
        <w:jc w:val="center"/>
        <w:spacing w:line="360" w:lineRule="auto"/>
        <w:rPr>
          <w:rFonts w:ascii="宋体" w:hAnsi="宋体" w:eastAsia="宋体" w:cs="宋体"/>
          <w:b/>
          <w:color w:val="auto"/>
          <w:sz w:val="30"/>
          <w:szCs w:val="30"/>
          <w:highlight w:val="none"/>
        </w:rPr>
      </w:pPr>
      <w:r>
        <w:rPr>
          <w:rFonts w:hint="eastAsia" w:ascii="宋体" w:hAnsi="宋体" w:eastAsia="宋体" w:cs="宋体"/>
          <w:b/>
          <w:color w:val="auto"/>
          <w:sz w:val="21"/>
          <w:szCs w:val="21"/>
          <w:highlight w:val="none"/>
        </w:rPr>
        <w:br w:type="page" w:clear="all"/>
      </w:r>
      <w:bookmarkStart w:id="19" w:name="_Toc142194267"/>
      <w:r>
        <w:rPr>
          <w:rFonts w:hint="eastAsia" w:ascii="宋体" w:hAnsi="宋体" w:eastAsia="宋体" w:cs="宋体"/>
          <w:b/>
          <w:bCs/>
          <w:color w:val="auto"/>
          <w:sz w:val="30"/>
          <w:szCs w:val="30"/>
          <w:highlight w:val="none"/>
        </w:rPr>
        <w:t xml:space="preserve">二、</w:t>
      </w:r>
      <w:bookmarkEnd w:id="19"/>
      <w:r>
        <w:rPr>
          <w:rFonts w:hint="eastAsia" w:ascii="宋体" w:hAnsi="宋体" w:eastAsia="宋体" w:cs="宋体"/>
          <w:b/>
          <w:color w:val="auto"/>
          <w:sz w:val="30"/>
          <w:szCs w:val="30"/>
          <w:highlight w:val="none"/>
        </w:rPr>
        <w:t xml:space="preserve">法定代表人授权委托书</w:t>
      </w:r>
      <w:r/>
    </w:p>
    <w:p>
      <w:pPr>
        <w:pStyle w:val="850"/>
        <w:ind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本授权委托书声明：我 </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（姓名）系</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（投标人名称）的法定代表人，现授权委托</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单位名称）的</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（姓名）为我公司授权委托人（即代理人），以本公司的名义参加</w:t>
      </w:r>
      <w:r>
        <w:rPr>
          <w:rFonts w:hint="eastAsia" w:ascii="宋体" w:hAnsi="宋体" w:eastAsia="宋体" w:cs="宋体"/>
          <w:color w:val="auto"/>
          <w:szCs w:val="24"/>
          <w:highlight w:val="none"/>
          <w:lang w:eastAsia="zh-CN"/>
        </w:rPr>
        <w:t xml:space="preserve">诚信金泰建设管理（苏州）有限公司</w:t>
      </w:r>
      <w:r>
        <w:rPr>
          <w:rFonts w:hint="eastAsia" w:ascii="宋体" w:hAnsi="宋体" w:eastAsia="宋体" w:cs="宋体"/>
          <w:color w:val="auto"/>
          <w:szCs w:val="24"/>
          <w:highlight w:val="none"/>
        </w:rPr>
        <w:t xml:space="preserve">组织实施的编号为</w:t>
      </w:r>
      <w:r>
        <w:rPr>
          <w:rFonts w:hint="eastAsia" w:ascii="宋体" w:hAnsi="宋体" w:eastAsia="宋体" w:cs="宋体"/>
          <w:color w:val="auto"/>
          <w:szCs w:val="24"/>
          <w:highlight w:val="none"/>
          <w:u w:val="single"/>
        </w:rPr>
        <w:t xml:space="preserve">  （项目编号）   </w:t>
      </w:r>
      <w:r>
        <w:rPr>
          <w:rFonts w:hint="eastAsia" w:ascii="宋体" w:hAnsi="宋体" w:eastAsia="宋体" w:cs="宋体"/>
          <w:color w:val="auto"/>
          <w:szCs w:val="24"/>
          <w:highlight w:val="none"/>
        </w:rPr>
        <w:t xml:space="preserve">号的 </w:t>
      </w:r>
      <w:r>
        <w:rPr>
          <w:rFonts w:hint="eastAsia" w:ascii="宋体" w:hAnsi="宋体" w:eastAsia="宋体" w:cs="宋体"/>
          <w:color w:val="auto"/>
          <w:szCs w:val="24"/>
          <w:highlight w:val="none"/>
          <w:u w:val="single"/>
        </w:rPr>
        <w:t xml:space="preserve">   （项目名称）  </w:t>
      </w:r>
      <w:r>
        <w:rPr>
          <w:rFonts w:hint="eastAsia" w:ascii="宋体" w:hAnsi="宋体" w:eastAsia="宋体" w:cs="宋体"/>
          <w:color w:val="auto"/>
          <w:szCs w:val="24"/>
          <w:highlight w:val="none"/>
        </w:rPr>
        <w:t xml:space="preserve">招标活动。代理人在开标、评标、合同谈判过程中所签署的一切文件和处理与这有关的一切事务，我均予以承认。</w:t>
      </w:r>
      <w:r/>
    </w:p>
    <w:p>
      <w:pPr>
        <w:pStyle w:val="850"/>
        <w:ind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代理人在授权委托书有效期内签署的所有文件不因授权委托的撤销而失效，除非有撤销授权委托的书面通知，本授权委托书自投标开始至合同履行完毕止。</w:t>
      </w:r>
      <w:r/>
    </w:p>
    <w:p>
      <w:pPr>
        <w:pStyle w:val="850"/>
        <w:ind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代理人无转委托权。特此委托。</w:t>
      </w:r>
      <w:r/>
    </w:p>
    <w:p>
      <w:pPr>
        <w:pStyle w:val="850"/>
        <w:ind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850"/>
        <w:ind w:firstLine="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供应商：（公章）</w:t>
      </w:r>
      <w:r/>
    </w:p>
    <w:p>
      <w:pPr>
        <w:pStyle w:val="850"/>
        <w:ind w:firstLine="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法定代表人：（签字或盖章）</w:t>
      </w:r>
      <w:r/>
    </w:p>
    <w:p>
      <w:pPr>
        <w:pStyle w:val="850"/>
        <w:ind w:firstLine="0"/>
        <w:spacing w:line="360" w:lineRule="auto"/>
        <w:rPr>
          <w:rFonts w:ascii="宋体" w:hAnsi="宋体" w:eastAsia="宋体" w:cs="宋体"/>
          <w:color w:val="auto"/>
          <w:sz w:val="21"/>
          <w:highlight w:val="none"/>
        </w:rPr>
      </w:pPr>
      <w:r>
        <w:rPr>
          <w:rFonts w:hint="eastAsia" w:ascii="宋体" w:hAnsi="宋体" w:eastAsia="宋体" w:cs="宋体"/>
          <w:color w:val="auto"/>
          <w:szCs w:val="24"/>
          <w:highlight w:val="none"/>
        </w:rPr>
        <w:t xml:space="preserve">代理人：（签字）</w:t>
      </w:r>
      <w:r>
        <w:rPr>
          <w:rFonts w:hint="eastAsia" w:ascii="宋体" w:hAnsi="宋体" w:eastAsia="宋体" w:cs="宋体"/>
          <w:color w:val="auto"/>
          <w:sz w:val="21"/>
          <w:highlight w:val="none"/>
        </w:rPr>
        <w:t xml:space="preserve"> </w:t>
      </w:r>
      <w:r/>
    </w:p>
    <w:p>
      <w:pPr>
        <w:pStyle w:val="850"/>
        <w:ind w:firstLine="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日期：       年    月     日</w:t>
      </w:r>
      <w:r/>
    </w:p>
    <w:p>
      <w:pPr>
        <w:pStyle w:val="850"/>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50"/>
        <w:ind w:firstLine="0"/>
        <w:jc w:val="center"/>
        <w:spacing w:line="360" w:lineRule="auto"/>
        <w:rPr>
          <w:rFonts w:ascii="宋体" w:hAnsi="宋体" w:eastAsia="宋体" w:cs="宋体"/>
          <w:color w:val="auto"/>
          <w:szCs w:val="24"/>
          <w:highlight w:val="none"/>
        </w:rPr>
      </w:pPr>
      <w:r/>
      <w:bookmarkStart w:id="20" w:name="_Toc142194268"/>
      <w:r>
        <w:rPr>
          <w:rFonts w:hint="eastAsia" w:ascii="宋体" w:hAnsi="宋体" w:eastAsia="宋体" w:cs="宋体"/>
          <w:b/>
          <w:bCs/>
          <w:color w:val="auto"/>
          <w:sz w:val="30"/>
          <w:szCs w:val="30"/>
          <w:highlight w:val="none"/>
        </w:rPr>
        <w:br w:type="page" w:clear="all"/>
      </w:r>
      <w:r>
        <w:rPr>
          <w:rFonts w:hint="eastAsia" w:ascii="宋体" w:hAnsi="宋体" w:eastAsia="宋体" w:cs="宋体"/>
          <w:b/>
          <w:bCs/>
          <w:color w:val="auto"/>
          <w:sz w:val="30"/>
          <w:szCs w:val="30"/>
          <w:highlight w:val="none"/>
        </w:rPr>
        <w:t xml:space="preserve">三、</w:t>
      </w:r>
      <w:bookmarkEnd w:id="20"/>
      <w:r>
        <w:rPr>
          <w:rFonts w:hint="eastAsia" w:ascii="宋体" w:hAnsi="宋体" w:eastAsia="宋体" w:cs="宋体"/>
          <w:b/>
          <w:bCs/>
          <w:color w:val="auto"/>
          <w:sz w:val="30"/>
          <w:szCs w:val="30"/>
          <w:highlight w:val="none"/>
        </w:rPr>
        <w:t xml:space="preserve">投标报价表</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招标编号：</w:t>
      </w:r>
      <w:r/>
    </w:p>
    <w:tbl>
      <w:tblPr>
        <w:tblStyle w:val="84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60"/>
        <w:gridCol w:w="1612"/>
        <w:gridCol w:w="2727"/>
        <w:gridCol w:w="2729"/>
        <w:gridCol w:w="1948"/>
      </w:tblGrid>
      <w:tr>
        <w:trPr>
          <w:cantSplit/>
          <w:trHeight w:val="602"/>
        </w:trPr>
        <w:tc>
          <w:tcPr>
            <w:tcBorders>
              <w:top w:val="single" w:color="auto" w:sz="4" w:space="0"/>
              <w:left w:val="single" w:color="auto" w:sz="4" w:space="0"/>
              <w:bottom w:val="single" w:color="auto" w:sz="4" w:space="0"/>
              <w:right w:val="single" w:color="auto" w:sz="4" w:space="0"/>
            </w:tcBorders>
            <w:tcW w:w="526"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Borders>
              <w:top w:val="single" w:color="auto" w:sz="4" w:space="0"/>
              <w:left w:val="single" w:color="auto" w:sz="4" w:space="0"/>
              <w:bottom w:val="single" w:color="auto" w:sz="4" w:space="0"/>
              <w:right w:val="single" w:color="auto" w:sz="4" w:space="0"/>
            </w:tcBorders>
            <w:tcW w:w="1353" w:type="pct"/>
            <w:vAlign w:val="center"/>
            <w:textDirection w:val="lrTb"/>
            <w:noWrap w:val="false"/>
          </w:tcPr>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采购包号</w:t>
            </w:r>
            <w:r/>
          </w:p>
        </w:tc>
        <w:tc>
          <w:tcPr>
            <w:tcBorders>
              <w:top w:val="single" w:color="auto" w:sz="4" w:space="0"/>
              <w:left w:val="single" w:color="auto" w:sz="4" w:space="0"/>
              <w:bottom w:val="single" w:color="auto" w:sz="4" w:space="0"/>
              <w:right w:val="single" w:color="auto" w:sz="4" w:space="0"/>
            </w:tcBorders>
            <w:tcW w:w="1353"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服务期限</w:t>
            </w:r>
            <w:r/>
          </w:p>
        </w:tc>
        <w:tc>
          <w:tcPr>
            <w:tcBorders>
              <w:top w:val="single" w:color="auto" w:sz="4" w:space="0"/>
              <w:left w:val="single" w:color="auto" w:sz="4" w:space="0"/>
              <w:bottom w:val="single" w:color="auto" w:sz="4" w:space="0"/>
              <w:right w:val="single" w:color="auto" w:sz="4" w:space="0"/>
            </w:tcBorders>
            <w:tcW w:w="96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w:t>
            </w:r>
            <w:r/>
          </w:p>
        </w:tc>
      </w:tr>
      <w:tr>
        <w:trPr>
          <w:cantSplit/>
          <w:trHeight w:val="1047"/>
        </w:trPr>
        <w:tc>
          <w:tcPr>
            <w:tcBorders>
              <w:top w:val="single" w:color="auto" w:sz="4" w:space="0"/>
              <w:left w:val="single" w:color="auto" w:sz="4" w:space="0"/>
              <w:bottom w:val="single" w:color="auto" w:sz="4" w:space="0"/>
              <w:right w:val="single" w:color="auto" w:sz="4" w:space="0"/>
            </w:tcBorders>
            <w:tcW w:w="526"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53" w:type="pct"/>
            <w:vAlign w:val="center"/>
            <w:textDirection w:val="lrTb"/>
            <w:noWrap w:val="false"/>
          </w:tcPr>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53" w:type="pct"/>
            <w:vAlign w:val="center"/>
            <w:textDirection w:val="lrTb"/>
            <w:noWrap w:val="false"/>
          </w:tcPr>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66" w:type="pct"/>
            <w:vAlign w:val="center"/>
            <w:textDirection w:val="lrTb"/>
            <w:noWrap w:val="false"/>
          </w:tcPr>
          <w:p>
            <w:pPr>
              <w:spacing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r>
      <w:tr>
        <w:trPr>
          <w:cantSplit/>
          <w:trHeight w:val="567"/>
        </w:trPr>
        <w:tc>
          <w:tcPr>
            <w:tcBorders>
              <w:top w:val="single" w:color="auto" w:sz="4" w:space="0"/>
              <w:left w:val="single" w:color="auto" w:sz="4" w:space="0"/>
              <w:bottom w:val="single" w:color="auto" w:sz="4" w:space="0"/>
              <w:right w:val="single" w:color="auto" w:sz="4" w:space="0"/>
            </w:tcBorders>
            <w:tcW w:w="526" w:type="pct"/>
            <w:vAlign w:val="bottom"/>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企业规模</w:t>
            </w:r>
            <w:r/>
          </w:p>
        </w:tc>
        <w:tc>
          <w:tcPr>
            <w:gridSpan w:val="3"/>
            <w:tcBorders>
              <w:top w:val="single" w:color="auto" w:sz="4" w:space="0"/>
              <w:left w:val="single" w:color="auto" w:sz="4" w:space="0"/>
              <w:bottom w:val="single" w:color="auto" w:sz="4" w:space="0"/>
              <w:right w:val="single" w:color="auto" w:sz="4" w:space="0"/>
            </w:tcBorders>
            <w:tcW w:w="3507" w:type="pct"/>
            <w:vAlign w:val="bottom"/>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□中型      □小型      □微型     □残疾人企业    □监狱企业      </w:t>
            </w:r>
            <w:r/>
          </w:p>
        </w:tc>
        <w:tc>
          <w:tcPr>
            <w:tcBorders>
              <w:top w:val="single" w:color="auto" w:sz="4" w:space="0"/>
              <w:left w:val="single" w:color="auto" w:sz="4" w:space="0"/>
              <w:bottom w:val="single" w:color="auto" w:sz="4" w:space="0"/>
              <w:right w:val="single" w:color="auto" w:sz="4" w:space="0"/>
            </w:tcBorders>
            <w:tcW w:w="966" w:type="pct"/>
            <w:vAlign w:val="bottom"/>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供应商（盖公章）：</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jc w:val="left"/>
        <w:spacing w:line="360" w:lineRule="auto"/>
        <w:rPr>
          <w:rFonts w:ascii="宋体" w:hAnsi="宋体" w:eastAsia="宋体" w:cs="宋体"/>
          <w:b/>
          <w:color w:val="auto"/>
          <w:sz w:val="24"/>
          <w:szCs w:val="24"/>
          <w:highlight w:val="none"/>
          <w:u w:val="single"/>
        </w:rPr>
      </w:pPr>
      <w:r/>
      <w:bookmarkStart w:id="21" w:name="_Toc142194270"/>
      <w:r>
        <w:rPr>
          <w:rFonts w:hint="eastAsia" w:ascii="宋体" w:hAnsi="宋体" w:eastAsia="宋体" w:cs="宋体"/>
          <w:b/>
          <w:color w:val="auto"/>
          <w:sz w:val="24"/>
          <w:szCs w:val="24"/>
          <w:highlight w:val="none"/>
          <w:u w:val="single"/>
        </w:rPr>
        <w:t xml:space="preserve">注：1、本表中的报价应包含完成全部服务内容所需的人工费用、税费、利润、其它临时性杂项应急服务费用、劳保与培训、政策性文件规定及合同包含的所有风险、责任等服务过程中所需的全部费用。</w:t>
      </w:r>
      <w:r/>
    </w:p>
    <w:p>
      <w:pPr>
        <w:spacing w:line="360" w:lineRule="auto"/>
        <w:rPr>
          <w:rFonts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 xml:space="preserve">2、报价金额全部采取人民币表示，投标报价精确到分。</w:t>
      </w:r>
      <w:r/>
    </w:p>
    <w:p>
      <w:pPr>
        <w:pStyle w:val="850"/>
        <w:ind w:firstLine="0"/>
        <w:jc w:val="center"/>
        <w:spacing w:line="360" w:lineRule="auto"/>
        <w:rPr>
          <w:rFonts w:hint="eastAsia" w:ascii="宋体" w:hAnsi="宋体" w:eastAsia="宋体" w:cs="宋体"/>
          <w:b/>
          <w:color w:val="auto"/>
          <w:szCs w:val="24"/>
          <w:highlight w:val="none"/>
          <w:lang w:eastAsia="zh-CN"/>
        </w:rPr>
      </w:pPr>
      <w:r>
        <w:rPr>
          <w:rFonts w:hint="eastAsia" w:ascii="宋体" w:hAnsi="宋体" w:eastAsia="宋体" w:cs="宋体"/>
          <w:b/>
          <w:bCs/>
          <w:color w:val="auto"/>
          <w:szCs w:val="24"/>
          <w:highlight w:val="none"/>
        </w:rPr>
        <w:br w:type="page" w:clear="all"/>
      </w:r>
      <w:r>
        <w:rPr>
          <w:rFonts w:hint="eastAsia" w:ascii="宋体" w:hAnsi="宋体" w:eastAsia="宋体" w:cs="宋体"/>
          <w:b/>
          <w:bCs/>
          <w:color w:val="auto"/>
          <w:sz w:val="30"/>
          <w:szCs w:val="30"/>
          <w:highlight w:val="none"/>
        </w:rPr>
        <w:t xml:space="preserve">四、分项报价明细表</w:t>
      </w:r>
      <w:r>
        <w:rPr>
          <w:rFonts w:hint="eastAsia" w:ascii="宋体" w:hAnsi="宋体" w:eastAsia="宋体" w:cs="宋体"/>
          <w:b/>
          <w:bCs/>
          <w:color w:val="auto"/>
          <w:sz w:val="30"/>
          <w:szCs w:val="30"/>
          <w:highlight w:val="none"/>
          <w:lang w:eastAsia="zh-CN"/>
        </w:rPr>
        <w:t xml:space="preserve">（</w:t>
      </w:r>
      <w:r>
        <w:rPr>
          <w:rFonts w:hint="eastAsia" w:ascii="宋体" w:hAnsi="宋体" w:eastAsia="宋体" w:cs="宋体"/>
          <w:b/>
          <w:bCs/>
          <w:color w:val="auto"/>
          <w:sz w:val="30"/>
          <w:szCs w:val="30"/>
          <w:highlight w:val="none"/>
          <w:lang w:val="en-US" w:eastAsia="zh-CN"/>
        </w:rPr>
        <w:t xml:space="preserve">如有</w:t>
      </w:r>
      <w:r>
        <w:rPr>
          <w:rFonts w:hint="eastAsia" w:ascii="宋体" w:hAnsi="宋体" w:eastAsia="宋体" w:cs="宋体"/>
          <w:b/>
          <w:bCs/>
          <w:color w:val="auto"/>
          <w:sz w:val="30"/>
          <w:szCs w:val="30"/>
          <w:highlight w:val="none"/>
          <w:lang w:eastAsia="zh-CN"/>
        </w:rPr>
        <w:t xml:space="preserve">）</w:t>
      </w:r>
      <w:r/>
    </w:p>
    <w:p>
      <w:pPr>
        <w:jc w:val="center"/>
        <w:rPr>
          <w:rFonts w:ascii="宋体" w:hAnsi="宋体" w:eastAsia="宋体" w:cs="宋体"/>
          <w:color w:val="auto"/>
          <w:sz w:val="24"/>
          <w:szCs w:val="24"/>
          <w:highlight w:val="none"/>
          <w:u w:val="single"/>
        </w:rPr>
      </w:pPr>
      <w:r>
        <w:rPr>
          <w:rFonts w:ascii="宋体" w:hAnsi="宋体" w:eastAsia="宋体" w:cs="宋体"/>
          <w:color w:val="auto"/>
          <w:sz w:val="24"/>
          <w:szCs w:val="24"/>
          <w:highlight w:val="none"/>
          <w:u w:val="single"/>
        </w:rPr>
      </w:r>
      <w:r/>
    </w:p>
    <w:tbl>
      <w:tblPr>
        <w:tblStyle w:val="847"/>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8"/>
        <w:gridCol w:w="1850"/>
        <w:gridCol w:w="1180"/>
        <w:gridCol w:w="1007"/>
        <w:gridCol w:w="1338"/>
        <w:gridCol w:w="1333"/>
        <w:gridCol w:w="1335"/>
        <w:gridCol w:w="1335"/>
      </w:tblGrid>
      <w:tr>
        <w:trPr/>
        <w:tc>
          <w:tcPr>
            <w:tcW w:w="318" w:type="pct"/>
            <w:vAlign w:val="center"/>
            <w:textDirection w:val="lrTb"/>
            <w:noWrap/>
          </w:tcPr>
          <w:p>
            <w:pPr>
              <w:jc w:val="center"/>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W w:w="934" w:type="pct"/>
            <w:vAlign w:val="center"/>
            <w:textDirection w:val="lrTb"/>
            <w:noWrap/>
          </w:tcPr>
          <w:p>
            <w:pPr>
              <w:jc w:val="center"/>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服务内容</w:t>
            </w:r>
            <w:r/>
          </w:p>
        </w:tc>
        <w:tc>
          <w:tcPr>
            <w:shd w:val="clear" w:color="auto" w:fill="auto"/>
            <w:tcW w:w="516" w:type="pct"/>
            <w:vAlign w:val="center"/>
            <w:textDirection w:val="lrTb"/>
            <w:noWrap/>
          </w:tcPr>
          <w:p>
            <w:pPr>
              <w:jc w:val="center"/>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采购包号</w:t>
            </w:r>
            <w:r/>
          </w:p>
        </w:tc>
        <w:tc>
          <w:tcPr>
            <w:shd w:val="clear" w:color="auto" w:fill="auto"/>
            <w:tcW w:w="516" w:type="pct"/>
            <w:vAlign w:val="center"/>
            <w:textDirection w:val="lrTb"/>
            <w:noWrap/>
          </w:tcPr>
          <w:p>
            <w:pPr>
              <w:jc w:val="center"/>
              <w:widowControl/>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数量</w:t>
            </w:r>
            <w:r/>
          </w:p>
        </w:tc>
        <w:tc>
          <w:tcPr>
            <w:shd w:val="clear" w:color="auto" w:fill="auto"/>
            <w:tcW w:w="680" w:type="pct"/>
            <w:vAlign w:val="center"/>
            <w:textDirection w:val="lrTb"/>
            <w:noWrap/>
          </w:tcPr>
          <w:p>
            <w:pPr>
              <w:jc w:val="center"/>
              <w:widowControl/>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单位</w:t>
            </w:r>
            <w:r/>
          </w:p>
        </w:tc>
        <w:tc>
          <w:tcPr>
            <w:shd w:val="clear" w:color="auto" w:fill="auto"/>
            <w:tcW w:w="677" w:type="pct"/>
            <w:vAlign w:val="center"/>
            <w:textDirection w:val="lrTb"/>
            <w:noWrap/>
          </w:tcPr>
          <w:p>
            <w:pPr>
              <w:jc w:val="center"/>
              <w:widowControl/>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单价</w:t>
            </w:r>
            <w:r/>
          </w:p>
        </w:tc>
        <w:tc>
          <w:tcPr>
            <w:shd w:val="clear" w:color="auto" w:fill="auto"/>
            <w:tcW w:w="678" w:type="pct"/>
            <w:vAlign w:val="center"/>
            <w:textDirection w:val="lrTb"/>
            <w:noWrap/>
          </w:tcPr>
          <w:p>
            <w:pPr>
              <w:jc w:val="center"/>
              <w:widowControl/>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小计</w:t>
            </w:r>
            <w:r/>
          </w:p>
        </w:tc>
        <w:tc>
          <w:tcPr>
            <w:shd w:val="clear" w:color="auto" w:fill="auto"/>
            <w:tcW w:w="678" w:type="pct"/>
            <w:vAlign w:val="center"/>
            <w:textDirection w:val="lrTb"/>
            <w:noWrap/>
          </w:tcPr>
          <w:p>
            <w:pPr>
              <w:jc w:val="center"/>
              <w:widowControl/>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备注</w:t>
            </w:r>
            <w:r/>
          </w:p>
        </w:tc>
      </w:tr>
      <w:tr>
        <w:trPr>
          <w:trHeight w:val="90"/>
        </w:trPr>
        <w:tc>
          <w:tcPr>
            <w:tcW w:w="318" w:type="pct"/>
            <w:vAlign w:val="center"/>
            <w:textDirection w:val="lrTb"/>
            <w:noWrap/>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934" w:type="pct"/>
            <w:vAlign w:val="center"/>
            <w:textDirection w:val="lrTb"/>
            <w:noWrap/>
          </w:tcPr>
          <w:p>
            <w:pPr>
              <w:jc w:val="cente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W w:w="516" w:type="pct"/>
            <w:vAlign w:val="center"/>
            <w:textDirection w:val="lrTb"/>
            <w:noWrap/>
          </w:tcPr>
          <w:p>
            <w:pPr>
              <w:jc w:val="cente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W w:w="516" w:type="pct"/>
            <w:vAlign w:val="center"/>
            <w:textDirection w:val="lrTb"/>
            <w:noWrap/>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680" w:type="pct"/>
            <w:vAlign w:val="center"/>
            <w:textDirection w:val="lrTb"/>
            <w:noWrap/>
          </w:tcPr>
          <w:p>
            <w:pPr>
              <w:jc w:val="cente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W w:w="677" w:type="pct"/>
            <w:vAlign w:val="center"/>
            <w:textDirection w:val="lrTb"/>
            <w:noWrap/>
          </w:tcPr>
          <w:p>
            <w:pPr>
              <w:jc w:val="cente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W w:w="678" w:type="pct"/>
            <w:vAlign w:val="center"/>
            <w:textDirection w:val="lrTb"/>
            <w:noWrap/>
          </w:tcPr>
          <w:p>
            <w:pPr>
              <w:jc w:val="cente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W w:w="678" w:type="pct"/>
            <w:vAlign w:val="center"/>
            <w:textDirection w:val="lrTb"/>
            <w:noWrap/>
          </w:tcPr>
          <w:p>
            <w:pPr>
              <w:jc w:val="cente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r>
      <w:tr>
        <w:trPr>
          <w:trHeight w:val="90"/>
        </w:trPr>
        <w:tc>
          <w:tcPr>
            <w:tcW w:w="318" w:type="pct"/>
            <w:vAlign w:val="center"/>
            <w:textDirection w:val="lrTb"/>
            <w:noWrap/>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934" w:type="pct"/>
            <w:vAlign w:val="center"/>
            <w:textDirection w:val="lrTb"/>
            <w:noWrap/>
          </w:tcPr>
          <w:p>
            <w:pPr>
              <w:jc w:val="cente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W w:w="516" w:type="pct"/>
            <w:vAlign w:val="center"/>
            <w:textDirection w:val="lrTb"/>
            <w:noWrap/>
          </w:tcPr>
          <w:p>
            <w:pPr>
              <w:jc w:val="cente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W w:w="516" w:type="pct"/>
            <w:vAlign w:val="center"/>
            <w:textDirection w:val="lrTb"/>
            <w:noWrap/>
          </w:tcPr>
          <w:p>
            <w:pPr>
              <w:jc w:val="cente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W w:w="680" w:type="pct"/>
            <w:vAlign w:val="center"/>
            <w:textDirection w:val="lrTb"/>
            <w:noWrap/>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677" w:type="pct"/>
            <w:vAlign w:val="center"/>
            <w:textDirection w:val="lrTb"/>
            <w:noWrap/>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678" w:type="pct"/>
            <w:vAlign w:val="center"/>
            <w:textDirection w:val="lrTb"/>
            <w:noWrap/>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678" w:type="pct"/>
            <w:vAlign w:val="center"/>
            <w:textDirection w:val="lrTb"/>
            <w:noWrap/>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90"/>
        </w:trPr>
        <w:tc>
          <w:tcPr>
            <w:tcW w:w="318" w:type="pct"/>
            <w:vAlign w:val="center"/>
            <w:textDirection w:val="lrTb"/>
            <w:noWrap/>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934" w:type="pct"/>
            <w:vAlign w:val="center"/>
            <w:textDirection w:val="lrTb"/>
            <w:noWrap/>
          </w:tcPr>
          <w:p>
            <w:pPr>
              <w:jc w:val="cente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W w:w="516" w:type="pct"/>
            <w:vAlign w:val="center"/>
            <w:textDirection w:val="lrTb"/>
            <w:noWrap/>
          </w:tcPr>
          <w:p>
            <w:pPr>
              <w:jc w:val="cente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W w:w="516" w:type="pct"/>
            <w:vAlign w:val="center"/>
            <w:textDirection w:val="lrTb"/>
            <w:noWrap/>
          </w:tcPr>
          <w:p>
            <w:pPr>
              <w:jc w:val="cente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W w:w="680" w:type="pct"/>
            <w:vAlign w:val="center"/>
            <w:textDirection w:val="lrTb"/>
            <w:noWrap/>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677" w:type="pct"/>
            <w:vAlign w:val="center"/>
            <w:textDirection w:val="lrTb"/>
            <w:noWrap/>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678" w:type="pct"/>
            <w:vAlign w:val="center"/>
            <w:textDirection w:val="lrTb"/>
            <w:noWrap/>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678" w:type="pct"/>
            <w:vAlign w:val="center"/>
            <w:textDirection w:val="lrTb"/>
            <w:noWrap/>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90"/>
        </w:trPr>
        <w:tc>
          <w:tcPr>
            <w:tcW w:w="318" w:type="pct"/>
            <w:vAlign w:val="center"/>
            <w:textDirection w:val="lrTb"/>
            <w:noWrap/>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934" w:type="pct"/>
            <w:vAlign w:val="center"/>
            <w:textDirection w:val="lrTb"/>
            <w:noWrap/>
          </w:tcPr>
          <w:p>
            <w:pPr>
              <w:jc w:val="cente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W w:w="516" w:type="pct"/>
            <w:vAlign w:val="center"/>
            <w:textDirection w:val="lrTb"/>
            <w:noWrap/>
          </w:tcPr>
          <w:p>
            <w:pPr>
              <w:jc w:val="cente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W w:w="516" w:type="pct"/>
            <w:vAlign w:val="center"/>
            <w:textDirection w:val="lrTb"/>
            <w:noWrap/>
          </w:tcPr>
          <w:p>
            <w:pPr>
              <w:jc w:val="cente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W w:w="680" w:type="pct"/>
            <w:vAlign w:val="center"/>
            <w:textDirection w:val="lrTb"/>
            <w:noWrap/>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677" w:type="pct"/>
            <w:vAlign w:val="center"/>
            <w:textDirection w:val="lrTb"/>
            <w:noWrap/>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678" w:type="pct"/>
            <w:vAlign w:val="center"/>
            <w:textDirection w:val="lrTb"/>
            <w:noWrap/>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678" w:type="pct"/>
            <w:vAlign w:val="center"/>
            <w:textDirection w:val="lrTb"/>
            <w:noWrap/>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bl>
    <w:p>
      <w:pPr>
        <w:ind w:right="-200"/>
        <w:jc w:val="righ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right="-200"/>
        <w:jc w:val="left"/>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供应商名称：（公章）</w:t>
      </w:r>
      <w:r/>
    </w:p>
    <w:p>
      <w:pPr>
        <w:jc w:val="left"/>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法定代表人或</w:t>
      </w:r>
      <w:r>
        <w:rPr>
          <w:rFonts w:hint="eastAsia" w:ascii="宋体" w:hAnsi="宋体" w:eastAsia="宋体" w:cs="宋体"/>
          <w:color w:val="auto"/>
          <w:sz w:val="24"/>
          <w:szCs w:val="24"/>
          <w:highlight w:val="none"/>
        </w:rPr>
        <w:t xml:space="preserve">被授权</w:t>
      </w:r>
      <w:r>
        <w:rPr>
          <w:rFonts w:hint="eastAsia" w:ascii="宋体" w:hAnsi="宋体" w:eastAsia="宋体" w:cs="宋体"/>
          <w:color w:val="auto"/>
          <w:sz w:val="24"/>
          <w:szCs w:val="24"/>
          <w:highlight w:val="none"/>
          <w:lang w:val="zh-CN"/>
        </w:rPr>
        <w:t xml:space="preserve">人：（签字或盖章）</w:t>
      </w:r>
      <w:r/>
    </w:p>
    <w:p>
      <w:pPr>
        <w:ind w:right="615"/>
        <w:jc w:val="left"/>
        <w:spacing w:line="400" w:lineRule="exac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日    期：     年</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月</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   日</w:t>
      </w:r>
      <w:r/>
    </w:p>
    <w:p>
      <w:pPr>
        <w:pStyle w:val="861"/>
        <w:ind w:firstLine="480"/>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p>
      <w:pPr>
        <w:pStyle w:val="850"/>
        <w:ind w:firstLine="480"/>
        <w:spacing w:line="360" w:lineRule="auto"/>
        <w:tabs>
          <w:tab w:val="left" w:pos="7560" w:leader="none"/>
        </w:tabs>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注：1.投标人</w:t>
      </w:r>
      <w:r>
        <w:rPr>
          <w:rFonts w:hint="eastAsia" w:ascii="宋体" w:hAnsi="宋体" w:eastAsia="宋体" w:cs="宋体"/>
          <w:color w:val="auto"/>
          <w:szCs w:val="24"/>
          <w:highlight w:val="none"/>
          <w:lang w:val="en-US" w:eastAsia="zh-CN"/>
        </w:rPr>
        <w:t xml:space="preserve">需</w:t>
      </w:r>
      <w:r>
        <w:rPr>
          <w:rFonts w:hint="eastAsia" w:ascii="宋体" w:hAnsi="宋体" w:eastAsia="宋体" w:cs="宋体"/>
          <w:color w:val="auto"/>
          <w:szCs w:val="24"/>
          <w:highlight w:val="none"/>
        </w:rPr>
        <w:t xml:space="preserve">按“</w:t>
      </w:r>
      <w:r>
        <w:rPr>
          <w:rFonts w:hint="eastAsia" w:ascii="宋体" w:hAnsi="宋体" w:eastAsia="宋体" w:cs="宋体"/>
          <w:bCs/>
          <w:color w:val="auto"/>
          <w:szCs w:val="24"/>
          <w:highlight w:val="none"/>
        </w:rPr>
        <w:t xml:space="preserve">分项报价明细表”的格式</w:t>
      </w:r>
      <w:r>
        <w:rPr>
          <w:rFonts w:hint="eastAsia" w:ascii="宋体" w:hAnsi="宋体" w:eastAsia="宋体" w:cs="宋体"/>
          <w:color w:val="auto"/>
          <w:szCs w:val="24"/>
          <w:highlight w:val="none"/>
        </w:rPr>
        <w:t xml:space="preserve">详细报出投标单价</w:t>
      </w:r>
      <w:r>
        <w:rPr>
          <w:rFonts w:hint="eastAsia" w:ascii="宋体" w:hAnsi="宋体" w:eastAsia="宋体" w:cs="宋体"/>
          <w:color w:val="auto"/>
          <w:szCs w:val="24"/>
          <w:highlight w:val="none"/>
          <w:lang w:eastAsia="zh-CN"/>
        </w:rPr>
        <w:t xml:space="preserve">。</w:t>
      </w:r>
      <w:r/>
    </w:p>
    <w:p>
      <w:pPr>
        <w:pStyle w:val="861"/>
        <w:numPr>
          <w:ilvl w:val="0"/>
          <w:numId w:val="0"/>
        </w:numPr>
        <w:ind w:firstLine="480"/>
        <w:spacing w:line="360" w:lineRule="auto"/>
        <w:rPr>
          <w:rFonts w:hAnsi="宋体" w:eastAsia="宋体" w:cs="宋体"/>
          <w:color w:val="auto"/>
          <w:sz w:val="24"/>
          <w:szCs w:val="24"/>
          <w:highlight w:val="none"/>
        </w:rPr>
      </w:pPr>
      <w:r>
        <w:rPr>
          <w:rFonts w:ascii="宋体" w:hAnsi="宋体" w:eastAsia="宋体" w:cs="宋体"/>
          <w:color w:val="auto"/>
          <w:sz w:val="24"/>
          <w:szCs w:val="24"/>
          <w:highlight w:val="none"/>
          <w:lang w:val="en-US" w:eastAsia="zh-CN" w:bidi="ar-SA"/>
        </w:rPr>
        <w:t xml:space="preserve">2.</w:t>
      </w:r>
      <w:r>
        <w:rPr>
          <w:rFonts w:hint="eastAsia" w:hAnsi="宋体" w:eastAsia="宋体" w:cs="宋体"/>
          <w:color w:val="auto"/>
          <w:sz w:val="24"/>
          <w:szCs w:val="24"/>
          <w:highlight w:val="none"/>
        </w:rPr>
        <w:t xml:space="preserve">如果开标一览表（报价表）内容与本表内容计算比例不一致，以开标一览表（报价表）内容为准。</w:t>
      </w:r>
      <w:r/>
    </w:p>
    <w:p>
      <w:pPr>
        <w:ind w:firstLine="480"/>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须遵循政府采购公平竞争、诚实信用原则，遵守《中华人民共和国价格法》《中华人民共和国反不正当竞争法》《禁止价格欺诈行为的规定》等相关法律法规，不得恶意低价，扰乱市场秩序。招标人、评审专家有权核实相关价格，一旦发现存在采用不诚实报价等虚假方式谋职入围的，按“政府采购法”相关规定处理。  </w:t>
      </w:r>
      <w:r/>
    </w:p>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br w:type="page" w:clear="all"/>
      </w:r>
      <w:r/>
    </w:p>
    <w:p>
      <w:pPr>
        <w:pStyle w:val="1091"/>
        <w:ind w:firstLine="602"/>
        <w:jc w:val="center"/>
        <w:spacing w:line="360" w:lineRule="auto"/>
        <w:rPr>
          <w:rFonts w:hAnsi="宋体" w:eastAsia="宋体" w:cs="宋体"/>
          <w:b/>
          <w:color w:val="auto"/>
          <w:spacing w:val="20"/>
          <w:sz w:val="24"/>
          <w:szCs w:val="24"/>
          <w:highlight w:val="none"/>
        </w:rPr>
      </w:pPr>
      <w:r>
        <w:rPr>
          <w:rFonts w:hint="eastAsia" w:hAnsi="宋体" w:eastAsia="宋体" w:cs="宋体"/>
          <w:b/>
          <w:color w:val="auto"/>
          <w:sz w:val="30"/>
          <w:szCs w:val="30"/>
          <w:highlight w:val="none"/>
        </w:rPr>
        <w:t xml:space="preserve"> 五、服务要求及</w:t>
      </w:r>
      <w:r>
        <w:rPr>
          <w:rFonts w:hint="eastAsia" w:hAnsi="宋体" w:eastAsia="宋体" w:cs="宋体"/>
          <w:b/>
          <w:bCs/>
          <w:color w:val="auto"/>
          <w:sz w:val="30"/>
          <w:szCs w:val="30"/>
          <w:highlight w:val="none"/>
        </w:rPr>
        <w:t xml:space="preserve">商务条款偏离表</w:t>
      </w:r>
      <w:r/>
    </w:p>
    <w:p>
      <w:pPr>
        <w:jc w:val="center"/>
        <w:keepLines/>
        <w:keepNext/>
        <w:rPr>
          <w:rFonts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服务要求偏离表</w:t>
      </w:r>
      <w:r/>
    </w:p>
    <w:p>
      <w:pPr>
        <w:pStyle w:val="850"/>
        <w:ind w:firstLine="0"/>
        <w:spacing w:line="360" w:lineRule="auto"/>
        <w:tabs>
          <w:tab w:val="left" w:pos="7560" w:leader="none"/>
        </w:tabs>
        <w:rPr>
          <w:rFonts w:ascii="宋体" w:hAnsi="宋体" w:eastAsia="宋体" w:cs="宋体"/>
          <w:color w:val="auto"/>
          <w:szCs w:val="24"/>
          <w:highlight w:val="none"/>
        </w:rPr>
      </w:pPr>
      <w:r>
        <w:rPr>
          <w:rFonts w:hint="eastAsia" w:ascii="宋体" w:hAnsi="宋体" w:eastAsia="宋体" w:cs="宋体"/>
          <w:color w:val="auto"/>
          <w:szCs w:val="24"/>
          <w:highlight w:val="none"/>
          <w:lang w:val="zh-CN"/>
        </w:rPr>
        <w:t xml:space="preserve">招标编号∶ </w:t>
      </w:r>
      <w:r>
        <w:rPr>
          <w:rFonts w:hint="eastAsia" w:ascii="宋体" w:hAnsi="宋体" w:eastAsia="宋体" w:cs="宋体"/>
          <w:color w:val="auto"/>
          <w:szCs w:val="24"/>
          <w:highlight w:val="none"/>
        </w:rPr>
        <w:t xml:space="preserve">                                </w:t>
      </w:r>
      <w:r/>
    </w:p>
    <w:tbl>
      <w:tblPr>
        <w:tblStyle w:val="84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37"/>
        <w:gridCol w:w="2149"/>
        <w:gridCol w:w="2611"/>
        <w:gridCol w:w="2528"/>
        <w:gridCol w:w="1851"/>
      </w:tblGrid>
      <w:tr>
        <w:trPr/>
        <w:tc>
          <w:tcPr>
            <w:tcW w:w="465" w:type="pct"/>
            <w:vAlign w:val="center"/>
            <w:textDirection w:val="lrTb"/>
            <w:noWrap w:val="false"/>
          </w:tcPr>
          <w:p>
            <w:pPr>
              <w:jc w:val="cente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066" w:type="pct"/>
            <w:vAlign w:val="center"/>
            <w:textDirection w:val="lrTb"/>
            <w:noWrap w:val="false"/>
          </w:tcPr>
          <w:p>
            <w:pPr>
              <w:jc w:val="cente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      目</w:t>
            </w:r>
            <w:r/>
          </w:p>
        </w:tc>
        <w:tc>
          <w:tcPr>
            <w:tcW w:w="1295" w:type="pct"/>
            <w:vAlign w:val="center"/>
            <w:textDirection w:val="lrTb"/>
            <w:noWrap w:val="false"/>
          </w:tcPr>
          <w:p>
            <w:pPr>
              <w:jc w:val="cente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服务要求</w:t>
            </w:r>
            <w:r/>
          </w:p>
        </w:tc>
        <w:tc>
          <w:tcPr>
            <w:tcW w:w="1254" w:type="pct"/>
            <w:vAlign w:val="center"/>
            <w:textDirection w:val="lrTb"/>
            <w:noWrap w:val="false"/>
          </w:tcPr>
          <w:p>
            <w:pPr>
              <w:jc w:val="cente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w:t>
            </w:r>
            <w:r/>
          </w:p>
        </w:tc>
        <w:tc>
          <w:tcPr>
            <w:tcW w:w="918" w:type="pct"/>
            <w:vAlign w:val="center"/>
            <w:textDirection w:val="lrTb"/>
            <w:noWrap w:val="false"/>
          </w:tcPr>
          <w:p>
            <w:pPr>
              <w:jc w:val="cente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偏离说明</w:t>
            </w:r>
            <w:r/>
          </w:p>
        </w:tc>
      </w:tr>
      <w:tr>
        <w:trPr/>
        <w:tc>
          <w:tcPr>
            <w:tcW w:w="465" w:type="pct"/>
            <w:vAlign w:val="center"/>
            <w:textDirection w:val="lrTb"/>
            <w:noWrap w:val="false"/>
          </w:tcPr>
          <w:p>
            <w:pPr>
              <w:jc w:val="cente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066" w:type="pct"/>
            <w:textDirection w:val="lrTb"/>
            <w:noWrap w:val="false"/>
          </w:tcPr>
          <w:p>
            <w:pPr>
              <w:jc w:val="left"/>
              <w:spacing w:line="4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295" w:type="pct"/>
            <w:textDirection w:val="lrTb"/>
            <w:noWrap w:val="false"/>
          </w:tcPr>
          <w:p>
            <w:pPr>
              <w:jc w:val="left"/>
              <w:spacing w:line="4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254" w:type="pct"/>
            <w:textDirection w:val="lrTb"/>
            <w:noWrap w:val="false"/>
          </w:tcPr>
          <w:p>
            <w:pPr>
              <w:jc w:val="left"/>
              <w:spacing w:line="4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918" w:type="pct"/>
            <w:textDirection w:val="lrTb"/>
            <w:noWrap w:val="false"/>
          </w:tcPr>
          <w:p>
            <w:pPr>
              <w:jc w:val="left"/>
              <w:spacing w:line="4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c>
          <w:tcPr>
            <w:tcW w:w="465" w:type="pct"/>
            <w:vAlign w:val="center"/>
            <w:textDirection w:val="lrTb"/>
            <w:noWrap w:val="false"/>
          </w:tcPr>
          <w:p>
            <w:pPr>
              <w:jc w:val="cente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066" w:type="pct"/>
            <w:textDirection w:val="lrTb"/>
            <w:noWrap w:val="false"/>
          </w:tcPr>
          <w:p>
            <w:pPr>
              <w:jc w:val="left"/>
              <w:spacing w:line="4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295" w:type="pct"/>
            <w:textDirection w:val="lrTb"/>
            <w:noWrap w:val="false"/>
          </w:tcPr>
          <w:p>
            <w:pPr>
              <w:jc w:val="left"/>
              <w:spacing w:line="4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254" w:type="pct"/>
            <w:textDirection w:val="lrTb"/>
            <w:noWrap w:val="false"/>
          </w:tcPr>
          <w:p>
            <w:pPr>
              <w:jc w:val="left"/>
              <w:spacing w:line="4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918" w:type="pct"/>
            <w:textDirection w:val="lrTb"/>
            <w:noWrap w:val="false"/>
          </w:tcPr>
          <w:p>
            <w:pPr>
              <w:jc w:val="left"/>
              <w:spacing w:line="4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c>
          <w:tcPr>
            <w:tcW w:w="465" w:type="pct"/>
            <w:vAlign w:val="center"/>
            <w:textDirection w:val="lrTb"/>
            <w:noWrap w:val="false"/>
          </w:tcPr>
          <w:p>
            <w:pPr>
              <w:jc w:val="cente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066" w:type="pct"/>
            <w:textDirection w:val="lrTb"/>
            <w:noWrap w:val="false"/>
          </w:tcPr>
          <w:p>
            <w:pPr>
              <w:jc w:val="left"/>
              <w:spacing w:line="4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295" w:type="pct"/>
            <w:textDirection w:val="lrTb"/>
            <w:noWrap w:val="false"/>
          </w:tcPr>
          <w:p>
            <w:pPr>
              <w:jc w:val="left"/>
              <w:spacing w:line="4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254" w:type="pct"/>
            <w:textDirection w:val="lrTb"/>
            <w:noWrap w:val="false"/>
          </w:tcPr>
          <w:p>
            <w:pPr>
              <w:jc w:val="left"/>
              <w:spacing w:line="4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918" w:type="pct"/>
            <w:textDirection w:val="lrTb"/>
            <w:noWrap w:val="false"/>
          </w:tcPr>
          <w:p>
            <w:pPr>
              <w:jc w:val="left"/>
              <w:spacing w:line="4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c>
          <w:tcPr>
            <w:tcW w:w="465" w:type="pct"/>
            <w:vAlign w:val="center"/>
            <w:textDirection w:val="lrTb"/>
            <w:noWrap w:val="false"/>
          </w:tcPr>
          <w:p>
            <w:pPr>
              <w:jc w:val="cente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066" w:type="pct"/>
            <w:textDirection w:val="lrTb"/>
            <w:noWrap w:val="false"/>
          </w:tcPr>
          <w:p>
            <w:pPr>
              <w:jc w:val="left"/>
              <w:spacing w:line="4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295" w:type="pct"/>
            <w:textDirection w:val="lrTb"/>
            <w:noWrap w:val="false"/>
          </w:tcPr>
          <w:p>
            <w:pPr>
              <w:jc w:val="left"/>
              <w:spacing w:line="4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254" w:type="pct"/>
            <w:textDirection w:val="lrTb"/>
            <w:noWrap w:val="false"/>
          </w:tcPr>
          <w:p>
            <w:pPr>
              <w:jc w:val="left"/>
              <w:spacing w:line="4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918" w:type="pct"/>
            <w:textDirection w:val="lrTb"/>
            <w:noWrap w:val="false"/>
          </w:tcPr>
          <w:p>
            <w:pPr>
              <w:jc w:val="left"/>
              <w:spacing w:line="4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c>
          <w:tcPr>
            <w:tcW w:w="465" w:type="pct"/>
            <w:vAlign w:val="center"/>
            <w:textDirection w:val="lrTb"/>
            <w:noWrap w:val="false"/>
          </w:tcPr>
          <w:p>
            <w:pPr>
              <w:jc w:val="cente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066" w:type="pct"/>
            <w:textDirection w:val="lrTb"/>
            <w:noWrap w:val="false"/>
          </w:tcPr>
          <w:p>
            <w:pPr>
              <w:jc w:val="left"/>
              <w:spacing w:line="4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295" w:type="pct"/>
            <w:textDirection w:val="lrTb"/>
            <w:noWrap w:val="false"/>
          </w:tcPr>
          <w:p>
            <w:pPr>
              <w:jc w:val="left"/>
              <w:spacing w:line="4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254" w:type="pct"/>
            <w:textDirection w:val="lrTb"/>
            <w:noWrap w:val="false"/>
          </w:tcPr>
          <w:p>
            <w:pPr>
              <w:jc w:val="left"/>
              <w:spacing w:line="4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918" w:type="pct"/>
            <w:textDirection w:val="lrTb"/>
            <w:noWrap w:val="false"/>
          </w:tcPr>
          <w:p>
            <w:pPr>
              <w:jc w:val="left"/>
              <w:spacing w:line="4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bl>
    <w:p>
      <w:pPr>
        <w:spacing w:line="3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注：</w:t>
      </w:r>
      <w:r>
        <w:rPr>
          <w:rFonts w:hint="eastAsia" w:ascii="宋体" w:hAnsi="宋体" w:eastAsia="宋体" w:cs="宋体"/>
          <w:color w:val="auto"/>
          <w:sz w:val="24"/>
          <w:szCs w:val="24"/>
          <w:highlight w:val="none"/>
        </w:rPr>
        <w:t xml:space="preserve">1.投标人提交的投标文件应在本表中将投标文件实际响应的服务与招标文件的服务部分进行逐项对应列出对比，并在“偏离说明”项下填写以下内容：优于的，填写“正偏离”；符合的，填写“无偏离”；低于的，填写“负偏离”。</w:t>
      </w:r>
      <w:r/>
    </w:p>
    <w:p>
      <w:pPr>
        <w:spacing w:line="3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2.若事项较多，投标人可根据投标内容的实际情况另纸说明。</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供应商：（单位盖章）</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jc w:val="left"/>
        <w:spacing w:line="360" w:lineRule="auto"/>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日期：    年     月    日</w:t>
      </w:r>
      <w:r/>
    </w:p>
    <w:p>
      <w:pPr>
        <w:jc w:val="center"/>
        <w:keepLines/>
        <w:keepNext/>
        <w:rPr>
          <w:rFonts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商务条款偏离表</w:t>
      </w:r>
      <w:r/>
    </w:p>
    <w:p>
      <w:pPr>
        <w:pStyle w:val="850"/>
        <w:ind w:firstLine="0"/>
        <w:spacing w:line="360" w:lineRule="auto"/>
        <w:tabs>
          <w:tab w:val="left" w:pos="7560" w:leader="none"/>
        </w:tabs>
        <w:rPr>
          <w:rFonts w:ascii="宋体" w:hAnsi="宋体" w:eastAsia="宋体" w:cs="宋体"/>
          <w:color w:val="auto"/>
          <w:szCs w:val="24"/>
          <w:highlight w:val="none"/>
        </w:rPr>
      </w:pPr>
      <w:r>
        <w:rPr>
          <w:rFonts w:hint="eastAsia" w:ascii="宋体" w:hAnsi="宋体" w:eastAsia="宋体" w:cs="宋体"/>
          <w:color w:val="auto"/>
          <w:szCs w:val="24"/>
          <w:highlight w:val="none"/>
          <w:lang w:val="zh-CN"/>
        </w:rPr>
        <w:t xml:space="preserve">招标编号∶        </w:t>
      </w:r>
      <w:r>
        <w:rPr>
          <w:rFonts w:hint="eastAsia" w:ascii="宋体" w:hAnsi="宋体" w:eastAsia="宋体" w:cs="宋体"/>
          <w:color w:val="auto"/>
          <w:szCs w:val="24"/>
          <w:highlight w:val="none"/>
        </w:rPr>
        <w:t xml:space="preserve">                           </w:t>
      </w:r>
      <w:r/>
    </w:p>
    <w:tbl>
      <w:tblPr>
        <w:tblStyle w:val="847"/>
        <w:tblW w:w="4997" w:type="pct"/>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left w:w="108" w:type="dxa"/>
          <w:top w:w="0" w:type="dxa"/>
          <w:right w:w="108" w:type="dxa"/>
          <w:bottom w:w="0" w:type="dxa"/>
        </w:tblCellMar>
        <w:tblLook w:val="04A0" w:firstRow="1" w:lastRow="0" w:firstColumn="1" w:lastColumn="0" w:noHBand="0" w:noVBand="1"/>
      </w:tblPr>
      <w:tblGrid>
        <w:gridCol w:w="885"/>
        <w:gridCol w:w="3259"/>
        <w:gridCol w:w="2161"/>
        <w:gridCol w:w="2032"/>
        <w:gridCol w:w="1737"/>
      </w:tblGrid>
      <w:tr>
        <w:trPr>
          <w:cantSplit/>
          <w:trHeight w:val="80"/>
          <w:tblHeader/>
        </w:trPr>
        <w:tc>
          <w:tcPr>
            <w:tcBorders>
              <w:top w:val="single" w:color="auto" w:sz="8" w:space="0"/>
              <w:left w:val="single" w:color="auto" w:sz="8" w:space="0"/>
              <w:bottom w:val="single" w:color="auto" w:sz="8" w:space="0"/>
              <w:right w:val="single" w:color="auto" w:sz="8" w:space="0"/>
            </w:tcBorders>
            <w:tcW w:w="439" w:type="pct"/>
            <w:vAlign w:val="center"/>
            <w:textDirection w:val="lrTb"/>
            <w:noWrap w:val="false"/>
          </w:tcPr>
          <w:p>
            <w:pPr>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Borders>
              <w:top w:val="single" w:color="auto" w:sz="8" w:space="0"/>
              <w:left w:val="single" w:color="auto" w:sz="8" w:space="0"/>
              <w:bottom w:val="single" w:color="auto" w:sz="8" w:space="0"/>
              <w:right w:val="single" w:color="auto" w:sz="8" w:space="0"/>
            </w:tcBorders>
            <w:tcW w:w="1617" w:type="pct"/>
            <w:vAlign w:val="center"/>
            <w:textDirection w:val="lrTb"/>
            <w:noWrap w:val="false"/>
          </w:tcPr>
          <w:p>
            <w:pPr>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招标文件要求</w:t>
            </w:r>
            <w:r/>
          </w:p>
        </w:tc>
        <w:tc>
          <w:tcPr>
            <w:tcBorders>
              <w:top w:val="single" w:color="auto" w:sz="8" w:space="0"/>
              <w:left w:val="single" w:color="auto" w:sz="8" w:space="0"/>
              <w:bottom w:val="single" w:color="auto" w:sz="8" w:space="0"/>
              <w:right w:val="single" w:color="auto" w:sz="8" w:space="0"/>
            </w:tcBorders>
            <w:tcW w:w="1072" w:type="pct"/>
            <w:vAlign w:val="center"/>
            <w:textDirection w:val="lrTb"/>
            <w:noWrap w:val="false"/>
          </w:tcPr>
          <w:p>
            <w:pPr>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投标响应</w:t>
            </w:r>
            <w:r/>
          </w:p>
        </w:tc>
        <w:tc>
          <w:tcPr>
            <w:tcBorders>
              <w:top w:val="single" w:color="auto" w:sz="8" w:space="0"/>
              <w:left w:val="single" w:color="auto" w:sz="8" w:space="0"/>
              <w:bottom w:val="single" w:color="auto" w:sz="8" w:space="0"/>
              <w:right w:val="single" w:color="auto" w:sz="8" w:space="0"/>
            </w:tcBorders>
            <w:tcW w:w="1008" w:type="pct"/>
            <w:vAlign w:val="center"/>
            <w:textDirection w:val="lrTb"/>
            <w:noWrap w:val="false"/>
          </w:tcPr>
          <w:p>
            <w:pPr>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偏离说明</w:t>
            </w:r>
            <w:r/>
          </w:p>
        </w:tc>
        <w:tc>
          <w:tcPr>
            <w:tcBorders>
              <w:top w:val="single" w:color="auto" w:sz="8" w:space="0"/>
              <w:left w:val="single" w:color="auto" w:sz="8" w:space="0"/>
              <w:bottom w:val="single" w:color="auto" w:sz="8" w:space="0"/>
              <w:right w:val="single" w:color="auto" w:sz="8" w:space="0"/>
            </w:tcBorders>
            <w:tcW w:w="862" w:type="pct"/>
            <w:vAlign w:val="center"/>
            <w:textDirection w:val="lrTb"/>
            <w:noWrap w:val="false"/>
          </w:tcPr>
          <w:p>
            <w:pPr>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备注</w:t>
            </w:r>
            <w:r/>
          </w:p>
        </w:tc>
      </w:tr>
      <w:tr>
        <w:trPr>
          <w:cantSplit/>
          <w:trHeight w:val="80"/>
        </w:trPr>
        <w:tc>
          <w:tcPr>
            <w:tcBorders>
              <w:top w:val="single" w:color="auto" w:sz="8" w:space="0"/>
              <w:left w:val="single" w:color="auto" w:sz="8" w:space="0"/>
              <w:bottom w:val="single" w:color="auto" w:sz="8" w:space="0"/>
              <w:right w:val="single" w:color="auto" w:sz="8" w:space="0"/>
            </w:tcBorders>
            <w:tcW w:w="439" w:type="pct"/>
            <w:textDirection w:val="lrTb"/>
            <w:noWrap w:val="false"/>
          </w:tcPr>
          <w:p>
            <w:pPr>
              <w:jc w:val="cente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p>
        </w:tc>
        <w:tc>
          <w:tcPr>
            <w:tcBorders>
              <w:top w:val="single" w:color="auto" w:sz="8" w:space="0"/>
              <w:left w:val="single" w:color="auto" w:sz="8" w:space="0"/>
              <w:bottom w:val="single" w:color="auto" w:sz="8" w:space="0"/>
              <w:right w:val="single" w:color="auto" w:sz="8" w:space="0"/>
            </w:tcBorders>
            <w:tcW w:w="1617" w:type="pct"/>
            <w:textDirection w:val="lrTb"/>
            <w:noWrap w:val="false"/>
          </w:tcPr>
          <w:p>
            <w:pPr>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服务期限</w:t>
            </w:r>
            <w:r/>
          </w:p>
        </w:tc>
        <w:tc>
          <w:tcPr>
            <w:tcBorders>
              <w:top w:val="single" w:color="auto" w:sz="8" w:space="0"/>
              <w:left w:val="single" w:color="auto" w:sz="8" w:space="0"/>
              <w:bottom w:val="single" w:color="auto" w:sz="8" w:space="0"/>
              <w:right w:val="single" w:color="auto" w:sz="8" w:space="0"/>
            </w:tcBorders>
            <w:tcW w:w="1072" w:type="pct"/>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008" w:type="pct"/>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862" w:type="pct"/>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439" w:type="pct"/>
            <w:textDirection w:val="lrTb"/>
            <w:noWrap w:val="false"/>
          </w:tcPr>
          <w:p>
            <w:pPr>
              <w:jc w:val="cente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p>
        </w:tc>
        <w:tc>
          <w:tcPr>
            <w:tcBorders>
              <w:top w:val="single" w:color="auto" w:sz="8" w:space="0"/>
              <w:left w:val="single" w:color="auto" w:sz="8" w:space="0"/>
              <w:bottom w:val="single" w:color="auto" w:sz="8" w:space="0"/>
              <w:right w:val="single" w:color="auto" w:sz="8" w:space="0"/>
            </w:tcBorders>
            <w:tcW w:w="1617" w:type="pct"/>
            <w:textDirection w:val="lrTb"/>
            <w:noWrap w:val="false"/>
          </w:tcPr>
          <w:p>
            <w:pPr>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服务地点</w:t>
            </w:r>
            <w:r/>
          </w:p>
        </w:tc>
        <w:tc>
          <w:tcPr>
            <w:tcBorders>
              <w:top w:val="single" w:color="auto" w:sz="8" w:space="0"/>
              <w:left w:val="single" w:color="auto" w:sz="8" w:space="0"/>
              <w:bottom w:val="single" w:color="auto" w:sz="8" w:space="0"/>
              <w:right w:val="single" w:color="auto" w:sz="8" w:space="0"/>
            </w:tcBorders>
            <w:tcW w:w="1072" w:type="pct"/>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008" w:type="pct"/>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862" w:type="pct"/>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439" w:type="pct"/>
            <w:textDirection w:val="lrTb"/>
            <w:noWrap w:val="false"/>
          </w:tcPr>
          <w:p>
            <w:pPr>
              <w:jc w:val="cente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p>
        </w:tc>
        <w:tc>
          <w:tcPr>
            <w:tcBorders>
              <w:top w:val="single" w:color="auto" w:sz="8" w:space="0"/>
              <w:left w:val="single" w:color="auto" w:sz="8" w:space="0"/>
              <w:bottom w:val="single" w:color="auto" w:sz="8" w:space="0"/>
              <w:right w:val="single" w:color="auto" w:sz="8" w:space="0"/>
            </w:tcBorders>
            <w:tcW w:w="1617" w:type="pct"/>
            <w:textDirection w:val="lrTb"/>
            <w:noWrap w:val="false"/>
          </w:tcPr>
          <w:p>
            <w:pPr>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付款方式</w:t>
            </w:r>
            <w:r/>
          </w:p>
        </w:tc>
        <w:tc>
          <w:tcPr>
            <w:tcBorders>
              <w:top w:val="single" w:color="auto" w:sz="8" w:space="0"/>
              <w:left w:val="single" w:color="auto" w:sz="8" w:space="0"/>
              <w:bottom w:val="single" w:color="auto" w:sz="8" w:space="0"/>
              <w:right w:val="single" w:color="auto" w:sz="8" w:space="0"/>
            </w:tcBorders>
            <w:tcW w:w="1072" w:type="pct"/>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008" w:type="pct"/>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862" w:type="pct"/>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439" w:type="pct"/>
            <w:textDirection w:val="lrTb"/>
            <w:noWrap w:val="false"/>
          </w:tcPr>
          <w:p>
            <w:pPr>
              <w:jc w:val="cente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tc>
        <w:tc>
          <w:tcPr>
            <w:tcBorders>
              <w:top w:val="single" w:color="auto" w:sz="8" w:space="0"/>
              <w:left w:val="single" w:color="auto" w:sz="8" w:space="0"/>
              <w:bottom w:val="single" w:color="auto" w:sz="8" w:space="0"/>
              <w:right w:val="single" w:color="auto" w:sz="8" w:space="0"/>
            </w:tcBorders>
            <w:tcW w:w="1617" w:type="pct"/>
            <w:textDirection w:val="lrTb"/>
            <w:noWrap w:val="false"/>
          </w:tcPr>
          <w:p>
            <w:pPr>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zh-CN"/>
              </w:rPr>
              <w:t xml:space="preserve">其他商务要求</w:t>
            </w:r>
            <w:r/>
          </w:p>
        </w:tc>
        <w:tc>
          <w:tcPr>
            <w:tcBorders>
              <w:top w:val="single" w:color="auto" w:sz="8" w:space="0"/>
              <w:left w:val="single" w:color="auto" w:sz="8" w:space="0"/>
              <w:bottom w:val="single" w:color="auto" w:sz="8" w:space="0"/>
              <w:right w:val="single" w:color="auto" w:sz="8" w:space="0"/>
            </w:tcBorders>
            <w:tcW w:w="1072" w:type="pct"/>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008" w:type="pct"/>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862" w:type="pct"/>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bl>
    <w:p>
      <w:pPr>
        <w:spacing w:line="3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注：</w:t>
      </w:r>
      <w:r>
        <w:rPr>
          <w:rFonts w:hint="eastAsia" w:ascii="宋体" w:hAnsi="宋体" w:eastAsia="宋体" w:cs="宋体"/>
          <w:color w:val="auto"/>
          <w:sz w:val="24"/>
          <w:szCs w:val="24"/>
          <w:highlight w:val="none"/>
        </w:rPr>
        <w:t xml:space="preserve">1.供应商提交的投标文件应在本表中将投标文件实际响应的商务部分与招标文件的商务部分进行逐项对应列出对比，并在“偏离说明”项下填写以下内容：优于的，填写“正偏离”；符合的，填写“无偏离”；低于的，填写“负偏离”。</w:t>
      </w:r>
      <w:r/>
    </w:p>
    <w:p>
      <w:pPr>
        <w:spacing w:line="3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2.若事项较多，投标人可根据投标内容的实际情况另纸说明。</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供应商：（单位盖章）</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jc w:val="center"/>
        <w:widowControl/>
        <w:rPr>
          <w:rFonts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六、项目服务方案</w:t>
      </w:r>
      <w:r/>
    </w:p>
    <w:tbl>
      <w:tblPr>
        <w:tblStyle w:val="8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080"/>
      </w:tblGrid>
      <w:tr>
        <w:trPr>
          <w:trHeight w:val="1096"/>
        </w:trPr>
        <w:tc>
          <w:tcPr>
            <w:tcW w:w="5000" w:type="pct"/>
            <w:textDirection w:val="lrTb"/>
            <w:noWrap w:val="false"/>
          </w:tcPr>
          <w:p>
            <w:pPr>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提示：1、供应商应针对本次招标项目特点制定详细的实施方案。</w:t>
            </w:r>
            <w:r/>
          </w:p>
          <w:p>
            <w:pPr>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2、供应商可根据自身情况编写，本页不够可另加页附后。</w:t>
            </w:r>
            <w:r/>
          </w:p>
        </w:tc>
      </w:tr>
      <w:tr>
        <w:trPr>
          <w:trHeight w:val="7745"/>
        </w:trPr>
        <w:tc>
          <w:tcPr>
            <w:tcW w:w="5000" w:type="pct"/>
            <w:textDirection w:val="lrTb"/>
            <w:noWrap w:val="false"/>
          </w:tcPr>
          <w:p>
            <w:pPr>
              <w:rPr>
                <w:rFonts w:ascii="宋体" w:hAnsi="宋体" w:eastAsia="宋体" w:cs="宋体"/>
                <w:b/>
                <w:color w:val="auto"/>
                <w:sz w:val="24"/>
                <w:highlight w:val="none"/>
              </w:rPr>
            </w:pPr>
            <w:r>
              <w:rPr>
                <w:rFonts w:ascii="宋体" w:hAnsi="宋体" w:eastAsia="宋体" w:cs="宋体"/>
                <w:b/>
                <w:color w:val="auto"/>
                <w:sz w:val="24"/>
                <w:highlight w:val="none"/>
              </w:rPr>
            </w:r>
            <w:r/>
          </w:p>
          <w:p>
            <w:pPr>
              <w:rPr>
                <w:rFonts w:ascii="宋体" w:hAnsi="宋体" w:eastAsia="宋体" w:cs="宋体"/>
                <w:b/>
                <w:color w:val="auto"/>
                <w:sz w:val="24"/>
                <w:highlight w:val="none"/>
              </w:rPr>
            </w:pPr>
            <w:r>
              <w:rPr>
                <w:rFonts w:ascii="宋体" w:hAnsi="宋体" w:eastAsia="宋体" w:cs="宋体"/>
                <w:b/>
                <w:color w:val="auto"/>
                <w:sz w:val="24"/>
                <w:highlight w:val="none"/>
              </w:rPr>
            </w:r>
            <w:r/>
          </w:p>
          <w:p>
            <w:pPr>
              <w:rPr>
                <w:rFonts w:ascii="宋体" w:hAnsi="宋体" w:eastAsia="宋体" w:cs="宋体"/>
                <w:b/>
                <w:color w:val="auto"/>
                <w:sz w:val="24"/>
                <w:highlight w:val="none"/>
              </w:rPr>
            </w:pPr>
            <w:r>
              <w:rPr>
                <w:rFonts w:ascii="宋体" w:hAnsi="宋体" w:eastAsia="宋体" w:cs="宋体"/>
                <w:b/>
                <w:color w:val="auto"/>
                <w:sz w:val="24"/>
                <w:highlight w:val="none"/>
              </w:rPr>
            </w:r>
            <w:r/>
          </w:p>
          <w:p>
            <w:pPr>
              <w:rPr>
                <w:rFonts w:ascii="宋体" w:hAnsi="宋体" w:eastAsia="宋体" w:cs="宋体"/>
                <w:b/>
                <w:color w:val="auto"/>
                <w:sz w:val="24"/>
                <w:highlight w:val="none"/>
              </w:rPr>
            </w:pPr>
            <w:r>
              <w:rPr>
                <w:rFonts w:ascii="宋体" w:hAnsi="宋体" w:eastAsia="宋体" w:cs="宋体"/>
                <w:b/>
                <w:color w:val="auto"/>
                <w:sz w:val="24"/>
                <w:highlight w:val="none"/>
              </w:rPr>
            </w:r>
            <w:r/>
          </w:p>
          <w:p>
            <w:pPr>
              <w:rPr>
                <w:rFonts w:ascii="宋体" w:hAnsi="宋体" w:eastAsia="宋体" w:cs="宋体"/>
                <w:b/>
                <w:color w:val="auto"/>
                <w:sz w:val="24"/>
                <w:highlight w:val="none"/>
              </w:rPr>
            </w:pPr>
            <w:r>
              <w:rPr>
                <w:rFonts w:ascii="宋体" w:hAnsi="宋体" w:eastAsia="宋体" w:cs="宋体"/>
                <w:b/>
                <w:color w:val="auto"/>
                <w:sz w:val="24"/>
                <w:highlight w:val="none"/>
              </w:rPr>
            </w:r>
            <w:r/>
          </w:p>
          <w:p>
            <w:pPr>
              <w:rPr>
                <w:rFonts w:ascii="宋体" w:hAnsi="宋体" w:eastAsia="宋体" w:cs="宋体"/>
                <w:b/>
                <w:color w:val="auto"/>
                <w:sz w:val="24"/>
                <w:highlight w:val="none"/>
              </w:rPr>
            </w:pPr>
            <w:r>
              <w:rPr>
                <w:rFonts w:ascii="宋体" w:hAnsi="宋体" w:eastAsia="宋体" w:cs="宋体"/>
                <w:b/>
                <w:color w:val="auto"/>
                <w:sz w:val="24"/>
                <w:highlight w:val="none"/>
              </w:rPr>
            </w:r>
            <w:r/>
          </w:p>
          <w:p>
            <w:pPr>
              <w:rPr>
                <w:rFonts w:ascii="宋体" w:hAnsi="宋体" w:eastAsia="宋体" w:cs="宋体"/>
                <w:b/>
                <w:color w:val="auto"/>
                <w:sz w:val="24"/>
                <w:highlight w:val="none"/>
              </w:rPr>
            </w:pPr>
            <w:r>
              <w:rPr>
                <w:rFonts w:ascii="宋体" w:hAnsi="宋体" w:eastAsia="宋体" w:cs="宋体"/>
                <w:b/>
                <w:color w:val="auto"/>
                <w:sz w:val="24"/>
                <w:highlight w:val="none"/>
              </w:rPr>
            </w:r>
            <w:r/>
          </w:p>
          <w:p>
            <w:pPr>
              <w:rPr>
                <w:rFonts w:ascii="宋体" w:hAnsi="宋体" w:eastAsia="宋体" w:cs="宋体"/>
                <w:b/>
                <w:color w:val="auto"/>
                <w:sz w:val="24"/>
                <w:highlight w:val="none"/>
              </w:rPr>
            </w:pPr>
            <w:r>
              <w:rPr>
                <w:rFonts w:ascii="宋体" w:hAnsi="宋体" w:eastAsia="宋体" w:cs="宋体"/>
                <w:b/>
                <w:color w:val="auto"/>
                <w:sz w:val="24"/>
                <w:highlight w:val="none"/>
              </w:rPr>
            </w:r>
            <w:r/>
          </w:p>
          <w:p>
            <w:pPr>
              <w:rPr>
                <w:rFonts w:ascii="宋体" w:hAnsi="宋体" w:eastAsia="宋体" w:cs="宋体"/>
                <w:b/>
                <w:color w:val="auto"/>
                <w:sz w:val="24"/>
                <w:highlight w:val="none"/>
              </w:rPr>
            </w:pPr>
            <w:r>
              <w:rPr>
                <w:rFonts w:ascii="宋体" w:hAnsi="宋体" w:eastAsia="宋体" w:cs="宋体"/>
                <w:b/>
                <w:color w:val="auto"/>
                <w:sz w:val="24"/>
                <w:highlight w:val="none"/>
              </w:rPr>
            </w:r>
            <w:r/>
          </w:p>
          <w:p>
            <w:pPr>
              <w:rPr>
                <w:rFonts w:ascii="宋体" w:hAnsi="宋体" w:eastAsia="宋体" w:cs="宋体"/>
                <w:b/>
                <w:color w:val="auto"/>
                <w:sz w:val="24"/>
                <w:highlight w:val="none"/>
              </w:rPr>
            </w:pPr>
            <w:r>
              <w:rPr>
                <w:rFonts w:ascii="宋体" w:hAnsi="宋体" w:eastAsia="宋体" w:cs="宋体"/>
                <w:b/>
                <w:color w:val="auto"/>
                <w:sz w:val="24"/>
                <w:highlight w:val="none"/>
              </w:rPr>
            </w:r>
            <w:r/>
          </w:p>
          <w:p>
            <w:pPr>
              <w:rPr>
                <w:rFonts w:ascii="宋体" w:hAnsi="宋体" w:eastAsia="宋体" w:cs="宋体"/>
                <w:b/>
                <w:color w:val="auto"/>
                <w:sz w:val="24"/>
                <w:highlight w:val="none"/>
              </w:rPr>
            </w:pPr>
            <w:r>
              <w:rPr>
                <w:rFonts w:ascii="宋体" w:hAnsi="宋体" w:eastAsia="宋体" w:cs="宋体"/>
                <w:b/>
                <w:color w:val="auto"/>
                <w:sz w:val="24"/>
                <w:highlight w:val="none"/>
              </w:rPr>
            </w:r>
            <w:r/>
          </w:p>
          <w:p>
            <w:pPr>
              <w:rPr>
                <w:rFonts w:ascii="宋体" w:hAnsi="宋体" w:eastAsia="宋体" w:cs="宋体"/>
                <w:b/>
                <w:color w:val="auto"/>
                <w:sz w:val="24"/>
                <w:highlight w:val="none"/>
              </w:rPr>
            </w:pPr>
            <w:r>
              <w:rPr>
                <w:rFonts w:ascii="宋体" w:hAnsi="宋体" w:eastAsia="宋体" w:cs="宋体"/>
                <w:b/>
                <w:color w:val="auto"/>
                <w:sz w:val="24"/>
                <w:highlight w:val="none"/>
              </w:rPr>
            </w:r>
            <w:r/>
          </w:p>
          <w:p>
            <w:pPr>
              <w:rPr>
                <w:rFonts w:ascii="宋体" w:hAnsi="宋体" w:eastAsia="宋体" w:cs="宋体"/>
                <w:b/>
                <w:color w:val="auto"/>
                <w:sz w:val="24"/>
                <w:highlight w:val="none"/>
              </w:rPr>
            </w:pPr>
            <w:r>
              <w:rPr>
                <w:rFonts w:ascii="宋体" w:hAnsi="宋体" w:eastAsia="宋体" w:cs="宋体"/>
                <w:b/>
                <w:color w:val="auto"/>
                <w:sz w:val="24"/>
                <w:highlight w:val="none"/>
              </w:rPr>
            </w:r>
            <w:r/>
          </w:p>
          <w:p>
            <w:pPr>
              <w:rPr>
                <w:rFonts w:ascii="宋体" w:hAnsi="宋体" w:eastAsia="宋体" w:cs="宋体"/>
                <w:b/>
                <w:color w:val="auto"/>
                <w:sz w:val="24"/>
                <w:highlight w:val="none"/>
              </w:rPr>
            </w:pPr>
            <w:r>
              <w:rPr>
                <w:rFonts w:ascii="宋体" w:hAnsi="宋体" w:eastAsia="宋体" w:cs="宋体"/>
                <w:b/>
                <w:color w:val="auto"/>
                <w:sz w:val="24"/>
                <w:highlight w:val="none"/>
              </w:rPr>
            </w:r>
            <w:r/>
          </w:p>
          <w:p>
            <w:pPr>
              <w:rPr>
                <w:rFonts w:ascii="宋体" w:hAnsi="宋体" w:eastAsia="宋体" w:cs="宋体"/>
                <w:b/>
                <w:color w:val="auto"/>
                <w:sz w:val="24"/>
                <w:highlight w:val="none"/>
              </w:rPr>
            </w:pPr>
            <w:r>
              <w:rPr>
                <w:rFonts w:ascii="宋体" w:hAnsi="宋体" w:eastAsia="宋体" w:cs="宋体"/>
                <w:b/>
                <w:color w:val="auto"/>
                <w:sz w:val="24"/>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pStyle w:val="839"/>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b/>
                <w:color w:val="auto"/>
                <w:sz w:val="24"/>
                <w:highlight w:val="none"/>
              </w:rPr>
            </w:pPr>
            <w:r>
              <w:rPr>
                <w:rFonts w:ascii="宋体" w:hAnsi="宋体" w:eastAsia="宋体" w:cs="宋体"/>
                <w:b/>
                <w:color w:val="auto"/>
                <w:sz w:val="24"/>
                <w:highlight w:val="none"/>
              </w:rPr>
            </w:r>
            <w:r/>
          </w:p>
          <w:p>
            <w:pPr>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单位名称（盖章）： </w:t>
            </w:r>
            <w:r/>
          </w:p>
          <w:p>
            <w:pPr>
              <w:pStyle w:val="839"/>
              <w:rPr>
                <w:rFonts w:ascii="宋体" w:hAnsi="宋体" w:eastAsia="宋体" w:cs="宋体"/>
                <w:color w:val="auto"/>
                <w:highlight w:val="none"/>
              </w:rPr>
            </w:pPr>
            <w:r>
              <w:rPr>
                <w:rFonts w:ascii="宋体" w:hAnsi="宋体" w:eastAsia="宋体" w:cs="宋体"/>
                <w:color w:val="auto"/>
                <w:highlight w:val="none"/>
              </w:rPr>
            </w:r>
            <w:r/>
          </w:p>
        </w:tc>
      </w:tr>
    </w:tbl>
    <w:p>
      <w:pPr>
        <w:pStyle w:val="838"/>
        <w:jc w:val="center"/>
        <w:spacing w:line="360" w:lineRule="auto"/>
        <w:rPr>
          <w:rFonts w:ascii="宋体" w:hAnsi="宋体" w:cs="宋体"/>
          <w:color w:val="auto"/>
          <w:sz w:val="30"/>
          <w:szCs w:val="30"/>
          <w:highlight w:val="none"/>
        </w:rPr>
      </w:pPr>
      <w:r>
        <w:rPr>
          <w:rFonts w:hint="eastAsia" w:ascii="宋体" w:hAnsi="宋体" w:cs="宋体"/>
          <w:color w:val="auto"/>
          <w:highlight w:val="none"/>
        </w:rPr>
        <w:br w:type="page" w:clear="all"/>
      </w:r>
      <w:bookmarkStart w:id="22" w:name="_Toc160701723"/>
      <w:r>
        <w:rPr>
          <w:rFonts w:hint="eastAsia" w:ascii="宋体" w:hAnsi="宋体" w:cs="宋体"/>
          <w:color w:val="auto"/>
          <w:sz w:val="30"/>
          <w:szCs w:val="30"/>
          <w:highlight w:val="none"/>
        </w:rPr>
        <w:t xml:space="preserve">七、项目人员一览表</w:t>
      </w:r>
      <w:bookmarkEnd w:id="22"/>
      <w:r/>
      <w:r/>
    </w:p>
    <w:p>
      <w:pPr>
        <w:spacing w:line="360" w:lineRule="auto"/>
        <w:rPr>
          <w:rFonts w:ascii="宋体" w:hAnsi="宋体" w:eastAsia="宋体" w:cs="宋体"/>
          <w:color w:val="auto"/>
          <w:sz w:val="24"/>
          <w:highlight w:val="none"/>
        </w:rPr>
      </w:pPr>
      <w:r>
        <w:rPr>
          <w:rFonts w:hint="eastAsia" w:ascii="宋体" w:hAnsi="宋体" w:eastAsia="宋体" w:cs="宋体"/>
          <w:b/>
          <w:color w:val="auto"/>
          <w:sz w:val="24"/>
          <w:szCs w:val="24"/>
          <w:highlight w:val="none"/>
        </w:rPr>
        <w:t xml:space="preserve">7.1项目负责人情况一览表</w:t>
      </w:r>
      <w:r/>
    </w:p>
    <w:tbl>
      <w:tblPr>
        <w:tblStyle w:val="847"/>
        <w:tblW w:w="4998"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688"/>
        <w:gridCol w:w="2031"/>
        <w:gridCol w:w="1462"/>
        <w:gridCol w:w="1168"/>
        <w:gridCol w:w="1190"/>
        <w:gridCol w:w="1377"/>
        <w:gridCol w:w="2000"/>
      </w:tblGrid>
      <w:tr>
        <w:trPr>
          <w:cantSplit/>
          <w:trHeight w:val="594"/>
        </w:trPr>
        <w:tc>
          <w:tcPr>
            <w:tcW w:w="347" w:type="pct"/>
            <w:vAlign w:val="center"/>
            <w:textDirection w:val="lrTb"/>
            <w:noWrap w:val="false"/>
          </w:tcPr>
          <w:p>
            <w:pPr>
              <w:pStyle w:val="850"/>
              <w:ind w:firstLine="0"/>
              <w:jc w:val="center"/>
              <w:rPr>
                <w:rFonts w:ascii="宋体" w:hAnsi="宋体" w:eastAsia="宋体" w:cs="宋体"/>
                <w:color w:val="auto"/>
                <w:highlight w:val="none"/>
              </w:rPr>
            </w:pPr>
            <w:r>
              <w:rPr>
                <w:rFonts w:hint="eastAsia" w:ascii="宋体" w:hAnsi="宋体" w:eastAsia="宋体" w:cs="宋体"/>
                <w:color w:val="auto"/>
                <w:highlight w:val="none"/>
              </w:rPr>
              <w:t xml:space="preserve">1</w:t>
            </w:r>
            <w:r/>
          </w:p>
        </w:tc>
        <w:tc>
          <w:tcPr>
            <w:tcW w:w="1024" w:type="pct"/>
            <w:vAlign w:val="center"/>
            <w:textDirection w:val="lrTb"/>
            <w:noWrap w:val="false"/>
          </w:tcPr>
          <w:p>
            <w:pPr>
              <w:pStyle w:val="850"/>
              <w:ind w:firstLine="0"/>
              <w:jc w:val="center"/>
              <w:rPr>
                <w:rFonts w:ascii="宋体" w:hAnsi="宋体" w:eastAsia="宋体" w:cs="宋体"/>
                <w:color w:val="auto"/>
                <w:highlight w:val="none"/>
              </w:rPr>
            </w:pPr>
            <w:r>
              <w:rPr>
                <w:rFonts w:hint="eastAsia" w:ascii="宋体" w:hAnsi="宋体" w:eastAsia="宋体" w:cs="宋体"/>
                <w:color w:val="auto"/>
                <w:highlight w:val="none"/>
              </w:rPr>
              <w:t xml:space="preserve">姓      名</w:t>
            </w:r>
            <w:r/>
          </w:p>
        </w:tc>
        <w:tc>
          <w:tcPr>
            <w:gridSpan w:val="2"/>
            <w:tcW w:w="1326" w:type="pct"/>
            <w:vAlign w:val="center"/>
            <w:textDirection w:val="lrTb"/>
            <w:noWrap w:val="false"/>
          </w:tcPr>
          <w:p>
            <w:pPr>
              <w:pStyle w:val="850"/>
              <w:ind w:firstLine="0"/>
              <w:jc w:val="both"/>
              <w:rPr>
                <w:rFonts w:ascii="宋体" w:hAnsi="宋体" w:eastAsia="宋体" w:cs="宋体"/>
                <w:color w:val="auto"/>
                <w:highlight w:val="none"/>
              </w:rPr>
            </w:pPr>
            <w:r>
              <w:rPr>
                <w:rFonts w:ascii="宋体" w:hAnsi="宋体" w:eastAsia="宋体" w:cs="宋体"/>
                <w:color w:val="auto"/>
                <w:highlight w:val="none"/>
              </w:rPr>
            </w:r>
            <w:r/>
          </w:p>
        </w:tc>
        <w:tc>
          <w:tcPr>
            <w:tcW w:w="599" w:type="pct"/>
            <w:vAlign w:val="center"/>
            <w:textDirection w:val="lrTb"/>
            <w:noWrap w:val="false"/>
          </w:tcPr>
          <w:p>
            <w:pPr>
              <w:pStyle w:val="850"/>
              <w:ind w:firstLine="0"/>
              <w:jc w:val="center"/>
              <w:rPr>
                <w:rFonts w:ascii="宋体" w:hAnsi="宋体" w:eastAsia="宋体" w:cs="宋体"/>
                <w:color w:val="auto"/>
                <w:highlight w:val="none"/>
              </w:rPr>
            </w:pPr>
            <w:r>
              <w:rPr>
                <w:rFonts w:hint="eastAsia" w:ascii="宋体" w:hAnsi="宋体" w:eastAsia="宋体" w:cs="宋体"/>
                <w:color w:val="auto"/>
                <w:highlight w:val="none"/>
              </w:rPr>
              <w:t xml:space="preserve">性   别</w:t>
            </w:r>
            <w:r/>
          </w:p>
        </w:tc>
        <w:tc>
          <w:tcPr>
            <w:gridSpan w:val="2"/>
            <w:tcW w:w="1701" w:type="pct"/>
            <w:vAlign w:val="center"/>
            <w:textDirection w:val="lrTb"/>
            <w:noWrap w:val="false"/>
          </w:tcPr>
          <w:p>
            <w:pPr>
              <w:pStyle w:val="850"/>
              <w:ind w:firstLine="0"/>
              <w:jc w:val="both"/>
              <w:rPr>
                <w:rFonts w:ascii="宋体" w:hAnsi="宋体" w:eastAsia="宋体" w:cs="宋体"/>
                <w:color w:val="auto"/>
                <w:highlight w:val="none"/>
              </w:rPr>
            </w:pPr>
            <w:r>
              <w:rPr>
                <w:rFonts w:ascii="宋体" w:hAnsi="宋体" w:eastAsia="宋体" w:cs="宋体"/>
                <w:color w:val="auto"/>
                <w:highlight w:val="none"/>
              </w:rPr>
            </w:r>
            <w:r/>
          </w:p>
        </w:tc>
      </w:tr>
      <w:tr>
        <w:trPr>
          <w:trHeight w:val="645"/>
        </w:trPr>
        <w:tc>
          <w:tcPr>
            <w:tcW w:w="347" w:type="pct"/>
            <w:vAlign w:val="center"/>
            <w:textDirection w:val="lrTb"/>
            <w:noWrap w:val="false"/>
          </w:tcPr>
          <w:p>
            <w:pPr>
              <w:pStyle w:val="850"/>
              <w:ind w:firstLine="0"/>
              <w:jc w:val="center"/>
              <w:rPr>
                <w:rFonts w:ascii="宋体" w:hAnsi="宋体" w:eastAsia="宋体" w:cs="宋体"/>
                <w:color w:val="auto"/>
                <w:highlight w:val="none"/>
              </w:rPr>
            </w:pPr>
            <w:r>
              <w:rPr>
                <w:rFonts w:hint="eastAsia" w:ascii="宋体" w:hAnsi="宋体" w:eastAsia="宋体" w:cs="宋体"/>
                <w:color w:val="auto"/>
                <w:highlight w:val="none"/>
              </w:rPr>
              <w:t xml:space="preserve">2</w:t>
            </w:r>
            <w:r/>
          </w:p>
        </w:tc>
        <w:tc>
          <w:tcPr>
            <w:tcW w:w="1024" w:type="pct"/>
            <w:vAlign w:val="center"/>
            <w:textDirection w:val="lrTb"/>
            <w:noWrap w:val="false"/>
          </w:tcPr>
          <w:p>
            <w:pPr>
              <w:pStyle w:val="850"/>
              <w:ind w:firstLine="0"/>
              <w:jc w:val="both"/>
              <w:rPr>
                <w:rFonts w:ascii="宋体" w:hAnsi="宋体" w:eastAsia="宋体" w:cs="宋体"/>
                <w:color w:val="auto"/>
                <w:highlight w:val="none"/>
              </w:rPr>
            </w:pPr>
            <w:r>
              <w:rPr>
                <w:rFonts w:hint="eastAsia" w:ascii="宋体" w:hAnsi="宋体" w:eastAsia="宋体" w:cs="宋体"/>
                <w:color w:val="auto"/>
                <w:highlight w:val="none"/>
              </w:rPr>
              <w:t xml:space="preserve">身份证号码</w:t>
            </w:r>
            <w:r/>
          </w:p>
        </w:tc>
        <w:tc>
          <w:tcPr>
            <w:gridSpan w:val="3"/>
            <w:tcW w:w="1925" w:type="pct"/>
            <w:vAlign w:val="center"/>
            <w:textDirection w:val="lrTb"/>
            <w:noWrap w:val="false"/>
          </w:tcPr>
          <w:p>
            <w:pPr>
              <w:pStyle w:val="850"/>
              <w:ind w:firstLine="0"/>
              <w:jc w:val="both"/>
              <w:rPr>
                <w:rFonts w:ascii="宋体" w:hAnsi="宋体" w:eastAsia="宋体" w:cs="宋体"/>
                <w:color w:val="auto"/>
                <w:highlight w:val="none"/>
              </w:rPr>
            </w:pPr>
            <w:r>
              <w:rPr>
                <w:rFonts w:ascii="宋体" w:hAnsi="宋体" w:eastAsia="宋体" w:cs="宋体"/>
                <w:color w:val="auto"/>
                <w:highlight w:val="none"/>
              </w:rPr>
            </w:r>
            <w:r/>
          </w:p>
        </w:tc>
        <w:tc>
          <w:tcPr>
            <w:tcW w:w="694" w:type="pct"/>
            <w:vAlign w:val="center"/>
            <w:textDirection w:val="lrTb"/>
            <w:noWrap w:val="false"/>
          </w:tcPr>
          <w:p>
            <w:pPr>
              <w:pStyle w:val="850"/>
              <w:ind w:firstLine="0"/>
              <w:jc w:val="center"/>
              <w:rPr>
                <w:rFonts w:ascii="宋体" w:hAnsi="宋体" w:eastAsia="宋体" w:cs="宋体"/>
                <w:color w:val="auto"/>
                <w:highlight w:val="none"/>
              </w:rPr>
            </w:pPr>
            <w:r>
              <w:rPr>
                <w:rFonts w:hint="eastAsia" w:ascii="宋体" w:hAnsi="宋体" w:eastAsia="宋体" w:cs="宋体"/>
                <w:color w:val="auto"/>
                <w:highlight w:val="none"/>
              </w:rPr>
              <w:t xml:space="preserve">出生年月</w:t>
            </w:r>
            <w:r/>
          </w:p>
        </w:tc>
        <w:tc>
          <w:tcPr>
            <w:tcW w:w="1007" w:type="pct"/>
            <w:vAlign w:val="center"/>
            <w:textDirection w:val="lrTb"/>
            <w:noWrap w:val="false"/>
          </w:tcPr>
          <w:p>
            <w:pPr>
              <w:pStyle w:val="850"/>
              <w:ind w:firstLine="0"/>
              <w:jc w:val="center"/>
              <w:rPr>
                <w:rFonts w:ascii="宋体" w:hAnsi="宋体" w:eastAsia="宋体" w:cs="宋体"/>
                <w:color w:val="auto"/>
                <w:highlight w:val="none"/>
              </w:rPr>
            </w:pPr>
            <w:r>
              <w:rPr>
                <w:rFonts w:hint="eastAsia" w:ascii="宋体" w:hAnsi="宋体" w:eastAsia="宋体" w:cs="宋体"/>
                <w:color w:val="auto"/>
                <w:highlight w:val="none"/>
              </w:rPr>
              <w:t xml:space="preserve">年   月</w:t>
            </w:r>
            <w:r/>
          </w:p>
        </w:tc>
      </w:tr>
      <w:tr>
        <w:trPr>
          <w:trHeight w:val="645"/>
        </w:trPr>
        <w:tc>
          <w:tcPr>
            <w:tcW w:w="347" w:type="pct"/>
            <w:vAlign w:val="center"/>
            <w:textDirection w:val="lrTb"/>
            <w:noWrap w:val="false"/>
          </w:tcPr>
          <w:p>
            <w:pPr>
              <w:pStyle w:val="850"/>
              <w:ind w:firstLine="0"/>
              <w:jc w:val="center"/>
              <w:rPr>
                <w:rFonts w:ascii="宋体" w:hAnsi="宋体" w:eastAsia="宋体" w:cs="宋体"/>
                <w:color w:val="auto"/>
                <w:highlight w:val="none"/>
              </w:rPr>
            </w:pPr>
            <w:r>
              <w:rPr>
                <w:rFonts w:hint="eastAsia" w:ascii="宋体" w:hAnsi="宋体" w:eastAsia="宋体" w:cs="宋体"/>
                <w:color w:val="auto"/>
                <w:highlight w:val="none"/>
              </w:rPr>
              <w:t xml:space="preserve">3</w:t>
            </w:r>
            <w:r/>
          </w:p>
        </w:tc>
        <w:tc>
          <w:tcPr>
            <w:gridSpan w:val="2"/>
            <w:tcW w:w="1761" w:type="pct"/>
            <w:vAlign w:val="center"/>
            <w:textDirection w:val="lrTb"/>
            <w:noWrap w:val="false"/>
          </w:tcPr>
          <w:p>
            <w:pPr>
              <w:pStyle w:val="850"/>
              <w:ind w:firstLine="0"/>
              <w:jc w:val="both"/>
              <w:rPr>
                <w:rFonts w:ascii="宋体" w:hAnsi="宋体" w:eastAsia="宋体" w:cs="宋体"/>
                <w:color w:val="auto"/>
                <w:highlight w:val="none"/>
              </w:rPr>
            </w:pPr>
            <w:r>
              <w:rPr>
                <w:rFonts w:hint="eastAsia" w:ascii="宋体" w:hAnsi="宋体" w:eastAsia="宋体" w:cs="宋体"/>
                <w:color w:val="auto"/>
                <w:highlight w:val="none"/>
              </w:rPr>
              <w:t xml:space="preserve">联系电话：</w:t>
            </w:r>
            <w:r/>
          </w:p>
        </w:tc>
        <w:tc>
          <w:tcPr>
            <w:gridSpan w:val="2"/>
            <w:tcW w:w="1189" w:type="pct"/>
            <w:vAlign w:val="center"/>
            <w:textDirection w:val="lrTb"/>
            <w:noWrap w:val="false"/>
          </w:tcPr>
          <w:p>
            <w:pPr>
              <w:pStyle w:val="850"/>
              <w:ind w:firstLine="0"/>
              <w:jc w:val="both"/>
              <w:rPr>
                <w:rFonts w:ascii="宋体" w:hAnsi="宋体" w:eastAsia="宋体" w:cs="宋体"/>
                <w:color w:val="auto"/>
                <w:highlight w:val="none"/>
              </w:rPr>
            </w:pPr>
            <w:r>
              <w:rPr>
                <w:rFonts w:hint="eastAsia" w:ascii="宋体" w:hAnsi="宋体" w:eastAsia="宋体" w:cs="宋体"/>
                <w:color w:val="auto"/>
                <w:highlight w:val="none"/>
              </w:rPr>
              <w:t xml:space="preserve">传真：</w:t>
            </w:r>
            <w:r/>
          </w:p>
        </w:tc>
        <w:tc>
          <w:tcPr>
            <w:gridSpan w:val="2"/>
            <w:tcW w:w="1701" w:type="pct"/>
            <w:vAlign w:val="center"/>
            <w:textDirection w:val="lrTb"/>
            <w:noWrap w:val="false"/>
          </w:tcPr>
          <w:p>
            <w:pPr>
              <w:pStyle w:val="850"/>
              <w:ind w:firstLine="0"/>
              <w:jc w:val="both"/>
              <w:rPr>
                <w:rFonts w:ascii="宋体" w:hAnsi="宋体" w:eastAsia="宋体" w:cs="宋体"/>
                <w:color w:val="auto"/>
                <w:highlight w:val="none"/>
              </w:rPr>
            </w:pPr>
            <w:r>
              <w:rPr>
                <w:rFonts w:hint="eastAsia" w:ascii="宋体" w:hAnsi="宋体" w:eastAsia="宋体" w:cs="宋体"/>
                <w:color w:val="auto"/>
                <w:highlight w:val="none"/>
              </w:rPr>
              <w:t xml:space="preserve">电子邮箱：</w:t>
            </w:r>
            <w:r/>
          </w:p>
        </w:tc>
      </w:tr>
      <w:tr>
        <w:trPr>
          <w:cantSplit/>
          <w:trHeight w:val="645"/>
        </w:trPr>
        <w:tc>
          <w:tcPr>
            <w:tcW w:w="347" w:type="pct"/>
            <w:vAlign w:val="center"/>
            <w:textDirection w:val="lrTb"/>
            <w:noWrap w:val="false"/>
          </w:tcPr>
          <w:p>
            <w:pPr>
              <w:pStyle w:val="850"/>
              <w:ind w:firstLine="0"/>
              <w:jc w:val="center"/>
              <w:rPr>
                <w:rFonts w:ascii="宋体" w:hAnsi="宋体" w:eastAsia="宋体" w:cs="宋体"/>
                <w:color w:val="auto"/>
                <w:highlight w:val="none"/>
              </w:rPr>
            </w:pPr>
            <w:r>
              <w:rPr>
                <w:rFonts w:hint="eastAsia" w:ascii="宋体" w:hAnsi="宋体" w:eastAsia="宋体" w:cs="宋体"/>
                <w:color w:val="auto"/>
                <w:highlight w:val="none"/>
              </w:rPr>
              <w:t xml:space="preserve">4</w:t>
            </w:r>
            <w:r/>
          </w:p>
        </w:tc>
        <w:tc>
          <w:tcPr>
            <w:gridSpan w:val="6"/>
            <w:tcW w:w="4652" w:type="pct"/>
            <w:vAlign w:val="center"/>
            <w:textDirection w:val="lrTb"/>
            <w:noWrap w:val="false"/>
          </w:tcPr>
          <w:p>
            <w:pPr>
              <w:pStyle w:val="850"/>
              <w:ind w:firstLine="0"/>
              <w:jc w:val="both"/>
              <w:rPr>
                <w:rFonts w:ascii="宋体" w:hAnsi="宋体" w:eastAsia="宋体" w:cs="宋体"/>
                <w:color w:val="auto"/>
                <w:highlight w:val="none"/>
              </w:rPr>
            </w:pPr>
            <w:r>
              <w:rPr>
                <w:rFonts w:hint="eastAsia" w:ascii="宋体" w:hAnsi="宋体" w:eastAsia="宋体" w:cs="宋体"/>
                <w:color w:val="auto"/>
                <w:highlight w:val="none"/>
              </w:rPr>
              <w:t xml:space="preserve">从事类似项目工作时间：</w:t>
            </w:r>
            <w:r/>
          </w:p>
        </w:tc>
      </w:tr>
      <w:tr>
        <w:trPr>
          <w:cantSplit/>
          <w:trHeight w:val="625"/>
        </w:trPr>
        <w:tc>
          <w:tcPr>
            <w:tcW w:w="347" w:type="pct"/>
            <w:vAlign w:val="center"/>
            <w:textDirection w:val="lrTb"/>
            <w:noWrap w:val="false"/>
          </w:tcPr>
          <w:p>
            <w:pPr>
              <w:pStyle w:val="850"/>
              <w:ind w:firstLine="0"/>
              <w:jc w:val="center"/>
              <w:rPr>
                <w:rFonts w:ascii="宋体" w:hAnsi="宋体" w:eastAsia="宋体" w:cs="宋体"/>
                <w:color w:val="auto"/>
                <w:highlight w:val="none"/>
              </w:rPr>
            </w:pPr>
            <w:r>
              <w:rPr>
                <w:rFonts w:hint="eastAsia" w:ascii="宋体" w:hAnsi="宋体" w:eastAsia="宋体" w:cs="宋体"/>
                <w:color w:val="auto"/>
                <w:highlight w:val="none"/>
              </w:rPr>
              <w:t xml:space="preserve">5</w:t>
            </w:r>
            <w:r/>
          </w:p>
        </w:tc>
        <w:tc>
          <w:tcPr>
            <w:gridSpan w:val="6"/>
            <w:tcW w:w="4652" w:type="pct"/>
            <w:vAlign w:val="center"/>
            <w:textDirection w:val="lrTb"/>
            <w:noWrap w:val="false"/>
          </w:tcPr>
          <w:p>
            <w:pPr>
              <w:pStyle w:val="850"/>
              <w:ind w:firstLine="0"/>
              <w:jc w:val="both"/>
              <w:rPr>
                <w:rFonts w:ascii="宋体" w:hAnsi="宋体" w:eastAsia="宋体" w:cs="宋体"/>
                <w:color w:val="auto"/>
                <w:highlight w:val="none"/>
              </w:rPr>
            </w:pPr>
            <w:r>
              <w:rPr>
                <w:rFonts w:hint="eastAsia" w:ascii="宋体" w:hAnsi="宋体" w:eastAsia="宋体" w:cs="宋体"/>
                <w:color w:val="auto"/>
                <w:highlight w:val="none"/>
              </w:rPr>
              <w:t xml:space="preserve">拥有的职称：</w:t>
            </w:r>
            <w:r/>
          </w:p>
        </w:tc>
      </w:tr>
      <w:tr>
        <w:trPr>
          <w:trHeight w:val="2758"/>
        </w:trPr>
        <w:tc>
          <w:tcPr>
            <w:tcW w:w="347" w:type="pct"/>
            <w:vAlign w:val="center"/>
            <w:textDirection w:val="lrTb"/>
            <w:noWrap w:val="false"/>
          </w:tcPr>
          <w:p>
            <w:pPr>
              <w:jc w:val="center"/>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6</w:t>
            </w:r>
            <w:r/>
          </w:p>
        </w:tc>
        <w:tc>
          <w:tcPr>
            <w:gridSpan w:val="6"/>
            <w:tcW w:w="4652" w:type="pct"/>
            <w:textDirection w:val="lrTb"/>
            <w:noWrap w:val="false"/>
          </w:tcPr>
          <w:p>
            <w:pPr>
              <w:pStyle w:val="850"/>
              <w:ind w:firstLine="0"/>
              <w:jc w:val="both"/>
              <w:rPr>
                <w:rFonts w:ascii="宋体" w:hAnsi="宋体" w:eastAsia="宋体" w:cs="宋体"/>
                <w:color w:val="auto"/>
                <w:highlight w:val="none"/>
              </w:rPr>
            </w:pPr>
            <w:r>
              <w:rPr>
                <w:rFonts w:hint="eastAsia" w:ascii="宋体" w:hAnsi="宋体" w:eastAsia="宋体" w:cs="宋体"/>
                <w:color w:val="auto"/>
                <w:highlight w:val="none"/>
              </w:rPr>
              <w:t xml:space="preserve">本公司承诺：</w:t>
            </w:r>
            <w:r/>
          </w:p>
          <w:p>
            <w:pPr>
              <w:pStyle w:val="850"/>
              <w:ind w:firstLine="0"/>
              <w:jc w:val="both"/>
              <w:rPr>
                <w:rFonts w:ascii="宋体" w:hAnsi="宋体" w:eastAsia="宋体" w:cs="宋体"/>
                <w:color w:val="auto"/>
                <w:highlight w:val="none"/>
              </w:rPr>
            </w:pPr>
            <w:r>
              <w:rPr>
                <w:rFonts w:hint="eastAsia" w:ascii="宋体" w:hAnsi="宋体" w:eastAsia="宋体" w:cs="宋体"/>
                <w:color w:val="auto"/>
                <w:highlight w:val="none"/>
              </w:rPr>
              <w:t xml:space="preserve">该项目负责人在我单位已任职</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年以上且在从业经历中没有任何违法、违规而被查处的不良记录。</w:t>
            </w:r>
            <w:r/>
          </w:p>
        </w:tc>
      </w:tr>
      <w:tr>
        <w:trPr>
          <w:trHeight w:val="2846"/>
        </w:trPr>
        <w:tc>
          <w:tcPr>
            <w:tcW w:w="347" w:type="pct"/>
            <w:vAlign w:val="center"/>
            <w:textDirection w:val="lrTb"/>
            <w:noWrap w:val="false"/>
          </w:tcPr>
          <w:p>
            <w:pPr>
              <w:jc w:val="center"/>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7</w:t>
            </w:r>
            <w:r/>
          </w:p>
        </w:tc>
        <w:tc>
          <w:tcPr>
            <w:gridSpan w:val="6"/>
            <w:tcW w:w="4652" w:type="pct"/>
            <w:textDirection w:val="lrTb"/>
            <w:noWrap w:val="false"/>
          </w:tcPr>
          <w:p>
            <w:pPr>
              <w:pStyle w:val="850"/>
              <w:ind w:firstLine="0"/>
              <w:jc w:val="both"/>
              <w:rPr>
                <w:rFonts w:ascii="宋体" w:hAnsi="宋体" w:eastAsia="宋体" w:cs="宋体"/>
                <w:color w:val="auto"/>
                <w:sz w:val="21"/>
                <w:highlight w:val="none"/>
              </w:rPr>
            </w:pPr>
            <w:r>
              <w:rPr>
                <w:rFonts w:hint="eastAsia" w:ascii="宋体" w:hAnsi="宋体" w:eastAsia="宋体" w:cs="宋体"/>
                <w:color w:val="auto"/>
                <w:highlight w:val="none"/>
              </w:rPr>
              <w:t xml:space="preserve">其他需要说明的情况</w:t>
            </w:r>
            <w:r/>
          </w:p>
        </w:tc>
      </w:tr>
    </w:tbl>
    <w:p>
      <w:pPr>
        <w:rPr>
          <w:rFonts w:ascii="宋体" w:hAnsi="宋体" w:eastAsia="宋体" w:cs="宋体"/>
          <w:color w:val="auto"/>
          <w:szCs w:val="21"/>
          <w:highlight w:val="none"/>
        </w:rPr>
      </w:pPr>
      <w:r>
        <w:rPr>
          <w:rFonts w:ascii="宋体" w:hAnsi="宋体" w:eastAsia="宋体" w:cs="宋体"/>
          <w:color w:val="auto"/>
          <w:szCs w:val="21"/>
          <w:highlight w:val="none"/>
        </w:rPr>
      </w:r>
      <w:r/>
    </w:p>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供应商：（单位盖章）</w:t>
      </w:r>
      <w:r/>
    </w:p>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ascii="宋体" w:hAnsi="宋体" w:eastAsia="宋体" w:cs="宋体"/>
          <w:bCs/>
          <w:color w:val="auto"/>
          <w:highlight w:val="none"/>
          <w:lang w:val="zh-CN"/>
        </w:rPr>
      </w:pPr>
      <w:r>
        <w:rPr>
          <w:rFonts w:hint="eastAsia" w:ascii="宋体" w:hAnsi="宋体" w:eastAsia="宋体" w:cs="宋体"/>
          <w:bCs/>
          <w:color w:val="auto"/>
          <w:highlight w:val="none"/>
          <w:lang w:val="zh-CN"/>
        </w:rPr>
        <w:br w:type="page" w:clear="all"/>
      </w:r>
      <w:r/>
    </w:p>
    <w:p>
      <w:pP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7.2</w:t>
      </w:r>
      <w:r>
        <w:rPr>
          <w:rFonts w:hint="eastAsia" w:ascii="宋体" w:hAnsi="宋体" w:eastAsia="宋体" w:cs="宋体"/>
          <w:b/>
          <w:color w:val="auto"/>
          <w:sz w:val="24"/>
          <w:szCs w:val="24"/>
          <w:highlight w:val="none"/>
          <w:lang w:val="zh-CN"/>
        </w:rPr>
        <w:t xml:space="preserve">人员配备一览表</w:t>
      </w:r>
      <w:r>
        <w:rPr>
          <w:rFonts w:hint="eastAsia" w:ascii="宋体" w:hAnsi="宋体" w:eastAsia="宋体" w:cs="宋体"/>
          <w:b/>
          <w:color w:val="auto"/>
          <w:sz w:val="24"/>
          <w:szCs w:val="24"/>
          <w:highlight w:val="none"/>
        </w:rPr>
        <w:t xml:space="preserve"> </w:t>
      </w:r>
      <w:r/>
    </w:p>
    <w:p>
      <w:pPr>
        <w:pStyle w:val="1098"/>
        <w:ind w:firstLine="0"/>
        <w:spacing w:line="360" w:lineRule="auto"/>
        <w:rPr>
          <w:rFonts w:ascii="宋体" w:hAnsi="宋体" w:cs="宋体"/>
          <w:b/>
          <w:color w:val="auto"/>
          <w:highlight w:val="none"/>
        </w:rPr>
      </w:pPr>
      <w:r>
        <w:rPr>
          <w:rFonts w:hint="eastAsia" w:ascii="宋体" w:hAnsi="宋体" w:cs="宋体"/>
          <w:color w:val="auto"/>
          <w:highlight w:val="none"/>
        </w:rPr>
        <w:t xml:space="preserve">招标编号：</w:t>
      </w:r>
      <w:r/>
    </w:p>
    <w:tbl>
      <w:tblPr>
        <w:tblStyle w:val="847"/>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0"/>
        <w:gridCol w:w="927"/>
        <w:gridCol w:w="695"/>
        <w:gridCol w:w="1626"/>
        <w:gridCol w:w="696"/>
        <w:gridCol w:w="696"/>
        <w:gridCol w:w="696"/>
        <w:gridCol w:w="1160"/>
        <w:gridCol w:w="696"/>
        <w:gridCol w:w="1160"/>
        <w:gridCol w:w="1160"/>
      </w:tblGrid>
      <w:tr>
        <w:trPr>
          <w:trHeight w:val="627"/>
        </w:trPr>
        <w:tc>
          <w:tcPr>
            <w:tcW w:w="278" w:type="pct"/>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460" w:type="pct"/>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p>
        </w:tc>
        <w:tc>
          <w:tcPr>
            <w:tcW w:w="345" w:type="pct"/>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岗位</w:t>
            </w:r>
            <w:r/>
          </w:p>
        </w:tc>
        <w:tc>
          <w:tcPr>
            <w:tcW w:w="806" w:type="pct"/>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身份证号码</w:t>
            </w:r>
            <w:r/>
          </w:p>
        </w:tc>
        <w:tc>
          <w:tcPr>
            <w:tcW w:w="345" w:type="pct"/>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年龄</w:t>
            </w:r>
            <w:r/>
          </w:p>
        </w:tc>
        <w:tc>
          <w:tcPr>
            <w:tcW w:w="345" w:type="pct"/>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性别</w:t>
            </w:r>
            <w:r/>
          </w:p>
        </w:tc>
        <w:tc>
          <w:tcPr>
            <w:tcW w:w="345" w:type="pct"/>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学历</w:t>
            </w:r>
            <w:r/>
          </w:p>
        </w:tc>
        <w:tc>
          <w:tcPr>
            <w:tcW w:w="575" w:type="pct"/>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所学</w:t>
            </w:r>
            <w:r/>
          </w:p>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专业</w:t>
            </w:r>
            <w:r/>
          </w:p>
        </w:tc>
        <w:tc>
          <w:tcPr>
            <w:tcW w:w="345" w:type="pct"/>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职称</w:t>
            </w:r>
            <w:r/>
          </w:p>
        </w:tc>
        <w:tc>
          <w:tcPr>
            <w:tcW w:w="575" w:type="pct"/>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相关工作经验年限</w:t>
            </w:r>
            <w:r/>
          </w:p>
        </w:tc>
        <w:tc>
          <w:tcPr>
            <w:tcW w:w="575" w:type="pct"/>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持证</w:t>
            </w:r>
            <w:r/>
          </w:p>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情况</w:t>
            </w:r>
            <w:r/>
          </w:p>
        </w:tc>
      </w:tr>
      <w:tr>
        <w:trPr>
          <w:trHeight w:val="627"/>
        </w:trPr>
        <w:tc>
          <w:tcPr>
            <w:tcW w:w="278" w:type="pct"/>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460" w:type="pct"/>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45" w:type="pct"/>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806" w:type="pct"/>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45" w:type="pct"/>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45" w:type="pct"/>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45" w:type="pct"/>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575" w:type="pct"/>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45" w:type="pct"/>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575" w:type="pct"/>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575" w:type="pct"/>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627"/>
        </w:trPr>
        <w:tc>
          <w:tcPr>
            <w:tcW w:w="278" w:type="pct"/>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460" w:type="pct"/>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45" w:type="pct"/>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806" w:type="pct"/>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45" w:type="pct"/>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45" w:type="pct"/>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45" w:type="pct"/>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575" w:type="pct"/>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45" w:type="pct"/>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575" w:type="pct"/>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575" w:type="pct"/>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627"/>
        </w:trPr>
        <w:tc>
          <w:tcPr>
            <w:tcW w:w="278" w:type="pct"/>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460" w:type="pct"/>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45" w:type="pct"/>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806" w:type="pct"/>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45" w:type="pct"/>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45" w:type="pct"/>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45" w:type="pct"/>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575" w:type="pct"/>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45" w:type="pct"/>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575" w:type="pct"/>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575" w:type="pct"/>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627"/>
        </w:trPr>
        <w:tc>
          <w:tcPr>
            <w:tcW w:w="278" w:type="pct"/>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460" w:type="pct"/>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45" w:type="pct"/>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806" w:type="pct"/>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45" w:type="pct"/>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45" w:type="pct"/>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45" w:type="pct"/>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575" w:type="pct"/>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45" w:type="pct"/>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575" w:type="pct"/>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575" w:type="pct"/>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627"/>
        </w:trPr>
        <w:tc>
          <w:tcPr>
            <w:tcW w:w="278" w:type="pct"/>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460" w:type="pct"/>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45" w:type="pct"/>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806" w:type="pct"/>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45" w:type="pct"/>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45" w:type="pct"/>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45" w:type="pct"/>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575" w:type="pct"/>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45" w:type="pct"/>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575" w:type="pct"/>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575" w:type="pct"/>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bl>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供应商：（单位盖章）</w:t>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spacing w:before="100" w:beforeAutospacing="1" w:after="100" w:afterAutospacing="1"/>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850"/>
        <w:ind w:firstLine="0"/>
        <w:jc w:val="center"/>
        <w:spacing w:line="360" w:lineRule="auto"/>
        <w:rPr>
          <w:rFonts w:ascii="宋体" w:hAnsi="宋体" w:eastAsia="宋体" w:cs="宋体"/>
          <w:b/>
          <w:bCs/>
          <w:color w:val="auto"/>
          <w:sz w:val="30"/>
          <w:szCs w:val="30"/>
          <w:highlight w:val="none"/>
        </w:rPr>
      </w:pPr>
      <w:r>
        <w:rPr>
          <w:rFonts w:ascii="宋体" w:hAnsi="宋体" w:eastAsia="宋体" w:cs="宋体"/>
          <w:b/>
          <w:bCs/>
          <w:color w:val="auto"/>
          <w:sz w:val="30"/>
          <w:szCs w:val="30"/>
          <w:highlight w:val="none"/>
        </w:rPr>
      </w:r>
      <w:r/>
    </w:p>
    <w:p>
      <w:pPr>
        <w:pStyle w:val="850"/>
        <w:ind w:firstLine="0"/>
        <w:jc w:val="center"/>
        <w:spacing w:line="360" w:lineRule="auto"/>
        <w:rPr>
          <w:rFonts w:ascii="宋体" w:hAnsi="宋体" w:eastAsia="宋体" w:cs="宋体"/>
          <w:b/>
          <w:bCs/>
          <w:color w:val="auto"/>
          <w:sz w:val="30"/>
          <w:szCs w:val="30"/>
          <w:highlight w:val="none"/>
        </w:rPr>
      </w:pPr>
      <w:r>
        <w:rPr>
          <w:rFonts w:ascii="宋体" w:hAnsi="宋体" w:eastAsia="宋体" w:cs="宋体"/>
          <w:b/>
          <w:bCs/>
          <w:color w:val="auto"/>
          <w:sz w:val="30"/>
          <w:szCs w:val="30"/>
          <w:highlight w:val="none"/>
        </w:rPr>
      </w:r>
      <w:r/>
    </w:p>
    <w:p>
      <w:pPr>
        <w:pStyle w:val="850"/>
        <w:ind w:firstLine="0"/>
        <w:jc w:val="center"/>
        <w:spacing w:line="360" w:lineRule="auto"/>
        <w:rPr>
          <w:rFonts w:ascii="宋体" w:hAnsi="宋体" w:eastAsia="宋体" w:cs="宋体"/>
          <w:b/>
          <w:bCs/>
          <w:color w:val="auto"/>
          <w:sz w:val="30"/>
          <w:szCs w:val="30"/>
          <w:highlight w:val="none"/>
        </w:rPr>
      </w:pPr>
      <w:r>
        <w:rPr>
          <w:rFonts w:ascii="宋体" w:hAnsi="宋体" w:eastAsia="宋体" w:cs="宋体"/>
          <w:b/>
          <w:bCs/>
          <w:color w:val="auto"/>
          <w:sz w:val="30"/>
          <w:szCs w:val="30"/>
          <w:highlight w:val="none"/>
        </w:rPr>
      </w:r>
      <w:r/>
    </w:p>
    <w:p>
      <w:pPr>
        <w:pStyle w:val="850"/>
        <w:ind w:firstLine="0"/>
        <w:jc w:val="center"/>
        <w:spacing w:line="360" w:lineRule="auto"/>
        <w:rPr>
          <w:rFonts w:ascii="宋体" w:hAnsi="宋体" w:eastAsia="宋体" w:cs="宋体"/>
          <w:b/>
          <w:bCs/>
          <w:color w:val="auto"/>
          <w:sz w:val="30"/>
          <w:szCs w:val="30"/>
          <w:highlight w:val="none"/>
        </w:rPr>
      </w:pPr>
      <w:r>
        <w:rPr>
          <w:rFonts w:ascii="宋体" w:hAnsi="宋体" w:eastAsia="宋体" w:cs="宋体"/>
          <w:b/>
          <w:bCs/>
          <w:color w:val="auto"/>
          <w:sz w:val="30"/>
          <w:szCs w:val="30"/>
          <w:highlight w:val="none"/>
        </w:rPr>
      </w:r>
      <w:r/>
    </w:p>
    <w:p>
      <w:pPr>
        <w:pStyle w:val="850"/>
        <w:ind w:firstLine="0"/>
        <w:jc w:val="center"/>
        <w:spacing w:line="360" w:lineRule="auto"/>
        <w:rPr>
          <w:rFonts w:ascii="宋体" w:hAnsi="宋体" w:eastAsia="宋体" w:cs="宋体"/>
          <w:b/>
          <w:bCs/>
          <w:color w:val="auto"/>
          <w:sz w:val="30"/>
          <w:szCs w:val="30"/>
          <w:highlight w:val="none"/>
        </w:rPr>
      </w:pPr>
      <w:r>
        <w:rPr>
          <w:rFonts w:ascii="宋体" w:hAnsi="宋体" w:eastAsia="宋体" w:cs="宋体"/>
          <w:b/>
          <w:bCs/>
          <w:color w:val="auto"/>
          <w:sz w:val="30"/>
          <w:szCs w:val="30"/>
          <w:highlight w:val="none"/>
        </w:rPr>
      </w:r>
      <w:r/>
    </w:p>
    <w:p>
      <w:pPr>
        <w:pStyle w:val="850"/>
        <w:ind w:firstLine="0"/>
        <w:jc w:val="center"/>
        <w:spacing w:line="360" w:lineRule="auto"/>
        <w:rPr>
          <w:rFonts w:ascii="宋体" w:hAnsi="宋体" w:eastAsia="宋体" w:cs="宋体"/>
          <w:b/>
          <w:bCs/>
          <w:color w:val="auto"/>
          <w:sz w:val="30"/>
          <w:szCs w:val="30"/>
          <w:highlight w:val="none"/>
        </w:rPr>
      </w:pPr>
      <w:r>
        <w:rPr>
          <w:rFonts w:ascii="宋体" w:hAnsi="宋体" w:eastAsia="宋体" w:cs="宋体"/>
          <w:b/>
          <w:bCs/>
          <w:color w:val="auto"/>
          <w:sz w:val="30"/>
          <w:szCs w:val="30"/>
          <w:highlight w:val="none"/>
        </w:rPr>
      </w:r>
      <w:r/>
    </w:p>
    <w:p>
      <w:pPr>
        <w:rPr>
          <w:rFonts w:ascii="宋体" w:hAnsi="宋体" w:eastAsia="宋体" w:cs="宋体"/>
          <w:b/>
          <w:bCs/>
          <w:color w:val="auto"/>
          <w:sz w:val="30"/>
          <w:szCs w:val="30"/>
          <w:highlight w:val="none"/>
        </w:rPr>
      </w:pPr>
      <w:r>
        <w:rPr>
          <w:rFonts w:ascii="宋体" w:hAnsi="宋体" w:eastAsia="宋体" w:cs="宋体"/>
          <w:b/>
          <w:bCs/>
          <w:color w:val="auto"/>
          <w:sz w:val="30"/>
          <w:szCs w:val="30"/>
          <w:highlight w:val="none"/>
        </w:rPr>
        <w:br w:type="page" w:clear="all"/>
      </w:r>
      <w:bookmarkEnd w:id="21"/>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8"/>
        <w:jc w:val="center"/>
        <w:spacing w:line="480" w:lineRule="exact"/>
        <w:rPr>
          <w:rFonts w:ascii="宋体" w:hAnsi="宋体" w:cs="宋体"/>
          <w:color w:val="auto"/>
          <w:highlight w:val="none"/>
        </w:rPr>
      </w:pPr>
      <w:r/>
      <w:bookmarkStart w:id="23" w:name="_Toc160701724"/>
      <w:r>
        <w:rPr>
          <w:rFonts w:hint="eastAsia" w:ascii="宋体" w:hAnsi="宋体" w:cs="宋体"/>
          <w:color w:val="auto"/>
          <w:sz w:val="30"/>
          <w:szCs w:val="30"/>
          <w:highlight w:val="none"/>
        </w:rPr>
        <w:t xml:space="preserve">八、资格证明文件</w:t>
      </w:r>
      <w:bookmarkEnd w:id="23"/>
      <w:r/>
      <w:r/>
    </w:p>
    <w:p>
      <w:pPr>
        <w:rPr>
          <w:rFonts w:ascii="宋体" w:hAnsi="宋体" w:eastAsia="宋体" w:cs="宋体"/>
          <w:b/>
          <w:bCs/>
          <w:color w:val="auto"/>
          <w:sz w:val="24"/>
          <w:highlight w:val="none"/>
          <w:lang w:val="zh-CN"/>
        </w:rPr>
      </w:pPr>
      <w:r/>
      <w:bookmarkStart w:id="24" w:name="_Toc160701725"/>
      <w:r>
        <w:rPr>
          <w:rFonts w:ascii="宋体" w:hAnsi="宋体" w:eastAsia="宋体" w:cs="宋体"/>
          <w:b/>
          <w:bCs/>
          <w:color w:val="auto"/>
          <w:sz w:val="24"/>
          <w:highlight w:val="none"/>
          <w:lang w:val="zh-CN"/>
        </w:rPr>
        <w:t xml:space="preserve">8.1、关于资格文件的声明函</w:t>
      </w:r>
      <w:bookmarkEnd w:id="24"/>
      <w:r/>
      <w:r/>
    </w:p>
    <w:p>
      <w:pPr>
        <w:pStyle w:val="850"/>
        <w:ind w:firstLine="0"/>
        <w:rPr>
          <w:rFonts w:ascii="宋体" w:hAnsi="宋体" w:eastAsia="宋体" w:cs="宋体"/>
          <w:b/>
          <w:color w:val="auto"/>
          <w:highlight w:val="none"/>
        </w:rPr>
      </w:pPr>
      <w:r>
        <w:rPr>
          <w:rFonts w:ascii="宋体" w:hAnsi="宋体" w:eastAsia="宋体" w:cs="宋体"/>
          <w:b/>
          <w:color w:val="auto"/>
          <w:highlight w:val="none"/>
        </w:rPr>
      </w:r>
      <w:r/>
    </w:p>
    <w:p>
      <w:pPr>
        <w:pStyle w:val="850"/>
        <w:ind w:firstLine="0"/>
        <w:jc w:val="center"/>
        <w:rPr>
          <w:rFonts w:ascii="宋体" w:hAnsi="宋体" w:eastAsia="宋体" w:cs="宋体"/>
          <w:b/>
          <w:bCs/>
          <w:color w:val="auto"/>
          <w:highlight w:val="none"/>
        </w:rPr>
      </w:pPr>
      <w:r>
        <w:rPr>
          <w:rFonts w:hint="eastAsia" w:ascii="宋体" w:hAnsi="宋体" w:eastAsia="宋体" w:cs="宋体"/>
          <w:b/>
          <w:bCs/>
          <w:color w:val="auto"/>
          <w:highlight w:val="none"/>
        </w:rPr>
        <w:t xml:space="preserve">关于资格文件的声明函</w:t>
      </w:r>
      <w:r/>
    </w:p>
    <w:p>
      <w:pPr>
        <w:pStyle w:val="850"/>
        <w:ind w:firstLine="0"/>
        <w:jc w:val="center"/>
        <w:rPr>
          <w:rFonts w:ascii="宋体" w:hAnsi="宋体" w:eastAsia="宋体" w:cs="宋体"/>
          <w:color w:val="auto"/>
          <w:highlight w:val="none"/>
        </w:rPr>
      </w:pPr>
      <w:r>
        <w:rPr>
          <w:rFonts w:ascii="宋体" w:hAnsi="宋体" w:eastAsia="宋体" w:cs="宋体"/>
          <w:color w:val="auto"/>
          <w:highlight w:val="none"/>
        </w:rPr>
      </w:r>
      <w:r/>
    </w:p>
    <w:p>
      <w:pPr>
        <w:pStyle w:val="850"/>
        <w:ind w:firstLine="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850"/>
        <w:ind w:firstLine="48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1、本公司愿就由贵公司组织实施的编号为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号的招标活动进行投标。本公司所提交的投标文件中所有关于投标资格的文件、证明和陈述均是真实的、准确的。若与真实情况不符，本公司愿意承担由此而产生的一切后果。</w:t>
      </w:r>
      <w:r/>
    </w:p>
    <w:p>
      <w:pPr>
        <w:pStyle w:val="850"/>
        <w:ind w:firstLine="48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2、我方已知晓竞争性招标文件要求并认真审核自身情况，在此郑重声明，我方遵守如下条款的规定：</w:t>
      </w:r>
      <w:r/>
    </w:p>
    <w:p>
      <w:pPr>
        <w:pStyle w:val="850"/>
        <w:ind w:firstLine="48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（1）除单一来源采购项目外，为采购项目提供整体设计、规范编制或者项目管理、监理、检测等服务的供应商，不得再参加该采购项目的其他采购活动。</w:t>
      </w:r>
      <w:r/>
    </w:p>
    <w:p>
      <w:pPr>
        <w:pStyle w:val="850"/>
        <w:ind w:firstLine="48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pStyle w:val="850"/>
        <w:ind w:firstLine="48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本声明如有虚假或不实之处，我方将失去合格供应商资格。</w:t>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供应商：（单位盖章）</w:t>
      </w:r>
      <w:r/>
    </w:p>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spacing w:before="100" w:beforeAutospacing="1" w:after="100" w:afterAutospacing="1"/>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850"/>
        <w:ind w:firstLine="0"/>
        <w:spacing w:line="400" w:lineRule="exact"/>
        <w:rPr>
          <w:rFonts w:ascii="宋体" w:hAnsi="宋体" w:eastAsia="宋体" w:cs="宋体"/>
          <w:color w:val="auto"/>
          <w:highlight w:val="none"/>
        </w:rPr>
      </w:pPr>
      <w:r>
        <w:rPr>
          <w:rFonts w:ascii="宋体" w:hAnsi="宋体" w:eastAsia="宋体" w:cs="宋体"/>
          <w:color w:val="auto"/>
          <w:highlight w:val="none"/>
        </w:rPr>
      </w:r>
      <w:r/>
    </w:p>
    <w:p>
      <w:pPr>
        <w:pStyle w:val="1069"/>
        <w:rPr>
          <w:rFonts w:ascii="宋体" w:hAnsi="宋体" w:eastAsia="宋体" w:cs="宋体"/>
          <w:color w:val="auto"/>
          <w:sz w:val="24"/>
          <w:highlight w:val="none"/>
        </w:rPr>
      </w:pPr>
      <w:r>
        <w:rPr>
          <w:rFonts w:hint="eastAsia" w:ascii="宋体" w:hAnsi="宋体" w:eastAsia="宋体" w:cs="宋体"/>
          <w:color w:val="auto"/>
          <w:highlight w:val="none"/>
        </w:rPr>
        <w:br w:type="page" w:clear="all"/>
      </w:r>
      <w:r>
        <w:rPr>
          <w:rFonts w:hint="eastAsia" w:ascii="宋体" w:hAnsi="宋体" w:eastAsia="宋体" w:cs="宋体"/>
          <w:color w:val="auto"/>
          <w:sz w:val="24"/>
          <w:highlight w:val="none"/>
        </w:rPr>
        <w:t xml:space="preserve">8.2供应商</w:t>
      </w:r>
      <w:r>
        <w:rPr>
          <w:rFonts w:hint="eastAsia" w:ascii="宋体" w:hAnsi="宋体" w:eastAsia="宋体" w:cs="宋体"/>
          <w:color w:val="auto"/>
          <w:sz w:val="24"/>
          <w:highlight w:val="none"/>
          <w:lang w:val="zh-CN"/>
        </w:rPr>
        <w:t xml:space="preserve">与其他单位存在控股、管理关系情况表</w:t>
      </w:r>
      <w:r/>
    </w:p>
    <w:p>
      <w:pPr>
        <w:ind w:firstLine="482"/>
        <w:jc w:val="center"/>
        <w:spacing w:line="360" w:lineRule="auto"/>
        <w:rPr>
          <w:rFonts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供应商</w:t>
      </w:r>
      <w:r>
        <w:rPr>
          <w:rFonts w:hint="eastAsia" w:ascii="宋体" w:hAnsi="宋体" w:eastAsia="宋体" w:cs="宋体"/>
          <w:b/>
          <w:color w:val="auto"/>
          <w:sz w:val="24"/>
          <w:highlight w:val="none"/>
          <w:lang w:val="zh-CN"/>
        </w:rPr>
        <w:t xml:space="preserve">与其他单位存在控股、管理关系情况表</w:t>
      </w:r>
      <w:r/>
    </w:p>
    <w:p>
      <w:pPr>
        <w:pStyle w:val="1103"/>
        <w:ind w:firstLine="0"/>
        <w:rPr>
          <w:rFonts w:ascii="宋体" w:hAnsi="宋体" w:eastAsia="宋体" w:cs="宋体"/>
          <w:color w:val="auto"/>
          <w:highlight w:val="none"/>
        </w:rPr>
      </w:pPr>
      <w:r>
        <w:rPr>
          <w:rFonts w:hint="eastAsia" w:ascii="宋体" w:hAnsi="宋体" w:eastAsia="宋体" w:cs="宋体"/>
          <w:color w:val="auto"/>
          <w:highlight w:val="none"/>
        </w:rPr>
        <w:t xml:space="preserve">采购编号：</w:t>
      </w:r>
      <w:r/>
    </w:p>
    <w:tbl>
      <w:tblPr>
        <w:tblStyle w:val="84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040"/>
        <w:gridCol w:w="5040"/>
      </w:tblGrid>
      <w:tr>
        <w:trPr>
          <w:trHeight w:val="753"/>
        </w:trPr>
        <w:tc>
          <w:tcPr>
            <w:tcW w:w="2500" w:type="pct"/>
            <w:textDirection w:val="lrTb"/>
            <w:noWrap w:val="false"/>
          </w:tcPr>
          <w:p>
            <w:pPr>
              <w:pStyle w:val="904"/>
              <w:ind w:firstLine="0"/>
              <w:jc w:val="center"/>
              <w:rPr>
                <w:rFonts w:hAnsi="宋体" w:cs="宋体"/>
                <w:color w:val="auto"/>
                <w:sz w:val="24"/>
                <w:highlight w:val="none"/>
              </w:rPr>
            </w:pPr>
            <w:r>
              <w:rPr>
                <w:rFonts w:hint="eastAsia" w:hAnsi="宋体" w:cs="宋体"/>
                <w:color w:val="auto"/>
                <w:sz w:val="24"/>
                <w:highlight w:val="none"/>
                <w:lang w:val="zh-CN"/>
              </w:rPr>
              <w:t xml:space="preserve">与</w:t>
            </w:r>
            <w:r>
              <w:rPr>
                <w:rFonts w:hint="eastAsia" w:hAnsi="宋体" w:cs="宋体"/>
                <w:color w:val="auto"/>
                <w:sz w:val="24"/>
                <w:highlight w:val="none"/>
              </w:rPr>
              <w:t xml:space="preserve">供应商</w:t>
            </w:r>
            <w:r>
              <w:rPr>
                <w:rFonts w:hint="eastAsia" w:hAnsi="宋体" w:cs="宋体"/>
                <w:color w:val="auto"/>
                <w:sz w:val="24"/>
                <w:highlight w:val="none"/>
                <w:lang w:val="zh-CN"/>
              </w:rPr>
              <w:t xml:space="preserve">存在控股、管理关系的单位名称</w:t>
            </w:r>
            <w:r/>
          </w:p>
        </w:tc>
        <w:tc>
          <w:tcPr>
            <w:tcW w:w="2500" w:type="pct"/>
            <w:textDirection w:val="lrTb"/>
            <w:noWrap w:val="false"/>
          </w:tcPr>
          <w:p>
            <w:pPr>
              <w:pStyle w:val="904"/>
              <w:jc w:val="center"/>
              <w:rPr>
                <w:rFonts w:hAnsi="宋体" w:cs="宋体"/>
                <w:color w:val="auto"/>
                <w:sz w:val="24"/>
                <w:highlight w:val="none"/>
              </w:rPr>
            </w:pPr>
            <w:r>
              <w:rPr>
                <w:rFonts w:hint="eastAsia" w:hAnsi="宋体" w:cs="宋体"/>
                <w:color w:val="auto"/>
                <w:sz w:val="24"/>
                <w:highlight w:val="none"/>
                <w:lang w:val="zh-CN"/>
              </w:rPr>
              <w:t xml:space="preserve">控股、管理关系情况说明</w:t>
            </w:r>
            <w:r/>
          </w:p>
        </w:tc>
      </w:tr>
      <w:tr>
        <w:trPr>
          <w:trHeight w:val="703"/>
        </w:trPr>
        <w:tc>
          <w:tcPr>
            <w:tcW w:w="2500" w:type="pct"/>
            <w:textDirection w:val="lrTb"/>
            <w:noWrap w:val="false"/>
          </w:tcPr>
          <w:p>
            <w:pPr>
              <w:pStyle w:val="904"/>
              <w:rPr>
                <w:rFonts w:hAnsi="宋体" w:cs="宋体"/>
                <w:color w:val="auto"/>
                <w:highlight w:val="none"/>
              </w:rPr>
            </w:pPr>
            <w:r>
              <w:rPr>
                <w:rFonts w:hAnsi="宋体" w:cs="宋体"/>
                <w:color w:val="auto"/>
                <w:highlight w:val="none"/>
              </w:rPr>
            </w:r>
            <w:r/>
          </w:p>
        </w:tc>
        <w:tc>
          <w:tcPr>
            <w:tcW w:w="2500" w:type="pct"/>
            <w:textDirection w:val="lrTb"/>
            <w:noWrap w:val="false"/>
          </w:tcPr>
          <w:p>
            <w:pPr>
              <w:pStyle w:val="904"/>
              <w:rPr>
                <w:rFonts w:hAnsi="宋体" w:cs="宋体"/>
                <w:color w:val="auto"/>
                <w:highlight w:val="none"/>
              </w:rPr>
            </w:pPr>
            <w:r>
              <w:rPr>
                <w:rFonts w:hAnsi="宋体" w:cs="宋体"/>
                <w:color w:val="auto"/>
                <w:highlight w:val="none"/>
              </w:rPr>
            </w:r>
            <w:r/>
          </w:p>
        </w:tc>
      </w:tr>
      <w:tr>
        <w:trPr>
          <w:trHeight w:val="678"/>
        </w:trPr>
        <w:tc>
          <w:tcPr>
            <w:tcW w:w="2500" w:type="pct"/>
            <w:textDirection w:val="lrTb"/>
            <w:noWrap w:val="false"/>
          </w:tcPr>
          <w:p>
            <w:pPr>
              <w:pStyle w:val="904"/>
              <w:rPr>
                <w:rFonts w:hAnsi="宋体" w:cs="宋体"/>
                <w:color w:val="auto"/>
                <w:highlight w:val="none"/>
              </w:rPr>
            </w:pPr>
            <w:r>
              <w:rPr>
                <w:rFonts w:hAnsi="宋体" w:cs="宋体"/>
                <w:color w:val="auto"/>
                <w:highlight w:val="none"/>
              </w:rPr>
            </w:r>
            <w:r/>
          </w:p>
        </w:tc>
        <w:tc>
          <w:tcPr>
            <w:tcW w:w="2500" w:type="pct"/>
            <w:textDirection w:val="lrTb"/>
            <w:noWrap w:val="false"/>
          </w:tcPr>
          <w:p>
            <w:pPr>
              <w:pStyle w:val="904"/>
              <w:rPr>
                <w:rFonts w:hAnsi="宋体" w:cs="宋体"/>
                <w:color w:val="auto"/>
                <w:highlight w:val="none"/>
              </w:rPr>
            </w:pPr>
            <w:r>
              <w:rPr>
                <w:rFonts w:hAnsi="宋体" w:cs="宋体"/>
                <w:color w:val="auto"/>
                <w:highlight w:val="none"/>
              </w:rPr>
            </w:r>
            <w:r/>
          </w:p>
        </w:tc>
      </w:tr>
      <w:tr>
        <w:trPr>
          <w:trHeight w:val="678"/>
        </w:trPr>
        <w:tc>
          <w:tcPr>
            <w:tcW w:w="2500" w:type="pct"/>
            <w:textDirection w:val="lrTb"/>
            <w:noWrap w:val="false"/>
          </w:tcPr>
          <w:p>
            <w:pPr>
              <w:pStyle w:val="904"/>
              <w:rPr>
                <w:rFonts w:hAnsi="宋体" w:cs="宋体"/>
                <w:color w:val="auto"/>
                <w:highlight w:val="none"/>
              </w:rPr>
            </w:pPr>
            <w:r>
              <w:rPr>
                <w:rFonts w:hAnsi="宋体" w:cs="宋体"/>
                <w:color w:val="auto"/>
                <w:highlight w:val="none"/>
              </w:rPr>
            </w:r>
            <w:r/>
          </w:p>
        </w:tc>
        <w:tc>
          <w:tcPr>
            <w:tcW w:w="2500" w:type="pct"/>
            <w:textDirection w:val="lrTb"/>
            <w:noWrap w:val="false"/>
          </w:tcPr>
          <w:p>
            <w:pPr>
              <w:pStyle w:val="904"/>
              <w:rPr>
                <w:rFonts w:hAnsi="宋体" w:cs="宋体"/>
                <w:color w:val="auto"/>
                <w:highlight w:val="none"/>
              </w:rPr>
            </w:pPr>
            <w:r>
              <w:rPr>
                <w:rFonts w:hAnsi="宋体" w:cs="宋体"/>
                <w:color w:val="auto"/>
                <w:highlight w:val="none"/>
              </w:rPr>
            </w:r>
            <w:r/>
          </w:p>
        </w:tc>
      </w:tr>
      <w:tr>
        <w:trPr>
          <w:trHeight w:val="703"/>
        </w:trPr>
        <w:tc>
          <w:tcPr>
            <w:tcW w:w="2500" w:type="pct"/>
            <w:textDirection w:val="lrTb"/>
            <w:noWrap w:val="false"/>
          </w:tcPr>
          <w:p>
            <w:pPr>
              <w:pStyle w:val="904"/>
              <w:rPr>
                <w:rFonts w:hAnsi="宋体" w:cs="宋体"/>
                <w:color w:val="auto"/>
                <w:highlight w:val="none"/>
              </w:rPr>
            </w:pPr>
            <w:r>
              <w:rPr>
                <w:rFonts w:hAnsi="宋体" w:cs="宋体"/>
                <w:color w:val="auto"/>
                <w:highlight w:val="none"/>
              </w:rPr>
            </w:r>
            <w:r/>
          </w:p>
        </w:tc>
        <w:tc>
          <w:tcPr>
            <w:tcW w:w="2500" w:type="pct"/>
            <w:textDirection w:val="lrTb"/>
            <w:noWrap w:val="false"/>
          </w:tcPr>
          <w:p>
            <w:pPr>
              <w:pStyle w:val="904"/>
              <w:rPr>
                <w:rFonts w:hAnsi="宋体" w:cs="宋体"/>
                <w:color w:val="auto"/>
                <w:highlight w:val="none"/>
              </w:rPr>
            </w:pPr>
            <w:r>
              <w:rPr>
                <w:rFonts w:hAnsi="宋体" w:cs="宋体"/>
                <w:color w:val="auto"/>
                <w:highlight w:val="none"/>
              </w:rPr>
            </w:r>
            <w:r/>
          </w:p>
        </w:tc>
      </w:tr>
    </w:tbl>
    <w:p>
      <w:pPr>
        <w:ind w:firstLine="480"/>
        <w:spacing w:line="36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rPr>
        <w:t xml:space="preserve">注：</w:t>
      </w:r>
      <w:r>
        <w:rPr>
          <w:rFonts w:hint="eastAsia" w:ascii="宋体" w:hAnsi="宋体" w:eastAsia="宋体" w:cs="宋体"/>
          <w:color w:val="auto"/>
          <w:sz w:val="24"/>
          <w:highlight w:val="none"/>
        </w:rPr>
        <w:t xml:space="preserve">供应商</w:t>
      </w:r>
      <w:r>
        <w:rPr>
          <w:rFonts w:hint="eastAsia" w:ascii="宋体" w:hAnsi="宋体" w:eastAsia="宋体" w:cs="宋体"/>
          <w:color w:val="auto"/>
          <w:sz w:val="24"/>
          <w:highlight w:val="none"/>
          <w:lang w:val="zh-CN"/>
        </w:rPr>
        <w:t xml:space="preserve">须如实填写所有与之有控股管理关系的情况。</w:t>
      </w:r>
      <w:r/>
    </w:p>
    <w:p>
      <w:pPr>
        <w:rPr>
          <w:rFonts w:ascii="宋体" w:hAnsi="宋体" w:eastAsia="宋体" w:cs="宋体"/>
          <w:color w:val="auto"/>
          <w:highlight w:val="none"/>
        </w:rPr>
      </w:pPr>
      <w:r>
        <w:rPr>
          <w:rFonts w:ascii="宋体" w:hAnsi="宋体" w:eastAsia="宋体" w:cs="宋体"/>
          <w:color w:val="auto"/>
          <w:highlight w:val="none"/>
        </w:rPr>
      </w:r>
      <w:r/>
    </w:p>
    <w:p>
      <w:pPr>
        <w:ind w:firstLine="480"/>
        <w:spacing w:line="36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供应商：（单位盖章）</w:t>
      </w:r>
      <w:r/>
    </w:p>
    <w:p>
      <w:pPr>
        <w:ind w:firstLine="480"/>
        <w:spacing w:line="36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法定代表人或代理人：（签字或签章）</w:t>
      </w:r>
      <w:r/>
    </w:p>
    <w:p>
      <w:pPr>
        <w:ind w:firstLine="480"/>
        <w:spacing w:line="36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日期：    年    月    日</w:t>
      </w:r>
      <w:r/>
    </w:p>
    <w:p>
      <w:pPr>
        <w:rPr>
          <w:rFonts w:ascii="宋体" w:hAnsi="宋体" w:eastAsia="宋体" w:cs="宋体"/>
          <w:color w:val="auto"/>
          <w:highlight w:val="none"/>
        </w:rPr>
      </w:pPr>
      <w:r>
        <w:rPr>
          <w:rFonts w:hint="eastAsia" w:ascii="宋体" w:hAnsi="宋体" w:eastAsia="宋体" w:cs="宋体"/>
          <w:color w:val="auto"/>
          <w:highlight w:val="none"/>
        </w:rPr>
        <w:br w:type="page" w:clear="all"/>
      </w:r>
      <w:r>
        <w:rPr>
          <w:rFonts w:hint="eastAsia" w:ascii="宋体" w:hAnsi="宋体" w:eastAsia="宋体" w:cs="宋体"/>
          <w:b/>
          <w:bCs/>
          <w:color w:val="auto"/>
          <w:sz w:val="24"/>
          <w:szCs w:val="24"/>
          <w:highlight w:val="none"/>
        </w:rPr>
        <w:t xml:space="preserve">8.3、供应商情况表</w:t>
      </w:r>
      <w:r/>
    </w:p>
    <w:p>
      <w:pPr>
        <w:jc w:val="center"/>
        <w:rPr>
          <w:rFonts w:ascii="宋体" w:hAnsi="宋体" w:eastAsia="宋体" w:cs="宋体"/>
          <w:color w:val="auto"/>
          <w:highlight w:val="none"/>
        </w:rPr>
      </w:pPr>
      <w:r>
        <w:rPr>
          <w:rFonts w:hint="eastAsia" w:ascii="宋体" w:hAnsi="宋体" w:eastAsia="宋体" w:cs="宋体"/>
          <w:b/>
          <w:bCs/>
          <w:color w:val="auto"/>
          <w:sz w:val="24"/>
          <w:szCs w:val="24"/>
          <w:highlight w:val="none"/>
        </w:rPr>
        <w:t xml:space="preserve">供应商情况表</w:t>
      </w:r>
      <w:r/>
    </w:p>
    <w:p>
      <w:pPr>
        <w:pStyle w:val="850"/>
        <w:ind w:firstLine="0"/>
        <w:rPr>
          <w:rFonts w:ascii="宋体" w:hAnsi="宋体" w:eastAsia="宋体" w:cs="宋体"/>
          <w:color w:val="auto"/>
          <w:highlight w:val="none"/>
        </w:rPr>
      </w:pPr>
      <w:r>
        <w:rPr>
          <w:rFonts w:hint="eastAsia" w:ascii="宋体" w:hAnsi="宋体" w:eastAsia="宋体" w:cs="宋体"/>
          <w:color w:val="auto"/>
          <w:highlight w:val="none"/>
        </w:rPr>
        <w:t xml:space="preserve">单位名称（盖章）</w:t>
      </w:r>
      <w:r/>
    </w:p>
    <w:p>
      <w:pPr>
        <w:pStyle w:val="850"/>
        <w:ind w:firstLine="0"/>
        <w:rPr>
          <w:rFonts w:ascii="宋体" w:hAnsi="宋体" w:eastAsia="宋体" w:cs="宋体"/>
          <w:color w:val="auto"/>
          <w:highlight w:val="none"/>
        </w:rPr>
      </w:pPr>
      <w:r>
        <w:rPr>
          <w:rFonts w:hint="eastAsia" w:ascii="宋体" w:hAnsi="宋体" w:eastAsia="宋体" w:cs="宋体"/>
          <w:color w:val="auto"/>
          <w:highlight w:val="none"/>
        </w:rPr>
        <w:t xml:space="preserve">招标编号：</w:t>
      </w:r>
      <w:r/>
    </w:p>
    <w:tbl>
      <w:tblPr>
        <w:tblStyle w:val="847"/>
        <w:tblW w:w="4998"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2904"/>
        <w:gridCol w:w="2118"/>
        <w:gridCol w:w="1598"/>
        <w:gridCol w:w="2107"/>
        <w:gridCol w:w="1349"/>
      </w:tblGrid>
      <w:tr>
        <w:trPr>
          <w:cantSplit/>
        </w:trPr>
        <w:tc>
          <w:tcPr>
            <w:tcW w:w="1441" w:type="pct"/>
            <w:textDirection w:val="lrTb"/>
            <w:noWrap w:val="false"/>
          </w:tcPr>
          <w:p>
            <w:pPr>
              <w:pStyle w:val="850"/>
              <w:ind w:firstLine="0"/>
              <w:rPr>
                <w:rFonts w:ascii="宋体" w:hAnsi="宋体" w:eastAsia="宋体" w:cs="宋体"/>
                <w:color w:val="auto"/>
                <w:highlight w:val="none"/>
              </w:rPr>
            </w:pPr>
            <w:r>
              <w:rPr>
                <w:rFonts w:hint="eastAsia" w:ascii="宋体" w:hAnsi="宋体" w:eastAsia="宋体" w:cs="宋体"/>
                <w:color w:val="auto"/>
                <w:highlight w:val="none"/>
              </w:rPr>
              <w:t xml:space="preserve">法定代表人</w:t>
            </w:r>
            <w:r/>
          </w:p>
        </w:tc>
        <w:tc>
          <w:tcPr>
            <w:tcW w:w="1051" w:type="pct"/>
            <w:textDirection w:val="lrTb"/>
            <w:noWrap w:val="false"/>
          </w:tcPr>
          <w:p>
            <w:pPr>
              <w:pStyle w:val="850"/>
              <w:ind w:firstLine="0"/>
              <w:rPr>
                <w:rFonts w:ascii="宋体" w:hAnsi="宋体" w:eastAsia="宋体" w:cs="宋体"/>
                <w:color w:val="auto"/>
                <w:highlight w:val="none"/>
              </w:rPr>
            </w:pPr>
            <w:r>
              <w:rPr>
                <w:rFonts w:ascii="宋体" w:hAnsi="宋体" w:eastAsia="宋体" w:cs="宋体"/>
                <w:color w:val="auto"/>
                <w:highlight w:val="none"/>
              </w:rPr>
            </w:r>
            <w:r/>
          </w:p>
        </w:tc>
        <w:tc>
          <w:tcPr>
            <w:tcW w:w="793" w:type="pct"/>
            <w:textDirection w:val="lrTb"/>
            <w:noWrap w:val="false"/>
          </w:tcPr>
          <w:p>
            <w:pPr>
              <w:pStyle w:val="850"/>
              <w:ind w:firstLine="0"/>
              <w:rPr>
                <w:rFonts w:ascii="宋体" w:hAnsi="宋体" w:eastAsia="宋体" w:cs="宋体"/>
                <w:color w:val="auto"/>
                <w:highlight w:val="none"/>
              </w:rPr>
            </w:pPr>
            <w:r>
              <w:rPr>
                <w:rFonts w:hint="eastAsia" w:ascii="宋体" w:hAnsi="宋体" w:eastAsia="宋体" w:cs="宋体"/>
                <w:color w:val="auto"/>
                <w:highlight w:val="none"/>
              </w:rPr>
              <w:t xml:space="preserve">成立日期</w:t>
            </w:r>
            <w:r/>
          </w:p>
        </w:tc>
        <w:tc>
          <w:tcPr>
            <w:gridSpan w:val="2"/>
            <w:tcW w:w="1713" w:type="pct"/>
            <w:textDirection w:val="lrTb"/>
            <w:noWrap w:val="false"/>
          </w:tcPr>
          <w:p>
            <w:pPr>
              <w:pStyle w:val="850"/>
              <w:ind w:firstLine="0"/>
              <w:rPr>
                <w:rFonts w:ascii="宋体" w:hAnsi="宋体" w:eastAsia="宋体" w:cs="宋体"/>
                <w:color w:val="auto"/>
                <w:highlight w:val="none"/>
              </w:rPr>
            </w:pPr>
            <w:r>
              <w:rPr>
                <w:rFonts w:ascii="宋体" w:hAnsi="宋体" w:eastAsia="宋体" w:cs="宋体"/>
                <w:color w:val="auto"/>
                <w:highlight w:val="none"/>
              </w:rPr>
            </w:r>
            <w:r/>
          </w:p>
        </w:tc>
      </w:tr>
      <w:tr>
        <w:trPr>
          <w:cantSplit/>
        </w:trPr>
        <w:tc>
          <w:tcPr>
            <w:tcW w:w="1441" w:type="pct"/>
            <w:textDirection w:val="lrTb"/>
            <w:noWrap w:val="false"/>
          </w:tcPr>
          <w:p>
            <w:pPr>
              <w:pStyle w:val="850"/>
              <w:ind w:firstLine="0"/>
              <w:rPr>
                <w:rFonts w:ascii="宋体" w:hAnsi="宋体" w:eastAsia="宋体" w:cs="宋体"/>
                <w:color w:val="auto"/>
                <w:highlight w:val="none"/>
              </w:rPr>
            </w:pPr>
            <w:r>
              <w:rPr>
                <w:rFonts w:hint="eastAsia" w:ascii="宋体" w:hAnsi="宋体" w:eastAsia="宋体" w:cs="宋体"/>
                <w:color w:val="auto"/>
                <w:highlight w:val="none"/>
              </w:rPr>
              <w:t xml:space="preserve">企业地址</w:t>
            </w:r>
            <w:r/>
          </w:p>
        </w:tc>
        <w:tc>
          <w:tcPr>
            <w:tcW w:w="1051" w:type="pct"/>
            <w:textDirection w:val="lrTb"/>
            <w:noWrap w:val="false"/>
          </w:tcPr>
          <w:p>
            <w:pPr>
              <w:pStyle w:val="850"/>
              <w:ind w:firstLine="0"/>
              <w:rPr>
                <w:rFonts w:ascii="宋体" w:hAnsi="宋体" w:eastAsia="宋体" w:cs="宋体"/>
                <w:color w:val="auto"/>
                <w:highlight w:val="none"/>
              </w:rPr>
            </w:pPr>
            <w:r>
              <w:rPr>
                <w:rFonts w:ascii="宋体" w:hAnsi="宋体" w:eastAsia="宋体" w:cs="宋体"/>
                <w:color w:val="auto"/>
                <w:highlight w:val="none"/>
              </w:rPr>
            </w:r>
            <w:r/>
          </w:p>
        </w:tc>
        <w:tc>
          <w:tcPr>
            <w:tcW w:w="793" w:type="pct"/>
            <w:textDirection w:val="lrTb"/>
            <w:noWrap w:val="false"/>
          </w:tcPr>
          <w:p>
            <w:pPr>
              <w:pStyle w:val="850"/>
              <w:ind w:firstLine="0"/>
              <w:rPr>
                <w:rFonts w:ascii="宋体" w:hAnsi="宋体" w:eastAsia="宋体" w:cs="宋体"/>
                <w:color w:val="auto"/>
                <w:highlight w:val="none"/>
              </w:rPr>
            </w:pPr>
            <w:r>
              <w:rPr>
                <w:rFonts w:hint="eastAsia" w:ascii="宋体" w:hAnsi="宋体" w:eastAsia="宋体" w:cs="宋体"/>
                <w:color w:val="auto"/>
                <w:highlight w:val="none"/>
              </w:rPr>
              <w:t xml:space="preserve">注册资本</w:t>
            </w:r>
            <w:r/>
          </w:p>
        </w:tc>
        <w:tc>
          <w:tcPr>
            <w:gridSpan w:val="2"/>
            <w:tcW w:w="1713" w:type="pct"/>
            <w:textDirection w:val="lrTb"/>
            <w:noWrap w:val="false"/>
          </w:tcPr>
          <w:p>
            <w:pPr>
              <w:pStyle w:val="850"/>
              <w:ind w:firstLine="0"/>
              <w:rPr>
                <w:rFonts w:ascii="宋体" w:hAnsi="宋体" w:eastAsia="宋体" w:cs="宋体"/>
                <w:color w:val="auto"/>
                <w:highlight w:val="none"/>
              </w:rPr>
            </w:pPr>
            <w:r>
              <w:rPr>
                <w:rFonts w:hint="eastAsia" w:ascii="宋体" w:hAnsi="宋体" w:eastAsia="宋体" w:cs="宋体"/>
                <w:color w:val="auto"/>
                <w:highlight w:val="none"/>
              </w:rPr>
              <w:t xml:space="preserve">万元</w:t>
            </w:r>
            <w:r/>
          </w:p>
        </w:tc>
      </w:tr>
      <w:tr>
        <w:trPr>
          <w:cantSplit/>
        </w:trPr>
        <w:tc>
          <w:tcPr>
            <w:tcW w:w="1441" w:type="pct"/>
            <w:textDirection w:val="lrTb"/>
            <w:noWrap w:val="false"/>
          </w:tcPr>
          <w:p>
            <w:pPr>
              <w:pStyle w:val="850"/>
              <w:ind w:firstLine="0"/>
              <w:rPr>
                <w:rFonts w:ascii="宋体" w:hAnsi="宋体" w:eastAsia="宋体" w:cs="宋体"/>
                <w:color w:val="auto"/>
                <w:highlight w:val="none"/>
              </w:rPr>
            </w:pPr>
            <w:r>
              <w:rPr>
                <w:rFonts w:hint="eastAsia" w:ascii="宋体" w:hAnsi="宋体" w:eastAsia="宋体" w:cs="宋体"/>
                <w:color w:val="auto"/>
                <w:highlight w:val="none"/>
              </w:rPr>
              <w:t xml:space="preserve">经营范围</w:t>
            </w:r>
            <w:r/>
          </w:p>
        </w:tc>
        <w:tc>
          <w:tcPr>
            <w:gridSpan w:val="4"/>
            <w:tcW w:w="3558" w:type="pct"/>
            <w:textDirection w:val="lrTb"/>
            <w:noWrap w:val="false"/>
          </w:tcPr>
          <w:p>
            <w:pPr>
              <w:pStyle w:val="850"/>
              <w:ind w:firstLine="0"/>
              <w:rPr>
                <w:rFonts w:ascii="宋体" w:hAnsi="宋体" w:eastAsia="宋体" w:cs="宋体"/>
                <w:color w:val="auto"/>
                <w:highlight w:val="none"/>
              </w:rPr>
            </w:pPr>
            <w:r>
              <w:rPr>
                <w:rFonts w:ascii="宋体" w:hAnsi="宋体" w:eastAsia="宋体" w:cs="宋体"/>
                <w:color w:val="auto"/>
                <w:highlight w:val="none"/>
              </w:rPr>
            </w:r>
            <w:r/>
          </w:p>
        </w:tc>
      </w:tr>
      <w:tr>
        <w:trPr>
          <w:cantSplit/>
        </w:trPr>
        <w:tc>
          <w:tcPr>
            <w:tcW w:w="1441" w:type="pct"/>
            <w:textDirection w:val="lrTb"/>
            <w:noWrap w:val="false"/>
          </w:tcPr>
          <w:p>
            <w:pPr>
              <w:pStyle w:val="850"/>
              <w:ind w:firstLine="0"/>
              <w:rPr>
                <w:rFonts w:ascii="宋体" w:hAnsi="宋体" w:eastAsia="宋体" w:cs="宋体"/>
                <w:color w:val="auto"/>
                <w:highlight w:val="none"/>
              </w:rPr>
            </w:pPr>
            <w:r>
              <w:rPr>
                <w:rFonts w:hint="eastAsia" w:ascii="宋体" w:hAnsi="宋体" w:eastAsia="宋体" w:cs="宋体"/>
                <w:color w:val="auto"/>
                <w:highlight w:val="none"/>
              </w:rPr>
              <w:t xml:space="preserve">职工人数</w:t>
            </w:r>
            <w:r/>
          </w:p>
        </w:tc>
        <w:tc>
          <w:tcPr>
            <w:tcW w:w="1051" w:type="pct"/>
            <w:textDirection w:val="lrTb"/>
            <w:noWrap w:val="false"/>
          </w:tcPr>
          <w:p>
            <w:pPr>
              <w:pStyle w:val="850"/>
              <w:ind w:firstLine="0"/>
              <w:rPr>
                <w:rFonts w:ascii="宋体" w:hAnsi="宋体" w:eastAsia="宋体" w:cs="宋体"/>
                <w:color w:val="auto"/>
                <w:highlight w:val="none"/>
              </w:rPr>
            </w:pPr>
            <w:r>
              <w:rPr>
                <w:rFonts w:ascii="宋体" w:hAnsi="宋体" w:eastAsia="宋体" w:cs="宋体"/>
                <w:color w:val="auto"/>
                <w:highlight w:val="none"/>
              </w:rPr>
            </w:r>
            <w:r/>
          </w:p>
        </w:tc>
        <w:tc>
          <w:tcPr>
            <w:gridSpan w:val="2"/>
            <w:tcW w:w="1838" w:type="pct"/>
            <w:textDirection w:val="lrTb"/>
            <w:noWrap w:val="false"/>
          </w:tcPr>
          <w:p>
            <w:pPr>
              <w:pStyle w:val="850"/>
              <w:ind w:firstLine="0"/>
              <w:rPr>
                <w:rFonts w:ascii="宋体" w:hAnsi="宋体" w:eastAsia="宋体" w:cs="宋体"/>
                <w:color w:val="auto"/>
                <w:highlight w:val="none"/>
              </w:rPr>
            </w:pPr>
            <w:r>
              <w:rPr>
                <w:rFonts w:hint="eastAsia" w:ascii="宋体" w:hAnsi="宋体" w:eastAsia="宋体" w:cs="宋体"/>
                <w:color w:val="auto"/>
                <w:highlight w:val="none"/>
              </w:rPr>
              <w:t xml:space="preserve">其中：有中高级以上职称的人数</w:t>
            </w:r>
            <w:r/>
          </w:p>
        </w:tc>
        <w:tc>
          <w:tcPr>
            <w:tcW w:w="667" w:type="pct"/>
            <w:textDirection w:val="lrTb"/>
            <w:noWrap w:val="false"/>
          </w:tcPr>
          <w:p>
            <w:pPr>
              <w:pStyle w:val="850"/>
              <w:ind w:firstLine="0"/>
              <w:rPr>
                <w:rFonts w:ascii="宋体" w:hAnsi="宋体" w:eastAsia="宋体" w:cs="宋体"/>
                <w:color w:val="auto"/>
                <w:highlight w:val="none"/>
              </w:rPr>
            </w:pPr>
            <w:r>
              <w:rPr>
                <w:rFonts w:ascii="宋体" w:hAnsi="宋体" w:eastAsia="宋体" w:cs="宋体"/>
                <w:color w:val="auto"/>
                <w:highlight w:val="none"/>
              </w:rPr>
            </w:r>
            <w:r/>
          </w:p>
        </w:tc>
      </w:tr>
      <w:tr>
        <w:trPr>
          <w:cantSplit/>
        </w:trPr>
        <w:tc>
          <w:tcPr>
            <w:tcW w:w="1441" w:type="pct"/>
            <w:vAlign w:val="center"/>
            <w:textDirection w:val="lrTb"/>
            <w:noWrap w:val="false"/>
          </w:tcPr>
          <w:p>
            <w:pPr>
              <w:pStyle w:val="850"/>
              <w:ind w:firstLine="0"/>
              <w:jc w:val="both"/>
              <w:rPr>
                <w:rFonts w:ascii="宋体" w:hAnsi="宋体" w:eastAsia="宋体" w:cs="宋体"/>
                <w:color w:val="auto"/>
                <w:highlight w:val="none"/>
              </w:rPr>
            </w:pPr>
            <w:r>
              <w:rPr>
                <w:rFonts w:hint="eastAsia" w:ascii="宋体" w:hAnsi="宋体" w:eastAsia="宋体" w:cs="宋体"/>
                <w:color w:val="auto"/>
                <w:highlight w:val="none"/>
              </w:rPr>
              <w:t xml:space="preserve">资产总计</w:t>
            </w:r>
            <w:r/>
          </w:p>
        </w:tc>
        <w:tc>
          <w:tcPr>
            <w:tcW w:w="1051" w:type="pct"/>
            <w:vAlign w:val="center"/>
            <w:textDirection w:val="lrTb"/>
            <w:noWrap w:val="false"/>
          </w:tcPr>
          <w:p>
            <w:pPr>
              <w:pStyle w:val="850"/>
              <w:ind w:firstLine="0"/>
              <w:jc w:val="center"/>
              <w:rPr>
                <w:rFonts w:ascii="宋体" w:hAnsi="宋体" w:eastAsia="宋体" w:cs="宋体"/>
                <w:color w:val="auto"/>
                <w:highlight w:val="none"/>
              </w:rPr>
            </w:pPr>
            <w:r>
              <w:rPr>
                <w:rFonts w:hint="eastAsia" w:ascii="宋体" w:hAnsi="宋体" w:eastAsia="宋体" w:cs="宋体"/>
                <w:color w:val="auto"/>
                <w:highlight w:val="none"/>
              </w:rPr>
              <w:t xml:space="preserve">         万元</w:t>
            </w:r>
            <w:r/>
          </w:p>
        </w:tc>
        <w:tc>
          <w:tcPr>
            <w:tcW w:w="793" w:type="pct"/>
            <w:vAlign w:val="center"/>
            <w:textDirection w:val="lrTb"/>
            <w:noWrap w:val="false"/>
          </w:tcPr>
          <w:p>
            <w:pPr>
              <w:pStyle w:val="850"/>
              <w:ind w:firstLine="0"/>
              <w:jc w:val="both"/>
              <w:rPr>
                <w:rFonts w:ascii="宋体" w:hAnsi="宋体" w:eastAsia="宋体" w:cs="宋体"/>
                <w:color w:val="auto"/>
                <w:highlight w:val="none"/>
              </w:rPr>
            </w:pPr>
            <w:r>
              <w:rPr>
                <w:rFonts w:hint="eastAsia" w:ascii="宋体" w:hAnsi="宋体" w:eastAsia="宋体" w:cs="宋体"/>
                <w:color w:val="auto"/>
                <w:highlight w:val="none"/>
              </w:rPr>
              <w:t xml:space="preserve">净资产</w:t>
            </w:r>
            <w:r/>
          </w:p>
        </w:tc>
        <w:tc>
          <w:tcPr>
            <w:gridSpan w:val="2"/>
            <w:tcW w:w="1713" w:type="pct"/>
            <w:vAlign w:val="center"/>
            <w:textDirection w:val="lrTb"/>
            <w:noWrap w:val="false"/>
          </w:tcPr>
          <w:p>
            <w:pPr>
              <w:pStyle w:val="850"/>
              <w:ind w:firstLine="0"/>
              <w:jc w:val="center"/>
              <w:rPr>
                <w:rFonts w:ascii="宋体" w:hAnsi="宋体" w:eastAsia="宋体" w:cs="宋体"/>
                <w:color w:val="auto"/>
                <w:highlight w:val="none"/>
              </w:rPr>
            </w:pPr>
            <w:r>
              <w:rPr>
                <w:rFonts w:hint="eastAsia" w:ascii="宋体" w:hAnsi="宋体" w:eastAsia="宋体" w:cs="宋体"/>
                <w:color w:val="auto"/>
                <w:highlight w:val="none"/>
              </w:rPr>
              <w:t xml:space="preserve">                万元</w:t>
            </w:r>
            <w:r/>
          </w:p>
        </w:tc>
      </w:tr>
      <w:tr>
        <w:trPr>
          <w:cantSplit/>
        </w:trPr>
        <w:tc>
          <w:tcPr>
            <w:tcW w:w="1441" w:type="pct"/>
            <w:vAlign w:val="center"/>
            <w:textDirection w:val="lrTb"/>
            <w:noWrap w:val="false"/>
          </w:tcPr>
          <w:p>
            <w:pPr>
              <w:pStyle w:val="850"/>
              <w:ind w:firstLine="0"/>
              <w:jc w:val="both"/>
              <w:rPr>
                <w:rFonts w:ascii="宋体" w:hAnsi="宋体" w:eastAsia="宋体" w:cs="宋体"/>
                <w:color w:val="auto"/>
                <w:highlight w:val="none"/>
              </w:rPr>
            </w:pPr>
            <w:r>
              <w:rPr>
                <w:rFonts w:hint="eastAsia" w:ascii="宋体" w:hAnsi="宋体" w:eastAsia="宋体" w:cs="宋体"/>
                <w:color w:val="auto"/>
                <w:highlight w:val="none"/>
              </w:rPr>
              <w:t xml:space="preserve">股东权益</w:t>
            </w:r>
            <w:r/>
          </w:p>
        </w:tc>
        <w:tc>
          <w:tcPr>
            <w:tcW w:w="1051" w:type="pct"/>
            <w:vAlign w:val="center"/>
            <w:textDirection w:val="lrTb"/>
            <w:noWrap w:val="false"/>
          </w:tcPr>
          <w:p>
            <w:pPr>
              <w:pStyle w:val="850"/>
              <w:ind w:firstLine="0"/>
              <w:jc w:val="center"/>
              <w:rPr>
                <w:rFonts w:ascii="宋体" w:hAnsi="宋体" w:eastAsia="宋体" w:cs="宋体"/>
                <w:color w:val="auto"/>
                <w:highlight w:val="none"/>
              </w:rPr>
            </w:pPr>
            <w:r>
              <w:rPr>
                <w:rFonts w:hint="eastAsia" w:ascii="宋体" w:hAnsi="宋体" w:eastAsia="宋体" w:cs="宋体"/>
                <w:color w:val="auto"/>
                <w:highlight w:val="none"/>
              </w:rPr>
              <w:t xml:space="preserve">         万元</w:t>
            </w:r>
            <w:r/>
          </w:p>
        </w:tc>
        <w:tc>
          <w:tcPr>
            <w:tcW w:w="793" w:type="pct"/>
            <w:vAlign w:val="center"/>
            <w:textDirection w:val="lrTb"/>
            <w:noWrap w:val="false"/>
          </w:tcPr>
          <w:p>
            <w:pPr>
              <w:pStyle w:val="850"/>
              <w:ind w:firstLine="0"/>
              <w:jc w:val="both"/>
              <w:rPr>
                <w:rFonts w:ascii="宋体" w:hAnsi="宋体" w:eastAsia="宋体" w:cs="宋体"/>
                <w:color w:val="auto"/>
                <w:highlight w:val="none"/>
              </w:rPr>
            </w:pPr>
            <w:r>
              <w:rPr>
                <w:rFonts w:hint="eastAsia" w:ascii="宋体" w:hAnsi="宋体" w:eastAsia="宋体" w:cs="宋体"/>
                <w:color w:val="auto"/>
                <w:highlight w:val="none"/>
              </w:rPr>
              <w:t xml:space="preserve">销售收入</w:t>
            </w:r>
            <w:r/>
          </w:p>
        </w:tc>
        <w:tc>
          <w:tcPr>
            <w:gridSpan w:val="2"/>
            <w:tcW w:w="1713" w:type="pct"/>
            <w:vAlign w:val="center"/>
            <w:textDirection w:val="lrTb"/>
            <w:noWrap w:val="false"/>
          </w:tcPr>
          <w:p>
            <w:pPr>
              <w:pStyle w:val="850"/>
              <w:ind w:firstLine="0"/>
              <w:jc w:val="center"/>
              <w:rPr>
                <w:rFonts w:ascii="宋体" w:hAnsi="宋体" w:eastAsia="宋体" w:cs="宋体"/>
                <w:color w:val="auto"/>
                <w:highlight w:val="none"/>
              </w:rPr>
            </w:pPr>
            <w:r>
              <w:rPr>
                <w:rFonts w:hint="eastAsia" w:ascii="宋体" w:hAnsi="宋体" w:eastAsia="宋体" w:cs="宋体"/>
                <w:color w:val="auto"/>
                <w:highlight w:val="none"/>
              </w:rPr>
              <w:t xml:space="preserve">202</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年          万元</w:t>
            </w:r>
            <w:r/>
          </w:p>
        </w:tc>
      </w:tr>
      <w:tr>
        <w:trPr>
          <w:cantSplit/>
        </w:trPr>
        <w:tc>
          <w:tcPr>
            <w:tcW w:w="1441" w:type="pct"/>
            <w:textDirection w:val="lrTb"/>
            <w:noWrap w:val="false"/>
          </w:tcPr>
          <w:p>
            <w:pPr>
              <w:pStyle w:val="850"/>
              <w:ind w:firstLine="0"/>
              <w:rPr>
                <w:rFonts w:ascii="宋体" w:hAnsi="宋体" w:eastAsia="宋体" w:cs="宋体"/>
                <w:color w:val="auto"/>
                <w:highlight w:val="none"/>
              </w:rPr>
            </w:pPr>
            <w:r>
              <w:rPr>
                <w:rFonts w:hint="eastAsia" w:ascii="宋体" w:hAnsi="宋体" w:eastAsia="宋体" w:cs="宋体"/>
                <w:color w:val="auto"/>
                <w:highlight w:val="none"/>
              </w:rPr>
              <w:t xml:space="preserve">实现利润</w:t>
            </w:r>
            <w:r/>
          </w:p>
        </w:tc>
        <w:tc>
          <w:tcPr>
            <w:tcW w:w="1051" w:type="pct"/>
            <w:textDirection w:val="lrTb"/>
            <w:noWrap w:val="false"/>
          </w:tcPr>
          <w:p>
            <w:pPr>
              <w:pStyle w:val="850"/>
              <w:ind w:firstLine="0"/>
              <w:rPr>
                <w:rFonts w:ascii="宋体" w:hAnsi="宋体" w:eastAsia="宋体" w:cs="宋体"/>
                <w:color w:val="auto"/>
                <w:highlight w:val="none"/>
              </w:rPr>
            </w:pPr>
            <w:r>
              <w:rPr>
                <w:rFonts w:hint="eastAsia" w:ascii="宋体" w:hAnsi="宋体" w:eastAsia="宋体" w:cs="宋体"/>
                <w:color w:val="auto"/>
                <w:highlight w:val="none"/>
              </w:rPr>
              <w:t xml:space="preserve">202</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年    万元</w:t>
            </w:r>
            <w:r/>
          </w:p>
        </w:tc>
        <w:tc>
          <w:tcPr>
            <w:tcW w:w="793" w:type="pct"/>
            <w:textDirection w:val="lrTb"/>
            <w:noWrap w:val="false"/>
          </w:tcPr>
          <w:p>
            <w:pPr>
              <w:pStyle w:val="850"/>
              <w:ind w:firstLine="0"/>
              <w:rPr>
                <w:rFonts w:ascii="宋体" w:hAnsi="宋体" w:eastAsia="宋体" w:cs="宋体"/>
                <w:color w:val="auto"/>
                <w:highlight w:val="none"/>
              </w:rPr>
            </w:pPr>
            <w:r>
              <w:rPr>
                <w:rFonts w:ascii="宋体" w:hAnsi="宋体" w:eastAsia="宋体" w:cs="宋体"/>
                <w:color w:val="auto"/>
                <w:highlight w:val="none"/>
              </w:rPr>
            </w:r>
            <w:r/>
          </w:p>
        </w:tc>
        <w:tc>
          <w:tcPr>
            <w:gridSpan w:val="2"/>
            <w:tcW w:w="1713" w:type="pct"/>
            <w:textDirection w:val="lrTb"/>
            <w:noWrap w:val="false"/>
          </w:tcPr>
          <w:p>
            <w:pPr>
              <w:pStyle w:val="850"/>
              <w:ind w:firstLine="0"/>
              <w:rPr>
                <w:rFonts w:ascii="宋体" w:hAnsi="宋体" w:eastAsia="宋体" w:cs="宋体"/>
                <w:color w:val="auto"/>
                <w:highlight w:val="none"/>
              </w:rPr>
            </w:pPr>
            <w:r>
              <w:rPr>
                <w:rFonts w:ascii="宋体" w:hAnsi="宋体" w:eastAsia="宋体" w:cs="宋体"/>
                <w:color w:val="auto"/>
                <w:highlight w:val="none"/>
              </w:rPr>
            </w:r>
            <w:r/>
          </w:p>
        </w:tc>
      </w:tr>
      <w:tr>
        <w:trPr>
          <w:cantSplit/>
        </w:trPr>
        <w:tc>
          <w:tcPr>
            <w:tcW w:w="1441" w:type="pct"/>
            <w:textDirection w:val="lrTb"/>
            <w:noWrap w:val="false"/>
          </w:tcPr>
          <w:p>
            <w:pPr>
              <w:pStyle w:val="850"/>
              <w:ind w:firstLine="0"/>
              <w:rPr>
                <w:rFonts w:ascii="宋体" w:hAnsi="宋体" w:eastAsia="宋体" w:cs="宋体"/>
                <w:color w:val="auto"/>
                <w:highlight w:val="none"/>
              </w:rPr>
            </w:pPr>
            <w:r>
              <w:rPr>
                <w:rFonts w:hint="eastAsia" w:ascii="宋体" w:hAnsi="宋体" w:eastAsia="宋体" w:cs="宋体"/>
                <w:color w:val="auto"/>
                <w:highlight w:val="none"/>
              </w:rPr>
              <w:t xml:space="preserve">营业面积（含厂房面积）</w:t>
            </w:r>
            <w:r/>
          </w:p>
        </w:tc>
        <w:tc>
          <w:tcPr>
            <w:tcW w:w="1051" w:type="pct"/>
            <w:vAlign w:val="center"/>
            <w:textDirection w:val="lrTb"/>
            <w:noWrap w:val="false"/>
          </w:tcPr>
          <w:p>
            <w:pPr>
              <w:pStyle w:val="850"/>
              <w:ind w:firstLine="0"/>
              <w:jc w:val="both"/>
              <w:rPr>
                <w:rFonts w:ascii="宋体" w:hAnsi="宋体" w:eastAsia="宋体" w:cs="宋体"/>
                <w:color w:val="auto"/>
                <w:highlight w:val="none"/>
              </w:rPr>
            </w:pPr>
            <w:r>
              <w:rPr>
                <w:rFonts w:hint="eastAsia" w:ascii="宋体" w:hAnsi="宋体" w:eastAsia="宋体" w:cs="宋体"/>
                <w:color w:val="auto"/>
                <w:highlight w:val="none"/>
              </w:rPr>
              <w:t xml:space="preserve">        平方米</w:t>
            </w:r>
            <w:r/>
          </w:p>
        </w:tc>
        <w:tc>
          <w:tcPr>
            <w:tcW w:w="793" w:type="pct"/>
            <w:textDirection w:val="lrTb"/>
            <w:noWrap w:val="false"/>
          </w:tcPr>
          <w:p>
            <w:pPr>
              <w:pStyle w:val="850"/>
              <w:ind w:firstLine="0"/>
              <w:rPr>
                <w:rFonts w:ascii="宋体" w:hAnsi="宋体" w:eastAsia="宋体" w:cs="宋体"/>
                <w:color w:val="auto"/>
                <w:highlight w:val="none"/>
              </w:rPr>
            </w:pPr>
            <w:r>
              <w:rPr>
                <w:rFonts w:hint="eastAsia" w:ascii="宋体" w:hAnsi="宋体" w:eastAsia="宋体" w:cs="宋体"/>
                <w:color w:val="auto"/>
                <w:highlight w:val="none"/>
              </w:rPr>
              <w:t xml:space="preserve">其中：</w:t>
            </w:r>
            <w:r/>
          </w:p>
        </w:tc>
        <w:tc>
          <w:tcPr>
            <w:gridSpan w:val="2"/>
            <w:tcW w:w="1713" w:type="pct"/>
            <w:textDirection w:val="lrTb"/>
            <w:noWrap w:val="false"/>
          </w:tcPr>
          <w:p>
            <w:pPr>
              <w:pStyle w:val="850"/>
              <w:ind w:firstLine="0"/>
              <w:rPr>
                <w:rFonts w:ascii="宋体" w:hAnsi="宋体" w:eastAsia="宋体" w:cs="宋体"/>
                <w:color w:val="auto"/>
                <w:highlight w:val="none"/>
              </w:rPr>
            </w:pPr>
            <w:r>
              <w:rPr>
                <w:rFonts w:hint="eastAsia" w:ascii="宋体" w:hAnsi="宋体" w:eastAsia="宋体" w:cs="宋体"/>
                <w:color w:val="auto"/>
                <w:highlight w:val="none"/>
              </w:rPr>
              <w:t xml:space="preserve">自有面积         平方米</w:t>
            </w:r>
            <w:r/>
          </w:p>
          <w:p>
            <w:pPr>
              <w:pStyle w:val="850"/>
              <w:ind w:firstLine="0"/>
              <w:rPr>
                <w:rFonts w:ascii="宋体" w:hAnsi="宋体" w:eastAsia="宋体" w:cs="宋体"/>
                <w:color w:val="auto"/>
                <w:highlight w:val="none"/>
              </w:rPr>
            </w:pPr>
            <w:r>
              <w:rPr>
                <w:rFonts w:hint="eastAsia" w:ascii="宋体" w:hAnsi="宋体" w:eastAsia="宋体" w:cs="宋体"/>
                <w:color w:val="auto"/>
                <w:highlight w:val="none"/>
              </w:rPr>
              <w:t xml:space="preserve">承租面积         平方米</w:t>
            </w:r>
            <w:r/>
          </w:p>
        </w:tc>
      </w:tr>
      <w:tr>
        <w:trPr>
          <w:cantSplit/>
          <w:trHeight w:val="747"/>
        </w:trPr>
        <w:tc>
          <w:tcPr>
            <w:tcW w:w="1441" w:type="pct"/>
            <w:textDirection w:val="lrTb"/>
            <w:noWrap w:val="false"/>
          </w:tcPr>
          <w:p>
            <w:pPr>
              <w:pStyle w:val="850"/>
              <w:ind w:firstLine="0"/>
              <w:rPr>
                <w:rFonts w:ascii="宋体" w:hAnsi="宋体" w:eastAsia="宋体" w:cs="宋体"/>
                <w:color w:val="auto"/>
                <w:highlight w:val="none"/>
              </w:rPr>
            </w:pPr>
            <w:r>
              <w:rPr>
                <w:rFonts w:hint="eastAsia" w:ascii="宋体" w:hAnsi="宋体" w:eastAsia="宋体" w:cs="宋体"/>
                <w:color w:val="auto"/>
                <w:highlight w:val="none"/>
              </w:rPr>
              <w:t xml:space="preserve">单位简历及内设机构情况</w:t>
            </w:r>
            <w:r/>
          </w:p>
        </w:tc>
        <w:tc>
          <w:tcPr>
            <w:gridSpan w:val="4"/>
            <w:tcW w:w="3558" w:type="pct"/>
            <w:textDirection w:val="lrTb"/>
            <w:noWrap w:val="false"/>
          </w:tcPr>
          <w:p>
            <w:pPr>
              <w:pStyle w:val="850"/>
              <w:ind w:firstLine="0"/>
              <w:rPr>
                <w:rFonts w:ascii="宋体" w:hAnsi="宋体" w:eastAsia="宋体" w:cs="宋体"/>
                <w:color w:val="auto"/>
                <w:highlight w:val="none"/>
              </w:rPr>
            </w:pPr>
            <w:r>
              <w:rPr>
                <w:rFonts w:ascii="宋体" w:hAnsi="宋体" w:eastAsia="宋体" w:cs="宋体"/>
                <w:color w:val="auto"/>
                <w:highlight w:val="none"/>
              </w:rPr>
            </w:r>
            <w:r/>
          </w:p>
        </w:tc>
      </w:tr>
      <w:tr>
        <w:trPr>
          <w:cantSplit/>
        </w:trPr>
        <w:tc>
          <w:tcPr>
            <w:tcW w:w="1441" w:type="pct"/>
            <w:textDirection w:val="lrTb"/>
            <w:noWrap w:val="false"/>
          </w:tcPr>
          <w:p>
            <w:pPr>
              <w:pStyle w:val="850"/>
              <w:ind w:firstLine="0"/>
              <w:rPr>
                <w:rFonts w:ascii="宋体" w:hAnsi="宋体" w:eastAsia="宋体" w:cs="宋体"/>
                <w:color w:val="auto"/>
                <w:highlight w:val="none"/>
              </w:rPr>
            </w:pPr>
            <w:r>
              <w:rPr>
                <w:rFonts w:hint="eastAsia" w:ascii="宋体" w:hAnsi="宋体" w:eastAsia="宋体" w:cs="宋体"/>
                <w:color w:val="auto"/>
                <w:highlight w:val="none"/>
              </w:rPr>
              <w:t xml:space="preserve">单位优势及特长</w:t>
            </w:r>
            <w:r/>
          </w:p>
        </w:tc>
        <w:tc>
          <w:tcPr>
            <w:gridSpan w:val="4"/>
            <w:tcW w:w="3558" w:type="pct"/>
            <w:textDirection w:val="lrTb"/>
            <w:noWrap w:val="false"/>
          </w:tcPr>
          <w:p>
            <w:pPr>
              <w:pStyle w:val="850"/>
              <w:ind w:firstLine="0"/>
              <w:rPr>
                <w:rFonts w:ascii="宋体" w:hAnsi="宋体" w:eastAsia="宋体" w:cs="宋体"/>
                <w:color w:val="auto"/>
                <w:highlight w:val="none"/>
              </w:rPr>
            </w:pPr>
            <w:r>
              <w:rPr>
                <w:rFonts w:ascii="宋体" w:hAnsi="宋体" w:eastAsia="宋体" w:cs="宋体"/>
                <w:color w:val="auto"/>
                <w:highlight w:val="none"/>
              </w:rPr>
            </w:r>
            <w:r/>
          </w:p>
        </w:tc>
      </w:tr>
      <w:tr>
        <w:trPr>
          <w:cantSplit/>
        </w:trPr>
        <w:tc>
          <w:tcPr>
            <w:tcW w:w="1441" w:type="pct"/>
            <w:textDirection w:val="lrTb"/>
            <w:noWrap w:val="false"/>
          </w:tcPr>
          <w:p>
            <w:pPr>
              <w:pStyle w:val="850"/>
              <w:ind w:firstLine="0"/>
              <w:rPr>
                <w:rFonts w:ascii="宋体" w:hAnsi="宋体" w:eastAsia="宋体" w:cs="宋体"/>
                <w:color w:val="auto"/>
                <w:highlight w:val="none"/>
              </w:rPr>
            </w:pPr>
            <w:r>
              <w:rPr>
                <w:rFonts w:hint="eastAsia" w:ascii="宋体" w:hAnsi="宋体" w:eastAsia="宋体" w:cs="宋体"/>
                <w:color w:val="auto"/>
                <w:highlight w:val="none"/>
              </w:rPr>
              <w:t xml:space="preserve">是否处于被行政或司法机关责令停业或停止承接工程任务或停止投标资格</w:t>
            </w:r>
            <w:r/>
          </w:p>
        </w:tc>
        <w:tc>
          <w:tcPr>
            <w:gridSpan w:val="4"/>
            <w:tcW w:w="3558" w:type="pct"/>
            <w:textDirection w:val="lrTb"/>
            <w:noWrap w:val="false"/>
          </w:tcPr>
          <w:p>
            <w:pPr>
              <w:pStyle w:val="850"/>
              <w:ind w:firstLine="0"/>
              <w:rPr>
                <w:rFonts w:ascii="宋体" w:hAnsi="宋体" w:eastAsia="宋体" w:cs="宋体"/>
                <w:color w:val="auto"/>
                <w:highlight w:val="none"/>
              </w:rPr>
            </w:pPr>
            <w:r>
              <w:rPr>
                <w:rFonts w:ascii="宋体" w:hAnsi="宋体" w:eastAsia="宋体" w:cs="宋体"/>
                <w:color w:val="auto"/>
                <w:highlight w:val="none"/>
              </w:rPr>
            </w:r>
            <w:r/>
          </w:p>
        </w:tc>
      </w:tr>
      <w:tr>
        <w:trPr>
          <w:cantSplit/>
        </w:trPr>
        <w:tc>
          <w:tcPr>
            <w:tcW w:w="1441" w:type="pct"/>
            <w:textDirection w:val="lrTb"/>
            <w:noWrap w:val="false"/>
          </w:tcPr>
          <w:p>
            <w:pPr>
              <w:pStyle w:val="850"/>
              <w:ind w:firstLine="0"/>
              <w:rPr>
                <w:rFonts w:ascii="宋体" w:hAnsi="宋体" w:eastAsia="宋体" w:cs="宋体"/>
                <w:color w:val="auto"/>
                <w:highlight w:val="none"/>
              </w:rPr>
            </w:pPr>
            <w:r>
              <w:rPr>
                <w:rFonts w:hint="eastAsia" w:ascii="宋体" w:hAnsi="宋体" w:eastAsia="宋体" w:cs="宋体"/>
                <w:color w:val="auto"/>
                <w:highlight w:val="none"/>
              </w:rPr>
              <w:t xml:space="preserve">最近2年内在经营过程中受到何种奖励或处分（包括情况和结果）</w:t>
            </w:r>
            <w:r/>
          </w:p>
        </w:tc>
        <w:tc>
          <w:tcPr>
            <w:gridSpan w:val="4"/>
            <w:tcW w:w="3558" w:type="pct"/>
            <w:textDirection w:val="lrTb"/>
            <w:noWrap w:val="false"/>
          </w:tcPr>
          <w:p>
            <w:pPr>
              <w:pStyle w:val="850"/>
              <w:ind w:firstLine="0"/>
              <w:rPr>
                <w:rFonts w:ascii="宋体" w:hAnsi="宋体" w:eastAsia="宋体" w:cs="宋体"/>
                <w:color w:val="auto"/>
                <w:highlight w:val="none"/>
              </w:rPr>
            </w:pPr>
            <w:r>
              <w:rPr>
                <w:rFonts w:ascii="宋体" w:hAnsi="宋体" w:eastAsia="宋体" w:cs="宋体"/>
                <w:color w:val="auto"/>
                <w:highlight w:val="none"/>
              </w:rPr>
            </w:r>
            <w:r/>
          </w:p>
        </w:tc>
      </w:tr>
      <w:tr>
        <w:trPr>
          <w:cantSplit/>
        </w:trPr>
        <w:tc>
          <w:tcPr>
            <w:tcW w:w="1441" w:type="pct"/>
            <w:textDirection w:val="lrTb"/>
            <w:noWrap w:val="false"/>
          </w:tcPr>
          <w:p>
            <w:pPr>
              <w:pStyle w:val="850"/>
              <w:ind w:firstLine="0"/>
              <w:rPr>
                <w:rFonts w:ascii="宋体" w:hAnsi="宋体" w:eastAsia="宋体" w:cs="宋体"/>
                <w:color w:val="auto"/>
                <w:highlight w:val="none"/>
              </w:rPr>
            </w:pPr>
            <w:r>
              <w:rPr>
                <w:rFonts w:hint="eastAsia" w:ascii="宋体" w:hAnsi="宋体" w:eastAsia="宋体" w:cs="宋体"/>
                <w:color w:val="auto"/>
                <w:highlight w:val="none"/>
              </w:rPr>
              <w:t xml:space="preserve">最近3年内有无因售假、售劣或是其他原因被消费者投诉或起诉的情况及说明（包括解决方式和结果）</w:t>
            </w:r>
            <w:r/>
          </w:p>
        </w:tc>
        <w:tc>
          <w:tcPr>
            <w:gridSpan w:val="4"/>
            <w:tcW w:w="3558" w:type="pct"/>
            <w:textDirection w:val="lrTb"/>
            <w:noWrap w:val="false"/>
          </w:tcPr>
          <w:p>
            <w:pPr>
              <w:pStyle w:val="850"/>
              <w:ind w:firstLine="0"/>
              <w:rPr>
                <w:rFonts w:ascii="宋体" w:hAnsi="宋体" w:eastAsia="宋体" w:cs="宋体"/>
                <w:color w:val="auto"/>
                <w:highlight w:val="none"/>
              </w:rPr>
            </w:pPr>
            <w:r>
              <w:rPr>
                <w:rFonts w:ascii="宋体" w:hAnsi="宋体" w:eastAsia="宋体" w:cs="宋体"/>
                <w:color w:val="auto"/>
                <w:highlight w:val="none"/>
              </w:rPr>
            </w:r>
            <w:r/>
          </w:p>
        </w:tc>
      </w:tr>
      <w:tr>
        <w:trPr>
          <w:cantSplit/>
        </w:trPr>
        <w:tc>
          <w:tcPr>
            <w:tcW w:w="1441" w:type="pct"/>
            <w:textDirection w:val="lrTb"/>
            <w:noWrap w:val="false"/>
          </w:tcPr>
          <w:p>
            <w:pPr>
              <w:pStyle w:val="850"/>
              <w:ind w:firstLine="0"/>
              <w:rPr>
                <w:rFonts w:ascii="宋体" w:hAnsi="宋体" w:eastAsia="宋体" w:cs="宋体"/>
                <w:color w:val="auto"/>
                <w:highlight w:val="none"/>
              </w:rPr>
            </w:pPr>
            <w:r>
              <w:rPr>
                <w:rFonts w:hint="eastAsia" w:ascii="宋体" w:hAnsi="宋体" w:eastAsia="宋体" w:cs="宋体"/>
                <w:color w:val="auto"/>
                <w:highlight w:val="none"/>
              </w:rPr>
              <w:t xml:space="preserve">最近3年内主要负责人有无因经济犯罪被司法机关追究的情况及说明</w:t>
            </w:r>
            <w:r/>
          </w:p>
        </w:tc>
        <w:tc>
          <w:tcPr>
            <w:gridSpan w:val="4"/>
            <w:tcW w:w="3558" w:type="pct"/>
            <w:textDirection w:val="lrTb"/>
            <w:noWrap w:val="false"/>
          </w:tcPr>
          <w:p>
            <w:pPr>
              <w:pStyle w:val="850"/>
              <w:ind w:firstLine="0"/>
              <w:rPr>
                <w:rFonts w:ascii="宋体" w:hAnsi="宋体" w:eastAsia="宋体" w:cs="宋体"/>
                <w:color w:val="auto"/>
                <w:highlight w:val="none"/>
              </w:rPr>
            </w:pPr>
            <w:r>
              <w:rPr>
                <w:rFonts w:ascii="宋体" w:hAnsi="宋体" w:eastAsia="宋体" w:cs="宋体"/>
                <w:color w:val="auto"/>
                <w:highlight w:val="none"/>
              </w:rPr>
            </w:r>
            <w:r/>
          </w:p>
        </w:tc>
      </w:tr>
      <w:tr>
        <w:trPr>
          <w:cantSplit/>
        </w:trPr>
        <w:tc>
          <w:tcPr>
            <w:tcW w:w="1441" w:type="pct"/>
            <w:textDirection w:val="lrTb"/>
            <w:noWrap w:val="false"/>
          </w:tcPr>
          <w:p>
            <w:pPr>
              <w:pStyle w:val="850"/>
              <w:ind w:firstLine="0"/>
              <w:rPr>
                <w:rFonts w:ascii="宋体" w:hAnsi="宋体" w:eastAsia="宋体" w:cs="宋体"/>
                <w:color w:val="auto"/>
                <w:highlight w:val="none"/>
              </w:rPr>
            </w:pPr>
            <w:r>
              <w:rPr>
                <w:rFonts w:hint="eastAsia" w:ascii="宋体" w:hAnsi="宋体" w:eastAsia="宋体" w:cs="宋体"/>
                <w:color w:val="auto"/>
                <w:highlight w:val="none"/>
              </w:rPr>
              <w:t xml:space="preserve">获得技术认证的工程师及简介</w:t>
            </w:r>
            <w:r/>
          </w:p>
        </w:tc>
        <w:tc>
          <w:tcPr>
            <w:gridSpan w:val="4"/>
            <w:tcW w:w="3558" w:type="pct"/>
            <w:textDirection w:val="lrTb"/>
            <w:noWrap w:val="false"/>
          </w:tcPr>
          <w:p>
            <w:pPr>
              <w:pStyle w:val="850"/>
              <w:ind w:firstLine="0"/>
              <w:rPr>
                <w:rFonts w:ascii="宋体" w:hAnsi="宋体" w:eastAsia="宋体" w:cs="宋体"/>
                <w:color w:val="auto"/>
                <w:highlight w:val="none"/>
              </w:rPr>
            </w:pPr>
            <w:r>
              <w:rPr>
                <w:rFonts w:ascii="宋体" w:hAnsi="宋体" w:eastAsia="宋体" w:cs="宋体"/>
                <w:color w:val="auto"/>
                <w:highlight w:val="none"/>
              </w:rPr>
            </w:r>
            <w:r/>
          </w:p>
        </w:tc>
      </w:tr>
      <w:tr>
        <w:trPr>
          <w:cantSplit/>
          <w:trHeight w:val="560"/>
        </w:trPr>
        <w:tc>
          <w:tcPr>
            <w:tcW w:w="1441" w:type="pct"/>
            <w:textDirection w:val="lrTb"/>
            <w:noWrap w:val="false"/>
          </w:tcPr>
          <w:p>
            <w:pPr>
              <w:pStyle w:val="850"/>
              <w:ind w:firstLine="0"/>
              <w:rPr>
                <w:rFonts w:ascii="宋体" w:hAnsi="宋体" w:eastAsia="宋体" w:cs="宋体"/>
                <w:color w:val="auto"/>
                <w:highlight w:val="none"/>
              </w:rPr>
            </w:pPr>
            <w:r>
              <w:rPr>
                <w:rFonts w:hint="eastAsia" w:ascii="宋体" w:hAnsi="宋体" w:eastAsia="宋体" w:cs="宋体"/>
                <w:color w:val="auto"/>
                <w:highlight w:val="none"/>
              </w:rPr>
              <w:t xml:space="preserve">其他需要说明的情况</w:t>
            </w:r>
            <w:r/>
          </w:p>
        </w:tc>
        <w:tc>
          <w:tcPr>
            <w:gridSpan w:val="4"/>
            <w:tcW w:w="3558" w:type="pct"/>
            <w:textDirection w:val="lrTb"/>
            <w:noWrap w:val="false"/>
          </w:tcPr>
          <w:p>
            <w:pPr>
              <w:pStyle w:val="850"/>
              <w:ind w:firstLine="0"/>
              <w:rPr>
                <w:rFonts w:ascii="宋体" w:hAnsi="宋体" w:eastAsia="宋体" w:cs="宋体"/>
                <w:color w:val="auto"/>
                <w:highlight w:val="none"/>
              </w:rPr>
            </w:pPr>
            <w:r>
              <w:rPr>
                <w:rFonts w:ascii="宋体" w:hAnsi="宋体" w:eastAsia="宋体" w:cs="宋体"/>
                <w:color w:val="auto"/>
                <w:highlight w:val="none"/>
              </w:rPr>
            </w:r>
            <w:r/>
          </w:p>
        </w:tc>
      </w:tr>
    </w:tbl>
    <w:p>
      <w:pPr>
        <w:jc w:val="center"/>
        <w:spacing w:line="360" w:lineRule="auto"/>
        <w:rPr>
          <w:rFonts w:ascii="宋体" w:hAnsi="宋体" w:eastAsia="宋体" w:cs="宋体"/>
          <w:b/>
          <w:color w:val="auto"/>
          <w:sz w:val="30"/>
          <w:szCs w:val="30"/>
          <w:highlight w:val="none"/>
        </w:rPr>
      </w:pPr>
      <w:r>
        <w:rPr>
          <w:rFonts w:hint="eastAsia" w:ascii="宋体" w:hAnsi="宋体" w:eastAsia="宋体" w:cs="宋体"/>
          <w:b/>
          <w:color w:val="auto"/>
          <w:sz w:val="30"/>
          <w:szCs w:val="30"/>
          <w:highlight w:val="none"/>
        </w:rPr>
        <w:br w:type="page" w:clear="all"/>
      </w:r>
      <w:r>
        <w:rPr>
          <w:rFonts w:hint="eastAsia" w:ascii="宋体" w:hAnsi="宋体" w:eastAsia="宋体" w:cs="宋体"/>
          <w:b/>
          <w:color w:val="auto"/>
          <w:sz w:val="30"/>
          <w:szCs w:val="30"/>
          <w:highlight w:val="none"/>
        </w:rPr>
        <w:t xml:space="preserve">九、</w:t>
      </w:r>
      <w:bookmarkStart w:id="25" w:name="_Toc348785370"/>
      <w:r/>
      <w:bookmarkStart w:id="26" w:name="_Toc405820241"/>
      <w:r/>
      <w:bookmarkStart w:id="27" w:name="_Toc348785015"/>
      <w:r/>
      <w:bookmarkStart w:id="28" w:name="_Toc405820181"/>
      <w:r/>
      <w:bookmarkStart w:id="29" w:name="_Toc382997005"/>
      <w:r/>
      <w:bookmarkStart w:id="30" w:name="_Toc405820303"/>
      <w:r/>
      <w:bookmarkStart w:id="31" w:name="_Toc405820406"/>
      <w:r/>
      <w:bookmarkStart w:id="32" w:name="_Toc348784829"/>
      <w:r>
        <w:rPr>
          <w:rFonts w:hint="eastAsia" w:ascii="宋体" w:hAnsi="宋体" w:eastAsia="宋体" w:cs="宋体"/>
          <w:b/>
          <w:color w:val="auto"/>
          <w:sz w:val="30"/>
          <w:szCs w:val="30"/>
          <w:highlight w:val="none"/>
        </w:rPr>
        <w:t xml:space="preserve">企业类似业绩一览表</w:t>
      </w:r>
      <w:r/>
    </w:p>
    <w:p>
      <w:pPr>
        <w:pStyle w:val="850"/>
        <w:ind w:firstLine="0"/>
        <w:rPr>
          <w:rFonts w:ascii="宋体" w:hAnsi="宋体" w:eastAsia="宋体" w:cs="宋体"/>
          <w:color w:val="auto"/>
          <w:highlight w:val="none"/>
        </w:rPr>
      </w:pPr>
      <w:r>
        <w:rPr>
          <w:rFonts w:hint="eastAsia" w:ascii="宋体" w:hAnsi="宋体" w:eastAsia="宋体" w:cs="宋体"/>
          <w:color w:val="auto"/>
          <w:highlight w:val="none"/>
        </w:rPr>
        <w:t xml:space="preserve">招标编号：</w:t>
      </w:r>
      <w:r/>
    </w:p>
    <w:tbl>
      <w:tblPr>
        <w:tblStyle w:val="847"/>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61"/>
        <w:gridCol w:w="3053"/>
        <w:gridCol w:w="1914"/>
        <w:gridCol w:w="1850"/>
        <w:gridCol w:w="2094"/>
      </w:tblGrid>
      <w:tr>
        <w:trPr/>
        <w:tc>
          <w:tcPr>
            <w:tcW w:w="576"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515" w:type="pct"/>
            <w:vAlign w:val="center"/>
            <w:textDirection w:val="lrTb"/>
            <w:noWrap w:val="false"/>
          </w:tcPr>
          <w:p>
            <w:pPr>
              <w:jc w:val="center"/>
              <w:spacing w:line="360" w:lineRule="auto"/>
              <w:tabs>
                <w:tab w:val="left" w:pos="6252"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950" w:type="pct"/>
            <w:vAlign w:val="center"/>
            <w:textDirection w:val="lrTb"/>
            <w:noWrap w:val="false"/>
          </w:tcPr>
          <w:p>
            <w:pPr>
              <w:jc w:val="center"/>
              <w:spacing w:line="360" w:lineRule="auto"/>
              <w:tabs>
                <w:tab w:val="left" w:pos="6252"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合同签订时间</w:t>
            </w:r>
            <w:r/>
          </w:p>
        </w:tc>
        <w:tc>
          <w:tcPr>
            <w:tcW w:w="918" w:type="pct"/>
            <w:vAlign w:val="center"/>
            <w:textDirection w:val="lrTb"/>
            <w:noWrap w:val="false"/>
          </w:tcPr>
          <w:p>
            <w:pPr>
              <w:jc w:val="center"/>
              <w:spacing w:line="360" w:lineRule="auto"/>
              <w:tabs>
                <w:tab w:val="left" w:pos="6252"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业主单位名称</w:t>
            </w:r>
            <w:r/>
          </w:p>
        </w:tc>
        <w:tc>
          <w:tcPr>
            <w:tcW w:w="1039"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tc>
          <w:tcPr>
            <w:tcW w:w="576"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515"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950"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918"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039"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c>
          <w:tcPr>
            <w:tcW w:w="576"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515"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950"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918"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039"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c>
          <w:tcPr>
            <w:tcW w:w="576"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515"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950"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918"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039"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c>
          <w:tcPr>
            <w:tcW w:w="576"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515"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950"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918"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039"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c>
          <w:tcPr>
            <w:tcW w:w="576"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515"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950"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918"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039"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c>
          <w:tcPr>
            <w:tcW w:w="576"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1515"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950"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918"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039"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c>
          <w:tcPr>
            <w:tcW w:w="576"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515"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950"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918"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039"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c>
          <w:tcPr>
            <w:tcW w:w="576"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515"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950"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918"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039"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c>
          <w:tcPr>
            <w:tcW w:w="576"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515"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950"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918"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039"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c>
          <w:tcPr>
            <w:tcW w:w="576"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515"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950"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918"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039"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c>
          <w:tcPr>
            <w:tcW w:w="576"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515"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950"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918"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039"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c>
          <w:tcPr>
            <w:tcW w:w="576"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515"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950"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918"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039"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c>
          <w:tcPr>
            <w:tcW w:w="576"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515"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950"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918"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039"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c>
          <w:tcPr>
            <w:tcW w:w="576"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515"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950"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918"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039"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c>
          <w:tcPr>
            <w:tcW w:w="576"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515"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950"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918"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039"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bl>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供应商：（单位盖章）</w:t>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spacing w:before="100" w:beforeAutospacing="1" w:after="100" w:afterAutospacing="1"/>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bookmarkEnd w:id="25"/>
      <w:bookmarkEnd w:id="26"/>
      <w:bookmarkEnd w:id="27"/>
      <w:bookmarkEnd w:id="28"/>
      <w:bookmarkEnd w:id="29"/>
      <w:bookmarkEnd w:id="30"/>
      <w:bookmarkEnd w:id="31"/>
      <w:bookmarkEnd w:id="32"/>
      <w:r/>
    </w:p>
    <w:p>
      <w:pPr>
        <w:spacing w:line="360" w:lineRule="auto"/>
        <w:tabs>
          <w:tab w:val="left" w:pos="6798"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spacing w:line="360" w:lineRule="auto"/>
        <w:widowControl/>
        <w:rPr>
          <w:rFonts w:ascii="宋体" w:hAnsi="宋体" w:eastAsia="宋体" w:cs="宋体"/>
          <w:b/>
          <w:color w:val="auto"/>
          <w:sz w:val="30"/>
          <w:szCs w:val="30"/>
          <w:highlight w:val="none"/>
        </w:rPr>
      </w:pPr>
      <w:r>
        <w:rPr>
          <w:rFonts w:hint="eastAsia" w:ascii="宋体" w:hAnsi="宋体" w:eastAsia="宋体" w:cs="宋体"/>
          <w:b/>
          <w:bCs/>
          <w:color w:val="auto"/>
          <w:sz w:val="32"/>
          <w:szCs w:val="28"/>
          <w:highlight w:val="none"/>
        </w:rPr>
        <w:br w:type="page" w:clear="all"/>
      </w:r>
      <w:r>
        <w:rPr>
          <w:rFonts w:hint="eastAsia" w:ascii="宋体" w:hAnsi="宋体" w:eastAsia="宋体" w:cs="宋体"/>
          <w:b/>
          <w:color w:val="auto"/>
          <w:sz w:val="30"/>
          <w:szCs w:val="30"/>
          <w:highlight w:val="none"/>
        </w:rPr>
        <w:t xml:space="preserve">十</w:t>
      </w:r>
      <w:r>
        <w:rPr>
          <w:rFonts w:hint="eastAsia" w:ascii="宋体" w:hAnsi="宋体" w:eastAsia="宋体" w:cs="宋体"/>
          <w:b/>
          <w:color w:val="auto"/>
          <w:sz w:val="30"/>
          <w:szCs w:val="30"/>
          <w:highlight w:val="none"/>
          <w:lang w:val="zh-CN"/>
        </w:rPr>
        <w:t xml:space="preserve">、</w:t>
      </w:r>
      <w:r>
        <w:rPr>
          <w:rFonts w:hint="eastAsia" w:ascii="宋体" w:hAnsi="宋体" w:eastAsia="宋体" w:cs="宋体"/>
          <w:b/>
          <w:color w:val="auto"/>
          <w:sz w:val="30"/>
          <w:szCs w:val="30"/>
          <w:highlight w:val="none"/>
        </w:rPr>
        <w:t xml:space="preserve">投标（响应）保证承诺书</w:t>
      </w:r>
      <w:r/>
    </w:p>
    <w:p>
      <w:pPr>
        <w:pStyle w:val="1121"/>
        <w:ind w:firstLine="480"/>
        <w:jc w:val="center"/>
        <w:rPr>
          <w:rFonts w:hAnsi="宋体" w:cs="宋体"/>
          <w:b/>
          <w:bCs/>
          <w:color w:val="auto"/>
          <w:highlight w:val="none"/>
        </w:rPr>
      </w:pPr>
      <w:r>
        <w:rPr>
          <w:rFonts w:hAnsi="宋体" w:cs="宋体"/>
          <w:b/>
          <w:bCs/>
          <w:color w:val="auto"/>
          <w:highlight w:val="none"/>
        </w:rPr>
      </w:r>
      <w:r/>
    </w:p>
    <w:p>
      <w:pPr>
        <w:pStyle w:val="1121"/>
        <w:ind w:firstLine="480"/>
        <w:jc w:val="center"/>
        <w:rPr>
          <w:rFonts w:hAnsi="宋体" w:cs="宋体"/>
          <w:b/>
          <w:bCs/>
          <w:color w:val="auto"/>
          <w:highlight w:val="none"/>
        </w:rPr>
      </w:pPr>
      <w:r>
        <w:rPr>
          <w:rFonts w:hint="eastAsia" w:hAnsi="宋体" w:cs="宋体"/>
          <w:b/>
          <w:bCs/>
          <w:color w:val="auto"/>
          <w:highlight w:val="none"/>
        </w:rPr>
        <w:t xml:space="preserve">投标（响应）保证承诺书</w:t>
      </w:r>
      <w:r/>
    </w:p>
    <w:p>
      <w:pPr>
        <w:pStyle w:val="1121"/>
        <w:ind w:firstLine="480"/>
        <w:spacing w:line="360" w:lineRule="auto"/>
        <w:rPr>
          <w:rFonts w:hAnsi="宋体" w:cs="宋体"/>
          <w:color w:val="auto"/>
          <w:sz w:val="24"/>
          <w:szCs w:val="24"/>
          <w:highlight w:val="none"/>
          <w:u w:val="single"/>
        </w:rPr>
      </w:pPr>
      <w:r>
        <w:rPr>
          <w:rFonts w:hint="eastAsia" w:hAnsi="宋体" w:cs="宋体"/>
          <w:color w:val="auto"/>
          <w:sz w:val="24"/>
          <w:szCs w:val="24"/>
          <w:highlight w:val="none"/>
        </w:rPr>
        <w:t xml:space="preserve">致：</w:t>
      </w:r>
      <w:r>
        <w:rPr>
          <w:rFonts w:hint="eastAsia" w:hAnsi="宋体" w:cs="宋体"/>
          <w:color w:val="auto"/>
          <w:sz w:val="24"/>
          <w:szCs w:val="24"/>
          <w:highlight w:val="none"/>
          <w:u w:val="single"/>
        </w:rPr>
        <w:t xml:space="preserve">                   （招标代理机构名称）</w:t>
      </w:r>
      <w:r/>
    </w:p>
    <w:p>
      <w:pPr>
        <w:pStyle w:val="1121"/>
        <w:ind w:firstLine="480"/>
        <w:spacing w:line="360" w:lineRule="auto"/>
        <w:rPr>
          <w:rFonts w:hAnsi="宋体" w:cs="宋体"/>
          <w:color w:val="auto"/>
          <w:sz w:val="24"/>
          <w:szCs w:val="24"/>
          <w:highlight w:val="none"/>
        </w:rPr>
      </w:pPr>
      <w:r>
        <w:rPr>
          <w:rFonts w:hint="eastAsia" w:hAnsi="宋体" w:cs="宋体"/>
          <w:color w:val="auto"/>
          <w:sz w:val="24"/>
          <w:szCs w:val="24"/>
          <w:highlight w:val="none"/>
        </w:rPr>
        <w:t xml:space="preserve">我（单位/本人，以下统称我单位）自愿参加</w:t>
      </w:r>
      <w:r>
        <w:rPr>
          <w:rFonts w:hint="eastAsia" w:hAnsi="宋体" w:cs="宋体"/>
          <w:color w:val="auto"/>
          <w:sz w:val="24"/>
          <w:szCs w:val="24"/>
          <w:highlight w:val="none"/>
          <w:u w:val="single"/>
        </w:rPr>
        <w:t xml:space="preserve">              （项目名称和采购编号）</w:t>
      </w:r>
      <w:r>
        <w:rPr>
          <w:rFonts w:hint="eastAsia" w:hAnsi="宋体" w:cs="宋体"/>
          <w:color w:val="auto"/>
          <w:sz w:val="24"/>
          <w:szCs w:val="24"/>
          <w:highlight w:val="none"/>
        </w:rPr>
        <w:t xml:space="preserve">的投标（响应），并做出如下承诺：</w:t>
      </w:r>
      <w:r/>
    </w:p>
    <w:p>
      <w:pPr>
        <w:pStyle w:val="1121"/>
        <w:ind w:firstLine="480"/>
        <w:spacing w:line="360" w:lineRule="auto"/>
        <w:rPr>
          <w:rFonts w:hAnsi="宋体" w:cs="宋体"/>
          <w:color w:val="auto"/>
          <w:sz w:val="24"/>
          <w:szCs w:val="24"/>
          <w:highlight w:val="none"/>
        </w:rPr>
      </w:pPr>
      <w:r>
        <w:rPr>
          <w:rFonts w:hint="eastAsia" w:hAnsi="宋体" w:cs="宋体"/>
          <w:color w:val="auto"/>
          <w:sz w:val="24"/>
          <w:szCs w:val="24"/>
          <w:highlight w:val="none"/>
        </w:rPr>
        <w:t xml:space="preserve">一、除不可抗力外，我单位如果发生以下行为，将在行为发生的10个工作日内，向贵方（或招标人）支付本采购文件公布的预算金额（或最高限价）的2%作为违约赔偿金。</w:t>
      </w:r>
      <w:r/>
    </w:p>
    <w:p>
      <w:pPr>
        <w:pStyle w:val="1121"/>
        <w:ind w:firstLine="480"/>
        <w:spacing w:line="360" w:lineRule="auto"/>
        <w:rPr>
          <w:rFonts w:hAnsi="宋体" w:cs="宋体"/>
          <w:color w:val="auto"/>
          <w:sz w:val="24"/>
          <w:szCs w:val="24"/>
          <w:highlight w:val="none"/>
        </w:rPr>
      </w:pPr>
      <w:r>
        <w:rPr>
          <w:rFonts w:hint="eastAsia" w:hAnsi="宋体" w:cs="宋体"/>
          <w:color w:val="auto"/>
          <w:sz w:val="24"/>
          <w:szCs w:val="24"/>
          <w:highlight w:val="none"/>
        </w:rPr>
        <w:t xml:space="preserve">1.自投标（响应）截止时间至本项目发布中标（成交）公告为止，撤销投标（响应）；</w:t>
      </w:r>
      <w:r/>
    </w:p>
    <w:p>
      <w:pPr>
        <w:pStyle w:val="1121"/>
        <w:ind w:firstLine="480"/>
        <w:spacing w:line="360" w:lineRule="auto"/>
        <w:rPr>
          <w:rFonts w:hAnsi="宋体" w:cs="宋体"/>
          <w:color w:val="auto"/>
          <w:sz w:val="24"/>
          <w:szCs w:val="24"/>
          <w:highlight w:val="none"/>
        </w:rPr>
      </w:pPr>
      <w:r>
        <w:rPr>
          <w:rFonts w:hint="eastAsia" w:hAnsi="宋体" w:cs="宋体"/>
          <w:color w:val="auto"/>
          <w:sz w:val="24"/>
          <w:szCs w:val="24"/>
          <w:highlight w:val="none"/>
        </w:rPr>
        <w:t xml:space="preserve">2.中标（成交）后不依法与招标人签订合同；</w:t>
      </w:r>
      <w:r/>
    </w:p>
    <w:p>
      <w:pPr>
        <w:pStyle w:val="1121"/>
        <w:ind w:firstLine="480"/>
        <w:spacing w:line="360" w:lineRule="auto"/>
        <w:rPr>
          <w:rFonts w:hAnsi="宋体" w:cs="宋体"/>
          <w:color w:val="auto"/>
          <w:sz w:val="24"/>
          <w:szCs w:val="24"/>
          <w:highlight w:val="none"/>
        </w:rPr>
      </w:pPr>
      <w:r>
        <w:rPr>
          <w:rFonts w:hint="eastAsia" w:hAnsi="宋体" w:cs="宋体"/>
          <w:color w:val="auto"/>
          <w:sz w:val="24"/>
          <w:szCs w:val="24"/>
          <w:highlight w:val="none"/>
        </w:rPr>
        <w:t xml:space="preserve">3.中标（成交）后不按本采购文件规定向招标人提交履约保证金（如有）；</w:t>
      </w:r>
      <w:r/>
    </w:p>
    <w:p>
      <w:pPr>
        <w:pStyle w:val="1121"/>
        <w:ind w:firstLine="480"/>
        <w:spacing w:line="360" w:lineRule="auto"/>
        <w:rPr>
          <w:rFonts w:hAnsi="宋体" w:cs="宋体"/>
          <w:color w:val="auto"/>
          <w:sz w:val="24"/>
          <w:szCs w:val="24"/>
          <w:highlight w:val="none"/>
        </w:rPr>
      </w:pPr>
      <w:r>
        <w:rPr>
          <w:rFonts w:hint="eastAsia" w:hAnsi="宋体" w:cs="宋体"/>
          <w:color w:val="auto"/>
          <w:sz w:val="24"/>
          <w:szCs w:val="24"/>
          <w:highlight w:val="none"/>
        </w:rPr>
        <w:t xml:space="preserve">4.中标（成交）后不按本采购文件规定向贵方缴纳采购代理费。</w:t>
      </w:r>
      <w:r/>
    </w:p>
    <w:p>
      <w:pPr>
        <w:pStyle w:val="1121"/>
        <w:ind w:firstLine="480"/>
        <w:spacing w:line="360" w:lineRule="auto"/>
        <w:rPr>
          <w:rFonts w:hAnsi="宋体" w:cs="宋体"/>
          <w:color w:val="auto"/>
          <w:sz w:val="24"/>
          <w:szCs w:val="24"/>
          <w:highlight w:val="none"/>
        </w:rPr>
      </w:pPr>
      <w:r>
        <w:rPr>
          <w:rFonts w:hint="eastAsia" w:hAnsi="宋体" w:cs="宋体"/>
          <w:color w:val="auto"/>
          <w:sz w:val="24"/>
          <w:szCs w:val="24"/>
          <w:highlight w:val="none"/>
        </w:rPr>
        <w:t xml:space="preserve">二、我单位知晓上述行为的法律后果，承认本承诺书作为贵方（或招标人）要求我单位履行违约赔偿义务的依据作用。</w:t>
      </w:r>
      <w:r/>
    </w:p>
    <w:p>
      <w:pPr>
        <w:pStyle w:val="1121"/>
        <w:ind w:firstLine="480"/>
        <w:spacing w:line="360" w:lineRule="auto"/>
        <w:rPr>
          <w:rFonts w:hAnsi="宋体" w:cs="宋体"/>
          <w:color w:val="auto"/>
          <w:sz w:val="24"/>
          <w:szCs w:val="24"/>
          <w:highlight w:val="none"/>
        </w:rPr>
      </w:pPr>
      <w:r>
        <w:rPr>
          <w:rFonts w:hAnsi="宋体" w:cs="宋体"/>
          <w:color w:val="auto"/>
          <w:sz w:val="24"/>
          <w:szCs w:val="24"/>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供应商：（公章）</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ind w:firstLine="480"/>
        <w:spacing w:line="360" w:lineRule="auto"/>
        <w:rPr>
          <w:rFonts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firstLine="480"/>
        <w:spacing w:line="360" w:lineRule="auto"/>
        <w:rPr>
          <w:rFonts w:ascii="宋体" w:hAnsi="宋体" w:eastAsia="宋体" w:cs="宋体"/>
          <w:color w:val="auto"/>
          <w:sz w:val="24"/>
          <w:szCs w:val="24"/>
          <w:highlight w:val="none"/>
          <w:lang w:val="zh-CN"/>
        </w:rPr>
      </w:pPr>
      <w:r>
        <w:rPr>
          <w:rFonts w:ascii="宋体" w:hAnsi="宋体" w:eastAsia="宋体" w:cs="宋体"/>
          <w:color w:val="auto"/>
          <w:sz w:val="24"/>
          <w:szCs w:val="24"/>
          <w:highlight w:val="none"/>
          <w:lang w:val="zh-CN"/>
        </w:rPr>
      </w:r>
      <w:r/>
    </w:p>
    <w:p>
      <w:pPr>
        <w:jc w:val="center"/>
        <w:rPr>
          <w:rFonts w:ascii="宋体" w:hAnsi="宋体" w:eastAsia="宋体" w:cs="宋体"/>
          <w:b/>
          <w:color w:val="auto"/>
          <w:sz w:val="30"/>
          <w:szCs w:val="30"/>
          <w:highlight w:val="none"/>
        </w:rPr>
      </w:pPr>
      <w:r>
        <w:rPr>
          <w:rFonts w:hint="eastAsia" w:ascii="宋体" w:hAnsi="宋体" w:eastAsia="宋体" w:cs="宋体"/>
          <w:b/>
          <w:bCs/>
          <w:color w:val="auto"/>
          <w:sz w:val="32"/>
          <w:szCs w:val="28"/>
          <w:highlight w:val="none"/>
        </w:rPr>
        <w:br w:type="page" w:clear="all"/>
      </w:r>
      <w:r>
        <w:rPr>
          <w:rFonts w:hint="eastAsia" w:ascii="宋体" w:hAnsi="宋体" w:eastAsia="宋体" w:cs="宋体"/>
          <w:b/>
          <w:color w:val="auto"/>
          <w:sz w:val="30"/>
          <w:szCs w:val="30"/>
          <w:highlight w:val="none"/>
        </w:rPr>
        <w:t xml:space="preserve">十一、中小企业声明函</w:t>
      </w:r>
      <w:r/>
    </w:p>
    <w:p>
      <w:pPr>
        <w:jc w:val="left"/>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 </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的采购活动，服务全部由符合政策要求的中小企业承接。相关企业（含联合体中的中小企业、签订分包意向协议的中小企业）的具体情况如下：</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w:t>
      </w:r>
      <w:r>
        <w:rPr>
          <w:rFonts w:hint="eastAsia" w:ascii="宋体" w:hAnsi="宋体" w:eastAsia="宋体" w:cs="宋体"/>
          <w:color w:val="auto"/>
          <w:sz w:val="24"/>
          <w:szCs w:val="24"/>
          <w:highlight w:val="none"/>
          <w:u w:val="single"/>
          <w:lang w:val="zh-CN"/>
        </w:rPr>
        <w:t xml:space="preserve">2026年智水苏州室外硬件运维项目</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其他未列明行业</w:t>
      </w:r>
      <w:r>
        <w:rPr>
          <w:rFonts w:hint="eastAsia" w:ascii="宋体" w:hAnsi="宋体" w:eastAsia="宋体" w:cs="宋体"/>
          <w:color w:val="auto"/>
          <w:sz w:val="24"/>
          <w:szCs w:val="24"/>
          <w:highlight w:val="none"/>
        </w:rPr>
        <w:t xml:space="preserve">；承建（承接）企业为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中型企业、</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小型企业、</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微型企业）</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firstLine="480"/>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企业名称（盖章）：</w:t>
      </w:r>
      <w:r/>
    </w:p>
    <w:p>
      <w:pPr>
        <w:ind w:firstLine="6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numPr>
          <w:ilvl w:val="0"/>
          <w:numId w:val="4"/>
        </w:numPr>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中小企业划分标准详见“工信部联企业〔2011〕300号通知中的《中小企业划型标准规定》”。</w:t>
      </w:r>
      <w:r/>
    </w:p>
    <w:p>
      <w:pPr>
        <w:numPr>
          <w:ilvl w:val="0"/>
          <w:numId w:val="4"/>
        </w:numPr>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u w:val="single"/>
        </w:rPr>
        <w:t xml:space="preserve">如供应商认定本企业为中型、小型或微型企业，则需根据“工信部联企业〔2011〕300号”通知中的《中小企业划型标准规定》填报“中小企业声明函”</w:t>
      </w:r>
      <w:r>
        <w:rPr>
          <w:rFonts w:hint="eastAsia" w:ascii="宋体" w:hAnsi="宋体" w:eastAsia="宋体" w:cs="宋体"/>
          <w:b/>
          <w:color w:val="auto"/>
          <w:sz w:val="24"/>
          <w:szCs w:val="24"/>
          <w:highlight w:val="none"/>
        </w:rPr>
        <w:t xml:space="preserve">。</w:t>
      </w:r>
      <w:r/>
    </w:p>
    <w:p>
      <w:pPr>
        <w:jc w:val="left"/>
        <w:spacing w:line="360" w:lineRule="auto"/>
        <w:rPr>
          <w:rFonts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rPr>
        <w:t xml:space="preserve">3、从业人员、营业收入、资产总额填报上一年度数据，无上一年度数据的新成立企业可不填报。</w:t>
      </w:r>
      <w:r/>
    </w:p>
    <w:p>
      <w:pPr>
        <w:jc w:val="left"/>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4、供应商应对照中小企业划分标准和采购标的所属行业：</w:t>
      </w:r>
      <w:r>
        <w:rPr>
          <w:rFonts w:hint="eastAsia" w:ascii="宋体" w:hAnsi="宋体" w:eastAsia="宋体" w:cs="宋体"/>
          <w:b/>
          <w:bCs/>
          <w:color w:val="auto"/>
          <w:sz w:val="24"/>
          <w:szCs w:val="24"/>
          <w:highlight w:val="none"/>
          <w:u w:val="single"/>
        </w:rPr>
        <w:t xml:space="preserve">其他未列明行业</w:t>
      </w:r>
      <w:r>
        <w:rPr>
          <w:rFonts w:hint="eastAsia" w:ascii="宋体" w:hAnsi="宋体" w:eastAsia="宋体" w:cs="宋体"/>
          <w:b/>
          <w:color w:val="auto"/>
          <w:sz w:val="24"/>
          <w:szCs w:val="24"/>
          <w:highlight w:val="none"/>
        </w:rPr>
        <w:t xml:space="preserve"> ，如实、完整填报《中小企业声明函》，如未对（中型企业、小型企业、微型企业）进行勾选，视同非中、小、微企业，不享受相应扶持政策。</w:t>
      </w:r>
      <w:r/>
    </w:p>
    <w:p>
      <w:pPr>
        <w:jc w:val="center"/>
        <w:spacing w:line="360" w:lineRule="auto"/>
        <w:rPr>
          <w:rFonts w:ascii="宋体" w:hAnsi="宋体" w:eastAsia="宋体" w:cs="宋体"/>
          <w:b/>
          <w:color w:val="auto"/>
          <w:sz w:val="30"/>
          <w:szCs w:val="30"/>
          <w:highlight w:val="none"/>
        </w:rPr>
      </w:pPr>
      <w:r>
        <w:rPr>
          <w:rFonts w:hint="eastAsia" w:ascii="宋体" w:hAnsi="宋体" w:eastAsia="宋体" w:cs="宋体"/>
          <w:b/>
          <w:bCs/>
          <w:color w:val="auto"/>
          <w:sz w:val="32"/>
          <w:szCs w:val="28"/>
          <w:highlight w:val="none"/>
        </w:rPr>
        <w:br w:type="page" w:clear="all"/>
      </w:r>
      <w:r>
        <w:rPr>
          <w:rFonts w:hint="eastAsia" w:ascii="宋体" w:hAnsi="宋体" w:eastAsia="宋体" w:cs="宋体"/>
          <w:b/>
          <w:color w:val="auto"/>
          <w:sz w:val="30"/>
          <w:szCs w:val="30"/>
          <w:highlight w:val="none"/>
        </w:rPr>
        <w:t xml:space="preserve">十二、残疾人福利性单位声明函</w:t>
      </w:r>
      <w:r/>
    </w:p>
    <w:p>
      <w:pPr>
        <w:pStyle w:val="850"/>
        <w:ind w:firstLine="0"/>
        <w:spacing w:line="360" w:lineRule="auto"/>
        <w:rPr>
          <w:rFonts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  </w:t>
      </w:r>
      <w:r>
        <w:rPr>
          <w:rFonts w:hint="eastAsia" w:ascii="宋体" w:hAnsi="宋体" w:eastAsia="宋体" w:cs="宋体"/>
          <w:b/>
          <w:bCs/>
          <w:color w:val="auto"/>
          <w:szCs w:val="24"/>
          <w:highlight w:val="none"/>
          <w:u w:val="single"/>
        </w:rPr>
        <w:t xml:space="preserve">                          </w:t>
      </w:r>
      <w:r>
        <w:rPr>
          <w:rFonts w:hint="eastAsia" w:ascii="宋体" w:hAnsi="宋体" w:eastAsia="宋体" w:cs="宋体"/>
          <w:b/>
          <w:bCs/>
          <w:color w:val="auto"/>
          <w:szCs w:val="24"/>
          <w:highlight w:val="none"/>
        </w:rPr>
        <w:t xml:space="preserve">：</w:t>
      </w:r>
      <w:r/>
    </w:p>
    <w:p>
      <w:pPr>
        <w:pStyle w:val="850"/>
        <w:ind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本单位郑重声明，根据《财政部  民政部  中国残疾人联合会关于促进残疾人就业政府采购政策的通知》（财库〔2017〕141号）的规定，本单位为符合条件的残疾人福利性单位，且本单位参加 </w:t>
      </w:r>
      <w:r>
        <w:rPr>
          <w:rFonts w:hint="eastAsia" w:ascii="宋体" w:hAnsi="宋体" w:eastAsia="宋体" w:cs="宋体"/>
          <w:color w:val="auto"/>
          <w:szCs w:val="24"/>
          <w:highlight w:val="none"/>
          <w:u w:val="single"/>
        </w:rPr>
        <w:t xml:space="preserve">（采购单位）</w:t>
      </w:r>
      <w:r>
        <w:rPr>
          <w:rFonts w:hint="eastAsia" w:ascii="宋体" w:hAnsi="宋体" w:eastAsia="宋体" w:cs="宋体"/>
          <w:color w:val="auto"/>
          <w:szCs w:val="24"/>
          <w:highlight w:val="none"/>
        </w:rPr>
        <w:t xml:space="preserve"> 单位的</w:t>
      </w:r>
      <w:r>
        <w:rPr>
          <w:rFonts w:hint="eastAsia" w:ascii="宋体" w:hAnsi="宋体" w:eastAsia="宋体" w:cs="宋体"/>
          <w:color w:val="auto"/>
          <w:szCs w:val="24"/>
          <w:highlight w:val="none"/>
          <w:u w:val="single"/>
          <w:lang w:val="zh-CN"/>
        </w:rPr>
        <w:t xml:space="preserve">（项目名称、招标编号）</w:t>
      </w:r>
      <w:r>
        <w:rPr>
          <w:rFonts w:hint="eastAsia" w:ascii="宋体" w:hAnsi="宋体" w:eastAsia="宋体" w:cs="宋体"/>
          <w:color w:val="auto"/>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850"/>
        <w:ind w:firstLine="480"/>
        <w:spacing w:line="360" w:lineRule="auto"/>
        <w:rPr>
          <w:rFonts w:ascii="宋体" w:hAnsi="宋体" w:eastAsia="宋体" w:cs="宋体"/>
          <w:b/>
          <w:bCs/>
          <w:color w:val="auto"/>
          <w:szCs w:val="24"/>
          <w:highlight w:val="none"/>
        </w:rPr>
      </w:pPr>
      <w:r>
        <w:rPr>
          <w:rFonts w:hint="eastAsia" w:ascii="宋体" w:hAnsi="宋体" w:eastAsia="宋体" w:cs="宋体"/>
          <w:color w:val="auto"/>
          <w:szCs w:val="24"/>
          <w:highlight w:val="none"/>
        </w:rPr>
        <w:t xml:space="preserve">本单位对上述声明的真实性负责。如有虚假，将依法承担相应责任。</w:t>
      </w:r>
      <w:r/>
    </w:p>
    <w:p>
      <w:pPr>
        <w:pStyle w:val="850"/>
        <w:ind w:firstLine="0"/>
        <w:spacing w:line="360" w:lineRule="auto"/>
        <w:rPr>
          <w:rFonts w:ascii="宋体" w:hAnsi="宋体" w:eastAsia="宋体" w:cs="宋体"/>
          <w:b/>
          <w:bCs/>
          <w:color w:val="auto"/>
          <w:szCs w:val="24"/>
          <w:highlight w:val="none"/>
        </w:rPr>
      </w:pPr>
      <w:r>
        <w:rPr>
          <w:rFonts w:ascii="宋体" w:hAnsi="宋体" w:eastAsia="宋体" w:cs="宋体"/>
          <w:b/>
          <w:bCs/>
          <w:color w:val="auto"/>
          <w:szCs w:val="24"/>
          <w:highlight w:val="none"/>
        </w:rPr>
      </w:r>
      <w:r/>
    </w:p>
    <w:p>
      <w:pPr>
        <w:pStyle w:val="850"/>
        <w:ind w:firstLine="0"/>
        <w:spacing w:line="360" w:lineRule="auto"/>
        <w:rPr>
          <w:rFonts w:ascii="宋体" w:hAnsi="宋体" w:eastAsia="宋体" w:cs="宋体"/>
          <w:b/>
          <w:bCs/>
          <w:color w:val="auto"/>
          <w:szCs w:val="24"/>
          <w:highlight w:val="none"/>
        </w:rPr>
      </w:pPr>
      <w:r>
        <w:rPr>
          <w:rFonts w:ascii="宋体" w:hAnsi="宋体" w:eastAsia="宋体" w:cs="宋体"/>
          <w:b/>
          <w:bCs/>
          <w:color w:val="auto"/>
          <w:szCs w:val="24"/>
          <w:highlight w:val="none"/>
        </w:rPr>
      </w:r>
      <w:r/>
    </w:p>
    <w:p>
      <w:pPr>
        <w:pStyle w:val="850"/>
        <w:ind w:firstLine="0"/>
        <w:jc w:val="right"/>
        <w:spacing w:line="360" w:lineRule="auto"/>
        <w:rPr>
          <w:rFonts w:ascii="宋体" w:hAnsi="宋体" w:eastAsia="宋体" w:cs="宋体"/>
          <w:color w:val="auto"/>
          <w:szCs w:val="24"/>
          <w:highlight w:val="none"/>
        </w:rPr>
      </w:pPr>
      <w:r>
        <w:rPr>
          <w:rFonts w:hint="eastAsia" w:ascii="宋体" w:hAnsi="宋体" w:eastAsia="宋体" w:cs="宋体"/>
          <w:b/>
          <w:bCs/>
          <w:color w:val="auto"/>
          <w:szCs w:val="24"/>
          <w:highlight w:val="none"/>
        </w:rPr>
        <w:t xml:space="preserve">    </w:t>
      </w:r>
      <w:r>
        <w:rPr>
          <w:rFonts w:hint="eastAsia" w:ascii="宋体" w:hAnsi="宋体" w:eastAsia="宋体" w:cs="宋体"/>
          <w:color w:val="auto"/>
          <w:szCs w:val="24"/>
          <w:highlight w:val="none"/>
        </w:rPr>
        <w:t xml:space="preserve">  供应商：         （单位盖章） </w:t>
      </w:r>
      <w:r/>
    </w:p>
    <w:p>
      <w:pPr>
        <w:pStyle w:val="850"/>
        <w:ind w:firstLine="0"/>
        <w:jc w:val="right"/>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日  期：       年      月    日</w:t>
      </w:r>
      <w:r/>
    </w:p>
    <w:p>
      <w:pPr>
        <w:pStyle w:val="850"/>
        <w:ind w:firstLine="0"/>
        <w:spacing w:line="360" w:lineRule="auto"/>
        <w:rPr>
          <w:rFonts w:ascii="宋体" w:hAnsi="宋体" w:eastAsia="宋体" w:cs="宋体"/>
          <w:b/>
          <w:bCs/>
          <w:color w:val="auto"/>
          <w:szCs w:val="24"/>
          <w:highlight w:val="none"/>
        </w:rPr>
      </w:pPr>
      <w:r>
        <w:rPr>
          <w:rFonts w:ascii="宋体" w:hAnsi="宋体" w:eastAsia="宋体" w:cs="宋体"/>
          <w:b/>
          <w:bCs/>
          <w:color w:val="auto"/>
          <w:szCs w:val="24"/>
          <w:highlight w:val="none"/>
        </w:rPr>
      </w:r>
      <w:r/>
    </w:p>
    <w:p>
      <w:pPr>
        <w:spacing w:line="34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837"/>
        <w:jc w:val="center"/>
        <w:rPr>
          <w:rFonts w:ascii="宋体" w:hAnsi="宋体" w:eastAsia="宋体" w:cs="宋体"/>
          <w:bCs/>
          <w:color w:val="auto"/>
          <w:sz w:val="21"/>
          <w:szCs w:val="21"/>
          <w:highlight w:val="none"/>
        </w:rPr>
      </w:pPr>
      <w:r>
        <w:rPr>
          <w:rFonts w:hint="eastAsia" w:ascii="宋体" w:hAnsi="宋体" w:eastAsia="宋体" w:cs="宋体"/>
          <w:color w:val="auto"/>
          <w:szCs w:val="21"/>
          <w:highlight w:val="none"/>
          <w:u w:val="single"/>
        </w:rPr>
        <w:br w:type="page" w:clear="all"/>
      </w:r>
      <w:bookmarkStart w:id="33" w:name="_Toc160701726"/>
      <w:r/>
      <w:bookmarkStart w:id="34" w:name="_Toc494471873"/>
      <w:r>
        <w:rPr>
          <w:rFonts w:hint="eastAsia" w:ascii="宋体" w:hAnsi="宋体" w:eastAsia="宋体" w:cs="宋体"/>
          <w:color w:val="auto"/>
          <w:highlight w:val="none"/>
        </w:rPr>
        <w:t xml:space="preserve">第四章 采购内容</w:t>
      </w:r>
      <w:bookmarkEnd w:id="18"/>
      <w:r/>
      <w:bookmarkEnd w:id="33"/>
      <w:r/>
      <w:bookmarkEnd w:id="34"/>
      <w:r/>
      <w:r/>
    </w:p>
    <w:p>
      <w:pPr>
        <w:ind w:firstLine="482"/>
        <w:spacing w:line="360" w:lineRule="auto"/>
        <w:rPr>
          <w:rFonts w:ascii="宋体" w:hAnsi="宋体" w:eastAsia="宋体" w:cs="宋体"/>
          <w:b/>
          <w:color w:val="auto"/>
          <w:sz w:val="24"/>
          <w:szCs w:val="24"/>
          <w:highlight w:val="none"/>
        </w:rPr>
      </w:pPr>
      <w:r/>
      <w:bookmarkStart w:id="35" w:name="_Toc388026587"/>
      <w:r>
        <w:rPr>
          <w:rFonts w:hint="eastAsia" w:ascii="宋体" w:hAnsi="宋体" w:eastAsia="宋体" w:cs="宋体"/>
          <w:b/>
          <w:color w:val="auto"/>
          <w:sz w:val="24"/>
          <w:szCs w:val="24"/>
          <w:highlight w:val="none"/>
          <w:lang w:val="zh-CN"/>
        </w:rPr>
        <w:t xml:space="preserve">受</w:t>
      </w:r>
      <w:r>
        <w:rPr>
          <w:rFonts w:hint="eastAsia" w:ascii="宋体" w:hAnsi="宋体" w:eastAsia="宋体" w:cs="宋体"/>
          <w:b/>
          <w:color w:val="auto"/>
          <w:sz w:val="24"/>
          <w:szCs w:val="24"/>
          <w:highlight w:val="none"/>
          <w:u w:val="single"/>
          <w:lang w:val="zh-CN"/>
        </w:rPr>
        <w:t xml:space="preserve">苏州市水利水务信息调度指挥中心</w:t>
      </w:r>
      <w:r>
        <w:rPr>
          <w:rFonts w:hint="eastAsia" w:ascii="宋体" w:hAnsi="宋体" w:eastAsia="宋体" w:cs="宋体"/>
          <w:b/>
          <w:color w:val="auto"/>
          <w:sz w:val="24"/>
          <w:szCs w:val="24"/>
          <w:highlight w:val="none"/>
          <w:lang w:val="zh-CN"/>
        </w:rPr>
        <w:t xml:space="preserve">的委托，</w:t>
      </w:r>
      <w:r>
        <w:rPr>
          <w:rFonts w:hint="eastAsia" w:ascii="宋体" w:hAnsi="宋体" w:eastAsia="宋体" w:cs="宋体"/>
          <w:b/>
          <w:color w:val="auto"/>
          <w:sz w:val="24"/>
          <w:szCs w:val="24"/>
          <w:highlight w:val="none"/>
          <w:u w:val="single"/>
          <w:lang w:val="zh-CN"/>
        </w:rPr>
        <w:t xml:space="preserve">诚信金泰建设管理（苏州）有限公司</w:t>
      </w:r>
      <w:r>
        <w:rPr>
          <w:rFonts w:hint="eastAsia" w:ascii="宋体" w:hAnsi="宋体" w:eastAsia="宋体" w:cs="宋体"/>
          <w:b/>
          <w:color w:val="auto"/>
          <w:sz w:val="24"/>
          <w:szCs w:val="24"/>
          <w:highlight w:val="none"/>
          <w:lang w:val="zh-CN"/>
        </w:rPr>
        <w:t xml:space="preserve">作为招标代理人，为委托人拟采购的</w:t>
      </w:r>
      <w:r>
        <w:rPr>
          <w:rFonts w:hint="eastAsia" w:ascii="宋体" w:hAnsi="宋体" w:eastAsia="宋体" w:cs="宋体"/>
          <w:b/>
          <w:bCs/>
          <w:color w:val="auto"/>
          <w:sz w:val="24"/>
          <w:szCs w:val="24"/>
          <w:highlight w:val="none"/>
          <w:u w:val="single"/>
          <w:lang w:eastAsia="zh-CN"/>
        </w:rPr>
        <w:t xml:space="preserve">2026年智水苏州室外硬件运维项目</w:t>
      </w:r>
      <w:r>
        <w:rPr>
          <w:rFonts w:hint="eastAsia" w:ascii="宋体" w:hAnsi="宋体" w:eastAsia="宋体" w:cs="宋体"/>
          <w:b/>
          <w:color w:val="auto"/>
          <w:sz w:val="24"/>
          <w:szCs w:val="24"/>
          <w:highlight w:val="none"/>
          <w:lang w:val="zh-CN"/>
        </w:rPr>
        <w:t xml:space="preserve">进行国内公开招标。</w:t>
      </w:r>
      <w:r/>
    </w:p>
    <w:p>
      <w:pPr>
        <w:ind w:firstLine="482"/>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
          <w:bCs w:val="0"/>
          <w:color w:val="auto"/>
          <w:sz w:val="24"/>
          <w:szCs w:val="24"/>
          <w:highlight w:val="none"/>
        </w:rPr>
        <w:t xml:space="preserve">一、招标编号</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JSZC-320500-CXJT-G2026-0007</w:t>
      </w:r>
      <w:r/>
    </w:p>
    <w:p>
      <w:pPr>
        <w:ind w:firstLine="482"/>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
          <w:bCs w:val="0"/>
          <w:color w:val="auto"/>
          <w:sz w:val="24"/>
          <w:szCs w:val="24"/>
          <w:highlight w:val="none"/>
        </w:rPr>
        <w:t xml:space="preserve">二、招标内容</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2026年智水苏州室外硬件运维项目</w:t>
      </w:r>
      <w:r/>
    </w:p>
    <w:p>
      <w:pPr>
        <w:ind w:firstLine="482"/>
        <w:spacing w:line="360" w:lineRule="auto"/>
        <w:rPr>
          <w:rFonts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三、</w:t>
      </w:r>
      <w:bookmarkStart w:id="36" w:name="OLE_LINK5"/>
      <w:r>
        <w:rPr>
          <w:rFonts w:hint="eastAsia" w:ascii="宋体" w:hAnsi="宋体" w:eastAsia="宋体" w:cs="宋体"/>
          <w:b/>
          <w:bCs w:val="0"/>
          <w:color w:val="auto"/>
          <w:sz w:val="24"/>
          <w:szCs w:val="24"/>
          <w:highlight w:val="none"/>
        </w:rPr>
        <w:t xml:space="preserve">采购预算及最高限价</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End w:id="36"/>
      <w:r>
        <w:rPr>
          <w:rFonts w:hint="eastAsia" w:ascii="宋体" w:hAnsi="宋体" w:eastAsia="宋体" w:cs="宋体"/>
          <w:color w:val="auto"/>
          <w:sz w:val="24"/>
          <w:szCs w:val="24"/>
          <w:highlight w:val="none"/>
          <w:lang w:val="en-US" w:eastAsia="zh-CN"/>
        </w:rPr>
        <w:t xml:space="preserve">肆佰肆拾伍万陆仟贰佰元零角零分</w:t>
      </w:r>
      <w:r>
        <w:rPr>
          <w:rFonts w:hint="eastAsia" w:ascii="宋体" w:hAnsi="宋体" w:eastAsia="宋体" w:cs="宋体"/>
          <w:color w:val="auto"/>
          <w:sz w:val="24"/>
          <w:szCs w:val="24"/>
          <w:highlight w:val="none"/>
        </w:rPr>
        <w:t xml:space="preserve">（¥</w:t>
      </w:r>
      <w:r>
        <w:rPr>
          <w:rFonts w:hint="eastAsia" w:ascii="宋体" w:hAnsi="宋体" w:eastAsia="宋体" w:cs="宋体"/>
          <w:bCs w:val="0"/>
          <w:color w:val="auto"/>
          <w:sz w:val="24"/>
          <w:szCs w:val="24"/>
          <w:highlight w:val="none"/>
          <w:lang w:val="en-US" w:eastAsia="zh-CN"/>
        </w:rPr>
        <w:t xml:space="preserve">4456200.00</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rPr>
        <w:t xml:space="preserve">），其中</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一标段：贰佰零柒万陆仟肆佰叁拾元</w:t>
      </w:r>
      <w:r>
        <w:rPr>
          <w:rFonts w:hint="eastAsia" w:ascii="宋体" w:hAnsi="宋体" w:eastAsia="宋体" w:cs="宋体"/>
          <w:color w:val="auto"/>
          <w:sz w:val="24"/>
          <w:szCs w:val="24"/>
          <w:highlight w:val="none"/>
          <w:lang w:val="en-US" w:eastAsia="zh-CN"/>
        </w:rPr>
        <w:t xml:space="preserve">整</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2076430</w:t>
      </w:r>
      <w:r>
        <w:rPr>
          <w:rFonts w:hint="eastAsia" w:ascii="宋体" w:hAnsi="宋体" w:eastAsia="宋体" w:cs="宋体"/>
          <w:color w:val="auto"/>
          <w:sz w:val="24"/>
          <w:szCs w:val="24"/>
          <w:highlight w:val="none"/>
        </w:rPr>
        <w:t xml:space="preserve">.00</w:t>
      </w:r>
      <w:r>
        <w:rPr>
          <w:rFonts w:hint="eastAsia" w:ascii="宋体" w:hAnsi="宋体" w:eastAsia="宋体" w:cs="宋体"/>
          <w:color w:val="auto"/>
          <w:sz w:val="24"/>
          <w:szCs w:val="24"/>
          <w:highlight w:val="none"/>
        </w:rPr>
        <w:t xml:space="preserve">元</w:t>
      </w:r>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rPr>
        <w:t xml:space="preserve">二标段：</w:t>
      </w:r>
      <w:r>
        <w:rPr>
          <w:rFonts w:hint="eastAsia" w:ascii="宋体" w:hAnsi="宋体" w:eastAsia="宋体" w:cs="宋体"/>
          <w:color w:val="auto"/>
          <w:sz w:val="24"/>
          <w:szCs w:val="24"/>
          <w:highlight w:val="none"/>
          <w:lang w:eastAsia="zh-CN"/>
        </w:rPr>
        <w:t xml:space="preserve">贰佰叁拾柒万玖仟柒佰柒拾元整（¥2379770.00</w:t>
      </w:r>
      <w:r>
        <w:rPr>
          <w:rFonts w:hint="eastAsia" w:ascii="宋体" w:hAnsi="宋体" w:eastAsia="宋体" w:cs="宋体"/>
          <w:color w:val="auto"/>
          <w:sz w:val="24"/>
          <w:szCs w:val="24"/>
          <w:highlight w:val="none"/>
        </w:rPr>
        <w:t xml:space="preserve">元</w:t>
      </w:r>
      <w:r/>
      <w:r>
        <w:rPr>
          <w:rFonts w:hint="eastAsia" w:ascii="宋体" w:hAnsi="宋体" w:eastAsia="宋体" w:cs="宋体"/>
          <w:color w:val="auto"/>
          <w:sz w:val="24"/>
          <w:szCs w:val="24"/>
          <w:highlight w:val="none"/>
          <w:lang w:eastAsia="zh-CN"/>
        </w:rPr>
        <w:t xml:space="preserve">）</w:t>
      </w:r>
      <w:r/>
    </w:p>
    <w:p>
      <w:pPr>
        <w:ind w:firstLine="420"/>
        <w:spacing w:line="360" w:lineRule="auto"/>
        <w:rPr>
          <w:rFonts w:hint="default" w:ascii="宋体" w:hAnsi="宋体" w:eastAsia="宋体" w:cs="宋体"/>
          <w:bCs/>
          <w:color w:val="auto"/>
          <w:sz w:val="21"/>
          <w:szCs w:val="21"/>
          <w:highlight w:val="red"/>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highlight w:val="none"/>
        </w:rPr>
        <w:t xml:space="preserve">注：每标段中标单位数量为一家（本项目共</w:t>
      </w:r>
      <w:r>
        <w:rPr>
          <w:rFonts w:hint="eastAsia" w:ascii="宋体" w:hAnsi="宋体" w:eastAsia="宋体" w:cs="宋体"/>
          <w:b/>
          <w:color w:val="000000"/>
          <w:sz w:val="21"/>
          <w:highlight w:val="none"/>
          <w:lang w:val="en-US" w:eastAsia="zh-CN"/>
        </w:rPr>
        <w:t xml:space="preserve">两</w:t>
      </w:r>
      <w:r>
        <w:rPr>
          <w:rFonts w:hint="eastAsia" w:ascii="宋体" w:hAnsi="宋体" w:eastAsia="宋体" w:cs="宋体"/>
          <w:b/>
          <w:color w:val="000000"/>
          <w:sz w:val="21"/>
          <w:highlight w:val="none"/>
        </w:rPr>
        <w:t xml:space="preserve">个标段，投标</w:t>
      </w:r>
      <w:r>
        <w:rPr>
          <w:rFonts w:hint="eastAsia" w:ascii="宋体" w:hAnsi="宋体" w:eastAsia="宋体" w:cs="宋体"/>
          <w:b/>
          <w:color w:val="000000"/>
          <w:sz w:val="21"/>
          <w:highlight w:val="none"/>
          <w:lang w:val="en-US" w:eastAsia="zh-CN"/>
        </w:rPr>
        <w:t xml:space="preserve">供应商</w:t>
      </w:r>
      <w:r>
        <w:rPr>
          <w:rFonts w:hint="eastAsia" w:ascii="宋体" w:hAnsi="宋体" w:eastAsia="宋体" w:cs="宋体"/>
          <w:b/>
          <w:color w:val="000000"/>
          <w:sz w:val="21"/>
          <w:highlight w:val="none"/>
        </w:rPr>
        <w:t xml:space="preserve">可选择其中一个或多个标段进行报名投标，但每个投标</w:t>
      </w:r>
      <w:r>
        <w:rPr>
          <w:rFonts w:hint="eastAsia" w:ascii="宋体" w:hAnsi="宋体" w:eastAsia="宋体" w:cs="宋体"/>
          <w:b/>
          <w:color w:val="000000"/>
          <w:sz w:val="21"/>
          <w:highlight w:val="none"/>
          <w:lang w:val="en-US" w:eastAsia="zh-CN"/>
        </w:rPr>
        <w:t xml:space="preserve">供应商</w:t>
      </w:r>
      <w:r>
        <w:rPr>
          <w:rFonts w:hint="eastAsia" w:ascii="宋体" w:hAnsi="宋体" w:eastAsia="宋体" w:cs="宋体"/>
          <w:b/>
          <w:color w:val="000000"/>
          <w:sz w:val="21"/>
          <w:highlight w:val="none"/>
        </w:rPr>
        <w:t xml:space="preserve">的累计中标标段不得超过一个。若投标</w:t>
      </w:r>
      <w:r>
        <w:rPr>
          <w:rFonts w:hint="eastAsia" w:ascii="宋体" w:hAnsi="宋体" w:eastAsia="宋体" w:cs="宋体"/>
          <w:b/>
          <w:color w:val="000000"/>
          <w:sz w:val="21"/>
          <w:highlight w:val="none"/>
          <w:lang w:val="en-US" w:eastAsia="zh-CN"/>
        </w:rPr>
        <w:t xml:space="preserve">供应商</w:t>
      </w:r>
      <w:r>
        <w:rPr>
          <w:rFonts w:hint="eastAsia" w:ascii="宋体" w:hAnsi="宋体" w:eastAsia="宋体" w:cs="宋体"/>
          <w:b/>
          <w:color w:val="000000"/>
          <w:sz w:val="21"/>
          <w:highlight w:val="none"/>
        </w:rPr>
        <w:t xml:space="preserve">按评审方法被确定为中标候选人的标段数超过一个，则依开标顺序，按先开先中的原则，确定该投标</w:t>
      </w:r>
      <w:r>
        <w:rPr>
          <w:rFonts w:hint="eastAsia" w:ascii="宋体" w:hAnsi="宋体" w:eastAsia="宋体" w:cs="宋体"/>
          <w:b/>
          <w:color w:val="000000"/>
          <w:sz w:val="21"/>
          <w:highlight w:val="none"/>
          <w:lang w:val="en-US" w:eastAsia="zh-CN"/>
        </w:rPr>
        <w:t xml:space="preserve">供应商</w:t>
      </w:r>
      <w:r>
        <w:rPr>
          <w:rFonts w:hint="eastAsia" w:ascii="宋体" w:hAnsi="宋体" w:eastAsia="宋体" w:cs="宋体"/>
          <w:b/>
          <w:color w:val="000000"/>
          <w:sz w:val="21"/>
          <w:highlight w:val="none"/>
        </w:rPr>
        <w:t xml:space="preserve">的中标标段，其余标段将自动失去中标资格，由该标段的综合评审由高到低排名高的投标人获得中标资格）。</w:t>
      </w:r>
      <w:r/>
    </w:p>
    <w:p>
      <w:pPr>
        <w:ind w:firstLine="482"/>
        <w:spacing w:line="360" w:lineRule="auto"/>
        <w:rPr>
          <w:rFonts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四、采购需求：</w:t>
      </w:r>
      <w:r/>
    </w:p>
    <w:p>
      <w:pPr>
        <w:ind w:left="0" w:firstLine="482"/>
        <w:jc w:val="both"/>
        <w:spacing w:line="360" w:lineRule="auto"/>
        <w:tabs>
          <w:tab w:val="left" w:pos="567" w:leader="none"/>
        </w:tabs>
        <w:rPr>
          <w:rFonts w:hint="eastAsia" w:ascii="宋体" w:hAnsi="宋体" w:eastAsia="宋体" w:cs="宋体"/>
          <w:b/>
          <w:sz w:val="24"/>
          <w:szCs w:val="24"/>
        </w:rPr>
      </w:pPr>
      <w:r>
        <w:rPr>
          <w:rFonts w:hint="eastAsia" w:ascii="宋体" w:hAnsi="宋体" w:eastAsia="宋体" w:cs="宋体"/>
          <w:b/>
          <w:sz w:val="24"/>
          <w:szCs w:val="24"/>
        </w:rPr>
        <w:t xml:space="preserve">一标段：</w:t>
      </w:r>
      <w:r/>
    </w:p>
    <w:p>
      <w:pPr>
        <w:ind w:left="0"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（一）服务总体要求：</w:t>
      </w:r>
      <w:r/>
    </w:p>
    <w:p>
      <w:pPr>
        <w:ind w:left="0"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1.服务设备列表：详见文件《设备维护清单》</w:t>
      </w:r>
      <w:r/>
    </w:p>
    <w:p>
      <w:pPr>
        <w:ind w:left="0"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2.服务期限：2</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个月。</w:t>
      </w:r>
      <w:r/>
    </w:p>
    <w:p>
      <w:pPr>
        <w:ind w:left="0"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3.服务方式：野外巡检+驻场</w:t>
      </w:r>
      <w:r/>
    </w:p>
    <w:p>
      <w:pPr>
        <w:ind w:left="0" w:firstLine="480"/>
        <w:spacing w:line="360" w:lineRule="auto"/>
        <w:tabs>
          <w:tab w:val="left" w:pos="567"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乙方须组建不少于8人的运维技术支持团队，具体配置包括：视频设备运维</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巡查</w:t>
      </w:r>
      <w:r>
        <w:rPr>
          <w:rFonts w:hint="eastAsia" w:ascii="宋体" w:hAnsi="宋体" w:eastAsia="宋体" w:cs="宋体"/>
          <w:sz w:val="24"/>
          <w:szCs w:val="24"/>
          <w:highlight w:val="none"/>
          <w:lang w:val="en-US" w:eastAsia="zh-CN"/>
        </w:rPr>
        <w:t xml:space="preserve">人员</w:t>
      </w:r>
      <w:r>
        <w:rPr>
          <w:rFonts w:hint="eastAsia" w:ascii="宋体" w:hAnsi="宋体" w:eastAsia="宋体" w:cs="宋体"/>
          <w:sz w:val="24"/>
          <w:szCs w:val="24"/>
          <w:highlight w:val="none"/>
        </w:rPr>
        <w:t xml:space="preserve">2人、技术</w:t>
      </w:r>
      <w:r>
        <w:rPr>
          <w:rFonts w:hint="eastAsia" w:ascii="宋体" w:hAnsi="宋体" w:eastAsia="宋体" w:cs="宋体"/>
          <w:sz w:val="24"/>
          <w:szCs w:val="24"/>
          <w:highlight w:val="none"/>
          <w:lang w:val="en-US" w:eastAsia="zh-CN"/>
        </w:rPr>
        <w:t xml:space="preserve">人员</w:t>
      </w:r>
      <w:r>
        <w:rPr>
          <w:rFonts w:hint="eastAsia" w:ascii="宋体" w:hAnsi="宋体" w:eastAsia="宋体" w:cs="宋体"/>
          <w:sz w:val="24"/>
          <w:szCs w:val="24"/>
          <w:highlight w:val="none"/>
        </w:rPr>
        <w:t xml:space="preserve">1人，窨井设备运维</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巡查</w:t>
      </w:r>
      <w:r>
        <w:rPr>
          <w:rFonts w:hint="eastAsia" w:ascii="宋体" w:hAnsi="宋体" w:eastAsia="宋体" w:cs="宋体"/>
          <w:sz w:val="24"/>
          <w:szCs w:val="24"/>
          <w:highlight w:val="none"/>
          <w:lang w:val="en-US" w:eastAsia="zh-CN"/>
        </w:rPr>
        <w:t xml:space="preserve">人员</w:t>
      </w:r>
      <w:r>
        <w:rPr>
          <w:rFonts w:hint="eastAsia" w:ascii="宋体" w:hAnsi="宋体" w:eastAsia="宋体" w:cs="宋体"/>
          <w:sz w:val="24"/>
          <w:szCs w:val="24"/>
          <w:highlight w:val="none"/>
        </w:rPr>
        <w:t xml:space="preserve">1人、技术</w:t>
      </w:r>
      <w:r>
        <w:rPr>
          <w:rFonts w:hint="eastAsia" w:ascii="宋体" w:hAnsi="宋体" w:eastAsia="宋体" w:cs="宋体"/>
          <w:sz w:val="24"/>
          <w:szCs w:val="24"/>
          <w:highlight w:val="none"/>
          <w:lang w:val="en-US" w:eastAsia="zh-CN"/>
        </w:rPr>
        <w:t xml:space="preserve">人员</w:t>
      </w:r>
      <w:r>
        <w:rPr>
          <w:rFonts w:hint="eastAsia" w:ascii="宋体" w:hAnsi="宋体" w:eastAsia="宋体" w:cs="宋体"/>
          <w:sz w:val="24"/>
          <w:szCs w:val="24"/>
          <w:highlight w:val="none"/>
        </w:rPr>
        <w:t xml:space="preserve">1人，水质站设备</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技术</w:t>
      </w:r>
      <w:r>
        <w:rPr>
          <w:rFonts w:hint="eastAsia" w:ascii="宋体" w:hAnsi="宋体" w:eastAsia="宋体" w:cs="宋体"/>
          <w:sz w:val="24"/>
          <w:szCs w:val="24"/>
          <w:highlight w:val="none"/>
          <w:lang w:val="en-US" w:eastAsia="zh-CN"/>
        </w:rPr>
        <w:t xml:space="preserve">人员</w:t>
      </w:r>
      <w:r>
        <w:rPr>
          <w:rFonts w:hint="eastAsia" w:ascii="宋体" w:hAnsi="宋体" w:eastAsia="宋体" w:cs="宋体"/>
          <w:sz w:val="24"/>
          <w:szCs w:val="24"/>
          <w:highlight w:val="none"/>
        </w:rPr>
        <w:t xml:space="preserve">1人，并于汛期（5月至9月）增派巡查</w:t>
      </w:r>
      <w:r>
        <w:rPr>
          <w:rFonts w:hint="eastAsia" w:ascii="宋体" w:hAnsi="宋体" w:eastAsia="宋体" w:cs="宋体"/>
          <w:sz w:val="24"/>
          <w:szCs w:val="24"/>
          <w:highlight w:val="none"/>
          <w:lang w:val="en-US" w:eastAsia="zh-CN"/>
        </w:rPr>
        <w:t xml:space="preserve">人员</w:t>
      </w:r>
      <w:r>
        <w:rPr>
          <w:rFonts w:hint="eastAsia" w:ascii="宋体" w:hAnsi="宋体" w:eastAsia="宋体" w:cs="宋体"/>
          <w:sz w:val="24"/>
          <w:szCs w:val="24"/>
          <w:highlight w:val="none"/>
        </w:rPr>
        <w:t xml:space="preserve">2人；</w:t>
      </w:r>
      <w:r>
        <w:rPr>
          <w:rFonts w:hint="eastAsia" w:ascii="宋体" w:hAnsi="宋体" w:eastAsia="宋体" w:cs="宋体"/>
          <w:sz w:val="24"/>
          <w:szCs w:val="24"/>
          <w:highlight w:val="none"/>
          <w:lang w:val="en-US" w:eastAsia="zh-CN"/>
        </w:rPr>
        <w:t xml:space="preserve">另</w:t>
      </w:r>
      <w:r>
        <w:rPr>
          <w:rFonts w:hint="eastAsia" w:ascii="宋体" w:hAnsi="宋体" w:eastAsia="宋体" w:cs="宋体"/>
          <w:sz w:val="24"/>
          <w:szCs w:val="24"/>
          <w:highlight w:val="none"/>
        </w:rPr>
        <w:t xml:space="preserve">须</w:t>
      </w:r>
      <w:r>
        <w:rPr>
          <w:rFonts w:hint="eastAsia" w:ascii="宋体" w:hAnsi="宋体" w:eastAsia="宋体" w:cs="宋体"/>
          <w:sz w:val="24"/>
          <w:szCs w:val="24"/>
          <w:highlight w:val="none"/>
          <w:lang w:val="en-US" w:eastAsia="zh-CN"/>
        </w:rPr>
        <w:t xml:space="preserve">在上述人员中</w:t>
      </w:r>
      <w:r>
        <w:rPr>
          <w:rFonts w:hint="eastAsia" w:ascii="宋体" w:hAnsi="宋体" w:eastAsia="宋体" w:cs="宋体"/>
          <w:sz w:val="24"/>
          <w:szCs w:val="24"/>
          <w:highlight w:val="none"/>
        </w:rPr>
        <w:t xml:space="preserve">指定1名经甲方认可的管理人员驻场，负责与甲方对接，统筹资源、监督执行、汇报情况、控制质量、管理变更及应急事项，以保障项目高效运作。</w:t>
      </w:r>
      <w:r/>
    </w:p>
    <w:p>
      <w:pPr>
        <w:ind w:left="0"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4.乙方应提供专业化技术服务，主要负责以下工作：</w:t>
      </w:r>
      <w:r/>
    </w:p>
    <w:p>
      <w:pPr>
        <w:ind w:left="0"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（1）《设备维护清单》中所有设备保障供电。</w:t>
      </w:r>
      <w:r/>
    </w:p>
    <w:p>
      <w:pPr>
        <w:ind w:left="0"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（2）免费维护维修《设备维护清单》范围内的所有设备（提供配件），保障其稳定运行。</w:t>
      </w:r>
      <w:r/>
    </w:p>
    <w:p>
      <w:pPr>
        <w:ind w:left="0"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（3）免费提供《设备维护清单》范围内所有设备的技术支持</w:t>
      </w:r>
      <w:r>
        <w:rPr>
          <w:rFonts w:hint="eastAsia" w:ascii="宋体" w:hAnsi="宋体" w:eastAsia="宋体" w:cs="宋体"/>
          <w:sz w:val="24"/>
          <w:szCs w:val="24"/>
          <w:highlight w:val="none"/>
          <w:lang w:val="en-US" w:eastAsia="zh-CN"/>
        </w:rPr>
        <w:t xml:space="preserve">和网络安全</w:t>
      </w:r>
      <w:r>
        <w:rPr>
          <w:rFonts w:hint="eastAsia" w:ascii="宋体" w:hAnsi="宋体" w:eastAsia="宋体" w:cs="宋体"/>
          <w:sz w:val="24"/>
          <w:szCs w:val="24"/>
          <w:highlight w:val="none"/>
        </w:rPr>
        <w:t xml:space="preserve">服务。</w:t>
      </w:r>
      <w:r/>
    </w:p>
    <w:p>
      <w:pPr>
        <w:ind w:left="0" w:firstLine="48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（4）建立设备清单范围内的所有硬件设备各种故障的恢复流程及应急措施。</w:t>
      </w:r>
      <w:r/>
    </w:p>
    <w:p>
      <w:pPr>
        <w:ind w:left="0" w:firstLine="48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（5）在系统升级、重大节假日、防汛期间等对系统设备稳定运行要求较高的特殊情况时，根据甲方要求，由乙方安排工程师到指定场所24小时值班。</w:t>
      </w:r>
      <w:r/>
    </w:p>
    <w:p>
      <w:pPr>
        <w:ind w:left="0" w:firstLine="48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（6）乙方需定期安排人员对设备进行巡检，及时维修，</w:t>
      </w:r>
      <w:r>
        <w:rPr>
          <w:rFonts w:hint="eastAsia" w:ascii="宋体" w:hAnsi="宋体" w:eastAsia="宋体" w:cs="宋体"/>
          <w:sz w:val="24"/>
          <w:szCs w:val="24"/>
          <w:lang w:val="en-US" w:eastAsia="zh-CN"/>
        </w:rPr>
        <w:t xml:space="preserve">同时按照甲方要求，提交包括但不限于每日、每周、</w:t>
      </w:r>
      <w:r>
        <w:rPr>
          <w:rFonts w:hint="eastAsia" w:ascii="宋体" w:hAnsi="宋体" w:eastAsia="宋体" w:cs="宋体"/>
          <w:sz w:val="24"/>
          <w:szCs w:val="24"/>
        </w:rPr>
        <w:t xml:space="preserve">每月</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半年度、年度设备</w:t>
      </w:r>
      <w:r>
        <w:rPr>
          <w:rFonts w:hint="eastAsia" w:ascii="宋体" w:hAnsi="宋体" w:eastAsia="宋体" w:cs="宋体"/>
          <w:sz w:val="24"/>
          <w:szCs w:val="24"/>
        </w:rPr>
        <w:t xml:space="preserve">巡查报告</w:t>
      </w:r>
      <w:r>
        <w:rPr>
          <w:rFonts w:hint="eastAsia" w:ascii="宋体" w:hAnsi="宋体" w:eastAsia="宋体" w:cs="宋体"/>
          <w:sz w:val="24"/>
          <w:szCs w:val="24"/>
          <w:lang w:val="en-US" w:eastAsia="zh-CN"/>
        </w:rPr>
        <w:t xml:space="preserve">等相关台账内容</w:t>
      </w:r>
      <w:r>
        <w:rPr>
          <w:rFonts w:hint="eastAsia" w:ascii="宋体" w:hAnsi="宋体" w:eastAsia="宋体" w:cs="宋体"/>
          <w:sz w:val="24"/>
          <w:szCs w:val="24"/>
        </w:rPr>
        <w:t xml:space="preserve">。</w:t>
      </w:r>
      <w:r/>
    </w:p>
    <w:p>
      <w:pPr>
        <w:ind w:firstLine="480"/>
        <w:spacing w:line="360" w:lineRule="auto"/>
        <w:tabs>
          <w:tab w:val="left" w:pos="567"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（7）乙方须免费提供钉钉宜搭等主流低代码平台的会员服务，并应结合本项目实际管理需求，负责定制开发、部署并交付一套专属的项目管理系统，以实现项目流程的数字化与智能化管理。</w:t>
      </w:r>
      <w:r/>
    </w:p>
    <w:p>
      <w:pPr>
        <w:pStyle w:val="848"/>
        <w:ind w:left="0" w:firstLine="480"/>
        <w:rPr>
          <w:rFonts w:hint="eastAsia" w:hAnsi="宋体" w:cs="宋体"/>
          <w:sz w:val="24"/>
          <w:szCs w:val="24"/>
          <w:highlight w:val="none"/>
          <w:lang w:val="en-US" w:eastAsia="zh-CN"/>
        </w:rPr>
      </w:pPr>
      <w:r>
        <w:rPr>
          <w:rFonts w:hint="eastAsia" w:hAnsi="宋体" w:cs="宋体"/>
          <w:sz w:val="24"/>
          <w:szCs w:val="24"/>
          <w:highlight w:val="none"/>
          <w:lang w:val="en-US" w:eastAsia="zh-CN"/>
        </w:rPr>
        <w:t xml:space="preserve">（8）结合运维工作实际，积极探索视频监控AI应用场景研究。</w:t>
      </w:r>
      <w:r/>
    </w:p>
    <w:p>
      <w:pPr>
        <w:rPr>
          <w:rFonts w:hint="eastAsia" w:ascii="宋体" w:hAnsi="宋体" w:eastAsia="宋体" w:cs="宋体"/>
          <w:sz w:val="24"/>
          <w:szCs w:val="24"/>
          <w:highlight w:val="none"/>
          <w:lang w:val="en-US" w:eastAsia="zh-CN"/>
        </w:rPr>
      </w:pPr>
      <w:r>
        <w:rPr>
          <w:rFonts w:hint="eastAsia"/>
          <w:highlight w:val="none"/>
          <w:lang w:val="en-US" w:eastAsia="zh-CN"/>
        </w:rPr>
        <w:t xml:space="preserve">    </w:t>
      </w:r>
      <w:r>
        <w:rPr>
          <w:rFonts w:hint="eastAsia" w:ascii="宋体" w:hAnsi="宋体" w:eastAsia="宋体" w:cs="宋体"/>
          <w:sz w:val="24"/>
          <w:szCs w:val="24"/>
          <w:highlight w:val="none"/>
          <w:lang w:val="en-US" w:eastAsia="zh-CN"/>
        </w:rPr>
        <w:t xml:space="preserve">（9）对现有设备位置信息进行系统性梳理与校准，统一提供基于国家大地坐标系（CGCS2000）的精确坐标数据，并同步转换为高德地图等主流互联网地图平台所采用的坐标系（如GCJ-02）下的位置信息，确保设备定位数据在专业测绘与大众应用等多场景下的准确性与兼容性。</w:t>
      </w:r>
      <w:r/>
    </w:p>
    <w:p>
      <w:pPr>
        <w:ind w:left="0" w:firstLine="48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）《设备维护清单》及维护需求：</w:t>
      </w:r>
      <w:r/>
    </w:p>
    <w:tbl>
      <w:tblPr>
        <w:tblStyle w:val="847"/>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64"/>
        <w:gridCol w:w="1667"/>
        <w:gridCol w:w="3799"/>
        <w:gridCol w:w="2286"/>
        <w:gridCol w:w="778"/>
        <w:gridCol w:w="778"/>
      </w:tblGrid>
      <w:tr>
        <w:trPr>
          <w:trHeight w:val="630"/>
          <w:tblHeader/>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ind w:left="0"/>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大项名称</w:t>
            </w:r>
            <w:r/>
          </w:p>
        </w:tc>
        <w:tc>
          <w:tcPr>
            <w:shd w:val="clear" w:color="auto" w:fill="auto"/>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ind w:left="0"/>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明细名称</w:t>
            </w:r>
            <w:r/>
          </w:p>
        </w:tc>
        <w:tc>
          <w:tcPr>
            <w:shd w:val="clear" w:color="auto" w:fill="auto"/>
            <w:tcBorders>
              <w:top w:val="single" w:color="000000" w:sz="4" w:space="0"/>
              <w:left w:val="single" w:color="000000" w:sz="4" w:space="0"/>
              <w:bottom w:val="single" w:color="000000" w:sz="4" w:space="0"/>
              <w:right w:val="single" w:color="000000" w:sz="4" w:space="0"/>
            </w:tcBorders>
            <w:tcW w:w="1885" w:type="pct"/>
            <w:vAlign w:val="center"/>
            <w:textDirection w:val="lrTb"/>
            <w:noWrap w:val="false"/>
          </w:tcPr>
          <w:p>
            <w:pPr>
              <w:ind w:left="0"/>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运维需求</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ind w:left="0"/>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设备品牌型号</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ind w:left="0"/>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ind w:left="0"/>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r>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vMerge w:val="restart"/>
            <w:textDirection w:val="lrTb"/>
            <w:noWrap w:val="false"/>
          </w:tcPr>
          <w:p>
            <w:pPr>
              <w:ind w:left="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视频设备运维</w:t>
            </w:r>
            <w:r/>
          </w:p>
        </w:tc>
        <w:tc>
          <w:tcPr>
            <w:shd w:val="clear" w:color="auto" w:fill="auto"/>
            <w:tcBorders>
              <w:top w:val="single" w:color="000000" w:sz="4" w:space="0"/>
              <w:left w:val="single" w:color="000000" w:sz="4" w:space="0"/>
              <w:bottom w:val="single" w:color="000000" w:sz="4" w:space="0"/>
              <w:right w:val="single" w:color="000000" w:sz="4" w:space="0"/>
            </w:tcBorders>
            <w:tcW w:w="827"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200万超星光筒机</w:t>
            </w:r>
            <w:r/>
          </w:p>
        </w:tc>
        <w:tc>
          <w:tcPr>
            <w:shd w:val="clear" w:color="auto" w:fill="auto"/>
            <w:tcBorders>
              <w:top w:val="single" w:color="000000" w:sz="4" w:space="0"/>
              <w:left w:val="single" w:color="000000" w:sz="4" w:space="0"/>
              <w:bottom w:val="single" w:color="000000" w:sz="4" w:space="0"/>
              <w:right w:val="single" w:color="000000" w:sz="4" w:space="0"/>
            </w:tcBorders>
            <w:tcW w:w="1885" w:type="pct"/>
            <w:vAlign w:val="center"/>
            <w:vMerge w:val="restart"/>
            <w:textDirection w:val="lrTb"/>
            <w:noWrap w:val="false"/>
          </w:tcPr>
          <w:p>
            <w:pPr>
              <w:numPr>
                <w:ilvl w:val="0"/>
                <w:numId w:val="5"/>
              </w:numPr>
              <w:ind w:left="0"/>
              <w:jc w:val="left"/>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每日在视频监控平台查看设备在线和画面情况，并做好记录；</w:t>
            </w:r>
            <w:r>
              <w:rPr>
                <w:rFonts w:hint="eastAsia" w:ascii="宋体" w:hAnsi="宋体" w:eastAsia="宋体" w:cs="宋体"/>
                <w:b w:val="0"/>
                <w:bCs w:val="0"/>
                <w:i w:val="0"/>
                <w:iCs w:val="0"/>
                <w:color w:val="000000"/>
                <w:sz w:val="24"/>
                <w:szCs w:val="24"/>
                <w:u w:val="none"/>
                <w:lang w:val="en-US" w:eastAsia="zh-CN" w:bidi="ar"/>
              </w:rPr>
              <w:br/>
            </w:r>
            <w:r>
              <w:rPr>
                <w:rFonts w:hint="eastAsia" w:ascii="宋体" w:hAnsi="宋体" w:eastAsia="宋体" w:cs="宋体"/>
                <w:b w:val="0"/>
                <w:bCs w:val="0"/>
                <w:i w:val="0"/>
                <w:iCs w:val="0"/>
                <w:color w:val="000000"/>
                <w:sz w:val="24"/>
                <w:szCs w:val="24"/>
                <w:u w:val="none"/>
                <w:lang w:val="en-US" w:eastAsia="zh-CN" w:bidi="ar"/>
              </w:rPr>
              <w:t xml:space="preserve">2.每月现场巡检维护，重点检查立杆稳定、控制柜门开闭、供电、网络、联系人标识等；</w:t>
            </w:r>
            <w:r>
              <w:rPr>
                <w:rFonts w:hint="eastAsia" w:ascii="宋体" w:hAnsi="宋体" w:eastAsia="宋体" w:cs="宋体"/>
                <w:b w:val="0"/>
                <w:bCs w:val="0"/>
                <w:i w:val="0"/>
                <w:iCs w:val="0"/>
                <w:color w:val="000000"/>
                <w:sz w:val="24"/>
                <w:szCs w:val="24"/>
                <w:u w:val="none"/>
                <w:lang w:val="en-US" w:eastAsia="zh-CN" w:bidi="ar"/>
              </w:rPr>
              <w:br/>
            </w:r>
            <w:r>
              <w:rPr>
                <w:rFonts w:hint="eastAsia" w:ascii="宋体" w:hAnsi="宋体" w:eastAsia="宋体" w:cs="宋体"/>
                <w:b w:val="0"/>
                <w:bCs w:val="0"/>
                <w:i w:val="0"/>
                <w:iCs w:val="0"/>
                <w:color w:val="000000"/>
                <w:sz w:val="24"/>
                <w:szCs w:val="24"/>
                <w:u w:val="none"/>
                <w:lang w:val="en-US" w:eastAsia="zh-CN" w:bidi="ar"/>
              </w:rPr>
              <w:t xml:space="preserve">3.及时处理设备故障、画面遮挡（如修剪遮挡树枝、调整监控角度等）问题，确保1小时内响应，12小时内完成处置；</w:t>
            </w:r>
            <w:r>
              <w:rPr>
                <w:rFonts w:hint="eastAsia" w:ascii="宋体" w:hAnsi="宋体" w:eastAsia="宋体" w:cs="宋体"/>
                <w:b w:val="0"/>
                <w:bCs w:val="0"/>
                <w:i w:val="0"/>
                <w:iCs w:val="0"/>
                <w:color w:val="000000"/>
                <w:sz w:val="24"/>
                <w:szCs w:val="24"/>
                <w:u w:val="none"/>
                <w:lang w:val="en-US" w:eastAsia="zh-CN" w:bidi="ar"/>
              </w:rPr>
              <w:br/>
            </w:r>
            <w:r>
              <w:rPr>
                <w:rFonts w:hint="eastAsia" w:ascii="宋体" w:hAnsi="宋体" w:eastAsia="宋体" w:cs="宋体"/>
                <w:b w:val="0"/>
                <w:bCs w:val="0"/>
                <w:i w:val="0"/>
                <w:iCs w:val="0"/>
                <w:color w:val="000000"/>
                <w:sz w:val="24"/>
                <w:szCs w:val="24"/>
                <w:u w:val="none"/>
                <w:lang w:val="en-US" w:eastAsia="zh-CN" w:bidi="ar"/>
              </w:rPr>
              <w:t xml:space="preserve">4.配合有关部门查询监控；</w:t>
            </w:r>
            <w:r>
              <w:rPr>
                <w:rFonts w:hint="eastAsia" w:ascii="宋体" w:hAnsi="宋体" w:eastAsia="宋体" w:cs="宋体"/>
                <w:b w:val="0"/>
                <w:bCs w:val="0"/>
                <w:i w:val="0"/>
                <w:iCs w:val="0"/>
                <w:color w:val="000000"/>
                <w:sz w:val="24"/>
                <w:szCs w:val="24"/>
                <w:u w:val="none"/>
                <w:lang w:val="en-US" w:eastAsia="zh-CN" w:bidi="ar"/>
              </w:rPr>
              <w:br/>
            </w:r>
            <w:r>
              <w:rPr>
                <w:rFonts w:hint="eastAsia" w:ascii="宋体" w:hAnsi="宋体" w:eastAsia="宋体" w:cs="宋体"/>
                <w:b w:val="0"/>
                <w:bCs w:val="0"/>
                <w:i w:val="0"/>
                <w:iCs w:val="0"/>
                <w:color w:val="000000"/>
                <w:sz w:val="24"/>
                <w:szCs w:val="24"/>
                <w:u w:val="none"/>
                <w:lang w:val="en-US" w:eastAsia="zh-CN" w:bidi="ar"/>
              </w:rPr>
              <w:t xml:space="preserve">5.提供设备正常运行所需的配件（详见配件清单），保障供电、网络传输正常；</w:t>
            </w:r>
            <w:r>
              <w:rPr>
                <w:rFonts w:hint="eastAsia" w:ascii="宋体" w:hAnsi="宋体" w:eastAsia="宋体" w:cs="宋体"/>
                <w:b w:val="0"/>
                <w:bCs w:val="0"/>
                <w:i w:val="0"/>
                <w:iCs w:val="0"/>
                <w:color w:val="000000"/>
                <w:sz w:val="24"/>
                <w:szCs w:val="24"/>
                <w:u w:val="none"/>
                <w:lang w:val="en-US" w:eastAsia="zh-CN" w:bidi="ar"/>
              </w:rPr>
              <w:br/>
            </w:r>
            <w:r>
              <w:rPr>
                <w:rFonts w:hint="eastAsia" w:ascii="宋体" w:hAnsi="宋体" w:eastAsia="宋体" w:cs="宋体"/>
                <w:b w:val="0"/>
                <w:bCs w:val="0"/>
                <w:i w:val="0"/>
                <w:iCs w:val="0"/>
                <w:color w:val="000000"/>
                <w:sz w:val="24"/>
                <w:szCs w:val="24"/>
                <w:u w:val="none"/>
                <w:lang w:val="en-US" w:eastAsia="zh-CN" w:bidi="ar"/>
              </w:rPr>
              <w:t xml:space="preserve">6.保持杆体、设备及控制柜清</w:t>
            </w:r>
            <w:r>
              <w:rPr>
                <w:rFonts w:hint="eastAsia" w:ascii="宋体" w:hAnsi="宋体" w:eastAsia="宋体" w:cs="宋体"/>
                <w:b w:val="0"/>
                <w:bCs w:val="0"/>
                <w:i w:val="0"/>
                <w:iCs w:val="0"/>
                <w:color w:val="000000"/>
                <w:sz w:val="24"/>
                <w:szCs w:val="24"/>
                <w:highlight w:val="none"/>
                <w:u w:val="none"/>
                <w:lang w:val="en-US" w:eastAsia="zh-CN" w:bidi="ar"/>
              </w:rPr>
              <w:t xml:space="preserve">洁，确保密闭良好并配备锁具；</w:t>
            </w:r>
            <w:r>
              <w:rPr>
                <w:rFonts w:hint="eastAsia" w:ascii="宋体" w:hAnsi="宋体" w:eastAsia="宋体" w:cs="宋体"/>
                <w:b w:val="0"/>
                <w:bCs w:val="0"/>
                <w:i w:val="0"/>
                <w:iCs w:val="0"/>
                <w:color w:val="000000"/>
                <w:sz w:val="24"/>
                <w:szCs w:val="24"/>
                <w:highlight w:val="none"/>
                <w:u w:val="none"/>
                <w:lang w:val="en-US" w:eastAsia="zh-CN" w:bidi="ar"/>
              </w:rPr>
              <w:br/>
            </w:r>
            <w:r>
              <w:rPr>
                <w:rFonts w:hint="eastAsia" w:ascii="宋体" w:hAnsi="宋体" w:eastAsia="宋体" w:cs="宋体"/>
                <w:b w:val="0"/>
                <w:bCs w:val="0"/>
                <w:i w:val="0"/>
                <w:iCs w:val="0"/>
                <w:color w:val="000000"/>
                <w:sz w:val="24"/>
                <w:szCs w:val="24"/>
                <w:highlight w:val="none"/>
                <w:u w:val="none"/>
                <w:lang w:val="en-US" w:eastAsia="zh-CN" w:bidi="ar"/>
              </w:rPr>
              <w:t xml:space="preserve">7.保障设备月平均在线率95%以上8.在系统升级、重大节假日、防汛抗汛</w:t>
            </w:r>
            <w:r>
              <w:rPr>
                <w:rFonts w:hint="eastAsia" w:ascii="宋体" w:hAnsi="宋体" w:eastAsia="宋体" w:cs="宋体"/>
                <w:b w:val="0"/>
                <w:bCs w:val="0"/>
                <w:i w:val="0"/>
                <w:iCs w:val="0"/>
                <w:color w:val="000000"/>
                <w:sz w:val="24"/>
                <w:szCs w:val="24"/>
                <w:u w:val="none"/>
                <w:lang w:val="en-US" w:eastAsia="zh-CN" w:bidi="ar"/>
              </w:rPr>
              <w:t xml:space="preserve">期间，根据甲方要求，安排人员值班值守；</w:t>
            </w:r>
            <w:r/>
          </w:p>
          <w:p>
            <w:pPr>
              <w:numPr>
                <w:ilvl w:val="0"/>
                <w:numId w:val="0"/>
              </w:numPr>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9.根据甲方工作需要，免费提供迁移服务，将设备迁移至指定地点；</w:t>
            </w:r>
            <w:r>
              <w:rPr>
                <w:rFonts w:hint="eastAsia" w:ascii="宋体" w:hAnsi="宋体" w:eastAsia="宋体" w:cs="宋体"/>
                <w:b w:val="0"/>
                <w:bCs w:val="0"/>
                <w:i w:val="0"/>
                <w:iCs w:val="0"/>
                <w:color w:val="000000"/>
                <w:sz w:val="24"/>
                <w:szCs w:val="24"/>
                <w:u w:val="none"/>
                <w:lang w:val="en-US" w:eastAsia="zh-CN" w:bidi="ar"/>
              </w:rPr>
              <w:br/>
            </w:r>
            <w:r>
              <w:rPr>
                <w:rFonts w:hint="eastAsia" w:ascii="宋体" w:hAnsi="宋体" w:eastAsia="宋体" w:cs="宋体"/>
                <w:b w:val="0"/>
                <w:bCs w:val="0"/>
                <w:i w:val="0"/>
                <w:iCs w:val="0"/>
                <w:color w:val="000000"/>
                <w:sz w:val="24"/>
                <w:szCs w:val="24"/>
                <w:u w:val="none"/>
                <w:lang w:val="en-US" w:eastAsia="zh-CN" w:bidi="ar"/>
              </w:rPr>
              <w:t xml:space="preserve">10.出具年度视频监控运维分析报告（设备状态评估、点位设置优化建议等）。具体运维要求详见《设备运维管理要求-标段一》（试行）；</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华为M2220-I(8-32mm</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Style w:val="1084"/>
                <w:b w:val="0"/>
                <w:bCs w:val="0"/>
                <w:lang w:val="en-US" w:eastAsia="zh-CN" w:bidi="ar"/>
              </w:rPr>
              <w:t xml:space="preserve">台</w:t>
            </w:r>
            <w:r/>
          </w:p>
        </w:tc>
      </w:tr>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7"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200万超星光球机</w:t>
            </w:r>
            <w:r/>
          </w:p>
        </w:tc>
        <w:tc>
          <w:tcPr>
            <w:shd w:val="clear" w:color="auto" w:fill="auto"/>
            <w:tcBorders>
              <w:top w:val="single" w:color="000000" w:sz="4" w:space="0"/>
              <w:left w:val="single" w:color="000000" w:sz="4" w:space="0"/>
              <w:bottom w:val="single" w:color="000000" w:sz="4" w:space="0"/>
              <w:right w:val="single" w:color="000000" w:sz="4" w:space="0"/>
            </w:tcBorders>
            <w:tcW w:w="1885" w:type="pct"/>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华为JnFbZ23</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Style w:val="1084"/>
                <w:b w:val="0"/>
                <w:bCs w:val="0"/>
                <w:lang w:val="en-US" w:eastAsia="zh-CN" w:bidi="ar"/>
              </w:rPr>
              <w:t xml:space="preserve">台</w:t>
            </w:r>
            <w:r/>
          </w:p>
        </w:tc>
      </w:tr>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7"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8路高清解码器</w:t>
            </w:r>
            <w:r/>
          </w:p>
        </w:tc>
        <w:tc>
          <w:tcPr>
            <w:shd w:val="clear" w:color="auto" w:fill="auto"/>
            <w:tcBorders>
              <w:top w:val="single" w:color="000000" w:sz="4" w:space="0"/>
              <w:left w:val="single" w:color="000000" w:sz="4" w:space="0"/>
              <w:bottom w:val="single" w:color="000000" w:sz="4" w:space="0"/>
              <w:right w:val="single" w:color="000000" w:sz="4" w:space="0"/>
            </w:tcBorders>
            <w:tcW w:w="1885" w:type="pct"/>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华为Dec-08</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Style w:val="1084"/>
                <w:b w:val="0"/>
                <w:bCs w:val="0"/>
                <w:lang w:val="en-US" w:eastAsia="zh-CN" w:bidi="ar"/>
              </w:rPr>
              <w:t xml:space="preserve">台</w:t>
            </w:r>
            <w:r/>
          </w:p>
        </w:tc>
      </w:tr>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7"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智能水位监测仪</w:t>
            </w:r>
            <w:r/>
          </w:p>
        </w:tc>
        <w:tc>
          <w:tcPr>
            <w:shd w:val="clear" w:color="auto" w:fill="auto"/>
            <w:tcBorders>
              <w:top w:val="single" w:color="000000" w:sz="4" w:space="0"/>
              <w:left w:val="single" w:color="000000" w:sz="4" w:space="0"/>
              <w:bottom w:val="single" w:color="000000" w:sz="4" w:space="0"/>
              <w:right w:val="single" w:color="000000" w:sz="4" w:space="0"/>
            </w:tcBorders>
            <w:tcW w:w="1885" w:type="pct"/>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华为M6721-InFbZ23</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Style w:val="1084"/>
                <w:b w:val="0"/>
                <w:bCs w:val="0"/>
                <w:lang w:val="en-US" w:eastAsia="zh-CN" w:bidi="ar"/>
              </w:rPr>
              <w:t xml:space="preserve">台</w:t>
            </w:r>
            <w:r/>
          </w:p>
        </w:tc>
      </w:tr>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7"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AR全景摄像机</w:t>
            </w:r>
            <w:r/>
          </w:p>
        </w:tc>
        <w:tc>
          <w:tcPr>
            <w:shd w:val="clear" w:color="auto" w:fill="auto"/>
            <w:tcBorders>
              <w:top w:val="single" w:color="000000" w:sz="4" w:space="0"/>
              <w:left w:val="single" w:color="000000" w:sz="4" w:space="0"/>
              <w:bottom w:val="single" w:color="000000" w:sz="4" w:space="0"/>
              <w:right w:val="single" w:color="000000" w:sz="4" w:space="0"/>
            </w:tcBorders>
            <w:tcW w:w="1885" w:type="pct"/>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佳图JT-C200</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Style w:val="1084"/>
                <w:b w:val="0"/>
                <w:bCs w:val="0"/>
                <w:lang w:val="en-US" w:eastAsia="zh-CN" w:bidi="ar"/>
              </w:rPr>
              <w:t xml:space="preserve">台</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7"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AR场景平台</w:t>
            </w:r>
            <w:r/>
          </w:p>
        </w:tc>
        <w:tc>
          <w:tcPr>
            <w:shd w:val="clear" w:color="auto" w:fill="auto"/>
            <w:tcBorders>
              <w:top w:val="single" w:color="000000" w:sz="4" w:space="0"/>
              <w:left w:val="single" w:color="000000" w:sz="4" w:space="0"/>
              <w:bottom w:val="single" w:color="000000" w:sz="4" w:space="0"/>
              <w:right w:val="single" w:color="000000" w:sz="4" w:space="0"/>
            </w:tcBorders>
            <w:tcW w:w="1885" w:type="pct"/>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佳图JT-S10C</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Style w:val="1084"/>
                <w:b w:val="0"/>
                <w:bCs w:val="0"/>
                <w:lang w:val="en-US" w:eastAsia="zh-CN" w:bidi="ar"/>
              </w:rPr>
              <w:t xml:space="preserve">台</w:t>
            </w:r>
            <w:r/>
          </w:p>
        </w:tc>
      </w:tr>
      <w:tr>
        <w:trPr>
          <w:trHeight w:val="945"/>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7"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AR图像处理设备</w:t>
            </w:r>
            <w:r/>
          </w:p>
        </w:tc>
        <w:tc>
          <w:tcPr>
            <w:shd w:val="clear" w:color="auto" w:fill="auto"/>
            <w:tcBorders>
              <w:top w:val="single" w:color="000000" w:sz="4" w:space="0"/>
              <w:left w:val="single" w:color="000000" w:sz="4" w:space="0"/>
              <w:bottom w:val="single" w:color="000000" w:sz="4" w:space="0"/>
              <w:right w:val="single" w:color="000000" w:sz="4" w:space="0"/>
            </w:tcBorders>
            <w:tcW w:w="1885" w:type="pct"/>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佳图JTC10C</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Style w:val="1084"/>
                <w:b w:val="0"/>
                <w:bCs w:val="0"/>
                <w:lang w:val="en-US" w:eastAsia="zh-CN" w:bidi="ar"/>
              </w:rPr>
              <w:t xml:space="preserve">台</w:t>
            </w:r>
            <w:r/>
          </w:p>
        </w:tc>
      </w:tr>
      <w:tr>
        <w:trPr>
          <w:trHeight w:val="818"/>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7"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200</w:t>
            </w:r>
            <w:r>
              <w:rPr>
                <w:rStyle w:val="1079"/>
                <w:b w:val="0"/>
                <w:bCs w:val="0"/>
                <w:lang w:val="en-US" w:eastAsia="zh-CN" w:bidi="ar"/>
              </w:rPr>
              <w:t xml:space="preserve">万像素</w:t>
            </w:r>
            <w:r>
              <w:rPr>
                <w:rStyle w:val="1073"/>
                <w:rFonts w:eastAsia="宋体"/>
                <w:b w:val="0"/>
                <w:bCs w:val="0"/>
                <w:lang w:val="en-US" w:eastAsia="zh-CN" w:bidi="ar"/>
              </w:rPr>
              <w:t xml:space="preserve">30</w:t>
            </w:r>
            <w:r>
              <w:rPr>
                <w:rStyle w:val="1079"/>
                <w:b w:val="0"/>
                <w:bCs w:val="0"/>
                <w:lang w:val="en-US" w:eastAsia="zh-CN" w:bidi="ar"/>
              </w:rPr>
              <w:t xml:space="preserve">倍星光智能网络高速球</w:t>
            </w:r>
            <w:r/>
          </w:p>
        </w:tc>
        <w:tc>
          <w:tcPr>
            <w:shd w:val="clear" w:color="auto" w:fill="auto"/>
            <w:tcBorders>
              <w:top w:val="single" w:color="000000" w:sz="4" w:space="0"/>
              <w:left w:val="single" w:color="000000" w:sz="4" w:space="0"/>
              <w:bottom w:val="single" w:color="000000" w:sz="4" w:space="0"/>
              <w:right w:val="single" w:color="000000" w:sz="4" w:space="0"/>
            </w:tcBorders>
            <w:tcW w:w="1885" w:type="pct"/>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华为6721-Z31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Style w:val="1084"/>
                <w:b w:val="0"/>
                <w:bCs w:val="0"/>
                <w:lang w:val="en-US" w:eastAsia="zh-CN" w:bidi="ar"/>
              </w:rPr>
              <w:t xml:space="preserve">台</w:t>
            </w:r>
            <w:r/>
          </w:p>
        </w:tc>
      </w:tr>
      <w:tr>
        <w:trPr>
          <w:trHeight w:val="1088"/>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7"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200</w:t>
            </w:r>
            <w:r>
              <w:rPr>
                <w:rStyle w:val="1079"/>
                <w:b w:val="0"/>
                <w:bCs w:val="0"/>
                <w:lang w:val="en-US" w:eastAsia="zh-CN" w:bidi="ar"/>
              </w:rPr>
              <w:t xml:space="preserve">万像素红外电动变焦网络一体化枪型摄像机</w:t>
            </w:r>
            <w:r/>
          </w:p>
        </w:tc>
        <w:tc>
          <w:tcPr>
            <w:shd w:val="clear" w:color="auto" w:fill="auto"/>
            <w:tcBorders>
              <w:top w:val="single" w:color="000000" w:sz="4" w:space="0"/>
              <w:left w:val="single" w:color="000000" w:sz="4" w:space="0"/>
              <w:bottom w:val="single" w:color="000000" w:sz="4" w:space="0"/>
              <w:right w:val="single" w:color="000000" w:sz="4" w:space="0"/>
            </w:tcBorders>
            <w:tcW w:w="1885" w:type="pct"/>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华为IPC6225-VRZ</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Style w:val="1084"/>
                <w:b w:val="0"/>
                <w:bCs w:val="0"/>
                <w:lang w:val="en-US" w:eastAsia="zh-CN" w:bidi="ar"/>
              </w:rPr>
              <w:t xml:space="preserve">台</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7"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Style w:val="1079"/>
                <w:b w:val="0"/>
                <w:bCs w:val="0"/>
                <w:lang w:val="en-US" w:eastAsia="zh-CN" w:bidi="ar"/>
              </w:rPr>
              <w:t xml:space="preserve">防汛仓库摄像机</w:t>
            </w:r>
            <w:r/>
          </w:p>
        </w:tc>
        <w:tc>
          <w:tcPr>
            <w:shd w:val="clear" w:color="auto" w:fill="auto"/>
            <w:tcBorders>
              <w:top w:val="single" w:color="000000" w:sz="4" w:space="0"/>
              <w:left w:val="single" w:color="000000" w:sz="4" w:space="0"/>
              <w:bottom w:val="single" w:color="000000" w:sz="4" w:space="0"/>
              <w:right w:val="single" w:color="000000" w:sz="4" w:space="0"/>
            </w:tcBorders>
            <w:tcW w:w="1885" w:type="pct"/>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海康</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Style w:val="1084"/>
                <w:b w:val="0"/>
                <w:bCs w:val="0"/>
                <w:lang w:val="en-US" w:eastAsia="zh-CN" w:bidi="ar"/>
              </w:rPr>
              <w:t xml:space="preserve">台</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7"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Style w:val="1079"/>
                <w:b w:val="0"/>
                <w:bCs w:val="0"/>
                <w:lang w:val="en-US" w:eastAsia="zh-CN" w:bidi="ar"/>
              </w:rPr>
              <w:t xml:space="preserve">蓝藻监测摄像机</w:t>
            </w:r>
            <w:r/>
          </w:p>
        </w:tc>
        <w:tc>
          <w:tcPr>
            <w:shd w:val="clear" w:color="auto" w:fill="auto"/>
            <w:tcBorders>
              <w:top w:val="single" w:color="000000" w:sz="4" w:space="0"/>
              <w:left w:val="single" w:color="000000" w:sz="4" w:space="0"/>
              <w:bottom w:val="single" w:color="000000" w:sz="4" w:space="0"/>
              <w:right w:val="single" w:color="000000" w:sz="4" w:space="0"/>
            </w:tcBorders>
            <w:tcW w:w="1885" w:type="pct"/>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紫光华智</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Style w:val="1084"/>
                <w:b w:val="0"/>
                <w:bCs w:val="0"/>
                <w:lang w:val="en-US" w:eastAsia="zh-CN" w:bidi="ar"/>
              </w:rPr>
              <w:t xml:space="preserve">台</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7"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Style w:val="1079"/>
                <w:b w:val="0"/>
                <w:bCs w:val="0"/>
                <w:lang w:val="en-US" w:eastAsia="zh-CN" w:bidi="ar"/>
              </w:rPr>
              <w:t xml:space="preserve">工业汇聚交换机</w:t>
            </w:r>
            <w:r/>
          </w:p>
        </w:tc>
        <w:tc>
          <w:tcPr>
            <w:shd w:val="clear" w:color="auto" w:fill="auto"/>
            <w:tcBorders>
              <w:top w:val="single" w:color="000000" w:sz="4" w:space="0"/>
              <w:left w:val="single" w:color="000000" w:sz="4" w:space="0"/>
              <w:bottom w:val="single" w:color="000000" w:sz="4" w:space="0"/>
              <w:right w:val="single" w:color="000000" w:sz="4" w:space="0"/>
            </w:tcBorders>
            <w:tcW w:w="1885" w:type="pct"/>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Style w:val="1084"/>
                <w:b w:val="0"/>
                <w:bCs w:val="0"/>
                <w:lang w:val="en-US" w:eastAsia="zh-CN" w:bidi="ar"/>
              </w:rPr>
              <w:t xml:space="preserve">万网博通、</w:t>
            </w:r>
            <w:r>
              <w:rPr>
                <w:rStyle w:val="1130"/>
                <w:rFonts w:hint="eastAsia" w:ascii="宋体" w:hAnsi="宋体" w:eastAsia="宋体" w:cs="宋体"/>
                <w:b w:val="0"/>
                <w:bCs w:val="0"/>
                <w:lang w:val="en-US" w:eastAsia="zh-CN" w:bidi="ar"/>
              </w:rPr>
              <w:t xml:space="preserve">S5300-32F-4TF</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Style w:val="1084"/>
                <w:b w:val="0"/>
                <w:bCs w:val="0"/>
                <w:lang w:val="en-US" w:eastAsia="zh-CN" w:bidi="ar"/>
              </w:rPr>
              <w:t xml:space="preserve">台</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7"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Style w:val="1079"/>
                <w:b w:val="0"/>
                <w:bCs w:val="0"/>
                <w:lang w:val="en-US" w:eastAsia="zh-CN" w:bidi="ar"/>
              </w:rPr>
              <w:t xml:space="preserve">室外接入交换机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1885" w:type="pct"/>
            <w:vAlign w:val="center"/>
            <w:vMerge w:val="continue"/>
            <w:textDirection w:val="lrTb"/>
            <w:noWrap w:val="false"/>
          </w:tcPr>
          <w:p>
            <w:pPr>
              <w:jc w:val="left"/>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 </w:t>
            </w:r>
            <w:r>
              <w:rPr>
                <w:rStyle w:val="1084"/>
                <w:b w:val="0"/>
                <w:bCs w:val="0"/>
                <w:lang w:val="en-US" w:eastAsia="zh-CN" w:bidi="ar"/>
              </w:rPr>
              <w:t xml:space="preserve">万网博通、</w:t>
            </w:r>
            <w:r>
              <w:rPr>
                <w:rStyle w:val="1130"/>
                <w:rFonts w:hint="eastAsia" w:ascii="宋体" w:hAnsi="宋体" w:eastAsia="宋体" w:cs="宋体"/>
                <w:b w:val="0"/>
                <w:bCs w:val="0"/>
                <w:lang w:val="en-US" w:eastAsia="zh-CN" w:bidi="ar"/>
              </w:rPr>
              <w:t xml:space="preserve">P2028M-24POE-450W</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Style w:val="1084"/>
                <w:b w:val="0"/>
                <w:bCs w:val="0"/>
                <w:lang w:val="en-US" w:eastAsia="zh-CN" w:bidi="ar"/>
              </w:rPr>
              <w:t xml:space="preserve">台</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7" w:type="pct"/>
            <w:vAlign w:val="center"/>
            <w:textDirection w:val="lrTb"/>
            <w:noWrap w:val="false"/>
          </w:tcPr>
          <w:p>
            <w:pPr>
              <w:ind w:left="0"/>
              <w:jc w:val="center"/>
              <w:keepLines w:val="0"/>
              <w:keepNext w:val="0"/>
              <w:widowControl/>
              <w:rPr>
                <w:rFonts w:hint="eastAsia" w:ascii="宋体" w:hAnsi="宋体" w:eastAsia="宋体" w:cs="宋体"/>
                <w:b w:val="0"/>
                <w:bCs/>
                <w:i w:val="0"/>
                <w:iCs w:val="0"/>
                <w:color w:val="000000"/>
                <w:sz w:val="24"/>
                <w:szCs w:val="24"/>
                <w:u w:val="none"/>
              </w:rPr>
              <w:suppressLineNumbers w:val="0"/>
            </w:pPr>
            <w:r>
              <w:rPr>
                <w:rStyle w:val="1079"/>
                <w:b w:val="0"/>
                <w:bCs/>
                <w:lang w:val="en-US" w:eastAsia="zh-CN" w:bidi="ar"/>
              </w:rPr>
              <w:t xml:space="preserve">防火墙</w:t>
            </w:r>
            <w:r/>
          </w:p>
        </w:tc>
        <w:tc>
          <w:tcPr>
            <w:shd w:val="clear" w:color="auto" w:fill="auto"/>
            <w:tcBorders>
              <w:top w:val="single" w:color="000000" w:sz="4" w:space="0"/>
              <w:left w:val="single" w:color="000000" w:sz="4" w:space="0"/>
              <w:bottom w:val="single" w:color="000000" w:sz="4" w:space="0"/>
              <w:right w:val="single" w:color="000000" w:sz="4" w:space="0"/>
            </w:tcBorders>
            <w:tcW w:w="1885" w:type="pct"/>
            <w:vAlign w:val="center"/>
            <w:vMerge w:val="continue"/>
            <w:textDirection w:val="lrTb"/>
            <w:noWrap w:val="false"/>
          </w:tcPr>
          <w:p>
            <w:pPr>
              <w:jc w:val="left"/>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val="false"/>
          </w:tcPr>
          <w:p>
            <w:pPr>
              <w:ind w:left="0"/>
              <w:jc w:val="center"/>
              <w:keepLines w:val="0"/>
              <w:keepNext w:val="0"/>
              <w:widowControl/>
              <w:rPr>
                <w:rFonts w:hint="eastAsia" w:ascii="宋体" w:hAnsi="宋体" w:eastAsia="宋体" w:cs="宋体"/>
                <w:b w:val="0"/>
                <w:bCs/>
                <w:i w:val="0"/>
                <w:iCs w:val="0"/>
                <w:color w:val="000000"/>
                <w:sz w:val="24"/>
                <w:szCs w:val="24"/>
                <w:u w:val="none"/>
              </w:rPr>
              <w:suppressLineNumbers w:val="0"/>
            </w:pPr>
            <w:r>
              <w:rPr>
                <w:rStyle w:val="1084"/>
                <w:b w:val="0"/>
                <w:bCs/>
                <w:lang w:val="en-US" w:eastAsia="zh-CN" w:bidi="ar"/>
              </w:rPr>
              <w:t xml:space="preserve">华为、</w:t>
            </w:r>
            <w:r>
              <w:rPr>
                <w:rStyle w:val="1130"/>
                <w:rFonts w:hint="eastAsia" w:ascii="宋体" w:hAnsi="宋体" w:eastAsia="宋体" w:cs="宋体"/>
                <w:b w:val="0"/>
                <w:bCs/>
                <w:lang w:val="en-US" w:eastAsia="zh-CN" w:bidi="ar"/>
              </w:rPr>
              <w:t xml:space="preserve">USG6530</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ind w:left="0"/>
              <w:jc w:val="center"/>
              <w:keepLines w:val="0"/>
              <w:keepNext w:val="0"/>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ind w:left="0"/>
              <w:jc w:val="center"/>
              <w:keepLines w:val="0"/>
              <w:keepNext w:val="0"/>
              <w:widowControl/>
              <w:rPr>
                <w:rFonts w:hint="eastAsia" w:ascii="宋体" w:hAnsi="宋体" w:eastAsia="宋体" w:cs="宋体"/>
                <w:b w:val="0"/>
                <w:bCs/>
                <w:i w:val="0"/>
                <w:iCs w:val="0"/>
                <w:color w:val="000000"/>
                <w:sz w:val="24"/>
                <w:szCs w:val="24"/>
                <w:u w:val="none"/>
              </w:rPr>
              <w:suppressLineNumbers w:val="0"/>
            </w:pPr>
            <w:r>
              <w:rPr>
                <w:rStyle w:val="1084"/>
                <w:b w:val="0"/>
                <w:bCs/>
                <w:lang w:val="en-US" w:eastAsia="zh-CN" w:bidi="ar"/>
              </w:rPr>
              <w:t xml:space="preserve">台</w:t>
            </w:r>
            <w:r/>
          </w:p>
        </w:tc>
      </w:tr>
      <w:tr>
        <w:trPr>
          <w:trHeight w:val="945"/>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vMerge w:val="restart"/>
            <w:textDirection w:val="lrTb"/>
            <w:noWrap w:val="false"/>
          </w:tcPr>
          <w:p>
            <w:pPr>
              <w:ind w:left="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窨井设备运维</w:t>
            </w:r>
            <w:r/>
          </w:p>
        </w:tc>
        <w:tc>
          <w:tcPr>
            <w:shd w:val="clear" w:color="auto" w:fill="auto"/>
            <w:tcBorders>
              <w:top w:val="single" w:color="000000" w:sz="4" w:space="0"/>
              <w:left w:val="single" w:color="000000" w:sz="4" w:space="0"/>
              <w:bottom w:val="single" w:color="000000" w:sz="4" w:space="0"/>
              <w:right w:val="single" w:color="000000" w:sz="4" w:space="0"/>
            </w:tcBorders>
            <w:tcW w:w="827" w:type="pct"/>
            <w:vAlign w:val="center"/>
            <w:textDirection w:val="lrTb"/>
            <w:noWrap w:val="false"/>
          </w:tcPr>
          <w:p>
            <w:pPr>
              <w:ind w:left="0"/>
              <w:jc w:val="center"/>
              <w:keepLines w:val="0"/>
              <w:keepNext w:val="0"/>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窨井水位监测终端</w:t>
            </w:r>
            <w:r/>
          </w:p>
        </w:tc>
        <w:tc>
          <w:tcPr>
            <w:shd w:val="clear" w:color="auto" w:fill="auto"/>
            <w:tcBorders>
              <w:top w:val="single" w:color="000000" w:sz="4" w:space="0"/>
              <w:left w:val="single" w:color="000000" w:sz="4" w:space="0"/>
              <w:bottom w:val="single" w:color="000000" w:sz="4" w:space="0"/>
              <w:right w:val="single" w:color="000000" w:sz="4" w:space="0"/>
            </w:tcBorders>
            <w:tcW w:w="1885" w:type="pct"/>
            <w:vAlign w:val="center"/>
            <w:vMerge w:val="restart"/>
            <w:textDirection w:val="lrTb"/>
            <w:noWrap w:val="false"/>
          </w:tcPr>
          <w:p>
            <w:pPr>
              <w:ind w:left="0"/>
              <w:jc w:val="left"/>
              <w:keepLines w:val="0"/>
              <w:keepNext w:val="0"/>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1.每日检查数据在线情况，查看数据和设备是否正常；</w:t>
            </w:r>
            <w:r>
              <w:rPr>
                <w:rFonts w:hint="eastAsia" w:ascii="宋体" w:hAnsi="宋体" w:eastAsia="宋体" w:cs="宋体"/>
                <w:b w:val="0"/>
                <w:bCs/>
                <w:i w:val="0"/>
                <w:iCs w:val="0"/>
                <w:color w:val="000000"/>
                <w:sz w:val="24"/>
                <w:szCs w:val="24"/>
                <w:u w:val="none"/>
                <w:lang w:val="en-US" w:eastAsia="zh-CN" w:bidi="ar"/>
              </w:rPr>
              <w:br/>
            </w:r>
            <w:r>
              <w:rPr>
                <w:rFonts w:hint="eastAsia" w:ascii="宋体" w:hAnsi="宋体" w:eastAsia="宋体" w:cs="宋体"/>
                <w:b w:val="0"/>
                <w:bCs/>
                <w:i w:val="0"/>
                <w:iCs w:val="0"/>
                <w:color w:val="000000"/>
                <w:sz w:val="24"/>
                <w:szCs w:val="24"/>
                <w:u w:val="none"/>
                <w:lang w:val="en-US" w:eastAsia="zh-CN" w:bidi="ar"/>
              </w:rPr>
              <w:t xml:space="preserve">2.每月开展1次现场巡查维护，检查设备状态和电池电量，并同步校准；</w:t>
            </w:r>
            <w:r>
              <w:rPr>
                <w:rFonts w:hint="eastAsia" w:ascii="宋体" w:hAnsi="宋体" w:eastAsia="宋体" w:cs="宋体"/>
                <w:b w:val="0"/>
                <w:bCs/>
                <w:i w:val="0"/>
                <w:iCs w:val="0"/>
                <w:color w:val="000000"/>
                <w:sz w:val="24"/>
                <w:szCs w:val="24"/>
                <w:u w:val="none"/>
                <w:lang w:val="en-US" w:eastAsia="zh-CN" w:bidi="ar"/>
              </w:rPr>
              <w:br/>
            </w:r>
            <w:r>
              <w:rPr>
                <w:rFonts w:hint="eastAsia" w:ascii="宋体" w:hAnsi="宋体" w:eastAsia="宋体" w:cs="宋体"/>
                <w:b w:val="0"/>
                <w:bCs/>
                <w:i w:val="0"/>
                <w:iCs w:val="0"/>
                <w:color w:val="000000"/>
                <w:sz w:val="24"/>
                <w:szCs w:val="24"/>
                <w:highlight w:val="none"/>
                <w:u w:val="none"/>
                <w:lang w:val="en-US" w:eastAsia="zh-CN" w:bidi="ar"/>
              </w:rPr>
              <w:t xml:space="preserve">3.保障设备月平均在线率95%以上；</w:t>
            </w:r>
            <w:r>
              <w:rPr>
                <w:rFonts w:hint="eastAsia" w:ascii="宋体" w:hAnsi="宋体" w:eastAsia="宋体" w:cs="宋体"/>
                <w:i w:val="0"/>
                <w:iCs w:val="0"/>
                <w:color w:val="000000"/>
                <w:sz w:val="24"/>
                <w:szCs w:val="24"/>
                <w:highlight w:val="none"/>
                <w:u w:val="none"/>
                <w:lang w:val="en-US" w:eastAsia="zh-CN" w:bidi="ar"/>
              </w:rPr>
              <w:t xml:space="preserve">（客观因素导致无法在线情况除外）</w:t>
            </w:r>
            <w:r>
              <w:rPr>
                <w:rFonts w:hint="eastAsia" w:ascii="宋体" w:hAnsi="宋体" w:eastAsia="宋体" w:cs="宋体"/>
                <w:b w:val="0"/>
                <w:bCs/>
                <w:i w:val="0"/>
                <w:iCs w:val="0"/>
                <w:color w:val="000000"/>
                <w:sz w:val="24"/>
                <w:szCs w:val="24"/>
                <w:highlight w:val="none"/>
                <w:u w:val="none"/>
                <w:lang w:val="en-US" w:eastAsia="zh-CN" w:bidi="ar"/>
              </w:rPr>
              <w:br/>
            </w:r>
            <w:r>
              <w:rPr>
                <w:rFonts w:hint="eastAsia" w:ascii="宋体" w:hAnsi="宋体" w:eastAsia="宋体" w:cs="宋体"/>
                <w:b w:val="0"/>
                <w:bCs/>
                <w:i w:val="0"/>
                <w:iCs w:val="0"/>
                <w:color w:val="000000"/>
                <w:sz w:val="24"/>
                <w:szCs w:val="24"/>
                <w:highlight w:val="none"/>
                <w:u w:val="none"/>
                <w:lang w:val="en-US" w:eastAsia="zh-CN" w:bidi="ar"/>
              </w:rPr>
              <w:t xml:space="preserve">4.提供年度</w:t>
            </w:r>
            <w:r>
              <w:rPr>
                <w:rFonts w:hint="eastAsia" w:ascii="宋体" w:hAnsi="宋体" w:eastAsia="宋体" w:cs="宋体"/>
                <w:b w:val="0"/>
                <w:bCs/>
                <w:i w:val="0"/>
                <w:iCs w:val="0"/>
                <w:color w:val="000000"/>
                <w:sz w:val="24"/>
                <w:szCs w:val="24"/>
                <w:u w:val="none"/>
                <w:lang w:val="en-US" w:eastAsia="zh-CN" w:bidi="ar"/>
              </w:rPr>
              <w:t xml:space="preserve">液位、管道流量数据深度分析报告（年度运行评估、设备可靠性分析、异常事件溯源、优化建议）。具体运维要求详见《设备运维管理要求-标段一》（试行）。</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val="false"/>
          </w:tcPr>
          <w:p>
            <w:pPr>
              <w:ind w:left="0"/>
              <w:jc w:val="center"/>
              <w:keepLines w:val="0"/>
              <w:keepNext w:val="0"/>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三高DLE-0600-3</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ind w:left="0"/>
              <w:jc w:val="center"/>
              <w:keepLines w:val="0"/>
              <w:keepNext w:val="0"/>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ind w:left="0"/>
              <w:jc w:val="center"/>
              <w:keepLines w:val="0"/>
              <w:keepNext w:val="0"/>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台</w:t>
            </w:r>
            <w:r/>
          </w:p>
        </w:tc>
      </w:tr>
      <w:tr>
        <w:trPr>
          <w:trHeight w:val="3785"/>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7" w:type="pct"/>
            <w:vAlign w:val="center"/>
            <w:textDirection w:val="lrTb"/>
            <w:noWrap w:val="false"/>
          </w:tcPr>
          <w:p>
            <w:pPr>
              <w:ind w:left="0"/>
              <w:jc w:val="center"/>
              <w:keepLines w:val="0"/>
              <w:keepNext w:val="0"/>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多普勒管道流量计</w:t>
            </w:r>
            <w:r/>
          </w:p>
        </w:tc>
        <w:tc>
          <w:tcPr>
            <w:shd w:val="clear" w:color="auto" w:fill="auto"/>
            <w:tcBorders>
              <w:top w:val="single" w:color="000000" w:sz="4" w:space="0"/>
              <w:left w:val="single" w:color="000000" w:sz="4" w:space="0"/>
              <w:bottom w:val="single" w:color="000000" w:sz="4" w:space="0"/>
              <w:right w:val="single" w:color="000000" w:sz="4" w:space="0"/>
            </w:tcBorders>
            <w:tcW w:w="1885" w:type="pct"/>
            <w:vAlign w:val="center"/>
            <w:vMerge w:val="continue"/>
            <w:textDirection w:val="lrTb"/>
            <w:noWrap w:val="false"/>
          </w:tcPr>
          <w:p>
            <w:pPr>
              <w:jc w:val="left"/>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val="false"/>
          </w:tcPr>
          <w:p>
            <w:pPr>
              <w:ind w:left="0"/>
              <w:jc w:val="center"/>
              <w:keepLines w:val="0"/>
              <w:keepNext w:val="0"/>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哲垣WDF-1000</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ind w:left="0"/>
              <w:jc w:val="center"/>
              <w:keepLines w:val="0"/>
              <w:keepNext w:val="0"/>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ind w:left="0"/>
              <w:jc w:val="center"/>
              <w:keepLines w:val="0"/>
              <w:keepNext w:val="0"/>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台</w:t>
            </w:r>
            <w:r/>
          </w:p>
        </w:tc>
      </w:tr>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vMerge w:val="restart"/>
            <w:textDirection w:val="lrTb"/>
            <w:noWrap w:val="false"/>
          </w:tcPr>
          <w:p>
            <w:pPr>
              <w:ind w:left="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水质设备运维</w:t>
            </w:r>
            <w:r/>
          </w:p>
        </w:tc>
        <w:tc>
          <w:tcPr>
            <w:shd w:val="clear" w:color="auto" w:fill="auto"/>
            <w:tcBorders>
              <w:top w:val="single" w:color="000000" w:sz="4" w:space="0"/>
              <w:left w:val="single" w:color="000000" w:sz="4" w:space="0"/>
              <w:bottom w:val="single" w:color="000000" w:sz="4" w:space="0"/>
              <w:right w:val="single" w:color="000000" w:sz="4" w:space="0"/>
            </w:tcBorders>
            <w:tcW w:w="827" w:type="pct"/>
            <w:vAlign w:val="center"/>
            <w:textDirection w:val="lrTb"/>
            <w:noWrap w:val="false"/>
          </w:tcPr>
          <w:p>
            <w:pPr>
              <w:ind w:left="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在线氨氮分析仪</w:t>
            </w:r>
            <w:r/>
          </w:p>
        </w:tc>
        <w:tc>
          <w:tcPr>
            <w:shd w:val="clear" w:color="auto" w:fill="auto"/>
            <w:tcBorders>
              <w:top w:val="single" w:color="000000" w:sz="4" w:space="0"/>
              <w:left w:val="single" w:color="000000" w:sz="4" w:space="0"/>
              <w:bottom w:val="single" w:color="000000" w:sz="4" w:space="0"/>
              <w:right w:val="single" w:color="000000" w:sz="4" w:space="0"/>
            </w:tcBorders>
            <w:tcW w:w="1885" w:type="pct"/>
            <w:vAlign w:val="center"/>
            <w:vMerge w:val="restart"/>
            <w:textDirection w:val="lrTb"/>
            <w:noWrap w:val="false"/>
          </w:tcPr>
          <w:p>
            <w:pPr>
              <w:numPr>
                <w:ilvl w:val="0"/>
                <w:numId w:val="6"/>
              </w:numPr>
              <w:ind w:left="0"/>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每日远程检查，通过系统查看数据和设备是否正常。</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2.每月开展1次日常巡检维护工作；</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3.每月开展1次深度清洁工作；</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4.定期进行药剂更换，并同步进行校准；</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5.保证设备月平均在线率90%以上。（客观因素导致无法在线情况除外）；</w:t>
            </w:r>
            <w:r/>
          </w:p>
          <w:p>
            <w:pPr>
              <w:numPr>
                <w:ilvl w:val="0"/>
                <w:numId w:val="0"/>
              </w:num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b w:val="0"/>
                <w:bCs w:val="0"/>
                <w:i w:val="0"/>
                <w:iCs w:val="0"/>
                <w:color w:val="000000"/>
                <w:sz w:val="24"/>
                <w:szCs w:val="24"/>
                <w:highlight w:val="none"/>
                <w:u w:val="none"/>
                <w:lang w:val="en-US" w:eastAsia="zh-CN" w:bidi="ar"/>
              </w:rPr>
              <w:t xml:space="preserve">根据甲方工作需要，免费提供迁移服务，将设备迁移至指定地点；</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7.提</w:t>
            </w:r>
            <w:r>
              <w:rPr>
                <w:rFonts w:hint="eastAsia" w:ascii="宋体" w:hAnsi="宋体" w:eastAsia="宋体" w:cs="宋体"/>
                <w:i w:val="0"/>
                <w:iCs w:val="0"/>
                <w:color w:val="000000"/>
                <w:sz w:val="24"/>
                <w:szCs w:val="24"/>
                <w:u w:val="none"/>
                <w:lang w:val="en-US" w:eastAsia="zh-CN" w:bidi="ar"/>
              </w:rPr>
              <w:t xml:space="preserve">供年度水质数据深度分析报告（年度运行评估、设备可靠性分析、异常事件溯源、优化建议）。具体运维要求详见《设备运维管理要求-标段一》（试行）。</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val="false"/>
          </w:tcPr>
          <w:p>
            <w:pPr>
              <w:ind w:left="0"/>
              <w:jc w:val="center"/>
              <w:keepLines w:val="0"/>
              <w:keepNext w:val="0"/>
              <w:widowControl/>
              <w:rPr>
                <w:rFonts w:hint="eastAsia" w:ascii="宋体" w:hAnsi="宋体" w:eastAsia="宋体" w:cs="宋体"/>
                <w:i w:val="0"/>
                <w:iCs w:val="0"/>
                <w:color w:val="000000"/>
                <w:sz w:val="24"/>
                <w:szCs w:val="24"/>
                <w:u w:val="none"/>
              </w:rPr>
              <w:suppressLineNumbers w:val="0"/>
            </w:pPr>
            <w:r>
              <w:rPr>
                <w:rStyle w:val="1084"/>
                <w:b w:val="0"/>
                <w:bCs/>
                <w:lang w:val="en-US" w:eastAsia="zh-CN" w:bidi="ar"/>
              </w:rPr>
              <w:t xml:space="preserve">塞默飞</w:t>
            </w:r>
            <w:r>
              <w:rPr>
                <w:rStyle w:val="1130"/>
                <w:rFonts w:hint="eastAsia" w:ascii="宋体" w:hAnsi="宋体" w:eastAsia="宋体" w:cs="宋体"/>
                <w:b w:val="0"/>
                <w:bCs/>
                <w:lang w:val="en-US" w:eastAsia="zh-CN" w:bidi="ar"/>
              </w:rPr>
              <w:t xml:space="preserve">2240</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ind w:left="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ind w:left="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ind w:left="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数字化DO计</w:t>
            </w:r>
            <w:r/>
          </w:p>
        </w:tc>
        <w:tc>
          <w:tcPr>
            <w:shd w:val="clear" w:color="auto" w:fill="auto"/>
            <w:tcBorders>
              <w:top w:val="single" w:color="000000" w:sz="4" w:space="0"/>
              <w:left w:val="single" w:color="000000" w:sz="4" w:space="0"/>
              <w:bottom w:val="single" w:color="000000" w:sz="4" w:space="0"/>
              <w:right w:val="single" w:color="000000" w:sz="4" w:space="0"/>
            </w:tcBorders>
            <w:tcW w:w="1885" w:type="pct"/>
            <w:vAlign w:val="center"/>
            <w:vMerge w:val="continue"/>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ind w:left="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浙垣DISEN-2210</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ind w:left="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ind w:left="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r>
      <w:tr>
        <w:trPr>
          <w:trHeight w:val="504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7" w:type="pct"/>
            <w:vAlign w:val="center"/>
            <w:textDirection w:val="lrTb"/>
            <w:noWrap w:val="false"/>
          </w:tcPr>
          <w:p>
            <w:pPr>
              <w:ind w:left="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阳澄湖水质九参数监测设备</w:t>
            </w:r>
            <w:r/>
          </w:p>
        </w:tc>
        <w:tc>
          <w:tcPr>
            <w:shd w:val="clear" w:color="auto" w:fill="auto"/>
            <w:tcBorders>
              <w:top w:val="single" w:color="000000" w:sz="4" w:space="0"/>
              <w:left w:val="single" w:color="000000" w:sz="4" w:space="0"/>
              <w:bottom w:val="single" w:color="000000" w:sz="4" w:space="0"/>
              <w:right w:val="single" w:color="000000" w:sz="4" w:space="0"/>
            </w:tcBorders>
            <w:tcW w:w="1885" w:type="pct"/>
            <w:vAlign w:val="center"/>
            <w:vMerge w:val="continue"/>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val="false"/>
          </w:tcPr>
          <w:p>
            <w:pPr>
              <w:ind w:left="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杭州绿洁GR系列</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ind w:left="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ind w:left="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r>
    </w:tbl>
    <w:p>
      <w:pPr>
        <w:ind w:left="0" w:firstLine="480"/>
        <w:spacing w:line="360" w:lineRule="auto"/>
        <w:tabs>
          <w:tab w:val="left" w:pos="567"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其他详细技术标准、专项考核细则及特殊设备运维规范详见附件</w:t>
      </w:r>
      <w:r>
        <w:rPr>
          <w:rFonts w:hint="eastAsia" w:ascii="宋体" w:hAnsi="宋体" w:eastAsia="宋体" w:cs="宋体"/>
          <w:i w:val="0"/>
          <w:iCs w:val="0"/>
          <w:color w:val="000000"/>
          <w:sz w:val="24"/>
          <w:szCs w:val="24"/>
          <w:u w:val="none"/>
          <w:lang w:val="en-US" w:eastAsia="zh-CN" w:bidi="ar"/>
        </w:rPr>
        <w:t xml:space="preserve">《设备运维管理要求-标段一》（试行）。</w:t>
      </w:r>
      <w:r/>
    </w:p>
    <w:p>
      <w:pPr>
        <w:ind w:left="0" w:firstLine="48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（二）服务内容要求</w:t>
      </w:r>
      <w:r/>
    </w:p>
    <w:p>
      <w:pPr>
        <w:ind w:left="0" w:firstLine="48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1.对驻场人员要求：</w:t>
      </w:r>
      <w:r/>
    </w:p>
    <w:p>
      <w:pPr>
        <w:ind w:left="0" w:firstLine="48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投标单位选派具备相应技术能力的驻场服务工程师，能够迅速定位故障，并提供相应解决方案。驻场人员的工作时间服从采购人的工作与作息时间要求（特殊情况除外），不得以任何理由推诿、拖延安排的工作。如发生3次以上违反采购人的规章制度、作息时间、不服从工作安排等违纪事件，采购人有权利要求中标人更换驻场工程师及中止合同并拒绝付款。</w:t>
      </w:r>
      <w:r/>
    </w:p>
    <w:p>
      <w:pPr>
        <w:ind w:left="0" w:firstLine="48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中标人需提交人员管理办法。</w:t>
      </w:r>
      <w:r/>
    </w:p>
    <w:p>
      <w:pPr>
        <w:ind w:left="0" w:firstLine="48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在合同服务期间，中标人不能擅自更换或撤离服务人员。如有人员调整，需提前30日书面告知采购人，得到采购人的认可同意，调整的服务人员需具备同等的服务能力。</w:t>
      </w:r>
      <w:r/>
    </w:p>
    <w:p>
      <w:pPr>
        <w:ind w:left="0" w:firstLine="48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当被维护系统发生大规模故障时或甲乙双方共同认定，需要除驻场工程师外的更多技术工程师协助完成工作时，由中标人调配其他工程师参与维护工作；</w:t>
      </w:r>
      <w:r/>
    </w:p>
    <w:p>
      <w:pPr>
        <w:ind w:left="0" w:firstLine="48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在服务期内做好本项目的技术服务工作；</w:t>
      </w:r>
      <w:r/>
    </w:p>
    <w:p>
      <w:pPr>
        <w:ind w:left="0"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驻场时间：</w:t>
      </w:r>
      <w:r>
        <w:rPr>
          <w:rFonts w:hint="eastAsia" w:ascii="宋体" w:hAnsi="宋体" w:eastAsia="宋体" w:cs="宋体"/>
          <w:sz w:val="24"/>
          <w:szCs w:val="24"/>
          <w:highlight w:val="none"/>
          <w:lang w:val="en-US" w:eastAsia="zh-CN"/>
        </w:rPr>
        <w:t xml:space="preserve">根据甲方工作时间确定，5</w:t>
      </w:r>
      <w:r>
        <w:rPr>
          <w:rFonts w:hint="eastAsia" w:ascii="宋体" w:hAnsi="宋体" w:eastAsia="宋体" w:cs="宋体"/>
          <w:sz w:val="24"/>
          <w:szCs w:val="24"/>
          <w:highlight w:val="none"/>
        </w:rPr>
        <w:t xml:space="preserve">天*</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小时</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早8点30-晚5点30，中间休息1小时</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，根据项目特点，驻场地点由</w:t>
      </w:r>
      <w:r>
        <w:rPr>
          <w:rFonts w:hint="eastAsia" w:ascii="宋体" w:hAnsi="宋体" w:eastAsia="宋体" w:cs="宋体"/>
          <w:sz w:val="24"/>
          <w:szCs w:val="24"/>
          <w:highlight w:val="none"/>
          <w:lang w:val="en-US" w:eastAsia="zh-CN"/>
        </w:rPr>
        <w:t xml:space="preserve">甲方指定场所</w:t>
      </w:r>
      <w:r>
        <w:rPr>
          <w:rFonts w:hint="eastAsia" w:ascii="宋体" w:hAnsi="宋体" w:eastAsia="宋体" w:cs="宋体"/>
          <w:sz w:val="24"/>
          <w:szCs w:val="24"/>
          <w:highlight w:val="none"/>
        </w:rPr>
        <w:t xml:space="preserve">提供。汛期（5月1日-9月30日）根据甲方要求，须安排1-</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人在甲方指定地点参与24小时值班值守。</w:t>
      </w:r>
      <w:r/>
    </w:p>
    <w:p>
      <w:pPr>
        <w:ind w:left="0" w:firstLine="48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2.驻场时间外的紧急响应式支持要求：</w:t>
      </w:r>
      <w:r/>
    </w:p>
    <w:p>
      <w:pPr>
        <w:ind w:left="0" w:firstLine="48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（1）技术支持热线：乙方应提供7×24技术支持热线服务。</w:t>
      </w:r>
      <w:r/>
    </w:p>
    <w:p>
      <w:pPr>
        <w:ind w:left="0" w:firstLine="48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（2）故障报修热线：乙方应提供7×24故障报修服务热线电话，当产品发生故障时，甲方可以通过热线电话获得服务支持。乙方项目相关管理人员、技术工程师的电话要保持24小时开通，随时处理各种突发事件。</w:t>
      </w:r>
      <w:r/>
    </w:p>
    <w:p>
      <w:pPr>
        <w:ind w:left="0" w:firstLine="48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3.故障报修要求：</w:t>
      </w:r>
      <w:r/>
    </w:p>
    <w:p>
      <w:pPr>
        <w:ind w:left="0" w:firstLine="48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（1）乙方应具有快速故障诊断机制，包括故障诊断专家、知识库和相关工作流程。乙方接到甲方的故障报修电话后，应及时对故障进行分析确认，必要时可要求甲方提供有关问 题日志。</w:t>
      </w:r>
      <w:r/>
    </w:p>
    <w:p>
      <w:pPr>
        <w:ind w:left="0" w:firstLine="48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（2）乙方根据故障诊断结果，采取包括更换产品以及其它相应措施，确保最短时间内恢复产品正常使用。</w:t>
      </w:r>
      <w:r/>
    </w:p>
    <w:p>
      <w:pPr>
        <w:ind w:left="0" w:firstLine="48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（3）乙方应具有应急处理流程，当现场工程师遇到不能按时解决的疑难问题时，能够得到有效的后援支持。</w:t>
      </w:r>
      <w:r/>
    </w:p>
    <w:p>
      <w:pPr>
        <w:ind w:left="0" w:firstLine="48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（4）故障等级定义及时间要求如下：</w:t>
      </w:r>
      <w:r/>
    </w:p>
    <w:p>
      <w:pPr>
        <w:ind w:left="0" w:firstLine="48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①故障等级要以采购人工程师判断级别为准，具体故障级别定义参考上表。</w:t>
      </w:r>
      <w:r/>
    </w:p>
    <w:p>
      <w:pPr>
        <w:ind w:left="0" w:firstLine="48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②响应时间，指在所选择服务等级允许的服务时间内接到故障电话起，乙方所能够提供的正确的故障判断或有效解决方案的时间。</w:t>
      </w:r>
      <w:r/>
    </w:p>
    <w:p>
      <w:pPr>
        <w:ind w:left="0" w:firstLine="48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③人员到达现场时间，指乙方做出响应后派驻维护人员到达指定故障地点的时间。</w:t>
      </w:r>
      <w:r/>
    </w:p>
    <w:p>
      <w:pPr>
        <w:ind w:left="0" w:firstLine="48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④故障排除时间，指乙方做出响应后到故障完全解决的时间。</w:t>
      </w:r>
      <w:r/>
    </w:p>
    <w:p>
      <w:pPr>
        <w:ind w:left="0" w:firstLine="48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4.保密需求：服务期防汛、抗旱会议内容涉及社会稳定，中标后乙方所有工作人员需与甲方（采购人）签署保密协议，对相关服务提供保密承诺。</w:t>
      </w:r>
      <w:r/>
    </w:p>
    <w:p>
      <w:pPr>
        <w:ind w:left="0" w:firstLine="48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5.计划性支持要求：因系统架构变更、应用调整、新业务上线投产等原因需要对该项目内维保产品进行变更操作时（包括安装、卸装、配置、调试等服务内容），以及甲方业务应用重要时段（如重大节假日、重大会议等关键业务时段），乙方要指派具有相关设备维保资历和经验的专业服务人员到现场实地操作和特护，如指定服务人员不能到现场服务，或在未得到甲方认可的情况下临时更换不符合规定条件的服务人员，甲方可单方面解除合同，另行安排服务商，并保留追究现乙方经济赔偿的权利。</w:t>
      </w:r>
      <w:r/>
    </w:p>
    <w:p>
      <w:pPr>
        <w:ind w:left="0" w:firstLine="48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6.服务文档交</w:t>
      </w:r>
      <w:r>
        <w:rPr>
          <w:rFonts w:hint="eastAsia" w:ascii="宋体" w:hAnsi="宋体" w:eastAsia="宋体" w:cs="宋体"/>
          <w:sz w:val="24"/>
          <w:szCs w:val="24"/>
        </w:rPr>
        <w:t xml:space="preserve">付：乙方应主动与甲方技术部门及时沟通服务情况，按时提供年度服务方案和服务计划、年度服务总结报告（包括服务年度内技术服务总结报告和建议）；定期提供服务月报和年报（报告内容应包括维护服务内容、工作性质及服务时间统计、维护工作分析及评价并提供合理化建议），并对每一次重大故障和问题的原因、解决办法、完成情况等形成报告，详细记录故障时间、故障类型、处理时间、解决方法、维护质量、预防措施和维护人员等信息。每次维护工作结束时，乙方工程师要详细填写维护报告，并在15日内报送甲方相关部门，并由甲方相关部门填写意见和签字确认。</w:t>
      </w:r>
      <w:r/>
    </w:p>
    <w:p>
      <w:pPr>
        <w:pStyle w:val="848"/>
        <w:ind w:left="0" w:firstLine="0"/>
        <w:rPr>
          <w:rFonts w:hint="eastAsia" w:hAnsi="宋体" w:eastAsia="宋体" w:cs="宋体"/>
          <w:sz w:val="24"/>
          <w:szCs w:val="24"/>
          <w:lang w:val="en-US" w:eastAsia="zh-CN"/>
        </w:rPr>
      </w:pPr>
      <w:r>
        <w:rPr>
          <w:rFonts w:hint="eastAsia" w:ascii="宋体" w:hAnsi="宋体" w:cs="宋体"/>
          <w:sz w:val="24"/>
          <w:szCs w:val="24"/>
          <w:lang w:val="en-US" w:eastAsia="zh-CN"/>
        </w:rPr>
        <w:t xml:space="preserve">    7.以上服务内容要求为</w:t>
      </w:r>
      <w:r>
        <w:rPr>
          <w:rFonts w:hint="eastAsia" w:ascii="宋体" w:hAnsi="宋体" w:cs="宋体"/>
          <w:sz w:val="24"/>
          <w:szCs w:val="24"/>
        </w:rPr>
        <w:t xml:space="preserve">运维服务的基本要求，其他详细技术标准、专项考核细则及特殊设备运维规范详见附件《</w:t>
      </w:r>
      <w:r>
        <w:rPr>
          <w:rFonts w:hint="eastAsia" w:ascii="宋体" w:hAnsi="宋体" w:cs="宋体"/>
          <w:sz w:val="24"/>
          <w:szCs w:val="24"/>
          <w:lang w:val="en-US" w:eastAsia="zh-CN"/>
        </w:rPr>
        <w:t xml:space="preserve">设备运维管理要求</w:t>
      </w:r>
      <w:r>
        <w:rPr>
          <w:rFonts w:hint="eastAsia" w:hAnsi="宋体" w:cs="宋体"/>
          <w:sz w:val="24"/>
          <w:szCs w:val="24"/>
          <w:lang w:val="en-US" w:eastAsia="zh-CN"/>
        </w:rPr>
        <w:t xml:space="preserve">-标段一</w:t>
      </w:r>
      <w:r>
        <w:rPr>
          <w:rFonts w:hint="eastAsia" w:ascii="宋体" w:hAnsi="宋体" w:cs="宋体"/>
          <w:sz w:val="24"/>
          <w:szCs w:val="24"/>
        </w:rPr>
        <w:t xml:space="preserve">》</w:t>
      </w:r>
      <w:r>
        <w:rPr>
          <w:rFonts w:hint="eastAsia" w:hAnsi="宋体" w:cs="宋体"/>
          <w:sz w:val="24"/>
          <w:szCs w:val="24"/>
          <w:lang w:eastAsia="zh-CN"/>
        </w:rPr>
        <w:t xml:space="preserve">（</w:t>
      </w:r>
      <w:r>
        <w:rPr>
          <w:rFonts w:hint="eastAsia" w:hAnsi="宋体" w:cs="宋体"/>
          <w:sz w:val="24"/>
          <w:szCs w:val="24"/>
          <w:lang w:val="en-US" w:eastAsia="zh-CN"/>
        </w:rPr>
        <w:t xml:space="preserve">试行</w:t>
      </w:r>
      <w:r>
        <w:rPr>
          <w:rFonts w:hint="eastAsia" w:hAnsi="宋体" w:cs="宋体"/>
          <w:sz w:val="24"/>
          <w:szCs w:val="24"/>
          <w:lang w:eastAsia="zh-CN"/>
        </w:rPr>
        <w:t xml:space="preserve">）</w:t>
      </w:r>
      <w:r>
        <w:rPr>
          <w:rFonts w:hint="eastAsia" w:ascii="宋体" w:hAnsi="宋体" w:cs="宋体"/>
          <w:sz w:val="24"/>
          <w:szCs w:val="24"/>
          <w:lang w:eastAsia="zh-CN"/>
        </w:rPr>
        <w:t xml:space="preserve">，</w:t>
      </w:r>
      <w:r>
        <w:rPr>
          <w:rFonts w:hint="eastAsia" w:ascii="宋体" w:hAnsi="宋体" w:cs="宋体"/>
          <w:sz w:val="24"/>
          <w:szCs w:val="24"/>
        </w:rPr>
        <w:t xml:space="preserve">投标人须完整响应主文件及附件中的所有条款，附件内容与主文件具有同等法律效力。</w:t>
      </w:r>
      <w:r/>
    </w:p>
    <w:p>
      <w:pPr>
        <w:ind w:left="0" w:firstLine="48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r>
      <w:r/>
    </w:p>
    <w:p>
      <w:pPr>
        <w:ind w:left="0" w:firstLine="482"/>
        <w:jc w:val="both"/>
        <w:spacing w:line="360" w:lineRule="auto"/>
        <w:tabs>
          <w:tab w:val="left" w:pos="567" w:leader="none"/>
        </w:tabs>
        <w:rPr>
          <w:rFonts w:hint="eastAsia" w:ascii="宋体" w:hAnsi="宋体" w:eastAsia="宋体" w:cs="宋体"/>
          <w:b/>
          <w:sz w:val="24"/>
          <w:szCs w:val="24"/>
        </w:rPr>
      </w:pPr>
      <w:r>
        <w:rPr>
          <w:rFonts w:hint="eastAsia" w:ascii="宋体" w:hAnsi="宋体" w:eastAsia="宋体" w:cs="宋体"/>
          <w:b/>
          <w:sz w:val="24"/>
          <w:szCs w:val="24"/>
        </w:rPr>
        <w:t xml:space="preserve">二标段</w:t>
      </w:r>
      <w:r/>
    </w:p>
    <w:p>
      <w:pPr>
        <w:ind w:left="0" w:firstLine="480"/>
        <w:spacing w:line="360" w:lineRule="auto"/>
        <w:tabs>
          <w:tab w:val="left" w:pos="420" w:leader="none"/>
        </w:tabs>
        <w:rPr>
          <w:rFonts w:hint="eastAsia" w:ascii="宋体" w:hAnsi="宋体" w:eastAsia="宋体" w:cs="宋体"/>
          <w:sz w:val="24"/>
          <w:szCs w:val="24"/>
        </w:rPr>
      </w:pPr>
      <w:r>
        <w:rPr>
          <w:rFonts w:hint="eastAsia" w:ascii="宋体" w:hAnsi="宋体" w:eastAsia="宋体" w:cs="宋体"/>
          <w:sz w:val="24"/>
          <w:szCs w:val="24"/>
        </w:rPr>
        <w:t xml:space="preserve">（一）服务总体要求：</w:t>
      </w:r>
      <w:r/>
    </w:p>
    <w:p>
      <w:pPr>
        <w:ind w:left="0" w:firstLine="480"/>
        <w:spacing w:line="360" w:lineRule="auto"/>
        <w:tabs>
          <w:tab w:val="left" w:pos="420" w:leader="none"/>
        </w:tabs>
        <w:rPr>
          <w:rFonts w:hint="eastAsia" w:ascii="宋体" w:hAnsi="宋体" w:eastAsia="宋体" w:cs="宋体"/>
          <w:sz w:val="24"/>
          <w:szCs w:val="24"/>
        </w:rPr>
      </w:pPr>
      <w:r>
        <w:rPr>
          <w:rFonts w:hint="eastAsia" w:ascii="宋体" w:hAnsi="宋体" w:eastAsia="宋体" w:cs="宋体"/>
          <w:sz w:val="24"/>
          <w:szCs w:val="24"/>
        </w:rPr>
        <w:t xml:space="preserve">1.服务设备列表：详见文件《设备清单》</w:t>
      </w:r>
      <w:r/>
    </w:p>
    <w:p>
      <w:pPr>
        <w:ind w:left="0" w:firstLine="480"/>
        <w:spacing w:line="360" w:lineRule="auto"/>
        <w:tabs>
          <w:tab w:val="left" w:pos="420" w:leader="none"/>
        </w:tabs>
        <w:rPr>
          <w:rFonts w:hint="eastAsia" w:ascii="宋体" w:hAnsi="宋体" w:eastAsia="宋体" w:cs="宋体"/>
          <w:sz w:val="24"/>
          <w:szCs w:val="24"/>
        </w:rPr>
      </w:pPr>
      <w:r>
        <w:rPr>
          <w:rFonts w:hint="eastAsia" w:ascii="宋体" w:hAnsi="宋体" w:eastAsia="宋体" w:cs="宋体"/>
          <w:sz w:val="24"/>
          <w:szCs w:val="24"/>
        </w:rPr>
        <w:t xml:space="preserve">2.服务期限：2</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个月。</w:t>
      </w:r>
      <w:r/>
    </w:p>
    <w:p>
      <w:pPr>
        <w:ind w:left="0" w:firstLine="480"/>
        <w:spacing w:line="360" w:lineRule="auto"/>
        <w:tabs>
          <w:tab w:val="left" w:pos="42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3.服务方式：</w:t>
      </w:r>
      <w:r>
        <w:rPr>
          <w:rFonts w:hint="eastAsia" w:ascii="宋体" w:hAnsi="宋体" w:eastAsia="宋体" w:cs="宋体"/>
          <w:sz w:val="24"/>
          <w:szCs w:val="24"/>
          <w:highlight w:val="none"/>
          <w:lang w:val="en-US" w:eastAsia="zh-CN"/>
        </w:rPr>
        <w:t xml:space="preserve">驻场+</w:t>
      </w:r>
      <w:r>
        <w:rPr>
          <w:rFonts w:hint="eastAsia" w:ascii="宋体" w:hAnsi="宋体" w:eastAsia="宋体" w:cs="宋体"/>
          <w:sz w:val="24"/>
          <w:szCs w:val="24"/>
          <w:highlight w:val="none"/>
        </w:rPr>
        <w:t xml:space="preserve">野外巡检</w:t>
      </w:r>
      <w:r/>
    </w:p>
    <w:p>
      <w:pPr>
        <w:ind w:left="0" w:firstLine="480"/>
        <w:spacing w:line="360" w:lineRule="auto"/>
        <w:tabs>
          <w:tab w:val="left" w:pos="567"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乙方须组建不少于</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人的运维技术支持团队，具体配置包括：</w:t>
      </w:r>
      <w:r>
        <w:rPr>
          <w:rFonts w:hint="eastAsia" w:ascii="宋体" w:hAnsi="宋体" w:eastAsia="宋体" w:cs="宋体"/>
          <w:sz w:val="24"/>
          <w:szCs w:val="24"/>
          <w:highlight w:val="none"/>
          <w:lang w:val="en-US" w:eastAsia="zh-CN"/>
        </w:rPr>
        <w:t xml:space="preserve">河道水位、流量设备运维</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巡查</w:t>
      </w:r>
      <w:r>
        <w:rPr>
          <w:rFonts w:hint="eastAsia" w:ascii="宋体" w:hAnsi="宋体" w:eastAsia="宋体" w:cs="宋体"/>
          <w:sz w:val="24"/>
          <w:szCs w:val="24"/>
          <w:highlight w:val="none"/>
          <w:lang w:val="en-US" w:eastAsia="zh-CN"/>
        </w:rPr>
        <w:t xml:space="preserve">人员1</w:t>
      </w:r>
      <w:r>
        <w:rPr>
          <w:rFonts w:hint="eastAsia" w:ascii="宋体" w:hAnsi="宋体" w:eastAsia="宋体" w:cs="宋体"/>
          <w:sz w:val="24"/>
          <w:szCs w:val="24"/>
          <w:highlight w:val="none"/>
        </w:rPr>
        <w:t xml:space="preserve">人、技术</w:t>
      </w:r>
      <w:r>
        <w:rPr>
          <w:rFonts w:hint="eastAsia" w:ascii="宋体" w:hAnsi="宋体" w:eastAsia="宋体" w:cs="宋体"/>
          <w:sz w:val="24"/>
          <w:szCs w:val="24"/>
          <w:highlight w:val="none"/>
          <w:lang w:val="en-US" w:eastAsia="zh-CN"/>
        </w:rPr>
        <w:t xml:space="preserve">人员</w:t>
      </w:r>
      <w:r>
        <w:rPr>
          <w:rFonts w:hint="eastAsia" w:ascii="宋体" w:hAnsi="宋体" w:eastAsia="宋体" w:cs="宋体"/>
          <w:sz w:val="24"/>
          <w:szCs w:val="24"/>
          <w:highlight w:val="none"/>
        </w:rPr>
        <w:t xml:space="preserve">1人，</w:t>
      </w:r>
      <w:r>
        <w:rPr>
          <w:rFonts w:hint="eastAsia" w:ascii="宋体" w:hAnsi="宋体" w:eastAsia="宋体" w:cs="宋体"/>
          <w:sz w:val="24"/>
          <w:szCs w:val="24"/>
          <w:highlight w:val="none"/>
          <w:lang w:val="en-US" w:eastAsia="zh-CN"/>
        </w:rPr>
        <w:t xml:space="preserve">无人机</w:t>
      </w:r>
      <w:r>
        <w:rPr>
          <w:rFonts w:hint="eastAsia" w:ascii="宋体" w:hAnsi="宋体" w:eastAsia="宋体" w:cs="宋体"/>
          <w:sz w:val="24"/>
          <w:szCs w:val="24"/>
          <w:highlight w:val="none"/>
        </w:rPr>
        <w:t xml:space="preserve">运维</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无人机飞行人员1人，测绘数据分析人员1人，飞行平台运维人员1人，</w:t>
      </w:r>
      <w:r>
        <w:rPr>
          <w:rFonts w:hint="eastAsia" w:ascii="宋体" w:hAnsi="宋体" w:eastAsia="宋体" w:cs="宋体"/>
          <w:sz w:val="24"/>
          <w:szCs w:val="24"/>
          <w:highlight w:val="none"/>
        </w:rPr>
        <w:t xml:space="preserve">并于汛期（5月至9月）增派巡查</w:t>
      </w:r>
      <w:r>
        <w:rPr>
          <w:rFonts w:hint="eastAsia" w:ascii="宋体" w:hAnsi="宋体" w:eastAsia="宋体" w:cs="宋体"/>
          <w:sz w:val="24"/>
          <w:szCs w:val="24"/>
          <w:highlight w:val="none"/>
          <w:lang w:val="en-US" w:eastAsia="zh-CN"/>
        </w:rPr>
        <w:t xml:space="preserve">人员</w:t>
      </w:r>
      <w:r>
        <w:rPr>
          <w:rFonts w:hint="eastAsia" w:ascii="宋体" w:hAnsi="宋体" w:eastAsia="宋体" w:cs="宋体"/>
          <w:sz w:val="24"/>
          <w:szCs w:val="24"/>
          <w:highlight w:val="none"/>
        </w:rPr>
        <w:t xml:space="preserve">2人；</w:t>
      </w:r>
      <w:r>
        <w:rPr>
          <w:rFonts w:hint="eastAsia" w:ascii="宋体" w:hAnsi="宋体" w:eastAsia="宋体" w:cs="宋体"/>
          <w:sz w:val="24"/>
          <w:szCs w:val="24"/>
          <w:highlight w:val="none"/>
          <w:lang w:val="en-US" w:eastAsia="zh-CN"/>
        </w:rPr>
        <w:t xml:space="preserve">另</w:t>
      </w:r>
      <w:r>
        <w:rPr>
          <w:rFonts w:hint="eastAsia" w:ascii="宋体" w:hAnsi="宋体" w:eastAsia="宋体" w:cs="宋体"/>
          <w:sz w:val="24"/>
          <w:szCs w:val="24"/>
          <w:highlight w:val="none"/>
        </w:rPr>
        <w:t xml:space="preserve">须</w:t>
      </w:r>
      <w:r>
        <w:rPr>
          <w:rFonts w:hint="eastAsia" w:ascii="宋体" w:hAnsi="宋体" w:eastAsia="宋体" w:cs="宋体"/>
          <w:sz w:val="24"/>
          <w:szCs w:val="24"/>
          <w:highlight w:val="none"/>
          <w:lang w:val="en-US" w:eastAsia="zh-CN"/>
        </w:rPr>
        <w:t xml:space="preserve">在上述人员中</w:t>
      </w:r>
      <w:r>
        <w:rPr>
          <w:rFonts w:hint="eastAsia" w:ascii="宋体" w:hAnsi="宋体" w:eastAsia="宋体" w:cs="宋体"/>
          <w:sz w:val="24"/>
          <w:szCs w:val="24"/>
          <w:highlight w:val="none"/>
        </w:rPr>
        <w:t xml:space="preserve">指定1名经甲方认可的管理人员驻场，负责与甲方对接，统筹资源、监督执行、汇报情况、控制质量、管理变更及应急事项，以保障项目高效运作。</w:t>
      </w:r>
      <w:r/>
    </w:p>
    <w:p>
      <w:pPr>
        <w:ind w:left="0" w:firstLine="480"/>
        <w:spacing w:line="360" w:lineRule="auto"/>
        <w:tabs>
          <w:tab w:val="left" w:pos="42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4.乙方应提供专业化技术服务，主要负责以下工作：</w:t>
      </w:r>
      <w:r/>
    </w:p>
    <w:p>
      <w:pPr>
        <w:ind w:left="0"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（1）《设备维护清单》中所有设备保障供电。</w:t>
      </w:r>
      <w:r/>
    </w:p>
    <w:p>
      <w:pPr>
        <w:ind w:left="0"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（2）免费维护维修《设备维护清单》范围内的所有设备（提供配件），保障其稳定运行。</w:t>
      </w:r>
      <w:r/>
    </w:p>
    <w:p>
      <w:pPr>
        <w:ind w:left="0"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（3）免费提供《设备维护清单》范围内所有设备的技术支持</w:t>
      </w:r>
      <w:r>
        <w:rPr>
          <w:rFonts w:hint="eastAsia" w:ascii="宋体" w:hAnsi="宋体" w:eastAsia="宋体" w:cs="宋体"/>
          <w:sz w:val="24"/>
          <w:szCs w:val="24"/>
          <w:highlight w:val="none"/>
          <w:lang w:val="en-US" w:eastAsia="zh-CN"/>
        </w:rPr>
        <w:t xml:space="preserve">和网络安全</w:t>
      </w:r>
      <w:r>
        <w:rPr>
          <w:rFonts w:hint="eastAsia" w:ascii="宋体" w:hAnsi="宋体" w:eastAsia="宋体" w:cs="宋体"/>
          <w:sz w:val="24"/>
          <w:szCs w:val="24"/>
          <w:highlight w:val="none"/>
        </w:rPr>
        <w:t xml:space="preserve">服务。</w:t>
      </w:r>
      <w:r/>
    </w:p>
    <w:p>
      <w:pPr>
        <w:ind w:left="0"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（4）建立设备清单范围内的所有硬件设备各种故障的恢复流程及应急措施。</w:t>
      </w:r>
      <w:r/>
    </w:p>
    <w:p>
      <w:pPr>
        <w:ind w:left="0"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（5）在系统升级、重大节假日、防汛期间等对系统设备稳定运行要求较高的特殊情况时，根据甲方要求，由乙方安排工程师到指定场所24小时值班。</w:t>
      </w:r>
      <w:r/>
    </w:p>
    <w:p>
      <w:pPr>
        <w:ind w:left="0"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（6）乙方需定期安排人员对设备进行巡检，及时维修，</w:t>
      </w:r>
      <w:r>
        <w:rPr>
          <w:rFonts w:hint="eastAsia" w:ascii="宋体" w:hAnsi="宋体" w:eastAsia="宋体" w:cs="宋体"/>
          <w:sz w:val="24"/>
          <w:szCs w:val="24"/>
          <w:highlight w:val="none"/>
          <w:lang w:val="en-US" w:eastAsia="zh-CN"/>
        </w:rPr>
        <w:t xml:space="preserve">同时按照甲方要求，提交包括但不限于每日、每周、</w:t>
      </w:r>
      <w:r>
        <w:rPr>
          <w:rFonts w:hint="eastAsia" w:ascii="宋体" w:hAnsi="宋体" w:eastAsia="宋体" w:cs="宋体"/>
          <w:sz w:val="24"/>
          <w:szCs w:val="24"/>
          <w:highlight w:val="none"/>
        </w:rPr>
        <w:t xml:space="preserve">每月</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半年度、年度设备</w:t>
      </w:r>
      <w:r>
        <w:rPr>
          <w:rFonts w:hint="eastAsia" w:ascii="宋体" w:hAnsi="宋体" w:eastAsia="宋体" w:cs="宋体"/>
          <w:sz w:val="24"/>
          <w:szCs w:val="24"/>
          <w:highlight w:val="none"/>
        </w:rPr>
        <w:t xml:space="preserve">巡查报告</w:t>
      </w:r>
      <w:r>
        <w:rPr>
          <w:rFonts w:hint="eastAsia" w:ascii="宋体" w:hAnsi="宋体" w:eastAsia="宋体" w:cs="宋体"/>
          <w:sz w:val="24"/>
          <w:szCs w:val="24"/>
          <w:highlight w:val="none"/>
          <w:lang w:val="en-US" w:eastAsia="zh-CN"/>
        </w:rPr>
        <w:t xml:space="preserve">等相关台账内容</w:t>
      </w:r>
      <w:r>
        <w:rPr>
          <w:rFonts w:hint="eastAsia" w:ascii="宋体" w:hAnsi="宋体" w:eastAsia="宋体" w:cs="宋体"/>
          <w:sz w:val="24"/>
          <w:szCs w:val="24"/>
          <w:highlight w:val="none"/>
        </w:rPr>
        <w:t xml:space="preserve">。</w:t>
      </w:r>
      <w:r/>
    </w:p>
    <w:p>
      <w:pPr>
        <w:ind w:left="0" w:firstLine="720"/>
        <w:spacing w:line="360" w:lineRule="auto"/>
        <w:tabs>
          <w:tab w:val="left" w:pos="567"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 乙方须免费提供绘图服务，包括提供1台支持A0幅面彩色打印的绘图仪（含2年配套耗材）及1台高性能绘图计算机，2年服务期，确保满足项目绘图需求。</w:t>
      </w:r>
      <w:r/>
    </w:p>
    <w:p>
      <w:pPr>
        <w:ind w:firstLine="480"/>
        <w:spacing w:line="360" w:lineRule="auto"/>
        <w:tabs>
          <w:tab w:val="left" w:pos="567"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（8）乙方须免费提供钉钉宜搭等主流低代码平台的会员服务，并应结合本项目实际管理需求，负责定制开发、部署并交付一套专属的项目管理系统，以实现项目流程的数字化与智能化管理。</w:t>
      </w:r>
      <w:r/>
    </w:p>
    <w:p>
      <w:pPr>
        <w:ind w:firstLine="480"/>
        <w:spacing w:line="360" w:lineRule="auto"/>
        <w:tabs>
          <w:tab w:val="left" w:pos="567"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（9）流量计安装位置、校测方案、校测报告均需组织专家评审。</w:t>
      </w:r>
      <w:r/>
    </w:p>
    <w:p>
      <w:pPr>
        <w:pStyle w:val="848"/>
        <w:ind w:left="0" w:firstLine="480"/>
        <w:rPr>
          <w:rFonts w:hint="eastAsia"/>
          <w:highlight w:val="none"/>
        </w:rPr>
      </w:pPr>
      <w:r>
        <w:rPr>
          <w:rFonts w:hint="eastAsia" w:hAnsi="宋体" w:cs="宋体"/>
          <w:sz w:val="24"/>
          <w:szCs w:val="24"/>
          <w:highlight w:val="none"/>
          <w:lang w:val="en-US" w:eastAsia="zh-CN"/>
        </w:rPr>
        <w:t xml:space="preserve">（10）对现有设备位置信息进行系统性梳理与校准，统一提供基于国家大地坐标系（CGCS2000）的精确坐标数据，并同步转换为高德地图等主流互联网地图平台所采用的坐标系（如GCJ-02）下的位置信息，确保设备定位数据在专业测绘与大众应用等多场景下的准确性与兼容性。</w:t>
      </w:r>
      <w:r/>
    </w:p>
    <w:p>
      <w:pPr>
        <w:pStyle w:val="848"/>
        <w:ind w:left="0" w:firstLine="480"/>
        <w:tabs>
          <w:tab w:val="left" w:pos="420" w:leader="none"/>
        </w:tabs>
        <w:rPr>
          <w:rFonts w:hint="eastAsia" w:ascii="宋体" w:hAnsi="宋体" w:cs="宋体"/>
          <w:sz w:val="24"/>
          <w:szCs w:val="24"/>
        </w:rPr>
      </w:pPr>
      <w:r>
        <w:rPr>
          <w:rFonts w:hint="eastAsia" w:ascii="宋体" w:hAnsi="宋体" w:cs="宋体"/>
          <w:sz w:val="24"/>
          <w:szCs w:val="24"/>
        </w:rPr>
        <w:t xml:space="preserve">（</w:t>
      </w:r>
      <w:r>
        <w:rPr>
          <w:rFonts w:hint="eastAsia" w:hAnsi="宋体" w:cs="宋体"/>
          <w:sz w:val="24"/>
          <w:szCs w:val="24"/>
          <w:lang w:val="en-US" w:eastAsia="zh-CN"/>
        </w:rPr>
        <w:t xml:space="preserve">11</w:t>
      </w:r>
      <w:r>
        <w:rPr>
          <w:rFonts w:hint="eastAsia" w:ascii="宋体" w:hAnsi="宋体" w:cs="宋体"/>
          <w:sz w:val="24"/>
          <w:szCs w:val="24"/>
        </w:rPr>
        <w:t xml:space="preserve">）《设备维护清单》及维护需求：</w:t>
      </w:r>
      <w:r/>
    </w:p>
    <w:tbl>
      <w:tblPr>
        <w:tblStyle w:val="847"/>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991"/>
        <w:gridCol w:w="1323"/>
        <w:gridCol w:w="3447"/>
        <w:gridCol w:w="1803"/>
        <w:gridCol w:w="757"/>
        <w:gridCol w:w="759"/>
      </w:tblGrid>
      <w:tr>
        <w:trPr>
          <w:jc w:val="center"/>
          <w:trHeight w:val="630"/>
          <w:tblHeader/>
        </w:trPr>
        <w:tc>
          <w:tcPr>
            <w:shd w:val="clear" w:color="auto" w:fill="auto"/>
            <w:tcBorders>
              <w:top w:val="single" w:color="000000" w:sz="4" w:space="0"/>
              <w:left w:val="single" w:color="000000" w:sz="4" w:space="0"/>
              <w:bottom w:val="single" w:color="000000" w:sz="4" w:space="0"/>
              <w:right w:val="single" w:color="000000" w:sz="4" w:space="0"/>
            </w:tcBorders>
            <w:tcW w:w="987" w:type="pct"/>
            <w:vAlign w:val="center"/>
            <w:textDirection w:val="lrTb"/>
            <w:noWrap w:val="false"/>
          </w:tcPr>
          <w:p>
            <w:pPr>
              <w:ind w:left="0"/>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大项名称</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tcPr>
          <w:p>
            <w:pPr>
              <w:ind w:left="0"/>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明细名称</w:t>
            </w:r>
            <w:r/>
          </w:p>
        </w:tc>
        <w:tc>
          <w:tcPr>
            <w:shd w:val="clear" w:color="auto" w:fill="auto"/>
            <w:tcBorders>
              <w:top w:val="single" w:color="000000" w:sz="4" w:space="0"/>
              <w:left w:val="single" w:color="000000" w:sz="4" w:space="0"/>
              <w:bottom w:val="single" w:color="000000" w:sz="4" w:space="0"/>
              <w:right w:val="single" w:color="000000" w:sz="4" w:space="0"/>
            </w:tcBorders>
            <w:tcW w:w="1709" w:type="pct"/>
            <w:vAlign w:val="center"/>
            <w:textDirection w:val="lrTb"/>
            <w:noWrap w:val="false"/>
          </w:tcPr>
          <w:p>
            <w:pPr>
              <w:ind w:left="0"/>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运维需求</w:t>
            </w:r>
            <w:r/>
          </w:p>
        </w:tc>
        <w:tc>
          <w:tcPr>
            <w:shd w:val="clear" w:color="auto" w:fill="auto"/>
            <w:tcBorders>
              <w:top w:val="single" w:color="000000" w:sz="4" w:space="0"/>
              <w:left w:val="single" w:color="000000" w:sz="4" w:space="0"/>
              <w:bottom w:val="single" w:color="000000" w:sz="4" w:space="0"/>
              <w:right w:val="single" w:color="000000" w:sz="4" w:space="0"/>
            </w:tcBorders>
            <w:tcW w:w="894" w:type="pct"/>
            <w:vAlign w:val="center"/>
            <w:textDirection w:val="lrTb"/>
            <w:noWrap/>
          </w:tcPr>
          <w:p>
            <w:pPr>
              <w:ind w:left="0"/>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设备品牌型号</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ind w:left="0"/>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ind w:left="0"/>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987" w:type="pct"/>
            <w:vAlign w:val="center"/>
            <w:vMerge w:val="restart"/>
            <w:textDirection w:val="lrTb"/>
            <w:noWrap w:val="false"/>
          </w:tcPr>
          <w:p>
            <w:pPr>
              <w:ind w:left="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水位设备运维</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ind w:left="0"/>
              <w:jc w:val="center"/>
              <w:keepLines w:val="0"/>
              <w:keepNext w:val="0"/>
              <w:widowControl/>
              <w:rPr>
                <w:rFonts w:hint="eastAsia"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遥测终端</w:t>
            </w:r>
            <w:r/>
          </w:p>
        </w:tc>
        <w:tc>
          <w:tcPr>
            <w:shd w:val="clear" w:color="auto" w:fill="auto"/>
            <w:tcBorders>
              <w:top w:val="single" w:color="000000" w:sz="4" w:space="0"/>
              <w:left w:val="single" w:color="000000" w:sz="4" w:space="0"/>
              <w:bottom w:val="single" w:color="000000" w:sz="4" w:space="0"/>
              <w:right w:val="single" w:color="000000" w:sz="4" w:space="0"/>
            </w:tcBorders>
            <w:tcW w:w="1709" w:type="pct"/>
            <w:vAlign w:val="center"/>
            <w:vMerge w:val="restart"/>
            <w:textDirection w:val="lrTb"/>
            <w:noWrap w:val="false"/>
          </w:tcPr>
          <w:p>
            <w:pPr>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1.每日远程查看水位在线情况及数据变化；</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2.每月现场巡检维护服务，汛期增加频次；</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3.提供设备正常运行所需的配件及相应维修服务；</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4.每年汛期前后需定期校准，确保水位、潮位数据真实可靠；</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5.保证设备月平均在线率95%以上（客观因素导致无法在线情况除外）。</w:t>
            </w:r>
            <w:r/>
          </w:p>
        </w:tc>
        <w:tc>
          <w:tcPr>
            <w:shd w:val="clear" w:color="auto" w:fill="auto"/>
            <w:tcBorders>
              <w:top w:val="single" w:color="000000" w:sz="4" w:space="0"/>
              <w:left w:val="single" w:color="000000" w:sz="4" w:space="0"/>
              <w:bottom w:val="single" w:color="000000" w:sz="4" w:space="0"/>
              <w:right w:val="single" w:color="000000" w:sz="4" w:space="0"/>
            </w:tcBorders>
            <w:tcW w:w="894" w:type="pct"/>
            <w:vAlign w:val="center"/>
            <w:textDirection w:val="lrTb"/>
            <w:noWrap w:val="false"/>
          </w:tcPr>
          <w:p>
            <w:pPr>
              <w:ind w:left="0"/>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弘泰VT-1001E</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bottom"/>
            <w:textDirection w:val="lrTb"/>
            <w:noWrap w:val="false"/>
          </w:tcPr>
          <w:p>
            <w:pPr>
              <w:ind w:left="0"/>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ind w:left="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987" w:type="pct"/>
            <w:vAlign w:val="center"/>
            <w:vMerge w:val="continue"/>
            <w:textDirection w:val="lrTb"/>
            <w:noWrap w:val="false"/>
          </w:tcPr>
          <w:p>
            <w:pPr>
              <w:ind w:left="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ind w:left="0"/>
              <w:jc w:val="center"/>
              <w:keepLines w:val="0"/>
              <w:keepNext w:val="0"/>
              <w:widowControl/>
              <w:rPr>
                <w:rFonts w:hint="eastAsia"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雷达式水位计</w:t>
            </w:r>
            <w:r/>
          </w:p>
        </w:tc>
        <w:tc>
          <w:tcPr>
            <w:shd w:val="clear" w:color="auto" w:fill="auto"/>
            <w:tcBorders>
              <w:top w:val="single" w:color="000000" w:sz="4" w:space="0"/>
              <w:left w:val="single" w:color="000000" w:sz="4" w:space="0"/>
              <w:bottom w:val="single" w:color="000000" w:sz="4" w:space="0"/>
              <w:right w:val="single" w:color="000000" w:sz="4" w:space="0"/>
            </w:tcBorders>
            <w:tcW w:w="1709" w:type="pct"/>
            <w:vAlign w:val="center"/>
            <w:vMerge w:val="continue"/>
            <w:textDirection w:val="lrTb"/>
            <w:noWrap w:val="false"/>
          </w:tcPr>
          <w:p>
            <w:pPr>
              <w:ind w:left="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4" w:type="pct"/>
            <w:vAlign w:val="center"/>
            <w:textDirection w:val="lrTb"/>
            <w:noWrap w:val="false"/>
          </w:tcPr>
          <w:p>
            <w:pPr>
              <w:ind w:left="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海川博通HC.WLX-1</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bottom"/>
            <w:textDirection w:val="lrTb"/>
            <w:noWrap w:val="false"/>
          </w:tcPr>
          <w:p>
            <w:pPr>
              <w:ind w:left="0"/>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ind w:left="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987" w:type="pct"/>
            <w:vAlign w:val="center"/>
            <w:vMerge w:val="continue"/>
            <w:textDirection w:val="lrTb"/>
            <w:noWrap w:val="false"/>
          </w:tcPr>
          <w:p>
            <w:pPr>
              <w:ind w:left="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ind w:left="0"/>
              <w:jc w:val="center"/>
              <w:keepLines w:val="0"/>
              <w:keepNext w:val="0"/>
              <w:widowControl/>
              <w:rPr>
                <w:rFonts w:hint="eastAsia"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遥测终端</w:t>
            </w:r>
            <w:r/>
          </w:p>
        </w:tc>
        <w:tc>
          <w:tcPr>
            <w:shd w:val="clear" w:color="auto" w:fill="auto"/>
            <w:tcBorders>
              <w:top w:val="single" w:color="000000" w:sz="4" w:space="0"/>
              <w:left w:val="single" w:color="000000" w:sz="4" w:space="0"/>
              <w:bottom w:val="single" w:color="000000" w:sz="4" w:space="0"/>
              <w:right w:val="single" w:color="000000" w:sz="4" w:space="0"/>
            </w:tcBorders>
            <w:tcW w:w="1709" w:type="pct"/>
            <w:vAlign w:val="center"/>
            <w:vMerge w:val="continue"/>
            <w:textDirection w:val="lrTb"/>
            <w:noWrap w:val="false"/>
          </w:tcPr>
          <w:p>
            <w:pPr>
              <w:ind w:left="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4" w:type="pct"/>
            <w:vAlign w:val="center"/>
            <w:textDirection w:val="lrTb"/>
            <w:noWrap w:val="false"/>
          </w:tcPr>
          <w:p>
            <w:pPr>
              <w:ind w:left="0"/>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弘泰VT-1001E</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bottom"/>
            <w:textDirection w:val="lrTb"/>
            <w:noWrap w:val="false"/>
          </w:tcPr>
          <w:p>
            <w:pPr>
              <w:ind w:left="0"/>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ind w:left="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r>
      <w:tr>
        <w:trPr>
          <w:jc w:val="center"/>
          <w:trHeight w:val="2875"/>
        </w:trPr>
        <w:tc>
          <w:tcPr>
            <w:shd w:val="clear" w:color="auto" w:fill="auto"/>
            <w:tcBorders>
              <w:top w:val="single" w:color="000000" w:sz="4" w:space="0"/>
              <w:left w:val="single" w:color="000000" w:sz="4" w:space="0"/>
              <w:bottom w:val="single" w:color="000000" w:sz="4" w:space="0"/>
              <w:right w:val="single" w:color="000000" w:sz="4" w:space="0"/>
            </w:tcBorders>
            <w:tcW w:w="987" w:type="pct"/>
            <w:vAlign w:val="center"/>
            <w:vMerge w:val="continue"/>
            <w:textDirection w:val="lrTb"/>
            <w:noWrap w:val="false"/>
          </w:tcPr>
          <w:p>
            <w:pPr>
              <w:ind w:left="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ind w:left="0"/>
              <w:jc w:val="center"/>
              <w:keepLines w:val="0"/>
              <w:keepNext w:val="0"/>
              <w:widowControl/>
              <w:rPr>
                <w:rFonts w:hint="eastAsia"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浮子式水位计</w:t>
            </w:r>
            <w:r/>
          </w:p>
        </w:tc>
        <w:tc>
          <w:tcPr>
            <w:shd w:val="clear" w:color="auto" w:fill="auto"/>
            <w:tcBorders>
              <w:top w:val="single" w:color="000000" w:sz="4" w:space="0"/>
              <w:left w:val="single" w:color="000000" w:sz="4" w:space="0"/>
              <w:bottom w:val="single" w:color="000000" w:sz="4" w:space="0"/>
              <w:right w:val="single" w:color="000000" w:sz="4" w:space="0"/>
            </w:tcBorders>
            <w:tcW w:w="1709" w:type="pct"/>
            <w:vAlign w:val="center"/>
            <w:vMerge w:val="continue"/>
            <w:textDirection w:val="lrTb"/>
            <w:noWrap w:val="false"/>
          </w:tcPr>
          <w:p>
            <w:pPr>
              <w:ind w:left="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4" w:type="pct"/>
            <w:vAlign w:val="center"/>
            <w:textDirection w:val="lrTb"/>
            <w:noWrap w:val="false"/>
          </w:tcPr>
          <w:p>
            <w:pPr>
              <w:ind w:left="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南水WFH-2A</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bottom"/>
            <w:textDirection w:val="lrTb"/>
            <w:noWrap w:val="false"/>
          </w:tcPr>
          <w:p>
            <w:pPr>
              <w:ind w:left="0"/>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ind w:left="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r>
      <w:tr>
        <w:trPr>
          <w:jc w:val="center"/>
          <w:trHeight w:val="4095"/>
        </w:trPr>
        <w:tc>
          <w:tcPr>
            <w:shd w:val="clear" w:color="auto" w:fill="auto"/>
            <w:tcBorders>
              <w:top w:val="single" w:color="000000" w:sz="4" w:space="0"/>
              <w:left w:val="single" w:color="000000" w:sz="4" w:space="0"/>
              <w:bottom w:val="single" w:color="000000" w:sz="4" w:space="0"/>
              <w:right w:val="single" w:color="000000" w:sz="4" w:space="0"/>
            </w:tcBorders>
            <w:tcW w:w="987" w:type="pct"/>
            <w:vAlign w:val="center"/>
            <w:textDirection w:val="lrTb"/>
            <w:noWrap w:val="false"/>
          </w:tcPr>
          <w:p>
            <w:pPr>
              <w:ind w:left="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江苏省水资源管理信息系统一期工程（苏州分工程）设备运维</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ind w:left="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取水计量、地下水水位计、遥测设施</w:t>
            </w:r>
            <w:r/>
          </w:p>
        </w:tc>
        <w:tc>
          <w:tcPr>
            <w:shd w:val="clear" w:color="auto" w:fill="auto"/>
            <w:tcBorders>
              <w:top w:val="single" w:color="000000" w:sz="4" w:space="0"/>
              <w:left w:val="single" w:color="000000" w:sz="4" w:space="0"/>
              <w:bottom w:val="single" w:color="000000" w:sz="4" w:space="0"/>
              <w:right w:val="single" w:color="000000" w:sz="4" w:space="0"/>
            </w:tcBorders>
            <w:tcW w:w="1709" w:type="pct"/>
            <w:vAlign w:val="center"/>
            <w:textDirection w:val="lrTb"/>
            <w:noWrap w:val="false"/>
          </w:tcPr>
          <w:p>
            <w:pPr>
              <w:ind w:left="0"/>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1.每日通过江苏省水资源管理信息系统平台在线巡查监测站；</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2.每2个月对苏州分中心测站设备开展日常巡检维护；</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3.每2个月对苏州市级地下水位、流量现场与平台校对数据；</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4.及时处理故障测站等问题；</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5.按要求做好停用测站和新增测站的取消、迁建和新建工作；</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6.保障苏州分中心监测站月平均在线率95%以上（不可抗力、特殊因素除外）；</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7.做好运维成果档案，每2个月提交运维记录，每年提供年度运维报告。</w:t>
            </w:r>
            <w:r/>
          </w:p>
        </w:tc>
        <w:tc>
          <w:tcPr>
            <w:shd w:val="clear" w:color="auto" w:fill="auto"/>
            <w:tcBorders>
              <w:top w:val="single" w:color="000000" w:sz="4" w:space="0"/>
              <w:left w:val="single" w:color="000000" w:sz="4" w:space="0"/>
              <w:bottom w:val="single" w:color="000000" w:sz="4" w:space="0"/>
              <w:right w:val="single" w:color="000000" w:sz="4" w:space="0"/>
            </w:tcBorders>
            <w:tcW w:w="894" w:type="pct"/>
            <w:vAlign w:val="center"/>
            <w:textDirection w:val="lrTb"/>
            <w:noWrap w:val="false"/>
          </w:tcPr>
          <w:p>
            <w:pPr>
              <w:ind w:left="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ind w:left="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ind w:left="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p>
        </w:tc>
      </w:tr>
      <w:tr>
        <w:trPr>
          <w:jc w:val="center"/>
          <w:trHeight w:val="1010"/>
        </w:trPr>
        <w:tc>
          <w:tcPr>
            <w:shd w:val="clear" w:color="auto" w:fill="auto"/>
            <w:tcBorders>
              <w:top w:val="single" w:color="000000" w:sz="4" w:space="0"/>
              <w:left w:val="single" w:color="000000" w:sz="4" w:space="0"/>
              <w:right w:val="single" w:color="000000" w:sz="4" w:space="0"/>
            </w:tcBorders>
            <w:tcW w:w="987" w:type="pct"/>
            <w:vAlign w:val="center"/>
            <w:vMerge w:val="restart"/>
            <w:textDirection w:val="lrTb"/>
            <w:noWrap w:val="false"/>
          </w:tcPr>
          <w:p>
            <w:pPr>
              <w:jc w:val="left"/>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无人机设备运维</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left"/>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智能巡检无人机</w:t>
            </w:r>
            <w:r/>
          </w:p>
        </w:tc>
        <w:tc>
          <w:tcPr>
            <w:shd w:val="clear" w:color="auto" w:fill="auto"/>
            <w:tcBorders>
              <w:top w:val="single" w:color="000000" w:sz="4" w:space="0"/>
              <w:left w:val="single" w:color="000000" w:sz="4" w:space="0"/>
              <w:right w:val="single" w:color="000000" w:sz="4" w:space="0"/>
            </w:tcBorders>
            <w:tcW w:w="1709" w:type="pct"/>
            <w:vAlign w:val="center"/>
            <w:vMerge w:val="restart"/>
            <w:textDirection w:val="lrTb"/>
            <w:noWrap w:val="false"/>
          </w:tcPr>
          <w:p>
            <w:pPr>
              <w:jc w:val="left"/>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1.每周1次无人机飞行服务，做好影响拼接和数据处理，提供飞行报告；</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2.每周对无人机场、无人机开展巡检和维护工作，提供巡检报告；</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3.需购买无人机相关保险，操作人员需有无人机操作许可证等；</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4.免费提供无人机配套软件升级以及技术支撑等服务,做好网络安全的日常维护和整改工作；</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5.根据甲方工作开展需要，适当增加飞行频次</w:t>
            </w:r>
            <w:r/>
          </w:p>
        </w:tc>
        <w:tc>
          <w:tcPr>
            <w:shd w:val="clear" w:color="auto" w:fill="auto"/>
            <w:tcBorders>
              <w:top w:val="single" w:color="000000" w:sz="4" w:space="0"/>
              <w:left w:val="single" w:color="000000" w:sz="4" w:space="0"/>
              <w:bottom w:val="single" w:color="000000" w:sz="4" w:space="0"/>
              <w:right w:val="single" w:color="000000" w:sz="4" w:space="0"/>
            </w:tcBorders>
            <w:tcW w:w="894" w:type="pct"/>
            <w:vAlign w:val="bottom"/>
            <w:textDirection w:val="lrTb"/>
            <w:noWrap w:val="false"/>
          </w:tcPr>
          <w:p>
            <w:pPr>
              <w:jc w:val="left"/>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FOY-M210</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left"/>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left"/>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套</w:t>
            </w:r>
            <w:r/>
          </w:p>
        </w:tc>
      </w:tr>
      <w:tr>
        <w:trPr>
          <w:jc w:val="center"/>
          <w:trHeight w:val="1158"/>
        </w:trPr>
        <w:tc>
          <w:tcPr>
            <w:shd w:val="clear" w:color="auto" w:fill="auto"/>
            <w:tcBorders>
              <w:left w:val="single" w:color="000000" w:sz="4" w:space="0"/>
              <w:right w:val="single" w:color="000000" w:sz="4" w:space="0"/>
            </w:tcBorders>
            <w:tcW w:w="987" w:type="pct"/>
            <w:vAlign w:val="center"/>
            <w:vMerge w:val="continue"/>
            <w:textDirection w:val="lrTb"/>
            <w:noWrap w:val="false"/>
          </w:tcPr>
          <w:p>
            <w:pPr>
              <w:ind w:left="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left"/>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无人机智能巡检机场</w:t>
            </w:r>
            <w:r/>
          </w:p>
        </w:tc>
        <w:tc>
          <w:tcPr>
            <w:shd w:val="clear" w:color="auto" w:fill="auto"/>
            <w:tcBorders>
              <w:left w:val="single" w:color="000000" w:sz="4" w:space="0"/>
              <w:right w:val="single" w:color="000000" w:sz="4" w:space="0"/>
            </w:tcBorders>
            <w:tcW w:w="1709" w:type="pct"/>
            <w:vAlign w:val="center"/>
            <w:vMerge w:val="continue"/>
            <w:textDirection w:val="lrTb"/>
            <w:noWrap w:val="false"/>
          </w:tcPr>
          <w:p>
            <w:pPr>
              <w:ind w:left="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94" w:type="pct"/>
            <w:vAlign w:val="center"/>
            <w:textDirection w:val="lrTb"/>
            <w:noWrap w:val="false"/>
          </w:tcPr>
          <w:p>
            <w:pPr>
              <w:jc w:val="left"/>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复亚智能FOY2.1.1</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left"/>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left"/>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套</w:t>
            </w:r>
            <w:r/>
          </w:p>
        </w:tc>
      </w:tr>
      <w:tr>
        <w:trPr>
          <w:jc w:val="center"/>
          <w:trHeight w:val="1202"/>
        </w:trPr>
        <w:tc>
          <w:tcPr>
            <w:shd w:val="clear" w:color="auto" w:fill="auto"/>
            <w:tcBorders>
              <w:left w:val="single" w:color="000000" w:sz="4" w:space="0"/>
              <w:right w:val="single" w:color="000000" w:sz="4" w:space="0"/>
            </w:tcBorders>
            <w:tcW w:w="987" w:type="pct"/>
            <w:vAlign w:val="center"/>
            <w:vMerge w:val="continue"/>
            <w:textDirection w:val="lrTb"/>
            <w:noWrap w:val="false"/>
          </w:tcPr>
          <w:p>
            <w:pPr>
              <w:ind w:left="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right w:val="single" w:color="000000" w:sz="4" w:space="0"/>
            </w:tcBorders>
            <w:tcW w:w="656" w:type="pct"/>
            <w:vAlign w:val="center"/>
            <w:vMerge w:val="restart"/>
            <w:textDirection w:val="lrTb"/>
            <w:noWrap w:val="false"/>
          </w:tcPr>
          <w:p>
            <w:pPr>
              <w:jc w:val="left"/>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无人机配套远程控制平台</w:t>
            </w:r>
            <w:r/>
          </w:p>
        </w:tc>
        <w:tc>
          <w:tcPr>
            <w:shd w:val="clear" w:color="auto" w:fill="auto"/>
            <w:tcBorders>
              <w:left w:val="single" w:color="000000" w:sz="4" w:space="0"/>
              <w:right w:val="single" w:color="000000" w:sz="4" w:space="0"/>
            </w:tcBorders>
            <w:tcW w:w="1709" w:type="pct"/>
            <w:vAlign w:val="center"/>
            <w:vMerge w:val="continue"/>
            <w:textDirection w:val="lrTb"/>
            <w:noWrap w:val="false"/>
          </w:tcPr>
          <w:p>
            <w:pPr>
              <w:ind w:left="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94" w:type="pct"/>
            <w:vAlign w:val="center"/>
            <w:textDirection w:val="lrTb"/>
            <w:noWrap w:val="false"/>
          </w:tcPr>
          <w:p>
            <w:pPr>
              <w:jc w:val="left"/>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ZFRT-中飞遥感人机远程控制平台</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left"/>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left"/>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套</w:t>
            </w:r>
            <w:r/>
          </w:p>
        </w:tc>
      </w:tr>
      <w:tr>
        <w:trPr>
          <w:jc w:val="center"/>
          <w:trHeight w:val="858"/>
        </w:trPr>
        <w:tc>
          <w:tcPr>
            <w:shd w:val="clear" w:color="auto" w:fill="auto"/>
            <w:tcBorders>
              <w:left w:val="single" w:color="000000" w:sz="4" w:space="0"/>
              <w:right w:val="single" w:color="000000" w:sz="4" w:space="0"/>
            </w:tcBorders>
            <w:tcW w:w="987" w:type="pct"/>
            <w:vAlign w:val="center"/>
            <w:vMerge w:val="continue"/>
            <w:textDirection w:val="lrTb"/>
            <w:noWrap w:val="false"/>
          </w:tcPr>
          <w:p>
            <w:pPr>
              <w:ind w:left="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left w:val="single" w:color="000000" w:sz="4" w:space="0"/>
              <w:right w:val="single" w:color="000000" w:sz="4" w:space="0"/>
            </w:tcBorders>
            <w:tcW w:w="656" w:type="pct"/>
            <w:vAlign w:val="center"/>
            <w:vMerge w:val="continue"/>
            <w:textDirection w:val="lrTb"/>
            <w:noWrap w:val="false"/>
          </w:tcPr>
          <w:p>
            <w:pPr>
              <w:ind w:left="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left w:val="single" w:color="000000" w:sz="4" w:space="0"/>
              <w:right w:val="single" w:color="000000" w:sz="4" w:space="0"/>
            </w:tcBorders>
            <w:tcW w:w="1709" w:type="pct"/>
            <w:vAlign w:val="center"/>
            <w:vMerge w:val="continue"/>
            <w:textDirection w:val="lrTb"/>
            <w:noWrap w:val="false"/>
          </w:tcPr>
          <w:p>
            <w:pPr>
              <w:ind w:left="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94" w:type="pct"/>
            <w:vAlign w:val="center"/>
            <w:textDirection w:val="lrTb"/>
            <w:noWrap w:val="false"/>
          </w:tcPr>
          <w:p>
            <w:pPr>
              <w:jc w:val="left"/>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ZFRT-无人机任务管理系统</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left"/>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left"/>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套</w:t>
            </w:r>
            <w:r/>
          </w:p>
        </w:tc>
      </w:tr>
      <w:tr>
        <w:trPr>
          <w:jc w:val="center"/>
          <w:trHeight w:val="954"/>
        </w:trPr>
        <w:tc>
          <w:tcPr>
            <w:shd w:val="clear" w:color="auto" w:fill="auto"/>
            <w:tcBorders>
              <w:left w:val="single" w:color="000000" w:sz="4" w:space="0"/>
              <w:bottom w:val="single" w:color="000000" w:sz="4" w:space="0"/>
              <w:right w:val="single" w:color="000000" w:sz="4" w:space="0"/>
            </w:tcBorders>
            <w:tcW w:w="987" w:type="pct"/>
            <w:vAlign w:val="center"/>
            <w:vMerge w:val="continue"/>
            <w:textDirection w:val="lrTb"/>
            <w:noWrap w:val="false"/>
          </w:tcPr>
          <w:p>
            <w:pPr>
              <w:ind w:left="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left w:val="single" w:color="000000" w:sz="4" w:space="0"/>
              <w:bottom w:val="single" w:color="000000" w:sz="4" w:space="0"/>
              <w:right w:val="single" w:color="000000" w:sz="4" w:space="0"/>
            </w:tcBorders>
            <w:tcW w:w="656" w:type="pct"/>
            <w:vAlign w:val="center"/>
            <w:vMerge w:val="continue"/>
            <w:textDirection w:val="lrTb"/>
            <w:noWrap w:val="false"/>
          </w:tcPr>
          <w:p>
            <w:pPr>
              <w:ind w:left="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left w:val="single" w:color="000000" w:sz="4" w:space="0"/>
              <w:bottom w:val="single" w:color="000000" w:sz="4" w:space="0"/>
              <w:right w:val="single" w:color="000000" w:sz="4" w:space="0"/>
            </w:tcBorders>
            <w:tcW w:w="1709" w:type="pct"/>
            <w:vAlign w:val="center"/>
            <w:vMerge w:val="continue"/>
            <w:textDirection w:val="lrTb"/>
            <w:noWrap w:val="false"/>
          </w:tcPr>
          <w:p>
            <w:pPr>
              <w:ind w:left="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94" w:type="pct"/>
            <w:vAlign w:val="center"/>
            <w:textDirection w:val="lrTb"/>
            <w:noWrap w:val="false"/>
          </w:tcPr>
          <w:p>
            <w:pPr>
              <w:jc w:val="left"/>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ZFRT-影像拼接及数据处理系统</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left"/>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left"/>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套</w:t>
            </w:r>
            <w:r/>
          </w:p>
        </w:tc>
      </w:tr>
      <w:tr>
        <w:trPr>
          <w:jc w:val="center"/>
          <w:trHeight w:val="315"/>
        </w:trPr>
        <w:tc>
          <w:tcPr>
            <w:shd w:val="clear" w:color="auto" w:fill="auto"/>
            <w:tcBorders>
              <w:top w:val="single" w:color="000000" w:sz="4" w:space="0"/>
              <w:left w:val="single" w:color="000000" w:sz="4" w:space="0"/>
              <w:bottom w:val="none" w:color="000000" w:sz="4" w:space="0"/>
              <w:right w:val="single" w:color="000000" w:sz="4" w:space="0"/>
            </w:tcBorders>
            <w:tcW w:w="987" w:type="pct"/>
            <w:vAlign w:val="center"/>
            <w:vMerge w:val="restart"/>
            <w:textDirection w:val="lrTb"/>
            <w:noWrap w:val="false"/>
          </w:tcPr>
          <w:p>
            <w:pPr>
              <w:ind w:left="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流量设备运维</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ind w:left="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ADCP流量计</w:t>
            </w:r>
            <w:r/>
          </w:p>
        </w:tc>
        <w:tc>
          <w:tcPr>
            <w:shd w:val="clear" w:color="auto" w:fill="auto"/>
            <w:tcBorders>
              <w:top w:val="single" w:color="000000" w:sz="4" w:space="0"/>
              <w:left w:val="single" w:color="000000" w:sz="4" w:space="0"/>
              <w:bottom w:val="single" w:color="000000" w:sz="4" w:space="0"/>
              <w:right w:val="single" w:color="000000" w:sz="4" w:space="0"/>
            </w:tcBorders>
            <w:tcW w:w="1709" w:type="pct"/>
            <w:vAlign w:val="center"/>
            <w:vMerge w:val="restart"/>
            <w:textDirection w:val="lrTb"/>
            <w:noWrap w:val="false"/>
          </w:tcPr>
          <w:p>
            <w:pPr>
              <w:numPr>
                <w:ilvl w:val="0"/>
                <w:numId w:val="7"/>
              </w:numPr>
              <w:ind w:left="0"/>
              <w:jc w:val="left"/>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每日检查数据在线情况，进行合理性分析，并做好记录；</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2.每月下载1次在线数据，并根据记录修正缺失或异常数据；</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3.每月开展1次到站检查维护工作；（重点检查ADCP设备、水位计、遥测终端、测流软件、电池电压以及现场测量设备三维姿态，汛期依据甲方需求，适当增加）</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4.保证设备月平均在线率90%以上（客观因素导致无法在线情况除外）</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5.需协调流量设备厂商做好校测等配合工作；</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6.每月5日前提交上月流量资料整编成果；</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7.根据甲方工作开展需要，适当增加到站检查维护频次。（如汛期、台风期间）；</w:t>
            </w:r>
            <w:r/>
          </w:p>
          <w:p>
            <w:pPr>
              <w:numPr>
                <w:ilvl w:val="0"/>
                <w:numId w:val="0"/>
              </w:numPr>
              <w:jc w:val="left"/>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8.根据甲方实际工作需要，免费提供流量站迁移服务，将设备迁移至甲方指定地点。</w:t>
            </w:r>
            <w:r/>
          </w:p>
        </w:tc>
        <w:tc>
          <w:tcPr>
            <w:shd w:val="clear" w:color="auto" w:fill="auto"/>
            <w:tcBorders>
              <w:top w:val="single" w:color="000000" w:sz="4" w:space="0"/>
              <w:left w:val="single" w:color="000000" w:sz="4" w:space="0"/>
              <w:bottom w:val="single" w:color="000000" w:sz="4" w:space="0"/>
              <w:right w:val="single" w:color="000000" w:sz="4" w:space="0"/>
            </w:tcBorders>
            <w:tcW w:w="894" w:type="pct"/>
            <w:vAlign w:val="center"/>
            <w:textDirection w:val="lrTb"/>
            <w:noWrap w:val="false"/>
          </w:tcPr>
          <w:p>
            <w:pPr>
              <w:ind w:left="0"/>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弘泰HT-HRV600</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ind w:left="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ind w:left="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r>
      <w:tr>
        <w:trPr>
          <w:jc w:val="center"/>
          <w:trHeight w:val="315"/>
        </w:trPr>
        <w:tc>
          <w:tcPr>
            <w:shd w:val="clear" w:color="auto" w:fill="auto"/>
            <w:tcBorders>
              <w:top w:val="single" w:color="000000" w:sz="4" w:space="0"/>
              <w:left w:val="single" w:color="000000" w:sz="4" w:space="0"/>
              <w:bottom w:val="none" w:color="000000" w:sz="4" w:space="0"/>
              <w:right w:val="single" w:color="000000" w:sz="4" w:space="0"/>
            </w:tcBorders>
            <w:tcW w:w="987" w:type="pct"/>
            <w:vAlign w:val="center"/>
            <w:vMerge w:val="continue"/>
            <w:textDirection w:val="lrTb"/>
            <w:noWrap w:val="false"/>
          </w:tcPr>
          <w:p>
            <w:pPr>
              <w:ind w:left="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ind w:left="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ADCP流量计</w:t>
            </w:r>
            <w:r/>
          </w:p>
        </w:tc>
        <w:tc>
          <w:tcPr>
            <w:shd w:val="clear" w:color="auto" w:fill="auto"/>
            <w:tcBorders>
              <w:top w:val="single" w:color="000000" w:sz="4" w:space="0"/>
              <w:left w:val="single" w:color="000000" w:sz="4" w:space="0"/>
              <w:bottom w:val="single" w:color="000000" w:sz="4" w:space="0"/>
              <w:right w:val="single" w:color="000000" w:sz="4" w:space="0"/>
            </w:tcBorders>
            <w:tcW w:w="1709" w:type="pct"/>
            <w:vAlign w:val="center"/>
            <w:vMerge w:val="continue"/>
            <w:textDirection w:val="lrTb"/>
            <w:noWrap w:val="false"/>
          </w:tcPr>
          <w:p>
            <w:pPr>
              <w:ind w:left="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4" w:type="pct"/>
            <w:vAlign w:val="center"/>
            <w:textDirection w:val="lrTb"/>
            <w:noWrap w:val="false"/>
          </w:tcPr>
          <w:p>
            <w:pPr>
              <w:ind w:left="0"/>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TRDI HI-HRV600</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ind w:left="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ind w:left="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r>
      <w:tr>
        <w:trPr>
          <w:jc w:val="center"/>
          <w:trHeight w:val="315"/>
        </w:trPr>
        <w:tc>
          <w:tcPr>
            <w:shd w:val="clear" w:color="auto" w:fill="auto"/>
            <w:tcBorders>
              <w:top w:val="single" w:color="000000" w:sz="4" w:space="0"/>
              <w:left w:val="single" w:color="000000" w:sz="4" w:space="0"/>
              <w:bottom w:val="none" w:color="000000" w:sz="4" w:space="0"/>
              <w:right w:val="single" w:color="000000" w:sz="4" w:space="0"/>
            </w:tcBorders>
            <w:tcW w:w="987" w:type="pct"/>
            <w:vAlign w:val="center"/>
            <w:vMerge w:val="continue"/>
            <w:textDirection w:val="lrTb"/>
            <w:noWrap w:val="false"/>
          </w:tcPr>
          <w:p>
            <w:pPr>
              <w:ind w:left="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ind w:left="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遥测终端</w:t>
            </w:r>
            <w:r/>
          </w:p>
        </w:tc>
        <w:tc>
          <w:tcPr>
            <w:shd w:val="clear" w:color="auto" w:fill="auto"/>
            <w:tcBorders>
              <w:top w:val="single" w:color="000000" w:sz="4" w:space="0"/>
              <w:left w:val="single" w:color="000000" w:sz="4" w:space="0"/>
              <w:bottom w:val="single" w:color="000000" w:sz="4" w:space="0"/>
              <w:right w:val="single" w:color="000000" w:sz="4" w:space="0"/>
            </w:tcBorders>
            <w:tcW w:w="1709" w:type="pct"/>
            <w:vAlign w:val="center"/>
            <w:vMerge w:val="continue"/>
            <w:textDirection w:val="lrTb"/>
            <w:noWrap w:val="false"/>
          </w:tcPr>
          <w:p>
            <w:pPr>
              <w:ind w:left="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4" w:type="pct"/>
            <w:vAlign w:val="center"/>
            <w:textDirection w:val="lrTb"/>
            <w:noWrap w:val="false"/>
          </w:tcPr>
          <w:p>
            <w:pPr>
              <w:ind w:left="0"/>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弘泰VT-1001E</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ind w:left="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ind w:left="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r>
      <w:tr>
        <w:trPr>
          <w:jc w:val="center"/>
          <w:trHeight w:val="315"/>
        </w:trPr>
        <w:tc>
          <w:tcPr>
            <w:shd w:val="clear" w:color="auto" w:fill="auto"/>
            <w:tcBorders>
              <w:top w:val="single" w:color="000000" w:sz="4" w:space="0"/>
              <w:left w:val="single" w:color="000000" w:sz="4" w:space="0"/>
              <w:bottom w:val="none" w:color="000000" w:sz="4" w:space="0"/>
              <w:right w:val="single" w:color="000000" w:sz="4" w:space="0"/>
            </w:tcBorders>
            <w:tcW w:w="987" w:type="pct"/>
            <w:vAlign w:val="center"/>
            <w:vMerge w:val="continue"/>
            <w:textDirection w:val="lrTb"/>
            <w:noWrap w:val="false"/>
          </w:tcPr>
          <w:p>
            <w:pPr>
              <w:ind w:left="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ind w:left="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ADCP流量计</w:t>
            </w:r>
            <w:r/>
          </w:p>
        </w:tc>
        <w:tc>
          <w:tcPr>
            <w:shd w:val="clear" w:color="auto" w:fill="auto"/>
            <w:tcBorders>
              <w:top w:val="single" w:color="000000" w:sz="4" w:space="0"/>
              <w:left w:val="single" w:color="000000" w:sz="4" w:space="0"/>
              <w:bottom w:val="single" w:color="000000" w:sz="4" w:space="0"/>
              <w:right w:val="single" w:color="000000" w:sz="4" w:space="0"/>
            </w:tcBorders>
            <w:tcW w:w="1709" w:type="pct"/>
            <w:vAlign w:val="center"/>
            <w:vMerge w:val="continue"/>
            <w:textDirection w:val="lrTb"/>
            <w:noWrap w:val="false"/>
          </w:tcPr>
          <w:p>
            <w:pPr>
              <w:ind w:left="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4" w:type="pct"/>
            <w:vAlign w:val="bottom"/>
            <w:textDirection w:val="lrTb"/>
            <w:noWrap w:val="false"/>
          </w:tcPr>
          <w:p>
            <w:pPr>
              <w:ind w:left="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南京灵快</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ind w:left="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ind w:left="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987" w:type="pct"/>
            <w:vAlign w:val="center"/>
            <w:vMerge w:val="continue"/>
            <w:textDirection w:val="lrTb"/>
            <w:noWrap w:val="false"/>
          </w:tcPr>
          <w:p>
            <w:pPr>
              <w:ind w:left="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ind w:left="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遥测终端</w:t>
            </w:r>
            <w:r/>
          </w:p>
        </w:tc>
        <w:tc>
          <w:tcPr>
            <w:shd w:val="clear" w:color="auto" w:fill="auto"/>
            <w:tcBorders>
              <w:top w:val="single" w:color="000000" w:sz="4" w:space="0"/>
              <w:left w:val="single" w:color="000000" w:sz="4" w:space="0"/>
              <w:bottom w:val="single" w:color="000000" w:sz="4" w:space="0"/>
              <w:right w:val="single" w:color="000000" w:sz="4" w:space="0"/>
            </w:tcBorders>
            <w:tcW w:w="1709" w:type="pct"/>
            <w:vAlign w:val="center"/>
            <w:vMerge w:val="continue"/>
            <w:textDirection w:val="lrTb"/>
            <w:noWrap w:val="false"/>
          </w:tcPr>
          <w:p>
            <w:pPr>
              <w:ind w:left="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4" w:type="pct"/>
            <w:vAlign w:val="bottom"/>
            <w:textDirection w:val="lrTb"/>
            <w:noWrap w:val="false"/>
          </w:tcPr>
          <w:p>
            <w:pPr>
              <w:ind w:left="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ind w:left="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ind w:left="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r>
      <w:tr>
        <w:trPr>
          <w:jc w:val="center"/>
          <w:trHeight w:val="317"/>
        </w:trPr>
        <w:tc>
          <w:tcPr>
            <w:shd w:val="clear" w:color="auto" w:fill="auto"/>
            <w:tcBorders>
              <w:top w:val="single" w:color="000000" w:sz="4" w:space="0"/>
              <w:left w:val="single" w:color="000000" w:sz="4" w:space="0"/>
              <w:bottom w:val="single" w:color="000000" w:sz="4" w:space="0"/>
              <w:right w:val="single" w:color="000000" w:sz="4" w:space="0"/>
            </w:tcBorders>
            <w:tcW w:w="987" w:type="pct"/>
            <w:vAlign w:val="center"/>
            <w:textDirection w:val="lrTb"/>
            <w:noWrap w:val="false"/>
          </w:tcPr>
          <w:p>
            <w:pPr>
              <w:ind w:left="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流量设备校测</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ind w:left="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ADCP流量计</w:t>
            </w:r>
            <w:r/>
          </w:p>
        </w:tc>
        <w:tc>
          <w:tcPr>
            <w:shd w:val="clear" w:color="auto" w:fill="auto"/>
            <w:tcBorders>
              <w:top w:val="single" w:color="000000" w:sz="4" w:space="0"/>
              <w:left w:val="single" w:color="000000" w:sz="4" w:space="0"/>
              <w:bottom w:val="single" w:color="000000" w:sz="4" w:space="0"/>
              <w:right w:val="single" w:color="000000" w:sz="4" w:space="0"/>
            </w:tcBorders>
            <w:tcW w:w="1709" w:type="pct"/>
            <w:vAlign w:val="center"/>
            <w:textDirection w:val="lrTb"/>
            <w:noWrap w:val="false"/>
          </w:tcPr>
          <w:p>
            <w:pPr>
              <w:numPr>
                <w:ilvl w:val="0"/>
                <w:numId w:val="8"/>
              </w:numPr>
              <w:ind w:left="0"/>
              <w:rPr>
                <w:rFonts w:hint="eastAsia" w:ascii="宋体" w:hAnsi="宋体" w:eastAsia="宋体" w:cs="宋体"/>
                <w:i w:val="0"/>
                <w:iCs w:val="0"/>
                <w:color w:val="000000"/>
                <w:sz w:val="24"/>
                <w:szCs w:val="24"/>
                <w:u w:val="none"/>
                <w:lang w:eastAsia="zh-CN"/>
              </w:rPr>
            </w:pPr>
            <w:r>
              <w:rPr>
                <w:rFonts w:hint="eastAsia" w:ascii="宋体" w:hAnsi="宋体" w:eastAsia="宋体" w:cs="宋体"/>
                <w:i w:val="0"/>
                <w:iCs w:val="0"/>
                <w:color w:val="000000"/>
                <w:sz w:val="24"/>
                <w:szCs w:val="24"/>
                <w:u w:val="none"/>
              </w:rPr>
              <w:t xml:space="preserve">共24个流量监测站点，每个</w:t>
            </w:r>
            <w:r>
              <w:rPr>
                <w:rFonts w:hint="eastAsia" w:ascii="宋体" w:hAnsi="宋体" w:eastAsia="宋体" w:cs="宋体"/>
                <w:i w:val="0"/>
                <w:iCs w:val="0"/>
                <w:color w:val="000000"/>
                <w:sz w:val="24"/>
                <w:szCs w:val="24"/>
                <w:highlight w:val="none"/>
                <w:u w:val="none"/>
              </w:rPr>
              <w:t xml:space="preserve">点位每年测10次，汛前汛后各测流1次，每个站点年测流12次，测点</w:t>
            </w:r>
            <w:r>
              <w:rPr>
                <w:rFonts w:hint="eastAsia" w:ascii="宋体" w:hAnsi="宋体" w:eastAsia="宋体" w:cs="宋体"/>
                <w:i w:val="0"/>
                <w:iCs w:val="0"/>
                <w:color w:val="000000"/>
                <w:sz w:val="24"/>
                <w:szCs w:val="24"/>
                <w:u w:val="none"/>
              </w:rPr>
              <w:t xml:space="preserve">位置同河道流量站点位</w:t>
            </w:r>
            <w:r>
              <w:rPr>
                <w:rFonts w:hint="eastAsia" w:ascii="宋体" w:hAnsi="宋体" w:eastAsia="宋体" w:cs="宋体"/>
                <w:i w:val="0"/>
                <w:iCs w:val="0"/>
                <w:color w:val="000000"/>
                <w:sz w:val="24"/>
                <w:szCs w:val="24"/>
                <w:u w:val="none"/>
                <w:lang w:eastAsia="zh-CN"/>
              </w:rPr>
              <w:t xml:space="preserve">；</w:t>
            </w:r>
            <w:r/>
          </w:p>
          <w:p>
            <w:pPr>
              <w:numPr>
                <w:ilvl w:val="0"/>
                <w:numId w:val="8"/>
              </w:numPr>
              <w:ind w:left="0"/>
              <w:rPr>
                <w:rFonts w:hint="default"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对迁移至新位置的流量计进行校测； </w:t>
            </w:r>
            <w:r/>
          </w:p>
          <w:p>
            <w:pPr>
              <w:numPr>
                <w:ilvl w:val="0"/>
                <w:numId w:val="8"/>
              </w:numPr>
              <w:ind w:left="0"/>
              <w:rPr>
                <w:rFonts w:hint="default"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根据甲方实际工作需要，对个别重点流量站适当增加校测次数。</w:t>
            </w:r>
            <w:r/>
          </w:p>
        </w:tc>
        <w:tc>
          <w:tcPr>
            <w:shd w:val="clear" w:color="auto" w:fill="auto"/>
            <w:tcBorders>
              <w:top w:val="single" w:color="000000" w:sz="4" w:space="0"/>
              <w:left w:val="single" w:color="000000" w:sz="4" w:space="0"/>
              <w:bottom w:val="single" w:color="000000" w:sz="4" w:space="0"/>
              <w:right w:val="single" w:color="000000" w:sz="4" w:space="0"/>
            </w:tcBorders>
            <w:tcW w:w="894" w:type="pct"/>
            <w:vAlign w:val="center"/>
            <w:textDirection w:val="lrTb"/>
            <w:noWrap w:val="false"/>
          </w:tcPr>
          <w:p>
            <w:pPr>
              <w:ind w:left="0"/>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同流量计运维</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ind w:left="0"/>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ind w:left="0"/>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站</w:t>
            </w:r>
            <w:r/>
          </w:p>
        </w:tc>
      </w:tr>
    </w:tbl>
    <w:p>
      <w:pPr>
        <w:ind w:left="0" w:firstLine="480"/>
        <w:spacing w:line="360" w:lineRule="auto"/>
        <w:tabs>
          <w:tab w:val="left" w:pos="567" w:leader="none"/>
        </w:tabs>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其他详细技术标准、专项考核细则及特殊设备运维规范详见附件</w:t>
      </w:r>
      <w:r>
        <w:rPr>
          <w:rFonts w:hint="eastAsia" w:ascii="宋体" w:hAnsi="宋体" w:eastAsia="宋体" w:cs="宋体"/>
          <w:i w:val="0"/>
          <w:iCs w:val="0"/>
          <w:color w:val="000000"/>
          <w:sz w:val="24"/>
          <w:szCs w:val="24"/>
          <w:u w:val="none"/>
          <w:lang w:val="en-US" w:eastAsia="zh-CN" w:bidi="ar"/>
        </w:rPr>
        <w:t xml:space="preserve">《设备运维管理要求-标段二》（试行）。</w:t>
      </w:r>
      <w:r/>
    </w:p>
    <w:p>
      <w:pPr>
        <w:ind w:left="0" w:firstLine="48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（二）服务内容要求</w:t>
      </w:r>
      <w:r/>
    </w:p>
    <w:p>
      <w:pPr>
        <w:ind w:left="0" w:firstLine="48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1.对</w:t>
      </w:r>
      <w:r>
        <w:rPr>
          <w:rFonts w:hint="eastAsia" w:ascii="宋体" w:hAnsi="宋体" w:eastAsia="宋体" w:cs="宋体"/>
          <w:sz w:val="24"/>
          <w:szCs w:val="24"/>
          <w:lang w:val="en-US" w:eastAsia="zh-CN"/>
        </w:rPr>
        <w:t xml:space="preserve">运维技术</w:t>
      </w:r>
      <w:r>
        <w:rPr>
          <w:rFonts w:hint="eastAsia" w:ascii="宋体" w:hAnsi="宋体" w:eastAsia="宋体" w:cs="宋体"/>
          <w:sz w:val="24"/>
          <w:szCs w:val="24"/>
        </w:rPr>
        <w:t xml:space="preserve">人员要求：</w:t>
      </w:r>
      <w:r/>
    </w:p>
    <w:p>
      <w:pPr>
        <w:ind w:left="0" w:firstLine="48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投标单位选派具备相应技术能力的</w:t>
      </w:r>
      <w:r>
        <w:rPr>
          <w:rFonts w:hint="eastAsia" w:ascii="宋体" w:hAnsi="宋体" w:eastAsia="宋体" w:cs="宋体"/>
          <w:sz w:val="24"/>
          <w:szCs w:val="24"/>
          <w:lang w:val="en-US" w:eastAsia="zh-CN"/>
        </w:rPr>
        <w:t xml:space="preserve">运维</w:t>
      </w:r>
      <w:r>
        <w:rPr>
          <w:rFonts w:hint="eastAsia" w:ascii="宋体" w:hAnsi="宋体" w:eastAsia="宋体" w:cs="宋体"/>
          <w:sz w:val="24"/>
          <w:szCs w:val="24"/>
        </w:rPr>
        <w:t xml:space="preserve">工程师，能够迅速定位故障，并提供相应解决方案。驻场人员的工作时间服从采购人的工作与作息时间要求（特殊情况除外），不得以任何理由推诿、拖延安排的工作。如发生3次以上违反采购人的规章制度、作息时间、不服从工作安排等违纪事件，采购人有权利要求中标人更换驻场工程师及中止合同并拒绝付款。</w:t>
      </w:r>
      <w:r/>
    </w:p>
    <w:p>
      <w:pPr>
        <w:ind w:left="0" w:firstLine="48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中标人需提交人员管理办法。</w:t>
      </w:r>
      <w:r/>
    </w:p>
    <w:p>
      <w:pPr>
        <w:ind w:left="0" w:firstLine="48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在合同服务期间，中标人不能擅自更换或撤离服务人员。如有人员调整，需提前30日书面告知采购人，得到采购人的认可同意，调整的服务人员需具备同等的服务能力。</w:t>
      </w:r>
      <w:r/>
    </w:p>
    <w:p>
      <w:pPr>
        <w:ind w:left="0" w:firstLine="48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当被维护系统发生大规模故障时或甲乙双方共同认定，需要除驻场工程师外的更多技术工程师协助完成工作时，由中标人调配其他工程师参与维护工作；</w:t>
      </w:r>
      <w:r/>
    </w:p>
    <w:p>
      <w:pPr>
        <w:ind w:left="0" w:firstLine="48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在服务期内做好本项目的技术服务工作；</w:t>
      </w:r>
      <w:r/>
    </w:p>
    <w:p>
      <w:pPr>
        <w:ind w:left="0"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驻场时间：</w:t>
      </w:r>
      <w:r>
        <w:rPr>
          <w:rFonts w:hint="eastAsia" w:ascii="宋体" w:hAnsi="宋体" w:eastAsia="宋体" w:cs="宋体"/>
          <w:sz w:val="24"/>
          <w:szCs w:val="24"/>
          <w:highlight w:val="none"/>
          <w:lang w:val="en-US" w:eastAsia="zh-CN"/>
        </w:rPr>
        <w:t xml:space="preserve">根据甲方工作时间确定，5</w:t>
      </w:r>
      <w:r>
        <w:rPr>
          <w:rFonts w:hint="eastAsia" w:ascii="宋体" w:hAnsi="宋体" w:eastAsia="宋体" w:cs="宋体"/>
          <w:sz w:val="24"/>
          <w:szCs w:val="24"/>
          <w:highlight w:val="none"/>
        </w:rPr>
        <w:t xml:space="preserve">天*</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小时</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早8点30-晚5点30，中间休息1小时</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，根据项目特点，驻场地点由</w:t>
      </w:r>
      <w:r>
        <w:rPr>
          <w:rFonts w:hint="eastAsia" w:ascii="宋体" w:hAnsi="宋体" w:eastAsia="宋体" w:cs="宋体"/>
          <w:sz w:val="24"/>
          <w:szCs w:val="24"/>
          <w:highlight w:val="none"/>
          <w:lang w:val="en-US" w:eastAsia="zh-CN"/>
        </w:rPr>
        <w:t xml:space="preserve">甲方指定场所</w:t>
      </w:r>
      <w:r>
        <w:rPr>
          <w:rFonts w:hint="eastAsia" w:ascii="宋体" w:hAnsi="宋体" w:eastAsia="宋体" w:cs="宋体"/>
          <w:sz w:val="24"/>
          <w:szCs w:val="24"/>
          <w:highlight w:val="none"/>
        </w:rPr>
        <w:t xml:space="preserve">提供。汛期（5月1日-9月30日）根据甲方要求，须安排1-</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人在甲方指定地点参与24小时值班值守。</w:t>
      </w:r>
      <w:r/>
    </w:p>
    <w:p>
      <w:pPr>
        <w:ind w:left="0" w:firstLine="48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2.驻场时间外的紧急响应式支持要求：</w:t>
      </w:r>
      <w:r/>
    </w:p>
    <w:p>
      <w:pPr>
        <w:ind w:left="0" w:firstLine="48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（1）技术支持热线：乙方应提供7×24技术支持热线服务。</w:t>
      </w:r>
      <w:r/>
    </w:p>
    <w:p>
      <w:pPr>
        <w:ind w:left="0" w:firstLine="48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（2）故障报修热线：乙方应提供7×24故障报修服务热线电话，当产品发生故障时，甲方可以通过热线电话获得服务支持。乙方项目相关管理人员、技术工程师的电话要保持24小时开通，随时处理各种突发事件。</w:t>
      </w:r>
      <w:r/>
    </w:p>
    <w:p>
      <w:pPr>
        <w:ind w:left="0" w:firstLine="48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3.故障报修要求：</w:t>
      </w:r>
      <w:r/>
    </w:p>
    <w:p>
      <w:pPr>
        <w:ind w:left="0" w:firstLine="48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（1）乙方应具有快速故障诊断机制，包括故障诊断专家、知识库和相关工作流程。乙方接到甲方的故障报修电话后，应及时对故障进行分析确认，必要时可要求甲方提供有关问 题日志。</w:t>
      </w:r>
      <w:r/>
    </w:p>
    <w:p>
      <w:pPr>
        <w:ind w:left="0" w:firstLine="48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（2）乙方根据故障诊断结果，采取包括更换产品以及其它相应措施，确保最短时间内恢复产品正常使用。</w:t>
      </w:r>
      <w:r/>
    </w:p>
    <w:p>
      <w:pPr>
        <w:ind w:left="0" w:firstLine="48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（3）乙方应具有应急处理流程，当现场工程师遇到不能按时解决的疑难问题时，能够得到有效的后援支持。</w:t>
      </w:r>
      <w:r/>
    </w:p>
    <w:p>
      <w:pPr>
        <w:ind w:left="0" w:firstLine="48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（4）故障等级定义及时间要求如下：</w:t>
      </w:r>
      <w:r/>
    </w:p>
    <w:p>
      <w:pPr>
        <w:ind w:left="0" w:firstLine="48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①故障等级要以采购人工程师判断级别为准，具体故障级别定义参考上表。</w:t>
      </w:r>
      <w:r/>
    </w:p>
    <w:p>
      <w:pPr>
        <w:ind w:left="0" w:firstLine="48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②响应时间，指在所选择服务等级允许的服务时间内接到故障电话起，乙方所能够提供的正确的故障判断或有效解决方案的时间。</w:t>
      </w:r>
      <w:r/>
    </w:p>
    <w:p>
      <w:pPr>
        <w:ind w:left="0" w:firstLine="48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③人员到达现场时间，指乙方做出响应后派驻维护人员到达指定故障地点的时间。</w:t>
      </w:r>
      <w:r/>
    </w:p>
    <w:p>
      <w:pPr>
        <w:ind w:left="0" w:firstLine="48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④故障排除时间，指乙方做出响应后到故障完全解决的时间。</w:t>
      </w:r>
      <w:r/>
    </w:p>
    <w:p>
      <w:pPr>
        <w:ind w:left="0" w:firstLine="48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4.保密需求：服务期防汛、抗旱会议内容涉及社会稳定，中标后乙方所有工作人员需与甲方（采购人）签署保密协议，对相关服务提供保密承诺。</w:t>
      </w:r>
      <w:r/>
    </w:p>
    <w:p>
      <w:pPr>
        <w:ind w:left="0" w:firstLine="48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5.计划性支持要求：因系统架构变更、应用调整、新业务上线投产等原因需要对该项目内维保产品进行变更操作时（包括安装、卸装、配置、调试等服务内容），以及甲方业务应用重要时段（如重大节假日、重大会议等关键业务时段），乙方要指派具有相关设备维保资历和经验的专业服务人员到现场实地操作和特护，如指定服务人员不能到现场服务，或在未得到甲方认可的情况下临时更换不符合规定条件的服务人员，甲方可单方面解除合同，另行安排服务商，并保留追究现乙方经济赔偿的权利。</w:t>
      </w:r>
      <w:r/>
    </w:p>
    <w:p>
      <w:pPr>
        <w:ind w:left="0" w:firstLine="48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6.服务文档交</w:t>
      </w:r>
      <w:r>
        <w:rPr>
          <w:rFonts w:hint="eastAsia" w:ascii="宋体" w:hAnsi="宋体" w:eastAsia="宋体" w:cs="宋体"/>
          <w:sz w:val="24"/>
          <w:szCs w:val="24"/>
        </w:rPr>
        <w:t xml:space="preserve">付：乙方应主动与甲方技术部门及时沟通服务情况，按时提供年度服务方案和服务计划、年度服务总结报告（包括服务年度内技术服务总结报告和建议）；定期提供服务月报和年报（报告内容应包括维护服务内容、工作性质及服务时间统计、维护工作分析及评价并提供合理化建议），并对每一次重大故障和问题的原因、解决办法、完成情况等形成报告，详细记录故障时间、故障类型、处理时间、解决方法、维护质量、预防措施和维护人员等信息。每次维护工作结束时，乙方工程师要详细填写维护报告，并在15日内报送甲方相关部门，并由甲方相关部门填写意见和签字确认。</w:t>
      </w:r>
      <w:r/>
    </w:p>
    <w:p>
      <w:pPr>
        <w:ind w:left="0" w:firstLine="0"/>
        <w:spacing w:line="360" w:lineRule="auto"/>
        <w:tabs>
          <w:tab w:val="left" w:pos="420"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7.以上服务内容要求为</w:t>
      </w:r>
      <w:r>
        <w:rPr>
          <w:rFonts w:hint="eastAsia" w:ascii="宋体" w:hAnsi="宋体" w:eastAsia="宋体" w:cs="宋体"/>
          <w:sz w:val="24"/>
          <w:szCs w:val="24"/>
        </w:rPr>
        <w:t xml:space="preserve">运维服务的基本要求，其他详细技术标准、专项考核细则及特殊设备运维规范详见附件《</w:t>
      </w:r>
      <w:r>
        <w:rPr>
          <w:rFonts w:hint="eastAsia" w:ascii="宋体" w:hAnsi="宋体" w:eastAsia="宋体" w:cs="宋体"/>
          <w:sz w:val="24"/>
          <w:szCs w:val="24"/>
          <w:lang w:val="en-US" w:eastAsia="zh-CN"/>
        </w:rPr>
        <w:t xml:space="preserve">设备运维管理要求</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投标人须完整响应主文件及附件中的所有条款，附件内容与主文件具有同等法律效力。</w:t>
      </w:r>
      <w:r/>
    </w:p>
    <w:p>
      <w:pPr>
        <w:pStyle w:val="848"/>
        <w:ind w:firstLine="0"/>
        <w:rPr>
          <w:rFonts w:hint="eastAsia" w:hAnsi="宋体" w:cs="宋体"/>
          <w:b/>
          <w:bCs/>
          <w:sz w:val="24"/>
          <w:szCs w:val="24"/>
        </w:rPr>
      </w:pPr>
      <w:r>
        <w:rPr>
          <w:rFonts w:hint="eastAsia" w:hAnsi="宋体" w:cs="宋体"/>
          <w:b/>
          <w:bCs/>
          <w:sz w:val="24"/>
          <w:szCs w:val="24"/>
        </w:rPr>
      </w:r>
      <w:r/>
    </w:p>
    <w:p>
      <w:pPr>
        <w:ind w:left="0" w:firstLine="0"/>
        <w:spacing w:line="360" w:lineRule="auto"/>
        <w:tabs>
          <w:tab w:val="left" w:pos="420" w:leader="none"/>
        </w:tabs>
        <w:rPr>
          <w:rFonts w:hint="eastAsia" w:ascii="宋体" w:hAnsi="宋体" w:eastAsia="宋体" w:cs="宋体"/>
          <w:b/>
          <w:bCs/>
          <w:sz w:val="24"/>
          <w:szCs w:val="24"/>
        </w:rPr>
      </w:pPr>
      <w:r/>
      <w:bookmarkStart w:id="37" w:name="_Toc494471874"/>
      <w:r/>
      <w:bookmarkStart w:id="38" w:name="_Toc160701727"/>
      <w:r>
        <w:rPr>
          <w:rFonts w:hint="eastAsia" w:ascii="宋体" w:hAnsi="宋体" w:eastAsia="宋体" w:cs="宋体"/>
          <w:b/>
          <w:bCs/>
          <w:sz w:val="24"/>
          <w:szCs w:val="24"/>
          <w:lang w:val="en-US" w:eastAsia="zh-CN"/>
        </w:rPr>
        <w:t xml:space="preserve">五</w:t>
      </w:r>
      <w:r>
        <w:rPr>
          <w:rFonts w:hint="eastAsia" w:ascii="宋体" w:hAnsi="宋体" w:eastAsia="宋体" w:cs="宋体"/>
          <w:b/>
          <w:bCs/>
          <w:sz w:val="24"/>
          <w:szCs w:val="24"/>
        </w:rPr>
        <w:t xml:space="preserve">、综合说明</w:t>
      </w:r>
      <w:r/>
    </w:p>
    <w:p>
      <w:pPr>
        <w:ind w:left="0" w:firstLine="480"/>
        <w:spacing w:line="360" w:lineRule="auto"/>
        <w:tabs>
          <w:tab w:val="left" w:pos="420" w:leader="none"/>
          <w:tab w:val="left" w:pos="540" w:leader="none"/>
        </w:tabs>
        <w:rPr>
          <w:rFonts w:hint="eastAsia" w:ascii="宋体" w:hAnsi="宋体" w:eastAsia="宋体" w:cs="宋体"/>
          <w:sz w:val="24"/>
          <w:szCs w:val="24"/>
        </w:rPr>
      </w:pPr>
      <w:r>
        <w:rPr>
          <w:rFonts w:hint="eastAsia" w:ascii="宋体" w:hAnsi="宋体" w:eastAsia="宋体" w:cs="宋体"/>
          <w:sz w:val="24"/>
          <w:szCs w:val="24"/>
        </w:rPr>
        <w:t xml:space="preserve">1.投标人按照招标文件的要求提交投标文件，并对所提供的全部资料的真实性承担法律责任。</w:t>
      </w:r>
      <w:r/>
    </w:p>
    <w:p>
      <w:pPr>
        <w:ind w:left="0" w:firstLine="480"/>
        <w:spacing w:line="360" w:lineRule="auto"/>
        <w:tabs>
          <w:tab w:val="left" w:pos="420" w:leader="none"/>
          <w:tab w:val="left" w:pos="540" w:leader="none"/>
        </w:tabs>
        <w:rPr>
          <w:rFonts w:hint="eastAsia" w:ascii="宋体" w:hAnsi="宋体" w:eastAsia="宋体" w:cs="宋体"/>
          <w:sz w:val="24"/>
          <w:szCs w:val="24"/>
        </w:rPr>
      </w:pPr>
      <w:r>
        <w:rPr>
          <w:rFonts w:hint="eastAsia" w:ascii="宋体" w:hAnsi="宋体" w:eastAsia="宋体" w:cs="宋体"/>
          <w:sz w:val="24"/>
          <w:szCs w:val="24"/>
        </w:rPr>
        <w:t xml:space="preserve">2.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eastAsia="宋体" w:cs="宋体"/>
          <w:b/>
          <w:sz w:val="24"/>
          <w:szCs w:val="24"/>
        </w:rPr>
        <w:t xml:space="preserve">遇到法律法规规定的最低工资调整，其中人工费用相应浮动，由供应商自行承担。</w:t>
      </w:r>
      <w:r/>
    </w:p>
    <w:p>
      <w:pPr>
        <w:ind w:left="0" w:firstLine="480"/>
        <w:spacing w:line="360" w:lineRule="auto"/>
        <w:tabs>
          <w:tab w:val="left" w:pos="420" w:leader="none"/>
          <w:tab w:val="left" w:pos="540" w:leader="none"/>
        </w:tabs>
        <w:rPr>
          <w:rFonts w:hint="eastAsia" w:ascii="宋体" w:hAnsi="宋体" w:eastAsia="宋体" w:cs="宋体"/>
          <w:sz w:val="24"/>
          <w:szCs w:val="24"/>
        </w:rPr>
      </w:pPr>
      <w:r>
        <w:rPr>
          <w:rFonts w:hint="eastAsia" w:ascii="宋体" w:hAnsi="宋体" w:eastAsia="宋体" w:cs="宋体"/>
          <w:sz w:val="24"/>
          <w:szCs w:val="24"/>
        </w:rPr>
        <w:t xml:space="preserve">3.中标人将根据招标文件、投标文件的相关约定，承担合同责任，履行合同义务。</w:t>
      </w:r>
      <w:r/>
    </w:p>
    <w:p>
      <w:pPr>
        <w:ind w:left="0" w:firstLine="480"/>
        <w:spacing w:line="360" w:lineRule="auto"/>
        <w:tabs>
          <w:tab w:val="left" w:pos="420" w:leader="none"/>
          <w:tab w:val="left" w:pos="540" w:leader="none"/>
        </w:tabs>
        <w:rPr>
          <w:rFonts w:hint="eastAsia" w:ascii="宋体" w:hAnsi="宋体" w:eastAsia="宋体" w:cs="宋体"/>
          <w:sz w:val="24"/>
          <w:szCs w:val="24"/>
        </w:rPr>
      </w:pPr>
      <w:r>
        <w:rPr>
          <w:rFonts w:hint="eastAsia" w:ascii="宋体" w:hAnsi="宋体" w:eastAsia="宋体" w:cs="宋体"/>
          <w:sz w:val="24"/>
          <w:szCs w:val="24"/>
        </w:rPr>
        <w:t xml:space="preserve">4.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37"/>
        <w:ind w:left="0" w:firstLine="0"/>
        <w:jc w:val="center"/>
        <w:keepLines w:val="0"/>
        <w:keepNext w:val="0"/>
        <w:widowControl/>
        <w:rPr>
          <w:rFonts w:hint="default" w:ascii="宋体" w:hAnsi="宋体" w:eastAsia="宋体" w:cs="宋体"/>
          <w:b/>
          <w:sz w:val="44"/>
          <w:szCs w:val="22"/>
        </w:rPr>
      </w:pPr>
      <w:r>
        <w:rPr>
          <w:rFonts w:hint="eastAsia" w:ascii="宋体" w:hAnsi="宋体" w:eastAsia="宋体" w:cs="宋体"/>
          <w:color w:val="auto"/>
          <w:highlight w:val="none"/>
        </w:rPr>
        <w:br w:type="page" w:clear="all"/>
      </w:r>
      <w:bookmarkStart w:id="39" w:name="_Toc105397794"/>
      <w:r>
        <w:rPr>
          <w:rFonts w:hint="eastAsia" w:ascii="宋体" w:hAnsi="宋体" w:eastAsia="宋体" w:cs="宋体"/>
          <w:b/>
          <w:sz w:val="44"/>
          <w:szCs w:val="22"/>
        </w:rPr>
        <w:t xml:space="preserve">第五章 </w:t>
      </w:r>
      <w:bookmarkStart w:id="40" w:name="合同的特殊条款"/>
      <w:r/>
      <w:bookmarkEnd w:id="40"/>
      <w:r>
        <w:rPr>
          <w:rFonts w:hint="eastAsia" w:ascii="宋体" w:hAnsi="宋体" w:eastAsia="宋体" w:cs="宋体"/>
          <w:b/>
          <w:sz w:val="44"/>
          <w:szCs w:val="22"/>
        </w:rPr>
        <w:t xml:space="preserve">合同及主要条款</w:t>
      </w:r>
      <w:bookmarkEnd w:id="39"/>
      <w:r/>
      <w:r/>
    </w:p>
    <w:p>
      <w:pPr>
        <w:ind w:left="0"/>
        <w:jc w:val="center"/>
        <w:widowControl/>
        <w:rPr>
          <w:rFonts w:hint="eastAsia" w:ascii="宋体" w:hAnsi="宋体" w:eastAsia="宋体" w:cs="宋体"/>
          <w:b w:val="0"/>
          <w:bCs/>
          <w:sz w:val="32"/>
          <w:szCs w:val="32"/>
        </w:rPr>
      </w:pPr>
      <w:r>
        <w:rPr>
          <w:rFonts w:hint="eastAsia" w:ascii="宋体" w:hAnsi="宋体" w:eastAsia="宋体" w:cs="宋体"/>
          <w:b w:val="0"/>
          <w:bCs/>
          <w:sz w:val="32"/>
          <w:szCs w:val="32"/>
        </w:rPr>
        <w:t xml:space="preserve">政府采购合同（标段一）</w:t>
      </w:r>
      <w:r/>
    </w:p>
    <w:p>
      <w:pPr>
        <w:ind w:left="0"/>
        <w:jc w:val="left"/>
        <w:spacing w:line="360" w:lineRule="auto"/>
        <w:widowControl/>
        <w:rPr>
          <w:rFonts w:hint="default" w:ascii="宋体" w:hAnsi="宋体" w:eastAsia="宋体" w:cs="宋体"/>
          <w:b/>
          <w:sz w:val="24"/>
          <w:szCs w:val="24"/>
        </w:rPr>
      </w:pPr>
      <w:r>
        <w:rPr>
          <w:rFonts w:hint="eastAsia" w:ascii="宋体" w:hAnsi="宋体" w:eastAsia="宋体" w:cs="宋体"/>
          <w:b/>
          <w:sz w:val="24"/>
          <w:szCs w:val="24"/>
        </w:rPr>
        <w:t xml:space="preserve">项目名称：</w:t>
      </w:r>
      <w:r/>
    </w:p>
    <w:p>
      <w:pPr>
        <w:ind w:left="0"/>
        <w:jc w:val="left"/>
        <w:spacing w:line="360" w:lineRule="auto"/>
        <w:widowControl/>
        <w:rPr>
          <w:rFonts w:hint="default" w:ascii="宋体" w:hAnsi="宋体" w:eastAsia="宋体" w:cs="宋体"/>
          <w:b/>
          <w:sz w:val="24"/>
          <w:szCs w:val="24"/>
        </w:rPr>
      </w:pPr>
      <w:r>
        <w:rPr>
          <w:rFonts w:hint="eastAsia" w:ascii="宋体" w:hAnsi="宋体" w:eastAsia="宋体" w:cs="宋体"/>
          <w:b/>
          <w:sz w:val="24"/>
          <w:szCs w:val="24"/>
        </w:rPr>
        <w:t xml:space="preserve">项目编号：</w:t>
      </w:r>
      <w:r/>
    </w:p>
    <w:p>
      <w:pPr>
        <w:ind w:left="1024"/>
        <w:widowControl/>
        <w:rPr>
          <w:rFonts w:hint="eastAsia" w:ascii="宋体" w:hAnsi="宋体" w:eastAsia="宋体" w:cs="宋体"/>
          <w:sz w:val="24"/>
          <w:szCs w:val="24"/>
        </w:rPr>
      </w:pPr>
      <w:r>
        <w:rPr>
          <w:rFonts w:hint="eastAsia" w:ascii="宋体" w:hAnsi="宋体" w:eastAsia="宋体" w:cs="宋体"/>
          <w:sz w:val="24"/>
          <w:szCs w:val="24"/>
        </w:rPr>
      </w:r>
      <w:r/>
    </w:p>
    <w:p>
      <w:pPr>
        <w:ind w:left="0"/>
        <w:jc w:val="left"/>
        <w:spacing w:line="360" w:lineRule="auto"/>
        <w:widowControl/>
        <w:rPr>
          <w:rFonts w:hint="default" w:ascii="宋体" w:hAnsi="宋体" w:eastAsia="宋体" w:cs="宋体"/>
          <w:sz w:val="24"/>
          <w:szCs w:val="24"/>
        </w:rPr>
      </w:pPr>
      <w:r>
        <w:rPr>
          <w:rFonts w:hint="eastAsia" w:ascii="宋体" w:hAnsi="宋体" w:eastAsia="宋体" w:cs="宋体"/>
          <w:sz w:val="24"/>
          <w:szCs w:val="24"/>
        </w:rPr>
        <w:t xml:space="preserve">甲方：</w:t>
      </w:r>
      <w:r/>
    </w:p>
    <w:p>
      <w:pPr>
        <w:ind w:left="0"/>
        <w:jc w:val="left"/>
        <w:spacing w:line="360" w:lineRule="auto"/>
        <w:widowControl/>
        <w:rPr>
          <w:rFonts w:hint="default" w:ascii="宋体" w:hAnsi="宋体" w:eastAsia="宋体" w:cs="宋体"/>
          <w:sz w:val="24"/>
          <w:szCs w:val="24"/>
        </w:rPr>
      </w:pPr>
      <w:r>
        <w:rPr>
          <w:rFonts w:hint="eastAsia" w:ascii="宋体" w:hAnsi="宋体" w:eastAsia="宋体" w:cs="宋体"/>
          <w:sz w:val="24"/>
          <w:szCs w:val="24"/>
        </w:rPr>
        <w:t xml:space="preserve">地址：</w:t>
      </w:r>
      <w:r/>
    </w:p>
    <w:p>
      <w:pPr>
        <w:ind w:left="0"/>
        <w:jc w:val="left"/>
        <w:spacing w:line="360" w:lineRule="auto"/>
        <w:widowControl/>
        <w:rPr>
          <w:rFonts w:hint="default" w:ascii="宋体" w:hAnsi="宋体" w:eastAsia="宋体" w:cs="宋体"/>
          <w:sz w:val="24"/>
          <w:szCs w:val="24"/>
        </w:rPr>
      </w:pPr>
      <w:r>
        <w:rPr>
          <w:rFonts w:hint="eastAsia" w:ascii="宋体" w:hAnsi="宋体" w:eastAsia="宋体" w:cs="宋体"/>
          <w:sz w:val="24"/>
          <w:szCs w:val="24"/>
        </w:rPr>
        <w:t xml:space="preserve">电话：</w:t>
      </w:r>
      <w:r/>
    </w:p>
    <w:p>
      <w:pPr>
        <w:ind w:left="0"/>
        <w:jc w:val="left"/>
        <w:spacing w:line="360" w:lineRule="auto"/>
        <w:widowControl/>
        <w:rPr>
          <w:rFonts w:hint="default" w:ascii="宋体" w:hAnsi="宋体" w:eastAsia="宋体" w:cs="宋体"/>
          <w:sz w:val="24"/>
          <w:szCs w:val="24"/>
        </w:rPr>
      </w:pPr>
      <w:r>
        <w:rPr>
          <w:rFonts w:hint="eastAsia" w:ascii="宋体" w:hAnsi="宋体" w:eastAsia="宋体" w:cs="宋体"/>
          <w:sz w:val="24"/>
          <w:szCs w:val="24"/>
        </w:rPr>
        <w:t xml:space="preserve">传真：</w:t>
      </w:r>
      <w:r/>
    </w:p>
    <w:p>
      <w:pPr>
        <w:ind w:left="0"/>
        <w:jc w:val="left"/>
        <w:spacing w:line="360" w:lineRule="auto"/>
        <w:widowControl/>
        <w:rPr>
          <w:rFonts w:hint="default" w:ascii="宋体" w:hAnsi="宋体" w:eastAsia="宋体" w:cs="宋体"/>
          <w:sz w:val="24"/>
          <w:szCs w:val="24"/>
        </w:rPr>
      </w:pPr>
      <w:r>
        <w:rPr>
          <w:rFonts w:hint="default" w:ascii="宋体" w:hAnsi="宋体" w:eastAsia="宋体" w:cs="宋体"/>
          <w:sz w:val="24"/>
          <w:szCs w:val="24"/>
        </w:rPr>
      </w:r>
      <w:r/>
    </w:p>
    <w:p>
      <w:pPr>
        <w:ind w:left="0"/>
        <w:jc w:val="left"/>
        <w:spacing w:line="360" w:lineRule="auto"/>
        <w:widowControl/>
        <w:rPr>
          <w:rFonts w:hint="default" w:ascii="宋体" w:hAnsi="宋体" w:eastAsia="宋体" w:cs="宋体"/>
          <w:sz w:val="24"/>
          <w:szCs w:val="24"/>
        </w:rPr>
      </w:pPr>
      <w:r>
        <w:rPr>
          <w:rFonts w:hint="eastAsia" w:ascii="宋体" w:hAnsi="宋体" w:eastAsia="宋体" w:cs="宋体"/>
          <w:sz w:val="24"/>
          <w:szCs w:val="24"/>
        </w:rPr>
        <w:t xml:space="preserve">乙方：</w:t>
      </w:r>
      <w:r/>
    </w:p>
    <w:p>
      <w:pPr>
        <w:ind w:left="0"/>
        <w:jc w:val="left"/>
        <w:spacing w:line="360" w:lineRule="auto"/>
        <w:widowControl/>
        <w:rPr>
          <w:rFonts w:hint="default" w:ascii="宋体" w:hAnsi="宋体" w:eastAsia="宋体" w:cs="宋体"/>
          <w:sz w:val="24"/>
          <w:szCs w:val="24"/>
        </w:rPr>
      </w:pPr>
      <w:r>
        <w:rPr>
          <w:rFonts w:hint="eastAsia" w:ascii="宋体" w:hAnsi="宋体" w:eastAsia="宋体" w:cs="宋体"/>
          <w:sz w:val="24"/>
          <w:szCs w:val="24"/>
        </w:rPr>
        <w:t xml:space="preserve">地址：</w:t>
      </w:r>
      <w:r/>
    </w:p>
    <w:p>
      <w:pPr>
        <w:ind w:left="0"/>
        <w:jc w:val="left"/>
        <w:spacing w:line="360" w:lineRule="auto"/>
        <w:widowControl/>
        <w:rPr>
          <w:rFonts w:hint="default" w:ascii="宋体" w:hAnsi="宋体" w:eastAsia="宋体" w:cs="宋体"/>
          <w:sz w:val="24"/>
          <w:szCs w:val="24"/>
        </w:rPr>
      </w:pPr>
      <w:r>
        <w:rPr>
          <w:rFonts w:hint="eastAsia" w:ascii="宋体" w:hAnsi="宋体" w:eastAsia="宋体" w:cs="宋体"/>
          <w:sz w:val="24"/>
          <w:szCs w:val="24"/>
        </w:rPr>
        <w:t xml:space="preserve">电话：</w:t>
      </w:r>
      <w:r/>
    </w:p>
    <w:p>
      <w:pPr>
        <w:ind w:left="0"/>
        <w:jc w:val="left"/>
        <w:spacing w:line="360" w:lineRule="auto"/>
        <w:widowControl/>
        <w:rPr>
          <w:rFonts w:hint="default" w:ascii="宋体" w:hAnsi="宋体" w:eastAsia="宋体" w:cs="宋体"/>
          <w:sz w:val="24"/>
          <w:szCs w:val="24"/>
        </w:rPr>
      </w:pPr>
      <w:r>
        <w:rPr>
          <w:rFonts w:hint="eastAsia" w:ascii="宋体" w:hAnsi="宋体" w:eastAsia="宋体" w:cs="宋体"/>
          <w:sz w:val="24"/>
          <w:szCs w:val="24"/>
        </w:rPr>
        <w:t xml:space="preserve">传真：</w:t>
      </w:r>
      <w:r/>
    </w:p>
    <w:p>
      <w:pPr>
        <w:ind w:left="0" w:firstLine="480"/>
        <w:spacing w:line="360" w:lineRule="auto"/>
        <w:widowControl/>
        <w:rPr>
          <w:rFonts w:hint="default" w:ascii="宋体" w:hAnsi="宋体" w:eastAsia="宋体" w:cs="宋体"/>
          <w:sz w:val="24"/>
          <w:szCs w:val="24"/>
        </w:rPr>
      </w:pPr>
      <w:r>
        <w:rPr>
          <w:rFonts w:hint="default" w:ascii="宋体" w:hAnsi="宋体" w:eastAsia="宋体" w:cs="宋体"/>
          <w:sz w:val="24"/>
          <w:szCs w:val="24"/>
        </w:rPr>
      </w:r>
      <w:r/>
    </w:p>
    <w:p>
      <w:pPr>
        <w:ind w:left="0" w:firstLine="480"/>
        <w:spacing w:line="360" w:lineRule="auto"/>
        <w:widowControl w:val="off"/>
        <w:rPr>
          <w:rFonts w:hint="default" w:ascii="宋体" w:hAnsi="宋体" w:eastAsia="宋体" w:cs="宋体"/>
          <w:sz w:val="24"/>
          <w:szCs w:val="24"/>
        </w:rPr>
      </w:pPr>
      <w:r>
        <w:rPr>
          <w:rFonts w:hint="eastAsia" w:ascii="宋体" w:hAnsi="宋体" w:eastAsia="宋体" w:cs="宋体"/>
          <w:sz w:val="24"/>
          <w:szCs w:val="24"/>
        </w:rPr>
        <w:t xml:space="preserve">根据《中华人民共和国民法典》和《</w:t>
      </w:r>
      <w:r>
        <w:rPr>
          <w:rFonts w:hint="default" w:ascii="宋体" w:hAnsi="宋体" w:eastAsia="宋体" w:cs="宋体"/>
          <w:sz w:val="24"/>
          <w:szCs w:val="24"/>
        </w:rPr>
        <w:t xml:space="preserve">中华人民共和国</w:t>
      </w:r>
      <w:r>
        <w:rPr>
          <w:rFonts w:hint="eastAsia" w:ascii="宋体" w:hAnsi="宋体" w:eastAsia="宋体" w:cs="宋体"/>
          <w:sz w:val="24"/>
          <w:szCs w:val="24"/>
        </w:rPr>
        <w:t xml:space="preserve">政府采购</w:t>
      </w:r>
      <w:r>
        <w:rPr>
          <w:rFonts w:hint="default" w:ascii="宋体" w:hAnsi="宋体" w:eastAsia="宋体" w:cs="宋体"/>
          <w:sz w:val="24"/>
          <w:szCs w:val="24"/>
        </w:rPr>
        <w:t xml:space="preserve">法</w:t>
      </w:r>
      <w:r>
        <w:rPr>
          <w:rFonts w:hint="eastAsia" w:ascii="宋体" w:hAnsi="宋体" w:eastAsia="宋体" w:cs="宋体"/>
          <w:sz w:val="24"/>
          <w:szCs w:val="24"/>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firstLine="480"/>
        <w:spacing w:line="360" w:lineRule="auto"/>
        <w:widowControl w:val="off"/>
        <w:rPr>
          <w:rFonts w:hint="default" w:ascii="宋体" w:hAnsi="宋体" w:eastAsia="宋体" w:cs="宋体"/>
          <w:sz w:val="24"/>
          <w:szCs w:val="24"/>
        </w:rPr>
      </w:pPr>
      <w:r>
        <w:rPr>
          <w:rFonts w:hint="default" w:ascii="宋体" w:hAnsi="宋体" w:eastAsia="宋体" w:cs="宋体"/>
          <w:sz w:val="24"/>
          <w:szCs w:val="24"/>
        </w:rPr>
      </w:r>
      <w:r/>
    </w:p>
    <w:p>
      <w:pPr>
        <w:ind w:left="0" w:firstLine="482"/>
        <w:spacing w:line="360" w:lineRule="auto"/>
        <w:widowControl w:val="off"/>
        <w:rPr>
          <w:rFonts w:hint="default" w:ascii="宋体" w:hAnsi="宋体" w:eastAsia="宋体" w:cs="宋体"/>
          <w:b/>
          <w:sz w:val="24"/>
          <w:szCs w:val="24"/>
        </w:rPr>
      </w:pPr>
      <w:r>
        <w:rPr>
          <w:rFonts w:hint="eastAsia" w:ascii="宋体" w:hAnsi="宋体" w:eastAsia="宋体" w:cs="宋体"/>
          <w:b/>
          <w:sz w:val="24"/>
          <w:szCs w:val="24"/>
        </w:rPr>
        <w:t xml:space="preserve">一、定义</w:t>
      </w:r>
      <w:r/>
    </w:p>
    <w:p>
      <w:pPr>
        <w:ind w:left="0" w:firstLine="482"/>
        <w:spacing w:line="360" w:lineRule="auto"/>
        <w:widowControl w:val="off"/>
        <w:rPr>
          <w:rFonts w:hint="default" w:ascii="宋体" w:hAnsi="宋体" w:eastAsia="宋体" w:cs="宋体"/>
          <w:b/>
          <w:sz w:val="24"/>
          <w:szCs w:val="24"/>
        </w:rPr>
      </w:pPr>
      <w:r>
        <w:rPr>
          <w:rFonts w:hint="eastAsia" w:ascii="宋体" w:hAnsi="宋体" w:eastAsia="宋体" w:cs="宋体"/>
          <w:b/>
          <w:sz w:val="24"/>
          <w:szCs w:val="24"/>
        </w:rPr>
        <w:t xml:space="preserve">以下术语有特定的含义：</w:t>
      </w:r>
      <w:r/>
    </w:p>
    <w:p>
      <w:pPr>
        <w:ind w:left="0" w:firstLine="480"/>
        <w:spacing w:line="360" w:lineRule="auto"/>
        <w:widowControl w:val="off"/>
        <w:rPr>
          <w:rFonts w:hint="default" w:ascii="宋体" w:hAnsi="宋体" w:eastAsia="宋体" w:cs="宋体"/>
          <w:sz w:val="24"/>
          <w:szCs w:val="24"/>
        </w:rPr>
      </w:pPr>
      <w:r>
        <w:rPr>
          <w:rFonts w:hint="eastAsia" w:ascii="宋体" w:hAnsi="宋体" w:eastAsia="宋体" w:cs="宋体"/>
          <w:sz w:val="24"/>
          <w:szCs w:val="24"/>
        </w:rPr>
        <w:t xml:space="preserve">服务是指根据合同规定乙方应承担</w:t>
      </w:r>
      <w:r>
        <w:rPr>
          <w:rFonts w:hint="eastAsia" w:ascii="宋体" w:hAnsi="宋体" w:eastAsia="宋体" w:cs="宋体"/>
          <w:sz w:val="24"/>
          <w:szCs w:val="24"/>
          <w:u w:val="single"/>
        </w:rPr>
        <w:t xml:space="preserve"> </w:t>
      </w:r>
      <w:r>
        <w:rPr>
          <w:rFonts w:hint="default" w:ascii="宋体" w:hAnsi="宋体" w:eastAsia="宋体" w:cs="宋体"/>
          <w:sz w:val="24"/>
          <w:szCs w:val="24"/>
          <w:u w:val="single"/>
        </w:rPr>
        <w:t xml:space="preserve">                 </w:t>
      </w:r>
      <w:r>
        <w:rPr>
          <w:rFonts w:hint="eastAsia" w:ascii="宋体" w:hAnsi="宋体" w:eastAsia="宋体" w:cs="宋体"/>
          <w:sz w:val="24"/>
          <w:szCs w:val="24"/>
        </w:rPr>
        <w:t xml:space="preserve">等工作和合同中规定乙方应承担的其它义务。</w:t>
      </w:r>
      <w:r/>
    </w:p>
    <w:p>
      <w:pPr>
        <w:ind w:left="0" w:firstLine="480"/>
        <w:spacing w:line="360" w:lineRule="auto"/>
        <w:widowControl w:val="off"/>
        <w:rPr>
          <w:rFonts w:hint="default" w:ascii="宋体" w:hAnsi="宋体" w:eastAsia="宋体" w:cs="宋体"/>
          <w:sz w:val="24"/>
          <w:szCs w:val="24"/>
        </w:rPr>
      </w:pPr>
      <w:r>
        <w:rPr>
          <w:rFonts w:hint="eastAsia" w:ascii="宋体" w:hAnsi="宋体" w:eastAsia="宋体" w:cs="宋体"/>
          <w:sz w:val="24"/>
          <w:szCs w:val="24"/>
        </w:rPr>
        <w:t xml:space="preserve">合同价款是指根据成交单位的投标文件和合同规定，乙方在正确地履行合同义务后甲方应支付给乙方的价款。</w:t>
      </w:r>
      <w:r/>
    </w:p>
    <w:p>
      <w:pPr>
        <w:ind w:left="0" w:firstLine="480"/>
        <w:spacing w:line="360" w:lineRule="auto"/>
        <w:widowControl w:val="off"/>
        <w:rPr>
          <w:rFonts w:hint="default" w:ascii="宋体" w:hAnsi="宋体" w:eastAsia="宋体" w:cs="宋体"/>
          <w:sz w:val="24"/>
          <w:szCs w:val="24"/>
        </w:rPr>
      </w:pPr>
      <w:r>
        <w:rPr>
          <w:rFonts w:hint="eastAsia" w:ascii="宋体" w:hAnsi="宋体" w:eastAsia="宋体" w:cs="宋体"/>
          <w:sz w:val="24"/>
          <w:szCs w:val="24"/>
        </w:rPr>
        <w:t xml:space="preserve">甲方是指合同中明确规定的实际购买和接受服务的单位。</w:t>
      </w:r>
      <w:r/>
    </w:p>
    <w:p>
      <w:pPr>
        <w:ind w:left="0" w:firstLine="480"/>
        <w:spacing w:line="360" w:lineRule="auto"/>
        <w:widowControl w:val="off"/>
        <w:rPr>
          <w:rFonts w:hint="default" w:ascii="宋体" w:hAnsi="宋体" w:eastAsia="宋体" w:cs="宋体"/>
          <w:sz w:val="24"/>
          <w:szCs w:val="24"/>
        </w:rPr>
      </w:pPr>
      <w:r>
        <w:rPr>
          <w:rFonts w:hint="eastAsia" w:ascii="宋体" w:hAnsi="宋体" w:eastAsia="宋体" w:cs="宋体"/>
          <w:sz w:val="24"/>
          <w:szCs w:val="24"/>
        </w:rPr>
        <w:t xml:space="preserve">乙方是指合同中规定的提供服务的单位。</w:t>
      </w:r>
      <w:r/>
    </w:p>
    <w:p>
      <w:pPr>
        <w:ind w:left="0" w:firstLine="480"/>
        <w:spacing w:line="360" w:lineRule="auto"/>
        <w:widowControl w:val="off"/>
        <w:rPr>
          <w:rFonts w:hint="default" w:ascii="宋体" w:hAnsi="宋体" w:eastAsia="宋体" w:cs="宋体"/>
          <w:sz w:val="24"/>
          <w:szCs w:val="24"/>
        </w:rPr>
      </w:pPr>
      <w:r>
        <w:rPr>
          <w:rFonts w:hint="eastAsia" w:ascii="宋体" w:hAnsi="宋体" w:eastAsia="宋体" w:cs="宋体"/>
          <w:sz w:val="24"/>
          <w:szCs w:val="24"/>
        </w:rPr>
        <w:t xml:space="preserve">损失是指合同一方因不履行合同义务而导致另一方及第三方的各种损失的费用，还包括守约方为减轻损失或维护权利而需支付的各种调查费用、车旅费用、律师费用等。</w:t>
      </w:r>
      <w:r/>
    </w:p>
    <w:p>
      <w:pPr>
        <w:ind w:left="0" w:firstLine="482"/>
        <w:spacing w:line="360" w:lineRule="auto"/>
        <w:widowControl w:val="off"/>
        <w:rPr>
          <w:rFonts w:hint="default" w:ascii="宋体" w:hAnsi="宋体" w:eastAsia="宋体" w:cs="宋体"/>
          <w:b/>
          <w:sz w:val="24"/>
          <w:szCs w:val="24"/>
        </w:rPr>
      </w:pPr>
      <w:r>
        <w:rPr>
          <w:rFonts w:hint="eastAsia" w:ascii="宋体" w:hAnsi="宋体" w:eastAsia="宋体" w:cs="宋体"/>
          <w:b/>
          <w:sz w:val="24"/>
          <w:szCs w:val="24"/>
        </w:rPr>
        <w:t xml:space="preserve">二、合同项目及期限</w:t>
      </w:r>
      <w:r/>
    </w:p>
    <w:p>
      <w:pPr>
        <w:ind w:left="0" w:firstLine="480"/>
        <w:spacing w:line="360" w:lineRule="auto"/>
        <w:widowControl w:val="off"/>
        <w:rPr>
          <w:rFonts w:hint="default" w:ascii="宋体" w:hAnsi="宋体" w:eastAsia="宋体" w:cs="宋体"/>
          <w:sz w:val="24"/>
          <w:szCs w:val="24"/>
        </w:rPr>
      </w:pPr>
      <w:r>
        <w:rPr>
          <w:rFonts w:hint="eastAsia" w:ascii="宋体" w:hAnsi="宋体" w:eastAsia="宋体" w:cs="宋体"/>
          <w:sz w:val="24"/>
          <w:szCs w:val="24"/>
        </w:rPr>
        <w:t xml:space="preserve">2.1乙方负责</w:t>
      </w:r>
      <w:r>
        <w:rPr>
          <w:rFonts w:hint="eastAsia" w:ascii="宋体" w:hAnsi="宋体" w:eastAsia="宋体" w:cs="宋体"/>
          <w:sz w:val="24"/>
          <w:szCs w:val="24"/>
          <w:u w:val="single"/>
        </w:rPr>
        <w:t xml:space="preserve"> </w:t>
      </w:r>
      <w:r>
        <w:rPr>
          <w:rFonts w:hint="default" w:ascii="宋体" w:hAnsi="宋体" w:eastAsia="宋体" w:cs="宋体"/>
          <w:sz w:val="24"/>
          <w:szCs w:val="24"/>
          <w:u w:val="single"/>
        </w:rPr>
        <w:t xml:space="preserve">                 </w:t>
      </w:r>
      <w:r>
        <w:rPr>
          <w:rFonts w:hint="eastAsia" w:ascii="宋体" w:hAnsi="宋体" w:eastAsia="宋体" w:cs="宋体"/>
          <w:sz w:val="24"/>
          <w:szCs w:val="24"/>
        </w:rPr>
        <w:t xml:space="preserve">的服务工作。</w:t>
      </w:r>
      <w:r/>
    </w:p>
    <w:p>
      <w:pPr>
        <w:ind w:left="0" w:firstLine="480"/>
        <w:spacing w:line="360" w:lineRule="auto"/>
        <w:widowControl w:val="off"/>
        <w:rPr>
          <w:rFonts w:hint="default" w:ascii="宋体" w:hAnsi="宋体" w:eastAsia="宋体" w:cs="宋体"/>
          <w:sz w:val="24"/>
          <w:szCs w:val="24"/>
        </w:rPr>
      </w:pPr>
      <w:r>
        <w:rPr>
          <w:rFonts w:hint="eastAsia" w:ascii="宋体" w:hAnsi="宋体" w:eastAsia="宋体" w:cs="宋体"/>
          <w:sz w:val="24"/>
          <w:szCs w:val="24"/>
        </w:rPr>
        <w:t xml:space="preserve">2.2服务期限：</w:t>
      </w:r>
      <w:r/>
    </w:p>
    <w:p>
      <w:pPr>
        <w:ind w:left="0" w:firstLine="480"/>
        <w:spacing w:line="360" w:lineRule="auto"/>
        <w:widowControl w:val="off"/>
        <w:rPr>
          <w:rFonts w:hint="default" w:ascii="宋体" w:hAnsi="宋体" w:eastAsia="宋体" w:cs="宋体"/>
          <w:sz w:val="24"/>
          <w:szCs w:val="24"/>
        </w:rPr>
      </w:pPr>
      <w:r>
        <w:rPr>
          <w:rFonts w:hint="eastAsia" w:ascii="宋体" w:hAnsi="宋体" w:eastAsia="宋体" w:cs="宋体"/>
          <w:sz w:val="24"/>
          <w:szCs w:val="24"/>
        </w:rPr>
        <w:t xml:space="preserve">2</w:t>
      </w:r>
      <w:r>
        <w:rPr>
          <w:rFonts w:hint="default" w:ascii="宋体" w:hAnsi="宋体" w:eastAsia="宋体" w:cs="宋体"/>
          <w:sz w:val="24"/>
          <w:szCs w:val="24"/>
        </w:rPr>
        <w:t xml:space="preserve">.3</w:t>
      </w:r>
      <w:r>
        <w:rPr>
          <w:rFonts w:hint="eastAsia" w:ascii="宋体" w:hAnsi="宋体" w:eastAsia="宋体" w:cs="宋体"/>
          <w:sz w:val="24"/>
          <w:szCs w:val="24"/>
        </w:rPr>
        <w:t xml:space="preserve">服务地点：根据甲方指定地点。</w:t>
      </w:r>
      <w:r/>
    </w:p>
    <w:p>
      <w:pPr>
        <w:ind w:left="0" w:firstLine="482"/>
        <w:spacing w:line="360" w:lineRule="auto"/>
        <w:widowControl w:val="off"/>
        <w:rPr>
          <w:rFonts w:hint="default" w:ascii="宋体" w:hAnsi="宋体" w:eastAsia="宋体" w:cs="宋体"/>
          <w:sz w:val="24"/>
          <w:szCs w:val="24"/>
        </w:rPr>
      </w:pPr>
      <w:r>
        <w:rPr>
          <w:rFonts w:hint="eastAsia" w:ascii="宋体" w:hAnsi="宋体" w:eastAsia="宋体" w:cs="宋体"/>
          <w:b/>
          <w:sz w:val="24"/>
          <w:szCs w:val="24"/>
        </w:rPr>
        <w:t xml:space="preserve">三、合同总价款：</w:t>
      </w:r>
      <w:r>
        <w:rPr>
          <w:rFonts w:hint="eastAsia" w:ascii="宋体" w:hAnsi="宋体" w:eastAsia="宋体" w:cs="宋体"/>
          <w:sz w:val="24"/>
          <w:szCs w:val="24"/>
        </w:rPr>
        <w:t xml:space="preserve">大写人民币</w:t>
      </w:r>
      <w:r>
        <w:rPr>
          <w:rFonts w:hint="eastAsia" w:ascii="宋体" w:hAnsi="宋体" w:eastAsia="宋体" w:cs="宋体"/>
          <w:sz w:val="24"/>
          <w:szCs w:val="24"/>
          <w:u w:val="single"/>
        </w:rPr>
        <w:t xml:space="preserve"> </w:t>
      </w:r>
      <w:r>
        <w:rPr>
          <w:rFonts w:hint="default" w:ascii="宋体" w:hAnsi="宋体" w:eastAsia="宋体" w:cs="宋体"/>
          <w:sz w:val="24"/>
          <w:szCs w:val="24"/>
          <w:u w:val="single"/>
        </w:rPr>
        <w:t xml:space="preserve">          </w:t>
      </w:r>
      <w:r>
        <w:rPr>
          <w:rFonts w:hint="eastAsia" w:ascii="宋体" w:hAnsi="宋体" w:eastAsia="宋体" w:cs="宋体"/>
          <w:sz w:val="24"/>
          <w:szCs w:val="24"/>
        </w:rPr>
        <w:t xml:space="preserve">元整，小写￥</w:t>
      </w:r>
      <w:r>
        <w:rPr>
          <w:rFonts w:hint="eastAsia" w:ascii="宋体" w:hAnsi="宋体" w:eastAsia="宋体" w:cs="宋体"/>
          <w:sz w:val="24"/>
          <w:szCs w:val="24"/>
          <w:u w:val="single"/>
        </w:rPr>
        <w:t xml:space="preserve"> </w:t>
      </w:r>
      <w:r>
        <w:rPr>
          <w:rFonts w:hint="default" w:ascii="宋体" w:hAnsi="宋体" w:eastAsia="宋体" w:cs="宋体"/>
          <w:sz w:val="24"/>
          <w:szCs w:val="24"/>
          <w:u w:val="single"/>
        </w:rPr>
        <w:t xml:space="preserve">                 </w:t>
      </w:r>
      <w:r>
        <w:rPr>
          <w:rFonts w:hint="eastAsia" w:ascii="宋体" w:hAnsi="宋体" w:eastAsia="宋体" w:cs="宋体"/>
          <w:sz w:val="24"/>
          <w:szCs w:val="24"/>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82"/>
        <w:spacing w:line="360" w:lineRule="auto"/>
        <w:widowControl w:val="off"/>
        <w:rPr>
          <w:rFonts w:hint="default" w:ascii="宋体" w:hAnsi="宋体" w:eastAsia="宋体" w:cs="宋体"/>
          <w:b/>
          <w:sz w:val="24"/>
          <w:szCs w:val="24"/>
        </w:rPr>
      </w:pPr>
      <w:r>
        <w:rPr>
          <w:rFonts w:hint="eastAsia" w:ascii="宋体" w:hAnsi="宋体" w:eastAsia="宋体" w:cs="宋体"/>
          <w:b/>
          <w:sz w:val="24"/>
          <w:szCs w:val="24"/>
        </w:rPr>
        <w:t xml:space="preserve">四、考核</w:t>
      </w:r>
      <w:r/>
    </w:p>
    <w:p>
      <w:pPr>
        <w:ind w:left="0" w:firstLine="480"/>
        <w:spacing w:line="360" w:lineRule="auto"/>
        <w:widowControl w:val="off"/>
        <w:rPr>
          <w:rFonts w:hint="default" w:ascii="宋体" w:hAnsi="宋体" w:eastAsia="宋体" w:cs="宋体"/>
          <w:sz w:val="24"/>
          <w:szCs w:val="24"/>
        </w:rPr>
      </w:pPr>
      <w:r>
        <w:rPr>
          <w:rFonts w:hint="eastAsia" w:ascii="宋体" w:hAnsi="宋体" w:eastAsia="宋体" w:cs="宋体"/>
          <w:sz w:val="24"/>
          <w:szCs w:val="24"/>
        </w:rPr>
        <w:t xml:space="preserve">考核参照</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202</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年智水苏州硬件运维管理考核办法</w:t>
      </w:r>
      <w:r>
        <w:rPr>
          <w:rFonts w:hint="eastAsia" w:ascii="宋体" w:hAnsi="宋体" w:eastAsia="宋体" w:cs="宋体"/>
          <w:sz w:val="24"/>
          <w:szCs w:val="24"/>
          <w:lang w:val="en-US" w:eastAsia="zh-CN"/>
        </w:rPr>
        <w:t xml:space="preserve">-标段一</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（详见附件1）。</w:t>
      </w:r>
      <w:r/>
    </w:p>
    <w:p>
      <w:pPr>
        <w:ind w:left="0" w:firstLine="480"/>
        <w:spacing w:line="360" w:lineRule="auto"/>
        <w:widowControl w:val="off"/>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考核以百分制的方式进行，</w:t>
      </w:r>
      <w:r>
        <w:rPr>
          <w:rFonts w:hint="eastAsia" w:ascii="宋体" w:hAnsi="宋体" w:eastAsia="宋体" w:cs="宋体"/>
          <w:sz w:val="24"/>
          <w:szCs w:val="24"/>
          <w:highlight w:val="none"/>
          <w:lang w:val="en-US" w:eastAsia="zh-CN"/>
        </w:rPr>
        <w:t xml:space="preserve">每月进行考核</w:t>
      </w:r>
      <w:r>
        <w:rPr>
          <w:rFonts w:hint="eastAsia" w:ascii="宋体" w:hAnsi="宋体" w:eastAsia="宋体" w:cs="宋体"/>
          <w:sz w:val="24"/>
          <w:szCs w:val="24"/>
          <w:highlight w:val="none"/>
        </w:rPr>
        <w:t xml:space="preserve">，甲方针对已完成的维保质量进行考核评分（每期实际付款金额与考评结果挂钩）。</w:t>
      </w:r>
      <w:r/>
    </w:p>
    <w:p>
      <w:pPr>
        <w:ind w:left="0" w:firstLine="480"/>
        <w:spacing w:line="360" w:lineRule="auto"/>
        <w:widowControl w:val="off"/>
        <w:rPr>
          <w:rFonts w:hint="default" w:ascii="宋体" w:hAnsi="宋体" w:eastAsia="宋体" w:cs="宋体"/>
          <w:sz w:val="24"/>
          <w:szCs w:val="24"/>
        </w:rPr>
      </w:pPr>
      <w:r>
        <w:rPr>
          <w:rFonts w:hint="eastAsia" w:ascii="宋体" w:hAnsi="宋体" w:eastAsia="宋体" w:cs="宋体"/>
          <w:sz w:val="24"/>
          <w:szCs w:val="24"/>
        </w:rPr>
        <w:t xml:space="preserve">每个考核周期综合得分在90分（含）以上的：按100%比例支付当期服务费用。</w:t>
      </w:r>
      <w:r/>
    </w:p>
    <w:p>
      <w:pPr>
        <w:ind w:left="0" w:firstLine="480"/>
        <w:spacing w:line="360" w:lineRule="auto"/>
        <w:widowControl w:val="off"/>
        <w:rPr>
          <w:rFonts w:hint="default" w:ascii="宋体" w:hAnsi="宋体" w:eastAsia="宋体" w:cs="宋体"/>
          <w:sz w:val="24"/>
          <w:szCs w:val="24"/>
        </w:rPr>
      </w:pPr>
      <w:r>
        <w:rPr>
          <w:rFonts w:hint="eastAsia" w:ascii="宋体" w:hAnsi="宋体" w:eastAsia="宋体" w:cs="宋体"/>
          <w:sz w:val="24"/>
          <w:szCs w:val="24"/>
        </w:rPr>
        <w:t xml:space="preserve">每个考核周期综合得分在80分（含）以上不满90分的：减按90%比例支付当期服务费用。</w:t>
      </w:r>
      <w:r/>
    </w:p>
    <w:p>
      <w:pPr>
        <w:ind w:left="0" w:firstLine="480"/>
        <w:spacing w:line="360" w:lineRule="auto"/>
        <w:widowControl w:val="off"/>
        <w:rPr>
          <w:rFonts w:hint="default" w:ascii="宋体" w:hAnsi="宋体" w:eastAsia="宋体" w:cs="宋体"/>
          <w:sz w:val="24"/>
          <w:szCs w:val="24"/>
        </w:rPr>
      </w:pPr>
      <w:r>
        <w:rPr>
          <w:rFonts w:hint="eastAsia" w:ascii="宋体" w:hAnsi="宋体" w:eastAsia="宋体" w:cs="宋体"/>
          <w:sz w:val="24"/>
          <w:szCs w:val="24"/>
        </w:rPr>
        <w:t xml:space="preserve">每个考核周期综合得分在70分（含）以上不满80分的：减按80%比例支付当期服务费用。</w:t>
      </w:r>
      <w:r/>
    </w:p>
    <w:p>
      <w:pPr>
        <w:ind w:left="0" w:firstLine="480"/>
        <w:spacing w:line="360" w:lineRule="auto"/>
        <w:widowControl w:val="off"/>
        <w:rPr>
          <w:rFonts w:hint="default" w:ascii="宋体" w:hAnsi="宋体" w:eastAsia="宋体" w:cs="宋体"/>
          <w:sz w:val="24"/>
          <w:szCs w:val="24"/>
        </w:rPr>
      </w:pPr>
      <w:r>
        <w:rPr>
          <w:rFonts w:hint="eastAsia" w:ascii="宋体" w:hAnsi="宋体" w:eastAsia="宋体" w:cs="宋体"/>
          <w:sz w:val="24"/>
          <w:szCs w:val="24"/>
        </w:rPr>
        <w:t xml:space="preserve">每个考核周期综合得分在60分（含）以上不满70分的：减按70%比例支付当期服务费用。</w:t>
      </w:r>
      <w:r/>
    </w:p>
    <w:p>
      <w:pPr>
        <w:ind w:left="0" w:firstLine="480"/>
        <w:spacing w:line="360" w:lineRule="auto"/>
        <w:widowControl w:val="off"/>
        <w:rPr>
          <w:rFonts w:hint="default" w:ascii="宋体" w:hAnsi="宋体" w:eastAsia="宋体" w:cs="宋体"/>
          <w:sz w:val="24"/>
          <w:szCs w:val="24"/>
        </w:rPr>
      </w:pPr>
      <w:r>
        <w:rPr>
          <w:rFonts w:hint="eastAsia" w:ascii="宋体" w:hAnsi="宋体" w:eastAsia="宋体" w:cs="宋体"/>
          <w:sz w:val="24"/>
          <w:szCs w:val="24"/>
        </w:rPr>
        <w:t xml:space="preserve">每个考核周期综合得分低于60分的：全额扣减当期服务费用</w:t>
      </w:r>
      <w:r/>
    </w:p>
    <w:p>
      <w:pPr>
        <w:ind w:left="0" w:firstLine="482"/>
        <w:spacing w:line="360" w:lineRule="auto"/>
        <w:widowControl w:val="off"/>
        <w:rPr>
          <w:rFonts w:hint="default" w:ascii="宋体" w:hAnsi="宋体" w:eastAsia="宋体" w:cs="宋体"/>
          <w:b/>
          <w:sz w:val="24"/>
          <w:szCs w:val="24"/>
        </w:rPr>
      </w:pPr>
      <w:r>
        <w:rPr>
          <w:rFonts w:hint="eastAsia" w:ascii="宋体" w:hAnsi="宋体" w:eastAsia="宋体" w:cs="宋体"/>
          <w:b/>
          <w:sz w:val="24"/>
          <w:szCs w:val="24"/>
        </w:rPr>
        <w:t xml:space="preserve">五、付款方式</w:t>
      </w:r>
      <w:r/>
    </w:p>
    <w:p>
      <w:pPr>
        <w:ind w:left="0" w:firstLine="480"/>
        <w:spacing w:line="360" w:lineRule="auto"/>
        <w:widowControl w:val="off"/>
        <w:rPr>
          <w:rFonts w:hint="default" w:ascii="宋体" w:hAnsi="宋体" w:eastAsia="宋体" w:cs="宋体"/>
          <w:sz w:val="24"/>
          <w:szCs w:val="24"/>
        </w:rPr>
      </w:pPr>
      <w:r>
        <w:rPr>
          <w:rFonts w:hint="default" w:ascii="宋体" w:hAnsi="宋体" w:eastAsia="宋体" w:cs="宋体"/>
          <w:sz w:val="24"/>
          <w:szCs w:val="24"/>
        </w:rPr>
        <w:t xml:space="preserve">1.</w:t>
      </w:r>
      <w:r>
        <w:rPr>
          <w:rFonts w:hint="eastAsia" w:ascii="宋体" w:hAnsi="宋体" w:eastAsia="宋体" w:cs="宋体"/>
          <w:sz w:val="24"/>
          <w:szCs w:val="24"/>
        </w:rPr>
        <w:t xml:space="preserve">付款步骤：</w:t>
      </w:r>
      <w:r/>
    </w:p>
    <w:p>
      <w:pPr>
        <w:ind w:left="0" w:firstLine="480"/>
        <w:spacing w:line="360" w:lineRule="auto"/>
        <w:widowControl w:val="off"/>
        <w:rPr>
          <w:rFonts w:hint="default" w:ascii="宋体" w:hAnsi="宋体" w:eastAsia="宋体" w:cs="宋体"/>
          <w:sz w:val="24"/>
          <w:szCs w:val="24"/>
        </w:rPr>
      </w:pPr>
      <w:r>
        <w:rPr>
          <w:rFonts w:hint="eastAsia" w:ascii="宋体" w:hAnsi="宋体" w:eastAsia="宋体" w:cs="宋体"/>
          <w:sz w:val="24"/>
          <w:szCs w:val="24"/>
        </w:rPr>
        <w:t xml:space="preserve">（1）支付步骤</w:t>
      </w:r>
      <w:r/>
    </w:p>
    <w:p>
      <w:pPr>
        <w:ind w:left="0" w:firstLine="482"/>
        <w:spacing w:line="360" w:lineRule="auto"/>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预付款：</w:t>
      </w:r>
      <w:r>
        <w:rPr>
          <w:rFonts w:hint="eastAsia" w:ascii="宋体" w:hAnsi="宋体" w:eastAsia="宋体" w:cs="宋体"/>
          <w:sz w:val="24"/>
          <w:szCs w:val="24"/>
          <w:highlight w:val="none"/>
        </w:rPr>
        <w:t xml:space="preserve">自本合同签订生效之日起，甲方向乙方支付合同总价的10%作为预付款。</w:t>
      </w:r>
      <w:r/>
    </w:p>
    <w:p>
      <w:pPr>
        <w:ind w:left="478" w:firstLine="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进度款：</w:t>
      </w:r>
      <w:r>
        <w:rPr>
          <w:rFonts w:hint="eastAsia" w:ascii="宋体" w:hAnsi="宋体" w:eastAsia="宋体" w:cs="宋体"/>
          <w:sz w:val="24"/>
          <w:szCs w:val="24"/>
          <w:highlight w:val="none"/>
        </w:rPr>
        <w:t xml:space="preserve">项目实施期间实行月度考核，</w:t>
      </w:r>
      <w:r>
        <w:rPr>
          <w:rFonts w:hint="eastAsia" w:ascii="宋体" w:hAnsi="宋体" w:eastAsia="宋体" w:cs="宋体"/>
          <w:sz w:val="24"/>
          <w:szCs w:val="24"/>
          <w:highlight w:val="none"/>
          <w:lang w:val="en-US" w:eastAsia="zh-CN"/>
        </w:rPr>
        <w:t xml:space="preserve">自运维期</w:t>
      </w:r>
      <w:r>
        <w:rPr>
          <w:rFonts w:hint="eastAsia" w:ascii="宋体" w:hAnsi="宋体" w:eastAsia="宋体" w:cs="宋体"/>
          <w:sz w:val="24"/>
          <w:szCs w:val="24"/>
          <w:highlight w:val="none"/>
        </w:rPr>
        <w:t xml:space="preserve">第四个月开始，乙方考核合格后，甲方按月支付合同总价4%的进度款。</w:t>
      </w:r>
      <w:r/>
    </w:p>
    <w:p>
      <w:pPr>
        <w:ind w:left="0" w:firstLine="482"/>
        <w:spacing w:line="360" w:lineRule="auto"/>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尾款：</w:t>
      </w:r>
      <w:r>
        <w:rPr>
          <w:rFonts w:hint="eastAsia" w:ascii="宋体" w:hAnsi="宋体" w:eastAsia="宋体" w:cs="宋体"/>
          <w:sz w:val="24"/>
          <w:szCs w:val="24"/>
          <w:highlight w:val="none"/>
        </w:rPr>
        <w:t xml:space="preserve">项目全部完成并经甲方验收合格后，甲方向乙方一次性支付合同剩余全部款项。</w:t>
      </w:r>
      <w:r/>
    </w:p>
    <w:p>
      <w:pPr>
        <w:ind w:left="0" w:firstLine="480"/>
        <w:spacing w:line="360" w:lineRule="auto"/>
        <w:widowControl w:val="off"/>
        <w:rPr>
          <w:rFonts w:hint="default" w:ascii="宋体" w:hAnsi="宋体" w:eastAsia="宋体" w:cs="宋体"/>
          <w:sz w:val="24"/>
          <w:szCs w:val="24"/>
        </w:rPr>
      </w:pPr>
      <w:r>
        <w:rPr>
          <w:rFonts w:hint="eastAsia" w:ascii="宋体" w:hAnsi="宋体" w:eastAsia="宋体" w:cs="宋体"/>
          <w:sz w:val="24"/>
          <w:szCs w:val="24"/>
        </w:rPr>
        <w:t xml:space="preserve">（2）在签订合同时，乙方明确表示无需预付款或者主动要求降低预付款比例的，甲方可不适用上述关于预付款的规定。</w:t>
      </w:r>
      <w:r/>
    </w:p>
    <w:p>
      <w:pPr>
        <w:ind w:left="0" w:firstLine="482"/>
        <w:spacing w:line="360" w:lineRule="auto"/>
        <w:widowControl w:val="off"/>
        <w:rPr>
          <w:rFonts w:hint="default" w:ascii="宋体" w:hAnsi="宋体" w:eastAsia="宋体" w:cs="宋体"/>
          <w:b/>
          <w:sz w:val="24"/>
          <w:szCs w:val="24"/>
        </w:rPr>
      </w:pPr>
      <w:r>
        <w:rPr>
          <w:rFonts w:hint="eastAsia" w:ascii="宋体" w:hAnsi="宋体" w:eastAsia="宋体" w:cs="宋体"/>
          <w:b/>
          <w:sz w:val="24"/>
          <w:szCs w:val="24"/>
        </w:rPr>
        <w:t xml:space="preserve">（3）按照《江苏省财政厅 国家金融监管总局江苏监管局 江苏省地方金融监督管理局关于在全省政府采购领域推行电子履约保函(保险)的通知》和相关法律法规规定，采购人如向中标(成交)供应商</w:t>
      </w:r>
      <w:r>
        <w:rPr>
          <w:rFonts w:hint="eastAsia" w:ascii="宋体" w:hAnsi="宋体" w:eastAsia="宋体" w:cs="宋体"/>
          <w:b/>
          <w:sz w:val="24"/>
          <w:szCs w:val="24"/>
          <w:highlight w:val="none"/>
        </w:rPr>
        <w:t xml:space="preserve">收取履约保证金的，供</w:t>
      </w:r>
      <w:r>
        <w:rPr>
          <w:rFonts w:hint="eastAsia" w:ascii="宋体" w:hAnsi="宋体" w:eastAsia="宋体" w:cs="宋体"/>
          <w:b/>
          <w:sz w:val="24"/>
          <w:szCs w:val="24"/>
        </w:rPr>
        <w:t xml:space="preserve">应商可以以履约保函(保险)的形式代替提供履约保证金。</w:t>
      </w:r>
      <w:r/>
    </w:p>
    <w:p>
      <w:pPr>
        <w:ind w:left="0" w:firstLine="480"/>
        <w:spacing w:line="360" w:lineRule="auto"/>
        <w:widowControl w:val="off"/>
        <w:rPr>
          <w:rFonts w:hint="default" w:ascii="宋体" w:hAnsi="宋体" w:eastAsia="宋体" w:cs="宋体"/>
          <w:sz w:val="24"/>
          <w:szCs w:val="24"/>
        </w:rPr>
      </w:pPr>
      <w:r>
        <w:rPr>
          <w:rFonts w:hint="default" w:ascii="宋体" w:hAnsi="宋体" w:eastAsia="宋体" w:cs="宋体"/>
          <w:sz w:val="24"/>
          <w:szCs w:val="24"/>
        </w:rPr>
        <w:t xml:space="preserve">2</w:t>
      </w:r>
      <w:r>
        <w:rPr>
          <w:rFonts w:hint="eastAsia" w:ascii="宋体" w:hAnsi="宋体" w:eastAsia="宋体" w:cs="宋体"/>
          <w:sz w:val="24"/>
          <w:szCs w:val="24"/>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left="0" w:firstLine="480"/>
        <w:spacing w:line="360" w:lineRule="auto"/>
        <w:widowControl w:val="off"/>
        <w:rPr>
          <w:rFonts w:hint="default" w:ascii="宋体" w:hAnsi="宋体" w:eastAsia="宋体" w:cs="宋体"/>
          <w:sz w:val="24"/>
          <w:szCs w:val="24"/>
        </w:rPr>
      </w:pPr>
      <w:r>
        <w:rPr>
          <w:rFonts w:hint="eastAsia" w:ascii="宋体" w:hAnsi="宋体" w:eastAsia="宋体" w:cs="宋体"/>
          <w:sz w:val="24"/>
          <w:szCs w:val="24"/>
        </w:rPr>
        <w:t xml:space="preserve">3.支付方式：本次货款以数字人民币形式支付。乙方账户信息如下：</w:t>
      </w:r>
      <w:r/>
    </w:p>
    <w:p>
      <w:pPr>
        <w:ind w:left="0" w:firstLine="480"/>
        <w:spacing w:line="360" w:lineRule="auto"/>
        <w:widowControl w:val="off"/>
        <w:rPr>
          <w:rFonts w:hint="default" w:ascii="宋体" w:hAnsi="宋体" w:eastAsia="宋体" w:cs="宋体"/>
          <w:sz w:val="24"/>
          <w:szCs w:val="24"/>
        </w:rPr>
      </w:pPr>
      <w:r>
        <w:rPr>
          <w:rFonts w:hint="eastAsia" w:ascii="宋体" w:hAnsi="宋体" w:eastAsia="宋体" w:cs="宋体"/>
          <w:sz w:val="24"/>
          <w:szCs w:val="24"/>
        </w:rPr>
        <w:t xml:space="preserve">开户名称：</w:t>
      </w:r>
      <w:r/>
    </w:p>
    <w:p>
      <w:pPr>
        <w:ind w:left="0" w:firstLine="480"/>
        <w:spacing w:line="360" w:lineRule="auto"/>
        <w:widowControl w:val="off"/>
        <w:rPr>
          <w:rFonts w:hint="default" w:ascii="宋体" w:hAnsi="宋体" w:eastAsia="宋体" w:cs="宋体"/>
          <w:sz w:val="24"/>
          <w:szCs w:val="24"/>
        </w:rPr>
      </w:pPr>
      <w:r>
        <w:rPr>
          <w:rFonts w:hint="eastAsia" w:ascii="宋体" w:hAnsi="宋体" w:eastAsia="宋体" w:cs="宋体"/>
          <w:sz w:val="24"/>
          <w:szCs w:val="24"/>
        </w:rPr>
        <w:t xml:space="preserve">开户银行：</w:t>
      </w:r>
      <w:r/>
    </w:p>
    <w:p>
      <w:pPr>
        <w:ind w:left="0" w:firstLine="480"/>
        <w:spacing w:line="360" w:lineRule="auto"/>
        <w:widowControl w:val="off"/>
        <w:rPr>
          <w:rFonts w:hint="default" w:ascii="宋体" w:hAnsi="宋体" w:eastAsia="宋体" w:cs="宋体"/>
          <w:sz w:val="24"/>
          <w:szCs w:val="24"/>
        </w:rPr>
      </w:pPr>
      <w:r>
        <w:rPr>
          <w:rFonts w:hint="eastAsia" w:ascii="宋体" w:hAnsi="宋体" w:eastAsia="宋体" w:cs="宋体"/>
          <w:sz w:val="24"/>
          <w:szCs w:val="24"/>
        </w:rPr>
        <w:t xml:space="preserve">数字人民币账户（数币钱包ID）：</w:t>
      </w:r>
      <w:r/>
    </w:p>
    <w:p>
      <w:pPr>
        <w:ind w:left="0" w:firstLine="482"/>
        <w:spacing w:line="360" w:lineRule="auto"/>
        <w:widowControl w:val="off"/>
        <w:rPr>
          <w:rFonts w:hint="default" w:ascii="宋体" w:hAnsi="宋体" w:eastAsia="宋体" w:cs="宋体"/>
          <w:b/>
          <w:sz w:val="24"/>
          <w:szCs w:val="24"/>
        </w:rPr>
      </w:pPr>
      <w:r>
        <w:rPr>
          <w:rFonts w:hint="default" w:ascii="宋体" w:hAnsi="宋体" w:eastAsia="宋体" w:cs="宋体"/>
          <w:b/>
          <w:sz w:val="24"/>
          <w:szCs w:val="24"/>
        </w:rPr>
      </w:r>
      <w:r/>
    </w:p>
    <w:p>
      <w:pPr>
        <w:ind w:left="0" w:firstLine="482"/>
        <w:spacing w:line="360" w:lineRule="auto"/>
        <w:widowControl w:val="off"/>
        <w:rPr>
          <w:rFonts w:hint="default" w:ascii="宋体" w:hAnsi="宋体" w:eastAsia="宋体" w:cs="宋体"/>
          <w:b/>
          <w:sz w:val="24"/>
          <w:szCs w:val="24"/>
        </w:rPr>
      </w:pPr>
      <w:r>
        <w:rPr>
          <w:rFonts w:hint="eastAsia" w:ascii="宋体" w:hAnsi="宋体" w:eastAsia="宋体" w:cs="宋体"/>
          <w:b/>
          <w:sz w:val="24"/>
          <w:szCs w:val="24"/>
        </w:rPr>
        <w:t xml:space="preserve">六、甲、乙双方的责任</w:t>
      </w:r>
      <w:r/>
    </w:p>
    <w:p>
      <w:pPr>
        <w:ind w:left="0" w:firstLine="480"/>
        <w:spacing w:line="360" w:lineRule="auto"/>
        <w:widowControl w:val="off"/>
        <w:rPr>
          <w:rFonts w:hint="default" w:ascii="宋体" w:hAnsi="宋体" w:eastAsia="宋体" w:cs="宋体"/>
          <w:sz w:val="24"/>
          <w:szCs w:val="24"/>
        </w:rPr>
      </w:pPr>
      <w:r>
        <w:rPr>
          <w:rFonts w:hint="eastAsia" w:ascii="宋体" w:hAnsi="宋体" w:eastAsia="宋体" w:cs="宋体"/>
          <w:sz w:val="24"/>
          <w:szCs w:val="24"/>
        </w:rPr>
        <w:t xml:space="preserve">1.甲方责任：</w:t>
      </w:r>
      <w:r/>
    </w:p>
    <w:p>
      <w:pPr>
        <w:ind w:left="0" w:firstLine="480"/>
        <w:spacing w:line="360" w:lineRule="auto"/>
        <w:widowControl w:val="off"/>
        <w:rPr>
          <w:rFonts w:hint="default" w:ascii="宋体" w:hAnsi="宋体" w:eastAsia="宋体" w:cs="宋体"/>
          <w:sz w:val="24"/>
          <w:szCs w:val="24"/>
        </w:rPr>
      </w:pPr>
      <w:r>
        <w:rPr>
          <w:rFonts w:hint="eastAsia" w:ascii="宋体" w:hAnsi="宋体" w:eastAsia="宋体" w:cs="宋体"/>
          <w:sz w:val="24"/>
          <w:szCs w:val="24"/>
        </w:rPr>
        <w:t xml:space="preserve">1.</w:t>
      </w:r>
      <w:r>
        <w:rPr>
          <w:rFonts w:hint="default" w:ascii="宋体" w:hAnsi="宋体" w:eastAsia="宋体" w:cs="宋体"/>
          <w:sz w:val="24"/>
          <w:szCs w:val="24"/>
        </w:rPr>
        <w:t xml:space="preserve">1</w:t>
      </w:r>
      <w:r>
        <w:rPr>
          <w:rFonts w:hint="eastAsia" w:ascii="宋体" w:hAnsi="宋体" w:eastAsia="宋体" w:cs="宋体"/>
          <w:sz w:val="24"/>
          <w:szCs w:val="24"/>
        </w:rPr>
        <w:t xml:space="preserve">依本合同约定按期支付合同款项；</w:t>
      </w:r>
      <w:r/>
    </w:p>
    <w:p>
      <w:pPr>
        <w:ind w:left="0" w:firstLine="480"/>
        <w:spacing w:line="360" w:lineRule="auto"/>
        <w:widowControl w:val="off"/>
        <w:rPr>
          <w:rFonts w:hint="default" w:ascii="宋体" w:hAnsi="宋体" w:eastAsia="宋体" w:cs="宋体"/>
          <w:sz w:val="24"/>
          <w:szCs w:val="24"/>
        </w:rPr>
      </w:pPr>
      <w:r>
        <w:rPr>
          <w:rFonts w:hint="default" w:ascii="宋体" w:hAnsi="宋体" w:eastAsia="宋体" w:cs="宋体"/>
          <w:sz w:val="24"/>
          <w:szCs w:val="24"/>
        </w:rPr>
        <w:t xml:space="preserve">1.</w:t>
      </w:r>
      <w:r>
        <w:rPr>
          <w:rFonts w:hint="eastAsia" w:ascii="宋体" w:hAnsi="宋体" w:eastAsia="宋体" w:cs="宋体"/>
          <w:sz w:val="24"/>
          <w:szCs w:val="24"/>
        </w:rPr>
        <w:t xml:space="preserve">2依本合同约定及时组织验收；</w:t>
      </w:r>
      <w:r/>
    </w:p>
    <w:p>
      <w:pPr>
        <w:ind w:left="0" w:firstLine="480"/>
        <w:spacing w:line="360" w:lineRule="auto"/>
        <w:widowControl w:val="off"/>
        <w:rPr>
          <w:rFonts w:hint="default" w:ascii="宋体" w:hAnsi="宋体" w:eastAsia="宋体" w:cs="宋体"/>
          <w:sz w:val="24"/>
          <w:szCs w:val="24"/>
        </w:rPr>
      </w:pPr>
      <w:r>
        <w:rPr>
          <w:rFonts w:hint="default" w:ascii="宋体" w:hAnsi="宋体" w:eastAsia="宋体" w:cs="宋体"/>
          <w:sz w:val="24"/>
          <w:szCs w:val="24"/>
        </w:rPr>
        <w:t xml:space="preserve">1.</w:t>
      </w:r>
      <w:r>
        <w:rPr>
          <w:rFonts w:hint="eastAsia" w:ascii="宋体" w:hAnsi="宋体" w:eastAsia="宋体" w:cs="宋体"/>
          <w:sz w:val="24"/>
          <w:szCs w:val="24"/>
        </w:rPr>
        <w:t xml:space="preserve">3协助乙方进行项目的相关协调工作及约定期限内提供相关资料以利于开展项目。</w:t>
      </w:r>
      <w:r/>
    </w:p>
    <w:p>
      <w:pPr>
        <w:ind w:left="0" w:firstLine="480"/>
        <w:spacing w:line="360" w:lineRule="auto"/>
        <w:widowControl/>
        <w:rPr>
          <w:rFonts w:hint="default" w:ascii="宋体" w:hAnsi="宋体" w:eastAsia="宋体" w:cs="宋体"/>
          <w:sz w:val="24"/>
          <w:szCs w:val="24"/>
        </w:rPr>
      </w:pPr>
      <w:r>
        <w:rPr>
          <w:rFonts w:hint="eastAsia" w:ascii="宋体" w:hAnsi="宋体" w:eastAsia="宋体" w:cs="宋体"/>
          <w:sz w:val="24"/>
          <w:szCs w:val="24"/>
        </w:rPr>
        <w:t xml:space="preserve">2.乙方责任：</w:t>
      </w:r>
      <w:r/>
    </w:p>
    <w:p>
      <w:pPr>
        <w:ind w:left="0" w:firstLine="480"/>
        <w:spacing w:line="360" w:lineRule="auto"/>
        <w:widowControl/>
        <w:rPr>
          <w:rFonts w:hint="default" w:ascii="宋体" w:hAnsi="宋体" w:eastAsia="宋体" w:cs="宋体"/>
          <w:sz w:val="24"/>
          <w:szCs w:val="24"/>
        </w:rPr>
      </w:pPr>
      <w:r>
        <w:rPr>
          <w:rFonts w:hint="eastAsia" w:ascii="宋体" w:hAnsi="宋体" w:eastAsia="宋体" w:cs="宋体"/>
          <w:sz w:val="24"/>
          <w:szCs w:val="24"/>
        </w:rPr>
        <w:t xml:space="preserve">乙方负责完成本次采购要求的全部服务工作，乙方应按招标文件以及合同约定的技术规范、标准进行实施，并保证按期、保质保量完成项目的实施工作，对提交的项目质量负责。</w:t>
      </w:r>
      <w:r/>
    </w:p>
    <w:p>
      <w:pPr>
        <w:ind w:left="0" w:firstLine="482"/>
        <w:spacing w:line="360" w:lineRule="auto"/>
        <w:widowControl/>
        <w:rPr>
          <w:rFonts w:hint="default" w:ascii="宋体" w:hAnsi="宋体" w:eastAsia="宋体" w:cs="宋体"/>
          <w:b/>
          <w:sz w:val="24"/>
          <w:szCs w:val="24"/>
        </w:rPr>
      </w:pPr>
      <w:r>
        <w:rPr>
          <w:rFonts w:hint="eastAsia" w:ascii="宋体" w:hAnsi="宋体" w:eastAsia="宋体" w:cs="宋体"/>
          <w:b/>
          <w:sz w:val="24"/>
          <w:szCs w:val="24"/>
        </w:rPr>
        <w:t xml:space="preserve">七、违约责任</w:t>
      </w:r>
      <w:r/>
    </w:p>
    <w:p>
      <w:pPr>
        <w:ind w:left="0" w:firstLine="480"/>
        <w:spacing w:line="360" w:lineRule="auto"/>
        <w:widowControl w:val="off"/>
        <w:rPr>
          <w:rFonts w:hint="default" w:ascii="宋体" w:hAnsi="宋体" w:eastAsia="宋体" w:cs="宋体"/>
          <w:sz w:val="24"/>
          <w:szCs w:val="24"/>
        </w:rPr>
      </w:pPr>
      <w:r>
        <w:rPr>
          <w:rFonts w:hint="eastAsia" w:ascii="宋体" w:hAnsi="宋体" w:eastAsia="宋体" w:cs="宋体"/>
          <w:sz w:val="24"/>
          <w:szCs w:val="24"/>
        </w:rPr>
        <w:t xml:space="preserve">1.甲方违约责任：</w:t>
      </w:r>
      <w:r/>
    </w:p>
    <w:p>
      <w:pPr>
        <w:ind w:left="0" w:firstLine="480"/>
        <w:spacing w:line="360" w:lineRule="auto"/>
        <w:widowControl w:val="off"/>
        <w:rPr>
          <w:rFonts w:hint="default" w:ascii="宋体" w:hAnsi="宋体" w:eastAsia="宋体" w:cs="宋体"/>
          <w:sz w:val="24"/>
          <w:szCs w:val="24"/>
        </w:rPr>
      </w:pPr>
      <w:r>
        <w:rPr>
          <w:rFonts w:hint="default" w:ascii="宋体" w:hAnsi="宋体" w:eastAsia="宋体" w:cs="宋体"/>
          <w:sz w:val="24"/>
          <w:szCs w:val="24"/>
        </w:rPr>
        <w:t xml:space="preserve">1.1在合同生效后，甲方</w:t>
      </w:r>
      <w:r>
        <w:rPr>
          <w:rFonts w:hint="eastAsia" w:ascii="宋体" w:hAnsi="宋体" w:eastAsia="宋体" w:cs="宋体"/>
          <w:sz w:val="24"/>
          <w:szCs w:val="24"/>
        </w:rPr>
        <w:t xml:space="preserve">无故</w:t>
      </w:r>
      <w:r>
        <w:rPr>
          <w:rFonts w:hint="default" w:ascii="宋体" w:hAnsi="宋体" w:eastAsia="宋体" w:cs="宋体"/>
          <w:sz w:val="24"/>
          <w:szCs w:val="24"/>
        </w:rPr>
        <w:t xml:space="preserve">要求解除合同的，应向乙方偿付合同总价款5%的违约金，违约金不足以补偿损失的，乙方有权要求甲方补足。</w:t>
      </w:r>
      <w:r/>
    </w:p>
    <w:p>
      <w:pPr>
        <w:ind w:left="0" w:firstLine="480"/>
        <w:spacing w:line="360" w:lineRule="auto"/>
        <w:widowControl w:val="off"/>
        <w:rPr>
          <w:rFonts w:hint="default" w:ascii="宋体" w:hAnsi="宋体" w:eastAsia="宋体" w:cs="宋体"/>
          <w:sz w:val="24"/>
          <w:szCs w:val="24"/>
        </w:rPr>
      </w:pPr>
      <w:r>
        <w:rPr>
          <w:rFonts w:hint="default" w:ascii="宋体" w:hAnsi="宋体" w:eastAsia="宋体" w:cs="宋体"/>
          <w:sz w:val="24"/>
          <w:szCs w:val="24"/>
        </w:rPr>
        <w:t xml:space="preserve">1.2甲方逾期付款的应按照逾期付款金额的每天万分之四支付逾期付款违约金</w:t>
      </w:r>
      <w:r>
        <w:rPr>
          <w:rFonts w:hint="eastAsia" w:ascii="宋体" w:hAnsi="宋体" w:eastAsia="宋体" w:cs="宋体"/>
          <w:sz w:val="24"/>
          <w:szCs w:val="24"/>
        </w:rPr>
        <w:t xml:space="preserve">，总额不超总价款的5%</w:t>
      </w:r>
      <w:r>
        <w:rPr>
          <w:rFonts w:hint="default" w:ascii="宋体" w:hAnsi="宋体" w:eastAsia="宋体" w:cs="宋体"/>
          <w:sz w:val="24"/>
          <w:szCs w:val="24"/>
        </w:rPr>
        <w:t xml:space="preserve">。</w:t>
      </w:r>
      <w:r/>
    </w:p>
    <w:p>
      <w:pPr>
        <w:ind w:left="0" w:firstLine="480"/>
        <w:spacing w:line="360" w:lineRule="auto"/>
        <w:widowControl w:val="off"/>
        <w:rPr>
          <w:rFonts w:hint="default" w:ascii="宋体" w:hAnsi="宋体" w:eastAsia="宋体" w:cs="宋体"/>
          <w:sz w:val="24"/>
          <w:szCs w:val="24"/>
        </w:rPr>
      </w:pPr>
      <w:r>
        <w:rPr>
          <w:rFonts w:hint="eastAsia" w:ascii="宋体" w:hAnsi="宋体" w:eastAsia="宋体" w:cs="宋体"/>
          <w:sz w:val="24"/>
          <w:szCs w:val="24"/>
        </w:rPr>
        <w:t xml:space="preserve">2.乙方的违约责任：</w:t>
      </w:r>
      <w:r/>
    </w:p>
    <w:p>
      <w:pPr>
        <w:ind w:left="0" w:firstLine="480"/>
        <w:spacing w:line="360" w:lineRule="auto"/>
        <w:widowControl w:val="off"/>
        <w:rPr>
          <w:rFonts w:hint="default" w:ascii="宋体" w:hAnsi="宋体" w:eastAsia="宋体" w:cs="宋体"/>
          <w:sz w:val="24"/>
          <w:szCs w:val="24"/>
        </w:rPr>
      </w:pPr>
      <w:r>
        <w:rPr>
          <w:rFonts w:hint="eastAsia" w:ascii="宋体" w:hAnsi="宋体" w:eastAsia="宋体" w:cs="宋体"/>
          <w:sz w:val="24"/>
          <w:szCs w:val="24"/>
        </w:rPr>
        <w:t xml:space="preserve">2</w:t>
      </w:r>
      <w:r>
        <w:rPr>
          <w:rFonts w:hint="default" w:ascii="宋体" w:hAnsi="宋体" w:eastAsia="宋体" w:cs="宋体"/>
          <w:sz w:val="24"/>
          <w:szCs w:val="24"/>
        </w:rPr>
        <w:t xml:space="preserve">.1 </w:t>
      </w:r>
      <w:r>
        <w:rPr>
          <w:rFonts w:hint="eastAsia" w:ascii="宋体" w:hAnsi="宋体" w:eastAsia="宋体" w:cs="宋体"/>
          <w:sz w:val="24"/>
          <w:szCs w:val="24"/>
        </w:rPr>
        <w:t xml:space="preserve">在合同生效后，乙方无故要求解除合同的，应向甲方偿付合同总价款5%的违约金，违约金不足以补偿损失的，甲方有权要求乙方补足。</w:t>
      </w:r>
      <w:r/>
    </w:p>
    <w:p>
      <w:pPr>
        <w:ind w:left="0" w:firstLine="480"/>
        <w:spacing w:line="360" w:lineRule="auto"/>
        <w:widowControl w:val="off"/>
        <w:rPr>
          <w:rFonts w:hint="default" w:ascii="宋体" w:hAnsi="宋体" w:eastAsia="宋体" w:cs="宋体"/>
          <w:sz w:val="24"/>
          <w:szCs w:val="24"/>
        </w:rPr>
      </w:pPr>
      <w:r>
        <w:rPr>
          <w:rFonts w:hint="eastAsia" w:ascii="宋体" w:hAnsi="宋体" w:eastAsia="宋体" w:cs="宋体"/>
          <w:sz w:val="24"/>
          <w:szCs w:val="24"/>
        </w:rPr>
        <w:t xml:space="preserve">2.</w:t>
      </w:r>
      <w:r>
        <w:rPr>
          <w:rFonts w:hint="default" w:ascii="宋体" w:hAnsi="宋体" w:eastAsia="宋体" w:cs="宋体"/>
          <w:sz w:val="24"/>
          <w:szCs w:val="24"/>
        </w:rPr>
        <w:t xml:space="preserve">2</w:t>
      </w:r>
      <w:r>
        <w:rPr>
          <w:rFonts w:hint="eastAsia" w:ascii="宋体" w:hAnsi="宋体" w:eastAsia="宋体" w:cs="宋体"/>
          <w:sz w:val="24"/>
          <w:szCs w:val="24"/>
        </w:rPr>
        <w:t xml:space="preserve">乙方未按合同规定的质量要求提供服务，不能完成合同时，甲方有权解除合同，乙方向甲方偿付合同总价款5%的违约金，违约金不足以补偿损失的甲方有权要求乙方补足。</w:t>
      </w:r>
      <w:r/>
    </w:p>
    <w:p>
      <w:pPr>
        <w:ind w:left="0" w:firstLine="480"/>
        <w:spacing w:line="360" w:lineRule="auto"/>
        <w:widowControl w:val="off"/>
        <w:rPr>
          <w:rFonts w:hint="default" w:ascii="宋体" w:hAnsi="宋体" w:eastAsia="宋体" w:cs="宋体"/>
          <w:sz w:val="24"/>
          <w:szCs w:val="24"/>
        </w:rPr>
      </w:pPr>
      <w:r>
        <w:rPr>
          <w:rFonts w:hint="eastAsia" w:ascii="宋体" w:hAnsi="宋体" w:eastAsia="宋体" w:cs="宋体"/>
          <w:sz w:val="24"/>
          <w:szCs w:val="24"/>
        </w:rPr>
        <w:t xml:space="preserve">2.</w:t>
      </w:r>
      <w:r>
        <w:rPr>
          <w:rFonts w:hint="default" w:ascii="宋体" w:hAnsi="宋体" w:eastAsia="宋体" w:cs="宋体"/>
          <w:sz w:val="24"/>
          <w:szCs w:val="24"/>
        </w:rPr>
        <w:t xml:space="preserve">3</w:t>
      </w:r>
      <w:r>
        <w:rPr>
          <w:rFonts w:hint="eastAsia" w:ascii="宋体" w:hAnsi="宋体" w:eastAsia="宋体" w:cs="宋体"/>
          <w:sz w:val="24"/>
          <w:szCs w:val="24"/>
        </w:rPr>
        <w:t xml:space="preserve">乙方必须自己完成合同内容，不得自行分包，否则，甲方有权按乙方不能完成合同处理。</w:t>
      </w:r>
      <w:r/>
    </w:p>
    <w:p>
      <w:pPr>
        <w:ind w:left="0" w:firstLine="480"/>
        <w:spacing w:line="360" w:lineRule="auto"/>
        <w:widowControl w:val="off"/>
        <w:rPr>
          <w:rFonts w:hint="default" w:ascii="宋体" w:hAnsi="宋体" w:eastAsia="宋体" w:cs="宋体"/>
          <w:sz w:val="24"/>
          <w:szCs w:val="24"/>
        </w:rPr>
      </w:pPr>
      <w:r>
        <w:rPr>
          <w:rFonts w:hint="eastAsia" w:ascii="宋体" w:hAnsi="宋体" w:eastAsia="宋体" w:cs="宋体"/>
          <w:sz w:val="24"/>
          <w:szCs w:val="24"/>
        </w:rPr>
        <w:t xml:space="preserve">2.</w:t>
      </w:r>
      <w:r>
        <w:rPr>
          <w:rFonts w:hint="default" w:ascii="宋体" w:hAnsi="宋体" w:eastAsia="宋体" w:cs="宋体"/>
          <w:sz w:val="24"/>
          <w:szCs w:val="24"/>
        </w:rPr>
        <w:t xml:space="preserve">4</w:t>
      </w:r>
      <w:r>
        <w:rPr>
          <w:rFonts w:hint="eastAsia" w:ascii="宋体" w:hAnsi="宋体" w:eastAsia="宋体" w:cs="宋体"/>
          <w:sz w:val="24"/>
          <w:szCs w:val="24"/>
        </w:rPr>
        <w:t xml:space="preserve">乙方应执行国家有关规定（如苏州最低工资标准和其他规定），负责乙方员工的生病、事故、伤残、死亡和劳务纠纷，甲方不承担任何相关责任。</w:t>
      </w:r>
      <w:r/>
    </w:p>
    <w:p>
      <w:pPr>
        <w:ind w:left="0" w:firstLine="480"/>
        <w:spacing w:line="360" w:lineRule="auto"/>
        <w:widowControl w:val="off"/>
        <w:rPr>
          <w:rFonts w:hint="default" w:ascii="宋体" w:hAnsi="宋体" w:eastAsia="宋体" w:cs="宋体"/>
          <w:sz w:val="24"/>
          <w:szCs w:val="24"/>
        </w:rPr>
      </w:pPr>
      <w:r>
        <w:rPr>
          <w:rFonts w:hint="eastAsia" w:ascii="宋体" w:hAnsi="宋体" w:eastAsia="宋体" w:cs="宋体"/>
          <w:sz w:val="24"/>
          <w:szCs w:val="24"/>
        </w:rPr>
        <w:t xml:space="preserve">2.</w:t>
      </w:r>
      <w:r>
        <w:rPr>
          <w:rFonts w:hint="default" w:ascii="宋体" w:hAnsi="宋体" w:eastAsia="宋体" w:cs="宋体"/>
          <w:sz w:val="24"/>
          <w:szCs w:val="24"/>
        </w:rPr>
        <w:t xml:space="preserve">5</w:t>
      </w:r>
      <w:r>
        <w:rPr>
          <w:rFonts w:hint="eastAsia" w:ascii="宋体" w:hAnsi="宋体" w:eastAsia="宋体" w:cs="宋体"/>
          <w:sz w:val="24"/>
          <w:szCs w:val="24"/>
        </w:rPr>
        <w:t xml:space="preserve">乙方负有对自己员工的安全责任，甲方不承担任何相关责任。</w:t>
      </w:r>
      <w:r/>
    </w:p>
    <w:p>
      <w:pPr>
        <w:ind w:left="0" w:firstLine="482"/>
        <w:spacing w:line="360" w:lineRule="auto"/>
        <w:widowControl w:val="off"/>
        <w:rPr>
          <w:rFonts w:hint="default" w:ascii="宋体" w:hAnsi="宋体" w:eastAsia="宋体" w:cs="宋体"/>
          <w:b/>
          <w:sz w:val="24"/>
          <w:szCs w:val="24"/>
        </w:rPr>
      </w:pPr>
      <w:r>
        <w:rPr>
          <w:rFonts w:hint="eastAsia" w:ascii="宋体" w:hAnsi="宋体" w:eastAsia="宋体" w:cs="宋体"/>
          <w:b/>
          <w:sz w:val="24"/>
          <w:szCs w:val="24"/>
        </w:rPr>
        <w:t xml:space="preserve">3.参建单位在运维服务期内需遵守</w:t>
      </w:r>
      <w:r>
        <w:rPr>
          <w:rFonts w:hint="eastAsia" w:ascii="宋体" w:hAnsi="宋体" w:eastAsia="宋体" w:cs="宋体"/>
          <w:b/>
          <w:sz w:val="24"/>
          <w:szCs w:val="24"/>
          <w:lang w:eastAsia="zh-CN"/>
        </w:rPr>
        <w:t xml:space="preserve">《设备运维管理要求</w:t>
      </w:r>
      <w:r>
        <w:rPr>
          <w:rFonts w:hint="eastAsia" w:ascii="宋体" w:hAnsi="宋体" w:eastAsia="宋体" w:cs="宋体"/>
          <w:b/>
          <w:sz w:val="24"/>
          <w:szCs w:val="24"/>
          <w:lang w:val="en-US" w:eastAsia="zh-CN"/>
        </w:rPr>
        <w:t xml:space="preserve">-标段一</w:t>
      </w:r>
      <w:r>
        <w:rPr>
          <w:rFonts w:hint="eastAsia" w:ascii="宋体" w:hAnsi="宋体" w:eastAsia="宋体" w:cs="宋体"/>
          <w:b/>
          <w:sz w:val="24"/>
          <w:szCs w:val="24"/>
          <w:lang w:eastAsia="zh-CN"/>
        </w:rPr>
        <w:t xml:space="preserve">》（</w:t>
      </w:r>
      <w:r>
        <w:rPr>
          <w:rFonts w:hint="eastAsia" w:ascii="宋体" w:hAnsi="宋体" w:eastAsia="宋体" w:cs="宋体"/>
          <w:b/>
          <w:sz w:val="24"/>
          <w:szCs w:val="24"/>
          <w:lang w:val="en-US" w:eastAsia="zh-CN"/>
        </w:rPr>
        <w:t xml:space="preserve">试行</w:t>
      </w:r>
      <w:r>
        <w:rPr>
          <w:rFonts w:hint="eastAsia" w:ascii="宋体" w:hAnsi="宋体" w:eastAsia="宋体" w:cs="宋体"/>
          <w:b/>
          <w:sz w:val="24"/>
          <w:szCs w:val="24"/>
          <w:lang w:eastAsia="zh-CN"/>
        </w:rPr>
        <w:t xml:space="preserve">）</w:t>
      </w:r>
      <w:r>
        <w:rPr>
          <w:rFonts w:hint="eastAsia" w:ascii="宋体" w:hAnsi="宋体" w:eastAsia="宋体" w:cs="宋体"/>
          <w:b/>
          <w:sz w:val="24"/>
          <w:szCs w:val="24"/>
        </w:rPr>
        <w:t xml:space="preserve">（详见附件2）。</w:t>
      </w:r>
      <w:r/>
    </w:p>
    <w:p>
      <w:pPr>
        <w:ind w:left="0" w:firstLine="482"/>
        <w:spacing w:line="360" w:lineRule="auto"/>
        <w:widowControl/>
        <w:rPr>
          <w:rFonts w:hint="default" w:ascii="宋体" w:hAnsi="宋体" w:eastAsia="宋体" w:cs="宋体"/>
          <w:b/>
          <w:sz w:val="24"/>
          <w:szCs w:val="24"/>
        </w:rPr>
      </w:pPr>
      <w:r>
        <w:rPr>
          <w:rFonts w:hint="eastAsia" w:ascii="宋体" w:hAnsi="宋体" w:eastAsia="宋体" w:cs="宋体"/>
          <w:b/>
          <w:sz w:val="24"/>
          <w:szCs w:val="24"/>
        </w:rPr>
        <w:t xml:space="preserve">八、不可抗力</w:t>
      </w:r>
      <w:r/>
    </w:p>
    <w:p>
      <w:pPr>
        <w:ind w:left="0" w:firstLine="480"/>
        <w:spacing w:line="360" w:lineRule="auto"/>
        <w:widowControl w:val="off"/>
        <w:rPr>
          <w:rFonts w:hint="default" w:ascii="宋体" w:hAnsi="宋体" w:eastAsia="宋体" w:cs="宋体"/>
          <w:sz w:val="24"/>
          <w:szCs w:val="24"/>
        </w:rPr>
      </w:pPr>
      <w:r>
        <w:rPr>
          <w:rFonts w:hint="eastAsia" w:ascii="宋体" w:hAnsi="宋体" w:eastAsia="宋体" w:cs="宋体"/>
          <w:sz w:val="24"/>
          <w:szCs w:val="24"/>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80"/>
        <w:spacing w:line="360" w:lineRule="auto"/>
        <w:widowControl w:val="off"/>
        <w:rPr>
          <w:rFonts w:hint="default" w:ascii="宋体" w:hAnsi="宋体" w:eastAsia="宋体" w:cs="宋体"/>
          <w:sz w:val="24"/>
          <w:szCs w:val="24"/>
        </w:rPr>
      </w:pPr>
      <w:r>
        <w:rPr>
          <w:rFonts w:hint="eastAsia" w:ascii="宋体" w:hAnsi="宋体" w:eastAsia="宋体" w:cs="宋体"/>
          <w:sz w:val="24"/>
          <w:szCs w:val="24"/>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80"/>
        <w:spacing w:line="360" w:lineRule="auto"/>
        <w:widowControl w:val="off"/>
        <w:rPr>
          <w:rFonts w:hint="default" w:ascii="宋体" w:hAnsi="宋体" w:eastAsia="宋体" w:cs="宋体"/>
          <w:sz w:val="24"/>
          <w:szCs w:val="24"/>
        </w:rPr>
      </w:pPr>
      <w:r>
        <w:rPr>
          <w:rFonts w:hint="eastAsia" w:ascii="宋体" w:hAnsi="宋体" w:eastAsia="宋体" w:cs="宋体"/>
          <w:sz w:val="24"/>
          <w:szCs w:val="24"/>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482"/>
        <w:spacing w:line="360" w:lineRule="auto"/>
        <w:widowControl w:val="off"/>
        <w:rPr>
          <w:rFonts w:hint="default" w:ascii="宋体" w:hAnsi="宋体" w:eastAsia="宋体" w:cs="宋体"/>
          <w:b/>
          <w:sz w:val="24"/>
          <w:szCs w:val="24"/>
        </w:rPr>
      </w:pPr>
      <w:r>
        <w:rPr>
          <w:rFonts w:hint="eastAsia" w:ascii="宋体" w:hAnsi="宋体" w:eastAsia="宋体" w:cs="宋体"/>
          <w:b/>
          <w:sz w:val="24"/>
          <w:szCs w:val="24"/>
        </w:rPr>
        <w:t xml:space="preserve">九、争端的解决 </w:t>
      </w:r>
      <w:r/>
    </w:p>
    <w:p>
      <w:pPr>
        <w:ind w:left="0" w:firstLine="480"/>
        <w:spacing w:line="360" w:lineRule="auto"/>
        <w:widowControl w:val="off"/>
        <w:rPr>
          <w:rFonts w:hint="default" w:ascii="宋体" w:hAnsi="宋体" w:eastAsia="宋体" w:cs="宋体"/>
          <w:sz w:val="24"/>
          <w:szCs w:val="24"/>
        </w:rPr>
      </w:pPr>
      <w:r>
        <w:rPr>
          <w:rFonts w:hint="eastAsia" w:ascii="宋体" w:hAnsi="宋体" w:eastAsia="宋体" w:cs="宋体"/>
          <w:sz w:val="24"/>
          <w:szCs w:val="24"/>
        </w:rPr>
        <w:t xml:space="preserve">1.甲方和乙方应通过友好协商，解决在执行本合同过程中所发生的或与本合同有关的一切争端。如从协商开始十天内仍不能解决，可向有关合同管理部门提请调解。 </w:t>
      </w:r>
      <w:r/>
    </w:p>
    <w:p>
      <w:pPr>
        <w:ind w:left="0" w:firstLine="480"/>
        <w:spacing w:line="360" w:lineRule="auto"/>
        <w:widowControl w:val="off"/>
        <w:rPr>
          <w:rFonts w:hint="default" w:ascii="宋体" w:hAnsi="宋体" w:eastAsia="宋体" w:cs="宋体"/>
          <w:sz w:val="24"/>
          <w:szCs w:val="24"/>
        </w:rPr>
      </w:pPr>
      <w:r>
        <w:rPr>
          <w:rFonts w:hint="eastAsia" w:ascii="宋体" w:hAnsi="宋体" w:eastAsia="宋体" w:cs="宋体"/>
          <w:sz w:val="24"/>
          <w:szCs w:val="24"/>
        </w:rPr>
        <w:t xml:space="preserve">2.如果调解不成，双方中的任何一方可向人民法院提起诉讼。诉讼由合同签订地人民法院管辖。 </w:t>
      </w:r>
      <w:r/>
    </w:p>
    <w:p>
      <w:pPr>
        <w:ind w:left="0" w:firstLine="480"/>
        <w:spacing w:line="360" w:lineRule="auto"/>
        <w:widowControl w:val="off"/>
        <w:rPr>
          <w:rFonts w:hint="default" w:ascii="宋体" w:hAnsi="宋体" w:eastAsia="宋体" w:cs="宋体"/>
          <w:sz w:val="24"/>
          <w:szCs w:val="24"/>
        </w:rPr>
      </w:pPr>
      <w:r>
        <w:rPr>
          <w:rFonts w:hint="eastAsia" w:ascii="宋体" w:hAnsi="宋体" w:eastAsia="宋体" w:cs="宋体"/>
          <w:sz w:val="24"/>
          <w:szCs w:val="24"/>
        </w:rPr>
        <w:t xml:space="preserve">3.诉讼费由败诉方负担。</w:t>
      </w:r>
      <w:r/>
    </w:p>
    <w:p>
      <w:pPr>
        <w:ind w:left="0" w:firstLine="480"/>
        <w:spacing w:line="360" w:lineRule="auto"/>
        <w:widowControl w:val="off"/>
        <w:rPr>
          <w:rFonts w:hint="default" w:ascii="宋体" w:hAnsi="宋体" w:eastAsia="宋体" w:cs="宋体"/>
          <w:sz w:val="24"/>
          <w:szCs w:val="24"/>
        </w:rPr>
      </w:pPr>
      <w:r>
        <w:rPr>
          <w:rFonts w:hint="eastAsia" w:ascii="宋体" w:hAnsi="宋体" w:eastAsia="宋体" w:cs="宋体"/>
          <w:sz w:val="24"/>
          <w:szCs w:val="24"/>
        </w:rPr>
        <w:t xml:space="preserve">4.因合同部分履行引发诉讼的，在诉讼期间，除正在进行诉讼的部分外，本合同的其它部分应继续执行。</w:t>
      </w:r>
      <w:r/>
    </w:p>
    <w:p>
      <w:pPr>
        <w:ind w:left="0" w:firstLine="482"/>
        <w:spacing w:line="360" w:lineRule="auto"/>
        <w:widowControl w:val="off"/>
        <w:rPr>
          <w:rFonts w:hint="default" w:ascii="宋体" w:hAnsi="宋体" w:eastAsia="宋体" w:cs="宋体"/>
          <w:b/>
          <w:sz w:val="24"/>
          <w:szCs w:val="24"/>
        </w:rPr>
      </w:pPr>
      <w:r>
        <w:rPr>
          <w:rFonts w:hint="eastAsia" w:ascii="宋体" w:hAnsi="宋体" w:eastAsia="宋体" w:cs="宋体"/>
          <w:b/>
          <w:sz w:val="24"/>
          <w:szCs w:val="24"/>
        </w:rPr>
        <w:t xml:space="preserve">十、违约终止合同</w:t>
      </w:r>
      <w:r/>
    </w:p>
    <w:p>
      <w:pPr>
        <w:ind w:left="0" w:firstLine="480"/>
        <w:spacing w:line="360" w:lineRule="auto"/>
        <w:widowControl w:val="off"/>
        <w:rPr>
          <w:rFonts w:hint="default" w:ascii="宋体" w:hAnsi="宋体" w:eastAsia="宋体" w:cs="宋体"/>
          <w:sz w:val="24"/>
          <w:szCs w:val="24"/>
        </w:rPr>
      </w:pPr>
      <w:r>
        <w:rPr>
          <w:rFonts w:hint="eastAsia" w:ascii="宋体" w:hAnsi="宋体" w:eastAsia="宋体" w:cs="宋体"/>
          <w:sz w:val="24"/>
          <w:szCs w:val="24"/>
        </w:rPr>
        <w:t xml:space="preserve">1.在甲方因乙方违约而按合同约定采取的任何补救措施不受影响的情况下，甲方可在下列情况下向乙方发出书面通知，提出终止部分或全部合同。</w:t>
      </w:r>
      <w:r/>
    </w:p>
    <w:p>
      <w:pPr>
        <w:ind w:left="0" w:firstLine="480"/>
        <w:spacing w:line="360" w:lineRule="auto"/>
        <w:widowControl w:val="off"/>
        <w:rPr>
          <w:rFonts w:hint="default" w:ascii="宋体" w:hAnsi="宋体" w:eastAsia="宋体" w:cs="宋体"/>
          <w:sz w:val="24"/>
          <w:szCs w:val="24"/>
        </w:rPr>
      </w:pPr>
      <w:r>
        <w:rPr>
          <w:rFonts w:hint="eastAsia" w:ascii="宋体" w:hAnsi="宋体" w:eastAsia="宋体" w:cs="宋体"/>
          <w:sz w:val="24"/>
          <w:szCs w:val="24"/>
        </w:rPr>
        <w:t xml:space="preserve">1.1 如果乙方未能在合同规定的限期或甲方同意延长的限期内提供部分或全部服务。</w:t>
      </w:r>
      <w:r/>
    </w:p>
    <w:p>
      <w:pPr>
        <w:ind w:left="0" w:firstLine="480"/>
        <w:spacing w:line="360" w:lineRule="auto"/>
        <w:widowControl w:val="off"/>
        <w:rPr>
          <w:rFonts w:hint="default" w:ascii="宋体" w:hAnsi="宋体" w:eastAsia="宋体" w:cs="宋体"/>
          <w:sz w:val="24"/>
          <w:szCs w:val="24"/>
        </w:rPr>
      </w:pPr>
      <w:r>
        <w:rPr>
          <w:rFonts w:hint="eastAsia" w:ascii="宋体" w:hAnsi="宋体" w:eastAsia="宋体" w:cs="宋体"/>
          <w:sz w:val="24"/>
          <w:szCs w:val="24"/>
        </w:rPr>
        <w:t xml:space="preserve">1.2 如果乙方未能履行合同规定的其它任何义务。</w:t>
      </w:r>
      <w:r/>
    </w:p>
    <w:p>
      <w:pPr>
        <w:ind w:left="0" w:firstLine="480"/>
        <w:spacing w:line="360" w:lineRule="auto"/>
        <w:widowControl w:val="off"/>
        <w:rPr>
          <w:rFonts w:hint="default" w:ascii="宋体" w:hAnsi="宋体" w:eastAsia="宋体" w:cs="宋体"/>
          <w:sz w:val="24"/>
          <w:szCs w:val="24"/>
        </w:rPr>
      </w:pPr>
      <w:r>
        <w:rPr>
          <w:rFonts w:hint="eastAsia" w:ascii="宋体" w:hAnsi="宋体" w:eastAsia="宋体" w:cs="宋体"/>
          <w:sz w:val="24"/>
          <w:szCs w:val="24"/>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80"/>
        <w:spacing w:line="360" w:lineRule="auto"/>
        <w:widowControl w:val="off"/>
        <w:rPr>
          <w:rFonts w:hint="default" w:ascii="宋体" w:hAnsi="宋体" w:eastAsia="宋体" w:cs="宋体"/>
          <w:sz w:val="24"/>
          <w:szCs w:val="24"/>
        </w:rPr>
      </w:pPr>
      <w:r>
        <w:rPr>
          <w:rFonts w:hint="eastAsia" w:ascii="宋体" w:hAnsi="宋体" w:eastAsia="宋体" w:cs="宋体"/>
          <w:sz w:val="24"/>
          <w:szCs w:val="24"/>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left="0" w:firstLine="480"/>
        <w:spacing w:line="360" w:lineRule="auto"/>
        <w:widowControl w:val="off"/>
        <w:rPr>
          <w:rFonts w:hint="default" w:ascii="宋体" w:hAnsi="宋体" w:eastAsia="宋体" w:cs="宋体"/>
          <w:sz w:val="24"/>
          <w:szCs w:val="24"/>
        </w:rPr>
      </w:pPr>
      <w:r>
        <w:rPr>
          <w:rFonts w:hint="eastAsia" w:ascii="宋体" w:hAnsi="宋体" w:eastAsia="宋体" w:cs="宋体"/>
          <w:sz w:val="24"/>
          <w:szCs w:val="24"/>
        </w:rPr>
        <w:t xml:space="preserve">3.如果甲方违约，应承担相应的违约责任。 </w:t>
      </w:r>
      <w:r/>
    </w:p>
    <w:p>
      <w:pPr>
        <w:ind w:left="0" w:firstLine="482"/>
        <w:spacing w:line="360" w:lineRule="auto"/>
        <w:widowControl w:val="off"/>
        <w:rPr>
          <w:rFonts w:hint="default" w:ascii="宋体" w:hAnsi="宋体" w:eastAsia="宋体" w:cs="宋体"/>
          <w:sz w:val="24"/>
          <w:szCs w:val="24"/>
        </w:rPr>
      </w:pPr>
      <w:r>
        <w:rPr>
          <w:rFonts w:hint="eastAsia" w:ascii="宋体" w:hAnsi="宋体" w:eastAsia="宋体" w:cs="宋体"/>
          <w:b/>
          <w:sz w:val="24"/>
          <w:szCs w:val="24"/>
        </w:rPr>
        <w:t xml:space="preserve">十一、破产终止合同：</w:t>
      </w:r>
      <w:r>
        <w:rPr>
          <w:rFonts w:hint="eastAsia" w:ascii="宋体" w:hAnsi="宋体" w:eastAsia="宋体" w:cs="宋体"/>
          <w:sz w:val="24"/>
          <w:szCs w:val="24"/>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82"/>
        <w:spacing w:line="360" w:lineRule="auto"/>
        <w:widowControl w:val="off"/>
        <w:rPr>
          <w:rFonts w:hint="default" w:ascii="宋体" w:hAnsi="宋体" w:eastAsia="宋体" w:cs="宋体"/>
          <w:sz w:val="24"/>
          <w:szCs w:val="24"/>
        </w:rPr>
      </w:pPr>
      <w:r>
        <w:rPr>
          <w:rFonts w:hint="eastAsia" w:ascii="宋体" w:hAnsi="宋体" w:eastAsia="宋体" w:cs="宋体"/>
          <w:b/>
          <w:sz w:val="24"/>
          <w:szCs w:val="24"/>
        </w:rPr>
        <w:t xml:space="preserve">十二、政府采购法对政府采购合同变更终止的规定：</w:t>
      </w:r>
      <w:r>
        <w:rPr>
          <w:rFonts w:hint="eastAsia" w:ascii="宋体" w:hAnsi="宋体" w:eastAsia="宋体" w:cs="宋体"/>
          <w:sz w:val="24"/>
          <w:szCs w:val="24"/>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w:t>
      </w:r>
      <w:r/>
    </w:p>
    <w:p>
      <w:pPr>
        <w:ind w:left="0" w:firstLine="482"/>
        <w:spacing w:line="360" w:lineRule="auto"/>
        <w:widowControl w:val="off"/>
        <w:rPr>
          <w:rFonts w:hint="default" w:ascii="宋体" w:hAnsi="宋体" w:eastAsia="宋体" w:cs="宋体"/>
          <w:sz w:val="24"/>
          <w:szCs w:val="24"/>
        </w:rPr>
      </w:pPr>
      <w:r>
        <w:rPr>
          <w:rFonts w:hint="eastAsia" w:ascii="宋体" w:hAnsi="宋体" w:eastAsia="宋体" w:cs="宋体"/>
          <w:b/>
          <w:sz w:val="24"/>
          <w:szCs w:val="24"/>
        </w:rPr>
        <w:t xml:space="preserve">十三、合同转让和分包：</w:t>
      </w:r>
      <w:r>
        <w:rPr>
          <w:rFonts w:hint="eastAsia" w:ascii="宋体" w:hAnsi="宋体" w:eastAsia="宋体" w:cs="宋体"/>
          <w:sz w:val="24"/>
          <w:szCs w:val="24"/>
        </w:rPr>
        <w:t xml:space="preserve">本项目不得转让</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未经甲方同意不可擅自分包本项目。</w:t>
      </w:r>
      <w:r/>
    </w:p>
    <w:p>
      <w:pPr>
        <w:ind w:left="0" w:firstLine="482"/>
        <w:spacing w:line="360" w:lineRule="auto"/>
        <w:widowControl w:val="off"/>
        <w:rPr>
          <w:rFonts w:hint="default" w:ascii="宋体" w:hAnsi="宋体" w:eastAsia="宋体" w:cs="宋体"/>
          <w:sz w:val="24"/>
          <w:szCs w:val="24"/>
        </w:rPr>
      </w:pPr>
      <w:r>
        <w:rPr>
          <w:rFonts w:hint="eastAsia" w:ascii="宋体" w:hAnsi="宋体" w:eastAsia="宋体" w:cs="宋体"/>
          <w:b/>
          <w:sz w:val="24"/>
          <w:szCs w:val="24"/>
        </w:rPr>
        <w:t xml:space="preserve">十四、需要补充的合同条款：</w:t>
      </w:r>
      <w:r>
        <w:rPr>
          <w:rFonts w:hint="eastAsia" w:ascii="宋体" w:hAnsi="宋体" w:eastAsia="宋体" w:cs="宋体"/>
          <w:sz w:val="24"/>
          <w:szCs w:val="24"/>
        </w:rPr>
        <w:t xml:space="preserve">（根据评审过程中或者商务谈判时商定的条款和条件在订立合同时标明）。</w:t>
      </w:r>
      <w:r/>
    </w:p>
    <w:p>
      <w:pPr>
        <w:ind w:left="0" w:firstLine="482"/>
        <w:spacing w:line="360" w:lineRule="auto"/>
        <w:widowControl w:val="off"/>
        <w:rPr>
          <w:rFonts w:hint="default" w:ascii="宋体" w:hAnsi="宋体" w:eastAsia="宋体" w:cs="宋体"/>
          <w:b/>
          <w:sz w:val="24"/>
          <w:szCs w:val="24"/>
        </w:rPr>
      </w:pPr>
      <w:r>
        <w:rPr>
          <w:rFonts w:hint="eastAsia" w:ascii="宋体" w:hAnsi="宋体" w:eastAsia="宋体" w:cs="宋体"/>
          <w:b/>
          <w:sz w:val="24"/>
          <w:szCs w:val="24"/>
        </w:rPr>
        <w:t xml:space="preserve">十五、合同生效</w:t>
      </w:r>
      <w:r/>
    </w:p>
    <w:p>
      <w:pPr>
        <w:ind w:left="0" w:firstLine="480"/>
        <w:spacing w:line="360" w:lineRule="auto"/>
        <w:widowControl w:val="off"/>
        <w:rPr>
          <w:rFonts w:hint="default" w:ascii="宋体" w:hAnsi="宋体" w:eastAsia="宋体" w:cs="宋体"/>
          <w:sz w:val="24"/>
          <w:szCs w:val="24"/>
        </w:rPr>
      </w:pPr>
      <w:r>
        <w:rPr>
          <w:rFonts w:hint="eastAsia" w:ascii="宋体" w:hAnsi="宋体" w:eastAsia="宋体" w:cs="宋体"/>
          <w:sz w:val="24"/>
          <w:szCs w:val="24"/>
        </w:rPr>
        <w:t xml:space="preserve">1.双方签约人为各自法定代表人或被授权代表。</w:t>
      </w:r>
      <w:r/>
    </w:p>
    <w:p>
      <w:pPr>
        <w:ind w:left="0" w:firstLine="480"/>
        <w:spacing w:line="360" w:lineRule="auto"/>
        <w:widowControl w:val="off"/>
        <w:rPr>
          <w:rFonts w:hint="default" w:ascii="宋体" w:hAnsi="宋体" w:eastAsia="宋体" w:cs="宋体"/>
          <w:sz w:val="24"/>
          <w:szCs w:val="24"/>
        </w:rPr>
      </w:pPr>
      <w:r>
        <w:rPr>
          <w:rFonts w:hint="eastAsia" w:ascii="宋体" w:hAnsi="宋体" w:eastAsia="宋体" w:cs="宋体"/>
          <w:sz w:val="24"/>
          <w:szCs w:val="24"/>
        </w:rPr>
        <w:t xml:space="preserve">2.本合同系指本文件及其附件中的所有部分，招标文件、成交单位的投标文件、中标通知书、中标人在采购过程中的澄清和承诺等为本合同不可缺少的组成部分。</w:t>
      </w:r>
      <w:r/>
    </w:p>
    <w:p>
      <w:pPr>
        <w:ind w:left="0" w:firstLine="480"/>
        <w:spacing w:line="360" w:lineRule="auto"/>
        <w:widowControl w:val="off"/>
        <w:rPr>
          <w:rFonts w:hint="default" w:ascii="宋体" w:hAnsi="宋体" w:eastAsia="宋体" w:cs="宋体"/>
          <w:sz w:val="24"/>
          <w:szCs w:val="24"/>
        </w:rPr>
      </w:pPr>
      <w:r>
        <w:rPr>
          <w:rFonts w:hint="eastAsia" w:ascii="宋体" w:hAnsi="宋体" w:eastAsia="宋体" w:cs="宋体"/>
          <w:sz w:val="24"/>
          <w:szCs w:val="24"/>
        </w:rPr>
        <w:t xml:space="preserve">3.本合同自甲乙双方签字盖章之日起生效。</w:t>
      </w:r>
      <w:r/>
    </w:p>
    <w:p>
      <w:pPr>
        <w:ind w:left="0" w:firstLine="480"/>
        <w:spacing w:line="360" w:lineRule="auto"/>
        <w:widowControl w:val="off"/>
        <w:rPr>
          <w:rFonts w:hint="default" w:ascii="宋体" w:hAnsi="宋体" w:eastAsia="宋体" w:cs="宋体"/>
          <w:sz w:val="24"/>
          <w:szCs w:val="24"/>
        </w:rPr>
      </w:pPr>
      <w:r>
        <w:rPr>
          <w:rFonts w:hint="eastAsia" w:ascii="宋体" w:hAnsi="宋体" w:eastAsia="宋体" w:cs="宋体"/>
          <w:sz w:val="24"/>
          <w:szCs w:val="24"/>
        </w:rPr>
        <w:t xml:space="preserve">4.本合同壹式</w:t>
      </w:r>
      <w:r>
        <w:rPr>
          <w:rFonts w:hint="eastAsia" w:ascii="宋体" w:hAnsi="宋体" w:eastAsia="宋体" w:cs="宋体"/>
          <w:b/>
          <w:sz w:val="24"/>
          <w:szCs w:val="24"/>
        </w:rPr>
        <w:t xml:space="preserve">肆</w:t>
      </w:r>
      <w:r>
        <w:rPr>
          <w:rFonts w:hint="eastAsia" w:ascii="宋体" w:hAnsi="宋体" w:eastAsia="宋体" w:cs="宋体"/>
          <w:sz w:val="24"/>
          <w:szCs w:val="24"/>
        </w:rPr>
        <w:t xml:space="preserve">份，甲乙双方各执</w:t>
      </w:r>
      <w:r>
        <w:rPr>
          <w:rFonts w:hint="eastAsia" w:ascii="宋体" w:hAnsi="宋体" w:eastAsia="宋体" w:cs="宋体"/>
          <w:b/>
          <w:sz w:val="24"/>
          <w:szCs w:val="24"/>
        </w:rPr>
        <w:t xml:space="preserve">贰</w:t>
      </w:r>
      <w:r>
        <w:rPr>
          <w:rFonts w:hint="eastAsia" w:ascii="宋体" w:hAnsi="宋体" w:eastAsia="宋体" w:cs="宋体"/>
          <w:sz w:val="24"/>
          <w:szCs w:val="24"/>
        </w:rPr>
        <w:t xml:space="preserve">份，各份具有同等法律效力。</w:t>
      </w:r>
      <w:r/>
    </w:p>
    <w:p>
      <w:pPr>
        <w:ind w:left="0" w:firstLine="480"/>
        <w:spacing w:line="360" w:lineRule="auto"/>
        <w:widowControl w:val="off"/>
        <w:rPr>
          <w:rFonts w:hint="default" w:ascii="宋体" w:hAnsi="宋体" w:eastAsia="宋体" w:cs="宋体"/>
          <w:sz w:val="24"/>
          <w:szCs w:val="24"/>
        </w:rPr>
      </w:pPr>
      <w:r>
        <w:rPr>
          <w:rFonts w:hint="eastAsia" w:ascii="宋体" w:hAnsi="宋体" w:eastAsia="宋体" w:cs="宋体"/>
          <w:sz w:val="24"/>
          <w:szCs w:val="24"/>
        </w:rPr>
        <w:t xml:space="preserve">5.本合同应按照中华人民共和国的现行法律进行解释。</w:t>
      </w:r>
      <w:r/>
    </w:p>
    <w:p>
      <w:pPr>
        <w:ind w:left="0" w:firstLine="480"/>
        <w:spacing w:line="360" w:lineRule="auto"/>
        <w:widowControl w:val="off"/>
        <w:rPr>
          <w:rFonts w:hint="default" w:ascii="宋体" w:hAnsi="宋体" w:eastAsia="宋体" w:cs="宋体"/>
          <w:sz w:val="24"/>
          <w:szCs w:val="24"/>
        </w:rPr>
      </w:pPr>
      <w:r>
        <w:rPr>
          <w:rFonts w:hint="eastAsia" w:ascii="宋体" w:hAnsi="宋体" w:eastAsia="宋体" w:cs="宋体"/>
          <w:sz w:val="24"/>
          <w:szCs w:val="24"/>
        </w:rPr>
        <w:t xml:space="preserve">6.合同修改：除甲乙双方签署书面修改、补充协议，并成为本合同不可分割的一部分之外，本合同条件不得有任何变化或修改。 </w:t>
      </w:r>
      <w:r/>
    </w:p>
    <w:p>
      <w:pPr>
        <w:ind w:left="0" w:firstLine="0"/>
        <w:jc w:val="both"/>
        <w:spacing w:line="36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ind w:left="0"/>
        <w:spacing w:line="360" w:lineRule="auto"/>
        <w:widowControl w:val="off"/>
        <w:rPr>
          <w:rFonts w:hint="default" w:ascii="宋体" w:hAnsi="宋体" w:eastAsia="宋体" w:cs="宋体"/>
          <w:sz w:val="24"/>
          <w:szCs w:val="24"/>
        </w:rPr>
      </w:pPr>
      <w:r>
        <w:rPr>
          <w:rFonts w:hint="eastAsia" w:ascii="宋体" w:hAnsi="宋体" w:eastAsia="宋体" w:cs="宋体"/>
          <w:sz w:val="24"/>
          <w:szCs w:val="24"/>
        </w:rPr>
        <w:t xml:space="preserve">甲方（公章）：                     </w:t>
      </w:r>
      <w:r>
        <w:rPr>
          <w:rFonts w:hint="default" w:ascii="宋体" w:hAnsi="宋体" w:eastAsia="宋体" w:cs="宋体"/>
          <w:sz w:val="24"/>
          <w:szCs w:val="24"/>
        </w:rPr>
        <w:t xml:space="preserve">   </w:t>
      </w:r>
      <w:r>
        <w:rPr>
          <w:rFonts w:hint="eastAsia" w:ascii="宋体" w:hAnsi="宋体" w:eastAsia="宋体" w:cs="宋体"/>
          <w:sz w:val="24"/>
          <w:szCs w:val="24"/>
        </w:rPr>
        <w:t xml:space="preserve">        </w:t>
      </w:r>
      <w:r>
        <w:rPr>
          <w:rFonts w:hint="default" w:ascii="宋体" w:hAnsi="宋体" w:eastAsia="宋体" w:cs="宋体"/>
          <w:sz w:val="24"/>
          <w:szCs w:val="24"/>
        </w:rPr>
        <w:t xml:space="preserve">     </w:t>
      </w:r>
      <w:r>
        <w:rPr>
          <w:rFonts w:hint="eastAsia" w:ascii="宋体" w:hAnsi="宋体" w:eastAsia="宋体" w:cs="宋体"/>
          <w:sz w:val="24"/>
          <w:szCs w:val="24"/>
        </w:rPr>
        <w:t xml:space="preserve"> 乙方（公章）：</w:t>
      </w:r>
      <w:r/>
    </w:p>
    <w:p>
      <w:pPr>
        <w:ind w:left="0"/>
        <w:spacing w:line="360" w:lineRule="auto"/>
        <w:widowControl w:val="off"/>
        <w:rPr>
          <w:rFonts w:hint="default" w:ascii="宋体" w:hAnsi="宋体" w:eastAsia="宋体" w:cs="宋体"/>
          <w:sz w:val="24"/>
          <w:szCs w:val="24"/>
        </w:rPr>
      </w:pPr>
      <w:r>
        <w:rPr>
          <w:rFonts w:hint="eastAsia" w:ascii="宋体" w:hAnsi="宋体" w:eastAsia="宋体" w:cs="宋体"/>
          <w:sz w:val="24"/>
          <w:szCs w:val="24"/>
        </w:rPr>
        <w:t xml:space="preserve">法定代表人或授权代表（签字或盖章）：                法定代表人或授权代表（签字或盖章）： </w:t>
      </w:r>
      <w:r/>
    </w:p>
    <w:p>
      <w:pPr>
        <w:ind w:left="0"/>
        <w:spacing w:line="360" w:lineRule="auto"/>
        <w:widowControl w:val="off"/>
        <w:rPr>
          <w:rFonts w:hint="default" w:ascii="宋体" w:hAnsi="宋体" w:eastAsia="宋体" w:cs="宋体"/>
          <w:sz w:val="24"/>
          <w:szCs w:val="24"/>
        </w:rPr>
      </w:pPr>
      <w:r>
        <w:rPr>
          <w:rFonts w:hint="eastAsia" w:ascii="宋体" w:hAnsi="宋体" w:eastAsia="宋体" w:cs="宋体"/>
          <w:sz w:val="24"/>
          <w:szCs w:val="24"/>
        </w:rPr>
        <w:t xml:space="preserve">签约日期：                                  </w:t>
      </w:r>
      <w:r>
        <w:rPr>
          <w:rFonts w:hint="default" w:ascii="宋体" w:hAnsi="宋体" w:eastAsia="宋体" w:cs="宋体"/>
          <w:sz w:val="24"/>
          <w:szCs w:val="24"/>
        </w:rPr>
        <w:t xml:space="preserve">        </w:t>
      </w:r>
      <w:r>
        <w:rPr>
          <w:rFonts w:hint="eastAsia" w:ascii="宋体" w:hAnsi="宋体" w:eastAsia="宋体" w:cs="宋体"/>
          <w:sz w:val="24"/>
          <w:szCs w:val="24"/>
        </w:rPr>
        <w:t xml:space="preserve">签约日期： </w:t>
      </w:r>
      <w:r/>
    </w:p>
    <w:p>
      <w:pPr>
        <w:ind w:left="400" w:firstLine="480"/>
        <w:jc w:val="both"/>
        <w:spacing w:line="36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ind w:left="0"/>
        <w:spacing w:line="360" w:lineRule="auto"/>
        <w:widowControl w:val="off"/>
        <w:rPr>
          <w:rFonts w:hint="default" w:ascii="宋体" w:hAnsi="宋体" w:eastAsia="宋体" w:cs="宋体"/>
          <w:sz w:val="24"/>
          <w:szCs w:val="24"/>
        </w:rPr>
      </w:pPr>
      <w:r>
        <w:rPr>
          <w:rFonts w:hint="eastAsia" w:ascii="宋体" w:hAnsi="宋体" w:eastAsia="宋体" w:cs="宋体"/>
          <w:sz w:val="24"/>
          <w:szCs w:val="24"/>
        </w:rPr>
        <w:t xml:space="preserve">合同签定地：</w:t>
      </w:r>
      <w:r/>
    </w:p>
    <w:p>
      <w:pPr>
        <w:ind w:left="0" w:firstLine="480"/>
        <w:spacing w:line="360" w:lineRule="auto"/>
        <w:widowControl w:val="off"/>
        <w:rPr>
          <w:rFonts w:hint="eastAsia" w:ascii="宋体" w:hAnsi="宋体" w:eastAsia="宋体" w:cs="宋体"/>
          <w:sz w:val="24"/>
          <w:szCs w:val="24"/>
        </w:rPr>
        <w:sectPr>
          <w:footerReference w:type="default" r:id="rId15"/>
          <w:footerReference w:type="first" r:id="rId16"/>
          <w:footnotePr/>
          <w:endnotePr/>
          <w:type w:val="nextPage"/>
          <w:pgSz w:w="11906" w:h="16838" w:orient="portrait"/>
          <w:pgMar w:top="1418" w:right="1021" w:bottom="1418" w:left="1021" w:header="567" w:footer="567" w:gutter="0"/>
          <w:cols w:num="1" w:sep="0" w:space="720" w:equalWidth="1"/>
          <w:docGrid w:linePitch="360"/>
          <w:titlePg/>
        </w:sectPr>
      </w:pPr>
      <w:r>
        <w:rPr>
          <w:rFonts w:hint="eastAsia" w:ascii="宋体" w:hAnsi="宋体" w:eastAsia="宋体" w:cs="宋体"/>
          <w:sz w:val="24"/>
          <w:szCs w:val="24"/>
        </w:rPr>
      </w:r>
      <w:r/>
    </w:p>
    <w:p>
      <w:pPr>
        <w:ind w:left="0" w:firstLine="480"/>
        <w:spacing w:line="360" w:lineRule="auto"/>
        <w:widowControl w:val="off"/>
        <w:rPr>
          <w:rFonts w:hint="default" w:ascii="宋体" w:hAnsi="宋体" w:eastAsia="宋体" w:cs="宋体"/>
          <w:b w:val="0"/>
          <w:bCs w:val="0"/>
          <w:sz w:val="24"/>
          <w:szCs w:val="24"/>
        </w:rPr>
      </w:pPr>
      <w:r>
        <w:rPr>
          <w:rFonts w:hint="eastAsia" w:ascii="宋体" w:hAnsi="宋体" w:eastAsia="宋体" w:cs="宋体"/>
          <w:b w:val="0"/>
          <w:bCs w:val="0"/>
          <w:sz w:val="24"/>
          <w:szCs w:val="24"/>
        </w:rPr>
        <w:t xml:space="preserve">附件1：</w:t>
      </w:r>
      <w:r/>
    </w:p>
    <w:p>
      <w:pPr>
        <w:ind w:left="0"/>
        <w:jc w:val="center"/>
        <w:spacing w:line="360" w:lineRule="auto"/>
        <w:widowControl w:val="off"/>
        <w:rPr>
          <w:rFonts w:hint="eastAsia" w:hAnsi="宋体" w:cs="宋体"/>
          <w:highlight w:val="none"/>
        </w:rPr>
      </w:pPr>
      <w:r>
        <w:rPr>
          <w:rFonts w:hint="eastAsia" w:ascii="宋体" w:hAnsi="宋体" w:eastAsia="宋体" w:cs="宋体"/>
          <w:b w:val="0"/>
          <w:bCs w:val="0"/>
          <w:sz w:val="32"/>
          <w:szCs w:val="32"/>
          <w:highlight w:val="none"/>
        </w:rPr>
        <w:t xml:space="preserve">《202</w:t>
      </w:r>
      <w:r>
        <w:rPr>
          <w:rFonts w:hint="eastAsia" w:ascii="宋体" w:hAnsi="宋体" w:eastAsia="宋体" w:cs="宋体"/>
          <w:b w:val="0"/>
          <w:bCs w:val="0"/>
          <w:sz w:val="32"/>
          <w:szCs w:val="32"/>
          <w:highlight w:val="none"/>
          <w:lang w:val="en-US" w:eastAsia="zh-CN"/>
        </w:rPr>
        <w:t xml:space="preserve">6</w:t>
      </w:r>
      <w:r>
        <w:rPr>
          <w:rFonts w:hint="eastAsia" w:ascii="宋体" w:hAnsi="宋体" w:eastAsia="宋体" w:cs="宋体"/>
          <w:b w:val="0"/>
          <w:bCs w:val="0"/>
          <w:sz w:val="32"/>
          <w:szCs w:val="32"/>
          <w:highlight w:val="none"/>
        </w:rPr>
        <w:t xml:space="preserve">年智水苏州硬件运维管理考核办法</w:t>
      </w:r>
      <w:r>
        <w:rPr>
          <w:rFonts w:hint="eastAsia" w:ascii="宋体" w:hAnsi="宋体" w:eastAsia="宋体" w:cs="宋体"/>
          <w:b w:val="0"/>
          <w:bCs w:val="0"/>
          <w:sz w:val="32"/>
          <w:szCs w:val="32"/>
          <w:highlight w:val="none"/>
          <w:lang w:val="en-US" w:eastAsia="zh-CN"/>
        </w:rPr>
        <w:t xml:space="preserve">-标段一</w:t>
      </w:r>
      <w:r>
        <w:rPr>
          <w:rFonts w:hint="eastAsia" w:ascii="宋体" w:hAnsi="宋体" w:eastAsia="宋体" w:cs="宋体"/>
          <w:b w:val="0"/>
          <w:bCs w:val="0"/>
          <w:sz w:val="32"/>
          <w:szCs w:val="32"/>
          <w:highlight w:val="none"/>
        </w:rPr>
        <w:t xml:space="preserve">》</w:t>
      </w:r>
      <w:r/>
    </w:p>
    <w:p>
      <w:pPr>
        <w:ind w:left="420"/>
        <w:spacing w:after="50" w:line="36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（一）考核内容</w:t>
      </w:r>
      <w:r/>
    </w:p>
    <w:p>
      <w:pPr>
        <w:ind w:left="0" w:firstLine="560"/>
        <w:spacing w:after="50" w:line="36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1、基础保障。</w:t>
      </w:r>
      <w:r/>
    </w:p>
    <w:p>
      <w:pPr>
        <w:ind w:left="0" w:firstLine="560"/>
        <w:spacing w:after="50" w:line="36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2、台帐资料。</w:t>
      </w:r>
      <w:r/>
    </w:p>
    <w:p>
      <w:pPr>
        <w:ind w:left="0" w:firstLine="560"/>
        <w:spacing w:after="50" w:line="36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3、维护质量。</w:t>
      </w:r>
      <w:r/>
    </w:p>
    <w:p>
      <w:pPr>
        <w:ind w:left="0" w:firstLine="560"/>
        <w:spacing w:after="50" w:line="36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4、紧急响应。</w:t>
      </w:r>
      <w:r/>
    </w:p>
    <w:p>
      <w:pPr>
        <w:ind w:left="0" w:firstLine="560"/>
        <w:spacing w:after="50" w:line="36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5、企业形象。</w:t>
      </w:r>
      <w:r/>
    </w:p>
    <w:p>
      <w:pPr>
        <w:ind w:left="0" w:firstLine="560"/>
        <w:spacing w:after="50" w:line="36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6</w:t>
      </w:r>
      <w:r>
        <w:rPr>
          <w:rFonts w:hint="eastAsia" w:ascii="宋体" w:hAnsi="宋体" w:eastAsia="宋体" w:cs="宋体"/>
          <w:b w:val="0"/>
          <w:bCs w:val="0"/>
          <w:sz w:val="24"/>
          <w:szCs w:val="24"/>
          <w:highlight w:val="none"/>
        </w:rPr>
        <w:t xml:space="preserve">、重点事项交办情况。</w:t>
      </w:r>
      <w:r/>
    </w:p>
    <w:p>
      <w:pPr>
        <w:pStyle w:val="848"/>
        <w:rPr>
          <w:rFonts w:hint="eastAsia" w:hAnsi="宋体" w:eastAsia="宋体" w:cs="宋体"/>
          <w:highlight w:val="none"/>
          <w:lang w:val="en-US" w:eastAsia="zh-CN"/>
        </w:rPr>
      </w:pPr>
      <w:r>
        <w:rPr>
          <w:rFonts w:hint="eastAsia" w:hAnsi="宋体" w:cs="宋体"/>
          <w:b w:val="0"/>
          <w:bCs w:val="0"/>
          <w:sz w:val="24"/>
          <w:szCs w:val="24"/>
          <w:highlight w:val="none"/>
          <w:lang w:val="en-US" w:eastAsia="zh-CN"/>
        </w:rPr>
        <w:t xml:space="preserve">7、</w:t>
      </w:r>
      <w:r>
        <w:rPr>
          <w:rFonts w:hint="eastAsia" w:ascii="宋体" w:hAnsi="宋体" w:eastAsia="宋体" w:cs="宋体"/>
          <w:b w:val="0"/>
          <w:bCs w:val="0"/>
          <w:i w:val="0"/>
          <w:iCs w:val="0"/>
          <w:color w:val="000000"/>
          <w:sz w:val="24"/>
          <w:szCs w:val="24"/>
          <w:highlight w:val="none"/>
          <w:u w:val="none"/>
          <w:lang w:val="en-US" w:eastAsia="zh-CN" w:bidi="ar"/>
        </w:rPr>
        <w:t xml:space="preserve">《设备运维管理要求-标段一》（试行）</w:t>
      </w:r>
      <w:r/>
    </w:p>
    <w:p>
      <w:pPr>
        <w:ind w:left="0" w:firstLine="482"/>
        <w:jc w:val="left"/>
        <w:spacing w:after="50"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（二）考核标准</w:t>
      </w:r>
      <w:r/>
    </w:p>
    <w:tbl>
      <w:tblPr>
        <w:tblStyle w:val="847"/>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96"/>
        <w:gridCol w:w="827"/>
        <w:gridCol w:w="3849"/>
        <w:gridCol w:w="2946"/>
        <w:gridCol w:w="1306"/>
        <w:gridCol w:w="456"/>
      </w:tblGrid>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内容</w:t>
            </w:r>
            <w:r/>
          </w:p>
        </w:tc>
        <w:tc>
          <w:tcPr>
            <w:shd w:val="clear" w:color="auto" w:fill="auto"/>
            <w:tcBorders>
              <w:top w:val="single" w:color="000000" w:sz="4" w:space="0"/>
              <w:left w:val="single" w:color="000000" w:sz="4" w:space="0"/>
              <w:bottom w:val="single" w:color="000000" w:sz="4" w:space="0"/>
              <w:right w:val="single" w:color="000000" w:sz="4" w:space="0"/>
            </w:tcBorders>
            <w:tcW w:w="3849" w:type="dxa"/>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评分标准</w:t>
            </w:r>
            <w:r/>
          </w:p>
        </w:tc>
        <w:tc>
          <w:tcPr>
            <w:shd w:val="clear" w:color="auto" w:fill="auto"/>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考核方式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得分</w:t>
            </w:r>
            <w:r/>
          </w:p>
        </w:tc>
      </w:tr>
      <w:tr>
        <w:trPr>
          <w:trHeight w:val="7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基础保障（10分）</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定员定岗（10分）</w:t>
            </w:r>
            <w:r/>
          </w:p>
        </w:tc>
        <w:tc>
          <w:tcPr>
            <w:shd w:val="clear" w:color="auto" w:fill="auto"/>
            <w:tcBorders>
              <w:top w:val="single" w:color="000000" w:sz="4" w:space="0"/>
              <w:left w:val="single" w:color="000000" w:sz="4" w:space="0"/>
              <w:bottom w:val="single" w:color="000000" w:sz="4" w:space="0"/>
              <w:right w:val="single" w:color="000000" w:sz="4" w:space="0"/>
            </w:tcBorders>
            <w:tcW w:w="3849"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配备1名专职项目经理，对接甲方运维管理交办事项，维护人员数量按照招标文件要求执行。</w:t>
            </w:r>
            <w:r/>
          </w:p>
        </w:tc>
        <w:tc>
          <w:tcPr>
            <w:shd w:val="clear" w:color="auto" w:fill="auto"/>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每缺一名维护人</w:t>
            </w:r>
            <w:r>
              <w:rPr>
                <w:rFonts w:hint="eastAsia" w:ascii="宋体" w:hAnsi="宋体" w:eastAsia="宋体" w:cs="宋体"/>
                <w:b w:val="0"/>
                <w:bCs w:val="0"/>
                <w:i w:val="0"/>
                <w:iCs w:val="0"/>
                <w:color w:val="000000"/>
                <w:sz w:val="24"/>
                <w:szCs w:val="24"/>
                <w:highlight w:val="none"/>
                <w:u w:val="none"/>
                <w:lang w:val="en-US" w:eastAsia="zh-CN" w:bidi="ar"/>
              </w:rPr>
              <w:t xml:space="preserve">员扣1分；</w:t>
            </w:r>
            <w:r>
              <w:rPr>
                <w:rFonts w:hint="eastAsia" w:ascii="宋体" w:hAnsi="宋体" w:eastAsia="宋体" w:cs="宋体"/>
                <w:b w:val="0"/>
                <w:bCs w:val="0"/>
                <w:i w:val="0"/>
                <w:iCs w:val="0"/>
                <w:color w:val="000000"/>
                <w:sz w:val="24"/>
                <w:szCs w:val="24"/>
                <w:u w:val="none"/>
                <w:lang w:val="en-US" w:eastAsia="zh-CN" w:bidi="ar"/>
              </w:rPr>
              <w:t xml:space="preserve">未按时按要求甲方交办事项，每次扣2分。</w:t>
            </w:r>
            <w:r/>
          </w:p>
        </w:tc>
        <w:tc>
          <w:tcPr>
            <w:shd w:val="clear" w:color="auto" w:fill="auto"/>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ind w:left="0"/>
              <w:jc w:val="left"/>
              <w:keepLines w:val="0"/>
              <w:keepNext w:val="0"/>
              <w:widowControl/>
              <w:rPr>
                <w:rFonts w:hint="default" w:ascii="宋体" w:hAnsi="宋体" w:eastAsia="宋体" w:cs="宋体"/>
                <w:b w:val="0"/>
                <w:bCs w:val="0"/>
                <w:i w:val="0"/>
                <w:iCs w:val="0"/>
                <w:color w:val="000000"/>
                <w:sz w:val="24"/>
                <w:szCs w:val="24"/>
                <w:u w:val="none"/>
                <w:lang w:val="en-US"/>
              </w:rPr>
              <w:suppressLineNumbers w:val="0"/>
            </w:pPr>
            <w:r>
              <w:rPr>
                <w:rFonts w:hint="eastAsia" w:ascii="宋体" w:hAnsi="宋体" w:eastAsia="宋体" w:cs="宋体"/>
                <w:b w:val="0"/>
                <w:bCs w:val="0"/>
                <w:i w:val="0"/>
                <w:iCs w:val="0"/>
                <w:color w:val="000000"/>
                <w:sz w:val="24"/>
                <w:szCs w:val="24"/>
                <w:u w:val="none"/>
                <w:lang w:val="en-US" w:eastAsia="zh-CN" w:bidi="ar"/>
              </w:rPr>
              <w:t xml:space="preserve">查人员花名册，现场核对，考核表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1024"/>
              <w:jc w:val="center"/>
              <w:widowControl/>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台帐资料（20分）</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计划和总结（10分）</w:t>
            </w:r>
            <w:r/>
          </w:p>
        </w:tc>
        <w:tc>
          <w:tcPr>
            <w:shd w:val="clear" w:color="auto" w:fill="auto"/>
            <w:tcBorders>
              <w:top w:val="single" w:color="000000" w:sz="4" w:space="0"/>
              <w:left w:val="single" w:color="000000" w:sz="4" w:space="0"/>
              <w:bottom w:val="single" w:color="000000" w:sz="4" w:space="0"/>
              <w:right w:val="single" w:color="000000" w:sz="4" w:space="0"/>
            </w:tcBorders>
            <w:tcW w:w="3849"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按甲方要求按时提供年度和月度服务总结报告。</w:t>
            </w:r>
            <w:r/>
          </w:p>
        </w:tc>
        <w:tc>
          <w:tcPr>
            <w:shd w:val="clear" w:color="auto" w:fill="auto"/>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未按时提供扣2分；不符合财务绩效考核指标要求，每项扣1分。</w:t>
            </w:r>
            <w:r/>
          </w:p>
        </w:tc>
        <w:tc>
          <w:tcPr>
            <w:shd w:val="clear" w:color="auto" w:fill="auto"/>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现场查阅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1024"/>
              <w:jc w:val="center"/>
              <w:widowControl/>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trHeight w:val="131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1024"/>
              <w:jc w:val="center"/>
              <w:widowControl/>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巡检报告（10分）</w:t>
            </w:r>
            <w:r/>
          </w:p>
        </w:tc>
        <w:tc>
          <w:tcPr>
            <w:shd w:val="clear" w:color="auto" w:fill="auto"/>
            <w:tcBorders>
              <w:top w:val="single" w:color="000000" w:sz="4" w:space="0"/>
              <w:left w:val="single" w:color="000000" w:sz="4" w:space="0"/>
              <w:bottom w:val="single" w:color="000000" w:sz="4" w:space="0"/>
              <w:right w:val="single" w:color="000000" w:sz="4" w:space="0"/>
            </w:tcBorders>
            <w:tcW w:w="3849"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按照《设备维护清单》分类建立巡检台账，巡检表格清晰易懂，每月认真如实填写巡检、维护情况，包括自查情况汇总，并按招标要求时限报送甲方填写意见和签字确认。根据甲方需要，按时提供周报，日报服务。</w:t>
            </w:r>
            <w:r/>
          </w:p>
        </w:tc>
        <w:tc>
          <w:tcPr>
            <w:shd w:val="clear" w:color="auto" w:fill="auto"/>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不符合财务绩效考核指标要求、填写内容不实、有歧义的每次每件扣1分，不按时上报、漏报的每次扣1分。</w:t>
            </w:r>
            <w:r/>
          </w:p>
        </w:tc>
        <w:tc>
          <w:tcPr>
            <w:shd w:val="clear" w:color="auto" w:fill="auto"/>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现场查阅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1024"/>
              <w:jc w:val="center"/>
              <w:widowControl/>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trHeight w:val="525"/>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维护质量（50分）</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视频设备维护（10分）</w:t>
            </w:r>
            <w:r/>
          </w:p>
        </w:tc>
        <w:tc>
          <w:tcPr>
            <w:shd w:val="clear" w:color="auto" w:fill="auto"/>
            <w:tcBorders>
              <w:top w:val="single" w:color="000000" w:sz="4" w:space="0"/>
              <w:left w:val="single" w:color="000000" w:sz="4" w:space="0"/>
              <w:bottom w:val="single" w:color="000000" w:sz="4" w:space="0"/>
              <w:right w:val="single" w:color="000000" w:sz="4" w:space="0"/>
            </w:tcBorders>
            <w:tcW w:w="3849"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视频设备在线率95%以上；因设备质量、网络、供电等问题导致掉线的，一周内需恢复。</w:t>
            </w:r>
            <w:r/>
          </w:p>
        </w:tc>
        <w:tc>
          <w:tcPr>
            <w:shd w:val="clear" w:color="auto" w:fill="auto"/>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在线率低于90%，每少1%，扣1分。</w:t>
            </w:r>
            <w:r/>
          </w:p>
        </w:tc>
        <w:tc>
          <w:tcPr>
            <w:shd w:val="clear" w:color="auto" w:fill="auto"/>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日常检查，抽查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1024"/>
              <w:jc w:val="center"/>
              <w:widowControl/>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trHeight w:val="788"/>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1024"/>
              <w:jc w:val="center"/>
              <w:widowControl/>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窨井设备维护（10分）</w:t>
            </w:r>
            <w:r/>
          </w:p>
        </w:tc>
        <w:tc>
          <w:tcPr>
            <w:shd w:val="clear" w:color="auto" w:fill="auto"/>
            <w:tcBorders>
              <w:top w:val="single" w:color="000000" w:sz="4" w:space="0"/>
              <w:left w:val="single" w:color="000000" w:sz="4" w:space="0"/>
              <w:bottom w:val="single" w:color="000000" w:sz="4" w:space="0"/>
              <w:right w:val="single" w:color="000000" w:sz="4" w:space="0"/>
            </w:tcBorders>
            <w:tcW w:w="3849"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窨井液位计、流量计定期更换电池、定期清洗，发生异常及时核准率定并做好记录。保证设备在线率95%以上。</w:t>
            </w:r>
            <w:r/>
          </w:p>
        </w:tc>
        <w:tc>
          <w:tcPr>
            <w:shd w:val="clear" w:color="auto" w:fill="auto"/>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未及时更换电池、清洗不到位，发现一处扣1分；在线率低于90%，每少1%，扣1分。</w:t>
            </w:r>
            <w:r/>
          </w:p>
        </w:tc>
        <w:tc>
          <w:tcPr>
            <w:shd w:val="clear" w:color="auto" w:fill="auto"/>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日常检查，抽查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1024"/>
              <w:jc w:val="center"/>
              <w:widowControl/>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trHeight w:val="788"/>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1024"/>
              <w:jc w:val="center"/>
              <w:widowControl/>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水质设备维护（10分）</w:t>
            </w:r>
            <w:r/>
          </w:p>
        </w:tc>
        <w:tc>
          <w:tcPr>
            <w:shd w:val="clear" w:color="auto" w:fill="auto"/>
            <w:tcBorders>
              <w:top w:val="single" w:color="000000" w:sz="4" w:space="0"/>
              <w:left w:val="single" w:color="000000" w:sz="4" w:space="0"/>
              <w:bottom w:val="single" w:color="000000" w:sz="4" w:space="0"/>
              <w:right w:val="single" w:color="000000" w:sz="4" w:space="0"/>
            </w:tcBorders>
            <w:tcW w:w="3849"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设备按照实际使用和厂家使用说明定期更换试剂，做好记录；发生数据异常，及时核准率定，做好记录；保证设备在线率90%以上。</w:t>
            </w:r>
            <w:r/>
          </w:p>
        </w:tc>
        <w:tc>
          <w:tcPr>
            <w:shd w:val="clear" w:color="auto" w:fill="auto"/>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更换记录少一次扣1分；数据率定不及时、不记录，发现一次扣1分；在线率低于90%，每少1%，扣1分。</w:t>
            </w:r>
            <w:r/>
          </w:p>
        </w:tc>
        <w:tc>
          <w:tcPr>
            <w:shd w:val="clear" w:color="auto" w:fill="auto"/>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日常检查，抽查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1024"/>
              <w:jc w:val="center"/>
              <w:widowControl/>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trHeight w:val="788"/>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1024"/>
              <w:jc w:val="center"/>
              <w:widowControl/>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所有设备正常运行（10分）</w:t>
            </w:r>
            <w:r/>
          </w:p>
        </w:tc>
        <w:tc>
          <w:tcPr>
            <w:shd w:val="clear" w:color="auto" w:fill="auto"/>
            <w:tcBorders>
              <w:top w:val="single" w:color="000000" w:sz="4" w:space="0"/>
              <w:left w:val="single" w:color="000000" w:sz="4" w:space="0"/>
              <w:bottom w:val="single" w:color="000000" w:sz="4" w:space="0"/>
              <w:right w:val="single" w:color="000000" w:sz="4" w:space="0"/>
            </w:tcBorders>
            <w:tcW w:w="3849"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保障《设备维护清单》中的所有设备正常供电，及时提供配件和维修，确保设备及网络稳定运行。</w:t>
            </w:r>
            <w:r/>
          </w:p>
        </w:tc>
        <w:tc>
          <w:tcPr>
            <w:shd w:val="clear" w:color="auto" w:fill="auto"/>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设备因配件不到位、维修不及时影响甲方工作的，每次扣1分。</w:t>
            </w:r>
            <w:r/>
          </w:p>
        </w:tc>
        <w:tc>
          <w:tcPr>
            <w:shd w:val="clear" w:color="auto" w:fill="auto"/>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日常检查，抽查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1024"/>
              <w:jc w:val="center"/>
              <w:widowControl/>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trHeight w:val="788"/>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1024"/>
              <w:jc w:val="center"/>
              <w:widowControl/>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问题处理率（5分）</w:t>
            </w:r>
            <w:r/>
          </w:p>
        </w:tc>
        <w:tc>
          <w:tcPr>
            <w:shd w:val="clear" w:color="auto" w:fill="auto"/>
            <w:tcBorders>
              <w:top w:val="single" w:color="000000" w:sz="4" w:space="0"/>
              <w:left w:val="single" w:color="000000" w:sz="4" w:space="0"/>
              <w:bottom w:val="single" w:color="000000" w:sz="4" w:space="0"/>
              <w:right w:val="single" w:color="000000" w:sz="4" w:space="0"/>
            </w:tcBorders>
            <w:tcW w:w="3849"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发现偷盗、恶意破坏、船只撞损等非常规情况，需第一时间报警并通知甲方协助挽回损失。</w:t>
            </w:r>
            <w:r/>
          </w:p>
        </w:tc>
        <w:tc>
          <w:tcPr>
            <w:shd w:val="clear" w:color="auto" w:fill="auto"/>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未第一时间上报的一次扣1分；未及时处理一次扣2分；因上报不及时产生重大后果的一次扣3分。</w:t>
            </w:r>
            <w:r/>
          </w:p>
        </w:tc>
        <w:tc>
          <w:tcPr>
            <w:shd w:val="clear" w:color="auto" w:fill="auto"/>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日常检查、抽查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1024"/>
              <w:jc w:val="center"/>
              <w:widowControl/>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trHeight w:val="81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1024"/>
              <w:jc w:val="center"/>
              <w:widowControl/>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水质设备耗材（5分）</w:t>
            </w:r>
            <w:r/>
          </w:p>
        </w:tc>
        <w:tc>
          <w:tcPr>
            <w:shd w:val="clear" w:color="auto" w:fill="auto"/>
            <w:tcBorders>
              <w:top w:val="single" w:color="000000" w:sz="4" w:space="0"/>
              <w:left w:val="single" w:color="000000" w:sz="4" w:space="0"/>
              <w:bottom w:val="single" w:color="000000" w:sz="4" w:space="0"/>
              <w:right w:val="single" w:color="000000" w:sz="4" w:space="0"/>
            </w:tcBorders>
            <w:tcW w:w="3849"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使用不低于原厂标准的试剂和配件，严格按标准规范及厂家说明周期、流程更换，确保数据准确与设备稳定。</w:t>
            </w:r>
            <w:r/>
          </w:p>
        </w:tc>
        <w:tc>
          <w:tcPr>
            <w:shd w:val="clear" w:color="auto" w:fill="auto"/>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发现一次未按要求采购或更换试剂配件扣1分。</w:t>
            </w:r>
            <w:r/>
          </w:p>
        </w:tc>
        <w:tc>
          <w:tcPr>
            <w:shd w:val="clear" w:color="auto" w:fill="auto"/>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日常检查、抽查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1024"/>
              <w:jc w:val="center"/>
              <w:widowControl/>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trHeight w:val="15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紧急响应（10分）</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处理及时率（10分）</w:t>
            </w:r>
            <w:r/>
          </w:p>
        </w:tc>
        <w:tc>
          <w:tcPr>
            <w:shd w:val="clear" w:color="auto" w:fill="auto"/>
            <w:tcBorders>
              <w:top w:val="single" w:color="000000" w:sz="4" w:space="0"/>
              <w:left w:val="single" w:color="000000" w:sz="4" w:space="0"/>
              <w:bottom w:val="single" w:color="000000" w:sz="4" w:space="0"/>
              <w:right w:val="single" w:color="000000" w:sz="4" w:space="0"/>
            </w:tcBorders>
            <w:tcW w:w="3849"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项目经理接到甲方反馈应第一时间安排人员处理问题，及时如实上报处理结果，现场记录情况及工作照片需在3日内上报；保证信息畅通，相关管理人员、技术工程师电话必须24小时有人接听。</w:t>
            </w:r>
            <w:r/>
          </w:p>
        </w:tc>
        <w:tc>
          <w:tcPr>
            <w:shd w:val="clear" w:color="auto" w:fill="auto"/>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未及时安排处理紧急抢修每次扣1分；超时或不报抢修进展的每次扣2分；无抢修台账的扣1分；上报情况与实际不符每次扣2分；造成严重影响的扣3分；出现关机、无人接听、无法联系等情况，15分钟内联系不到的每次扣1分。</w:t>
            </w:r>
            <w:r/>
          </w:p>
        </w:tc>
        <w:tc>
          <w:tcPr>
            <w:shd w:val="clear" w:color="auto" w:fill="auto"/>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日常检查、抽查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1024"/>
              <w:jc w:val="center"/>
              <w:widowControl/>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trHeight w:val="7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企业形象（10分）</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安全生产（5分）</w:t>
            </w:r>
            <w:r/>
          </w:p>
        </w:tc>
        <w:tc>
          <w:tcPr>
            <w:shd w:val="clear" w:color="auto" w:fill="auto"/>
            <w:tcBorders>
              <w:top w:val="single" w:color="000000" w:sz="4" w:space="0"/>
              <w:left w:val="single" w:color="000000" w:sz="4" w:space="0"/>
              <w:bottom w:val="single" w:color="000000" w:sz="4" w:space="0"/>
              <w:right w:val="single" w:color="000000" w:sz="4" w:space="0"/>
            </w:tcBorders>
            <w:tcW w:w="3849"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维护时周边设置有统一的安全标示、装置，设置安全围护；定期对维护人员进行安全培训，做好安全台帐。</w:t>
            </w:r>
            <w:r/>
          </w:p>
        </w:tc>
        <w:tc>
          <w:tcPr>
            <w:shd w:val="clear" w:color="auto" w:fill="auto"/>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不按规定的每次扣2分；未设置安全维护造成人员伤亡或财产损失的应承担相应责任，并扣3分。</w:t>
            </w:r>
            <w:r/>
          </w:p>
        </w:tc>
        <w:tc>
          <w:tcPr>
            <w:shd w:val="clear" w:color="auto" w:fill="auto"/>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抽查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1024"/>
              <w:jc w:val="center"/>
              <w:widowControl/>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trHeight w:val="7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1024"/>
              <w:jc w:val="center"/>
              <w:widowControl/>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文明作业（5分）</w:t>
            </w:r>
            <w:r/>
          </w:p>
        </w:tc>
        <w:tc>
          <w:tcPr>
            <w:shd w:val="clear" w:color="auto" w:fill="auto"/>
            <w:tcBorders>
              <w:top w:val="single" w:color="000000" w:sz="4" w:space="0"/>
              <w:left w:val="single" w:color="000000" w:sz="4" w:space="0"/>
              <w:bottom w:val="single" w:color="000000" w:sz="4" w:space="0"/>
              <w:right w:val="single" w:color="000000" w:sz="4" w:space="0"/>
            </w:tcBorders>
            <w:tcW w:w="3849"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维护人员文明作业, 保持良好工作态度和形象，不得同附近居民争吵；维护过程产生的废弃物需妥善处置，不得随意丢弃。</w:t>
            </w:r>
            <w:r/>
          </w:p>
        </w:tc>
        <w:tc>
          <w:tcPr>
            <w:shd w:val="clear" w:color="auto" w:fill="auto"/>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不文明作业每次扣1分；维护过程收到附近行人投诉的每次扣1分；随意丢弃废弃物的每次扣1分。 </w:t>
            </w:r>
            <w:r/>
          </w:p>
        </w:tc>
        <w:tc>
          <w:tcPr>
            <w:shd w:val="clear" w:color="auto" w:fill="auto"/>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抽查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1024"/>
              <w:jc w:val="center"/>
              <w:widowControl/>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trHeight w:val="7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重点事项办理情况</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ind w:left="1024"/>
              <w:jc w:val="center"/>
              <w:widowControl/>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9"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乙方需第一时间跟踪完成甲方交办的重点事项</w:t>
            </w:r>
            <w:r/>
          </w:p>
        </w:tc>
        <w:tc>
          <w:tcPr>
            <w:shd w:val="clear" w:color="auto" w:fill="auto"/>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乙方未及时跟踪反馈事项办理进度，每次扣除1000元；未按时办理完成，每次扣除2000元。</w:t>
            </w:r>
            <w:r/>
          </w:p>
        </w:tc>
        <w:tc>
          <w:tcPr>
            <w:shd w:val="clear" w:color="auto" w:fill="auto"/>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根据实际情况考核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1024"/>
              <w:jc w:val="center"/>
              <w:widowControl/>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trHeight w:val="7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其他</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7622" w:type="dxa"/>
            <w:vAlign w:val="center"/>
            <w:textDirection w:val="lrTb"/>
            <w:noWrap w:val="false"/>
          </w:tcPr>
          <w:p>
            <w:pPr>
              <w:ind w:left="0" w:firstLine="0"/>
              <w:jc w:val="left"/>
              <w:spacing w:line="360" w:lineRule="exact"/>
              <w:rPr>
                <w:rFonts w:hint="eastAsia" w:ascii="宋体" w:hAnsi="宋体" w:eastAsia="宋体" w:cs="宋体"/>
                <w:b w:val="0"/>
                <w:bCs w:val="0"/>
                <w:i w:val="0"/>
                <w:iCs w:val="0"/>
                <w:color w:val="000000"/>
                <w:sz w:val="24"/>
                <w:szCs w:val="24"/>
                <w:highlight w:val="none"/>
                <w:u w:val="none"/>
                <w:lang w:val="en-US" w:eastAsia="zh-CN" w:bidi="ar"/>
              </w:rPr>
            </w:pPr>
            <w:r>
              <w:rPr>
                <w:rFonts w:hint="eastAsia" w:ascii="宋体" w:hAnsi="宋体" w:eastAsia="宋体" w:cs="宋体"/>
                <w:b w:val="0"/>
                <w:bCs w:val="0"/>
                <w:i w:val="0"/>
                <w:iCs w:val="0"/>
                <w:color w:val="000000"/>
                <w:sz w:val="24"/>
                <w:szCs w:val="24"/>
                <w:highlight w:val="none"/>
                <w:u w:val="none"/>
                <w:lang w:val="en-US" w:eastAsia="zh-CN" w:bidi="ar"/>
              </w:rPr>
              <w:t xml:space="preserve">以上评分内容为室外硬件设备运维服务的核心考核要求，其他管理要求详见《设备运维管理要求-标段一》（试行）中规定的全流程管理标准</w:t>
            </w:r>
            <w:r/>
          </w:p>
        </w:tc>
        <w:tc>
          <w:tcPr>
            <w:shd w:val="clear" w:color="auto" w:fill="auto"/>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根据实际情况考核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1024"/>
              <w:jc w:val="center"/>
              <w:widowControl/>
              <w:rPr>
                <w:rFonts w:hint="eastAsia" w:ascii="宋体" w:hAnsi="宋体" w:eastAsia="宋体" w:cs="宋体"/>
                <w:b w:val="0"/>
                <w:bCs w:val="0"/>
                <w:i w:val="0"/>
                <w:iCs w:val="0"/>
                <w:color w:val="000000"/>
                <w:sz w:val="24"/>
                <w:szCs w:val="24"/>
                <w:highlight w:val="green"/>
                <w:u w:val="none"/>
              </w:rPr>
            </w:pPr>
            <w:r>
              <w:rPr>
                <w:rFonts w:hint="eastAsia" w:ascii="宋体" w:hAnsi="宋体" w:eastAsia="宋体" w:cs="宋体"/>
                <w:b w:val="0"/>
                <w:bCs w:val="0"/>
                <w:i w:val="0"/>
                <w:iCs w:val="0"/>
                <w:color w:val="000000"/>
                <w:sz w:val="24"/>
                <w:szCs w:val="24"/>
                <w:highlight w:val="green"/>
                <w:u w:val="none"/>
              </w:rPr>
            </w:r>
            <w:r/>
          </w:p>
        </w:tc>
      </w:tr>
    </w:tbl>
    <w:p>
      <w:pPr>
        <w:ind w:left="0"/>
        <w:spacing w:line="360" w:lineRule="auto"/>
        <w:widowControl w:val="off"/>
        <w:tabs>
          <w:tab w:val="left" w:pos="0" w:leader="none"/>
        </w:tabs>
        <w:rPr>
          <w:rFonts w:hint="eastAsia" w:ascii="宋体" w:hAnsi="宋体" w:eastAsia="宋体" w:cs="宋体"/>
          <w:b w:val="0"/>
          <w:bCs w:val="0"/>
          <w:sz w:val="24"/>
          <w:szCs w:val="24"/>
        </w:rPr>
      </w:pPr>
      <w:r>
        <w:rPr>
          <w:rFonts w:hint="eastAsia" w:ascii="宋体" w:hAnsi="宋体" w:eastAsia="宋体" w:cs="宋体"/>
          <w:b w:val="0"/>
          <w:bCs w:val="0"/>
          <w:sz w:val="24"/>
          <w:szCs w:val="24"/>
        </w:rPr>
      </w:r>
      <w:r/>
    </w:p>
    <w:p>
      <w:pPr>
        <w:ind w:left="0"/>
        <w:spacing w:line="360" w:lineRule="auto"/>
        <w:widowControl w:val="off"/>
        <w:tabs>
          <w:tab w:val="left" w:pos="0" w:leader="none"/>
        </w:tabs>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考核得分：                      签名：                         日期：</w:t>
      </w:r>
      <w:r/>
    </w:p>
    <w:p>
      <w:pPr>
        <w:ind w:left="0"/>
        <w:spacing w:line="360" w:lineRule="auto"/>
        <w:widowControl w:val="off"/>
        <w:tabs>
          <w:tab w:val="left" w:pos="0" w:leader="none"/>
        </w:tabs>
        <w:rPr>
          <w:rFonts w:hint="eastAsia" w:ascii="宋体" w:hAnsi="宋体" w:eastAsia="宋体" w:cs="宋体"/>
          <w:b w:val="0"/>
          <w:bCs w:val="0"/>
          <w:sz w:val="24"/>
          <w:szCs w:val="24"/>
        </w:rPr>
      </w:pPr>
      <w:r>
        <w:rPr>
          <w:rFonts w:hint="eastAsia" w:ascii="宋体" w:hAnsi="宋体" w:eastAsia="宋体" w:cs="宋体"/>
          <w:b w:val="0"/>
          <w:bCs w:val="0"/>
          <w:sz w:val="24"/>
          <w:szCs w:val="24"/>
        </w:rPr>
      </w:r>
      <w:r/>
    </w:p>
    <w:p>
      <w:pPr>
        <w:ind w:left="0"/>
        <w:spacing w:line="360" w:lineRule="auto"/>
        <w:widowControl w:val="off"/>
        <w:tabs>
          <w:tab w:val="left" w:pos="0" w:leader="none"/>
        </w:tabs>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代表方：运行科               </w:t>
      </w:r>
      <w:r/>
    </w:p>
    <w:p>
      <w:pPr>
        <w:ind w:left="0"/>
        <w:spacing w:line="360" w:lineRule="auto"/>
        <w:widowControl w:val="off"/>
        <w:tabs>
          <w:tab w:val="left" w:pos="0" w:leader="none"/>
        </w:tabs>
        <w:rPr>
          <w:rFonts w:hint="eastAsia" w:ascii="宋体" w:hAnsi="宋体" w:eastAsia="宋体" w:cs="宋体"/>
          <w:b w:val="0"/>
          <w:bCs w:val="0"/>
          <w:sz w:val="24"/>
          <w:szCs w:val="24"/>
        </w:rPr>
        <w:sectPr>
          <w:footnotePr/>
          <w:endnotePr/>
          <w:type w:val="nextPage"/>
          <w:pgSz w:w="11906" w:h="16838" w:orient="portrait"/>
          <w:pgMar w:top="1418" w:right="1021" w:bottom="1418" w:left="1021" w:header="567" w:footer="567" w:gutter="0"/>
          <w:cols w:num="1" w:sep="0" w:space="720" w:equalWidth="1"/>
          <w:docGrid w:linePitch="360"/>
          <w:titlePg/>
        </w:sectPr>
      </w:pPr>
      <w:r>
        <w:rPr>
          <w:rFonts w:hint="eastAsia" w:ascii="宋体" w:hAnsi="宋体" w:eastAsia="宋体" w:cs="宋体"/>
          <w:b w:val="0"/>
          <w:bCs w:val="0"/>
          <w:sz w:val="24"/>
          <w:szCs w:val="24"/>
        </w:rPr>
      </w:r>
      <w:r/>
    </w:p>
    <w:p>
      <w:pPr>
        <w:ind w:left="0" w:firstLine="480"/>
        <w:spacing w:line="360" w:lineRule="auto"/>
        <w:widowControl w:val="off"/>
        <w:rPr>
          <w:rFonts w:hint="eastAsia" w:ascii="宋体" w:hAnsi="宋体" w:eastAsia="宋体" w:cs="宋体"/>
          <w:b w:val="0"/>
          <w:bCs w:val="0"/>
          <w:sz w:val="24"/>
          <w:szCs w:val="24"/>
          <w:highlight w:val="yellow"/>
        </w:rPr>
      </w:pPr>
      <w:r>
        <w:rPr>
          <w:rFonts w:hint="eastAsia" w:ascii="宋体" w:hAnsi="宋体" w:eastAsia="宋体" w:cs="宋体"/>
          <w:b w:val="0"/>
          <w:bCs w:val="0"/>
          <w:sz w:val="24"/>
          <w:szCs w:val="24"/>
        </w:rPr>
        <w:t xml:space="preserve">附件</w:t>
      </w:r>
      <w:r>
        <w:rPr>
          <w:rFonts w:hint="eastAsia" w:ascii="宋体" w:hAnsi="宋体" w:eastAsia="宋体" w:cs="宋体"/>
          <w:b w:val="0"/>
          <w:bCs w:val="0"/>
          <w:sz w:val="24"/>
          <w:szCs w:val="24"/>
          <w:lang w:val="en-US" w:eastAsia="zh-CN"/>
        </w:rPr>
        <w:t xml:space="preserve">2</w:t>
      </w:r>
      <w:r>
        <w:rPr>
          <w:rFonts w:hint="eastAsia" w:ascii="宋体" w:hAnsi="宋体" w:eastAsia="宋体" w:cs="宋体"/>
          <w:b w:val="0"/>
          <w:bCs w:val="0"/>
          <w:sz w:val="24"/>
          <w:szCs w:val="24"/>
        </w:rPr>
        <w:t xml:space="preserve">：</w:t>
      </w:r>
      <w:r/>
    </w:p>
    <w:p>
      <w:pPr>
        <w:ind w:left="0" w:firstLine="0"/>
        <w:jc w:val="center"/>
        <w:spacing w:line="360" w:lineRule="exact"/>
        <w:rPr>
          <w:rFonts w:hint="eastAsia" w:ascii="宋体" w:hAnsi="宋体" w:eastAsia="宋体" w:cs="宋体"/>
          <w:b w:val="0"/>
          <w:bCs w:val="0"/>
          <w:sz w:val="32"/>
          <w:szCs w:val="32"/>
          <w:highlight w:val="none"/>
          <w:lang w:val="en-US" w:eastAsia="zh-CN" w:bidi="ar-SA"/>
        </w:rPr>
      </w:pPr>
      <w:r>
        <w:rPr>
          <w:rFonts w:hint="eastAsia" w:ascii="宋体" w:hAnsi="宋体" w:eastAsia="宋体" w:cs="宋体"/>
          <w:b w:val="0"/>
          <w:bCs w:val="0"/>
          <w:sz w:val="32"/>
          <w:szCs w:val="32"/>
          <w:highlight w:val="none"/>
          <w:lang w:val="en-US" w:eastAsia="zh-CN" w:bidi="ar-SA"/>
        </w:rPr>
        <w:t xml:space="preserve">《设备运维管理要求-标段一》（试行）</w:t>
      </w:r>
      <w:r/>
    </w:p>
    <w:p>
      <w:pPr>
        <w:pStyle w:val="848"/>
        <w:rPr>
          <w:rFonts w:hint="eastAsia" w:hAnsi="宋体" w:cs="宋体"/>
          <w:lang w:val="en-US" w:eastAsia="zh-CN"/>
        </w:rPr>
      </w:pPr>
      <w:r>
        <w:rPr>
          <w:rFonts w:hint="eastAsia" w:hAnsi="宋体" w:cs="宋体"/>
          <w:lang w:val="en-US" w:eastAsia="zh-CN"/>
        </w:rPr>
      </w:r>
      <w:r/>
    </w:p>
    <w:p>
      <w:pPr>
        <w:ind w:left="0" w:firstLine="482"/>
        <w:jc w:val="left"/>
        <w:spacing w:line="360" w:lineRule="exact"/>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1.人员管理</w:t>
      </w:r>
      <w:r/>
    </w:p>
    <w:p>
      <w:pPr>
        <w:ind w:left="0" w:firstLine="480"/>
        <w:jc w:val="left"/>
        <w:spacing w:line="3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为规范运维标段人员管理，保障服务连续性与工作效率，特制定本制度，适用于所有驻场及运维相关人员。</w:t>
      </w:r>
      <w:r/>
    </w:p>
    <w:p>
      <w:pPr>
        <w:ind w:left="0" w:firstLine="482"/>
        <w:jc w:val="left"/>
        <w:spacing w:line="360" w:lineRule="exact"/>
        <w:rPr>
          <w:rFonts w:hint="eastAsia" w:ascii="宋体" w:hAnsi="宋体" w:eastAsia="宋体" w:cs="宋体"/>
          <w:b w:val="0"/>
          <w:bCs w:val="0"/>
          <w:sz w:val="24"/>
          <w:szCs w:val="24"/>
          <w:highlight w:val="none"/>
          <w:lang w:val="en-US" w:eastAsia="zh-CN" w:bidi="ar-SA"/>
        </w:rPr>
      </w:pPr>
      <w:r>
        <w:rPr>
          <w:rFonts w:hint="eastAsia" w:ascii="宋体" w:hAnsi="宋体" w:eastAsia="宋体" w:cs="宋体"/>
          <w:b/>
          <w:bCs/>
          <w:sz w:val="24"/>
          <w:szCs w:val="24"/>
          <w:lang w:val="en-US" w:eastAsia="zh-CN" w:bidi="ar-SA"/>
        </w:rPr>
        <w:t xml:space="preserve">1.1.考勤管理</w:t>
      </w:r>
      <w:r>
        <w:rPr>
          <w:rFonts w:hint="eastAsia" w:ascii="宋体" w:hAnsi="宋体" w:eastAsia="宋体" w:cs="宋体"/>
          <w:b/>
          <w:bCs/>
          <w:sz w:val="24"/>
          <w:szCs w:val="24"/>
          <w:highlight w:val="none"/>
          <w:lang w:val="en-US" w:eastAsia="zh-CN" w:bidi="ar-SA"/>
        </w:rPr>
        <w:t xml:space="preserve">（每日钉钉等办公软件打卡）</w:t>
      </w:r>
      <w:r/>
    </w:p>
    <w:p>
      <w:pPr>
        <w:ind w:left="0" w:firstLine="480"/>
        <w:jc w:val="left"/>
        <w:spacing w:line="3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（1）工作时间与人员配置</w:t>
      </w:r>
      <w:r/>
    </w:p>
    <w:p>
      <w:pPr>
        <w:ind w:left="0" w:firstLine="480"/>
        <w:jc w:val="left"/>
        <w:spacing w:line="3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运维人员工作时间须与甲方保持一致，人员数量及岗位配备需严格符合招标文件要求。</w:t>
      </w:r>
      <w:r/>
    </w:p>
    <w:p>
      <w:pPr>
        <w:ind w:left="0" w:firstLine="480"/>
        <w:jc w:val="left"/>
        <w:spacing w:line="3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（2）日常考勤扣款规则</w:t>
      </w:r>
      <w:r/>
    </w:p>
    <w:p>
      <w:pPr>
        <w:ind w:left="0" w:firstLine="480"/>
        <w:jc w:val="left"/>
        <w:spacing w:line="3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每月每人可缺卡2次，超出后每缺卡1次扣200元；每迟到/早退1次扣100元；每旷工1天扣500元。</w:t>
      </w:r>
      <w:r/>
    </w:p>
    <w:p>
      <w:pPr>
        <w:ind w:left="0" w:firstLine="480"/>
        <w:jc w:val="left"/>
        <w:spacing w:line="3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（3）严重违规认定与处理</w:t>
      </w:r>
      <w:r/>
    </w:p>
    <w:p>
      <w:pPr>
        <w:ind w:left="0" w:firstLine="480"/>
        <w:jc w:val="left"/>
        <w:spacing w:line="3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出现以下任一情形，视为严重违反运维管理制度：</w:t>
      </w:r>
      <w:r/>
    </w:p>
    <w:p>
      <w:pPr>
        <w:ind w:left="0" w:firstLine="480"/>
        <w:jc w:val="left"/>
        <w:spacing w:line="3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每月单人缺卡≥5次，或标段月累计缺卡≥15次；</w:t>
      </w:r>
      <w:r/>
    </w:p>
    <w:p>
      <w:pPr>
        <w:ind w:left="0" w:firstLine="480"/>
        <w:jc w:val="left"/>
        <w:spacing w:line="3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每月单人迟到≥5次，或标段月累计迟到≥20次；</w:t>
      </w:r>
      <w:r/>
    </w:p>
    <w:p>
      <w:pPr>
        <w:ind w:left="0" w:firstLine="480"/>
        <w:jc w:val="left"/>
        <w:spacing w:line="3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每月单人旷工≥3次，或标段月累计旷工≥10次。</w:t>
      </w:r>
      <w:r/>
    </w:p>
    <w:p>
      <w:pPr>
        <w:ind w:left="0" w:firstLine="480"/>
        <w:jc w:val="left"/>
        <w:spacing w:line="3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处理方式：</w:t>
      </w:r>
      <w:r/>
    </w:p>
    <w:p>
      <w:pPr>
        <w:ind w:left="0" w:firstLine="480"/>
        <w:jc w:val="left"/>
        <w:spacing w:line="3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运维方须提交书面情况说明；甲方扣除该运维项不低于10%的月度运维费用；若造成甲方实际损失超出上述扣款，按实际损失另行处理；</w:t>
      </w:r>
      <w:r/>
    </w:p>
    <w:p>
      <w:pPr>
        <w:ind w:left="0" w:firstLine="480"/>
        <w:jc w:val="left"/>
        <w:spacing w:line="3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交通事故、生病、自然灾害等特殊情况，经与甲方协商一致后，可不计入考勤管理。</w:t>
      </w:r>
      <w:r/>
    </w:p>
    <w:p>
      <w:pPr>
        <w:ind w:left="0" w:firstLine="482"/>
        <w:jc w:val="left"/>
        <w:spacing w:line="360" w:lineRule="exact"/>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1.2.驻场人员管理</w:t>
      </w:r>
      <w:r/>
    </w:p>
    <w:p>
      <w:pPr>
        <w:ind w:left="0" w:firstLine="480"/>
        <w:jc w:val="left"/>
        <w:spacing w:line="3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（1）驻场配置要求</w:t>
      </w:r>
      <w:r/>
    </w:p>
    <w:p>
      <w:pPr>
        <w:ind w:left="0" w:firstLine="480"/>
        <w:jc w:val="left"/>
        <w:spacing w:line="3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每标段须配置1名驻场项目经理，驻场地点由甲方指定，主要协助甲方开展项目管理工作；经甲方书面批准后可外出协助运维工作，且须提前履行报备手续。</w:t>
      </w:r>
      <w:r/>
    </w:p>
    <w:p>
      <w:pPr>
        <w:ind w:left="0" w:firstLine="480"/>
        <w:jc w:val="left"/>
        <w:spacing w:line="3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（2）响应时效与扣款规则</w:t>
      </w:r>
      <w:r/>
    </w:p>
    <w:p>
      <w:pPr>
        <w:ind w:left="0" w:firstLine="480"/>
        <w:jc w:val="left"/>
        <w:spacing w:line="3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驻场项目经理须严格响应甲方工作安排：工作日驻场期间：15分钟内响应，外场工作期间：30分钟内响应，节假日期间：1小时内响应。</w:t>
      </w:r>
      <w:r/>
    </w:p>
    <w:p>
      <w:pPr>
        <w:ind w:left="0" w:firstLine="480"/>
        <w:jc w:val="left"/>
        <w:spacing w:line="3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未达标处理：</w:t>
      </w:r>
      <w:r/>
    </w:p>
    <w:p>
      <w:pPr>
        <w:ind w:left="0" w:firstLine="480"/>
        <w:jc w:val="left"/>
        <w:spacing w:line="3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单次2小时内未响应，扣200元/次；每月不响应次数≥5次，每次扣500元。</w:t>
      </w:r>
      <w:r/>
    </w:p>
    <w:p>
      <w:pPr>
        <w:ind w:left="0" w:firstLine="482"/>
        <w:jc w:val="left"/>
        <w:spacing w:line="360" w:lineRule="exact"/>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1.3.核心团队稳定性管理</w:t>
      </w:r>
      <w:r/>
    </w:p>
    <w:p>
      <w:pPr>
        <w:ind w:left="0" w:firstLine="480"/>
        <w:jc w:val="left"/>
        <w:spacing w:line="3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（1）稳定要求</w:t>
      </w:r>
      <w:r/>
    </w:p>
    <w:p>
      <w:pPr>
        <w:ind w:left="0" w:firstLine="480"/>
        <w:jc w:val="left"/>
        <w:spacing w:line="3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除汛期（5-9月）因应急需求临时增配的人员外，项目经理、运维技术人员、巡检人员等核心运维团队须保持相对稳定，原则上不得随意更换。</w:t>
      </w:r>
      <w:r/>
    </w:p>
    <w:p>
      <w:pPr>
        <w:ind w:left="0" w:firstLine="480"/>
        <w:jc w:val="left"/>
        <w:spacing w:line="3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（2）人员更换流程</w:t>
      </w:r>
      <w:r/>
    </w:p>
    <w:p>
      <w:pPr>
        <w:ind w:left="0" w:firstLine="480"/>
        <w:jc w:val="left"/>
        <w:spacing w:line="3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因员工离职、不可抗力等特殊原因确需更换的，须提前15个工作日向甲方提交书面申请，经甲方书面同意后方可实施；</w:t>
      </w:r>
      <w:r/>
    </w:p>
    <w:p>
      <w:pPr>
        <w:ind w:left="0" w:firstLine="480"/>
        <w:jc w:val="left"/>
        <w:spacing w:line="3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同一岗位12个月内更换不得超过1次，且更换后须通过甲方组织的岗前能力验证，确保运维连续性不受影响。</w:t>
      </w:r>
      <w:r/>
    </w:p>
    <w:p>
      <w:pPr>
        <w:ind w:left="0" w:firstLine="480"/>
        <w:jc w:val="left"/>
        <w:spacing w:line="3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（3）违约责任</w:t>
      </w:r>
      <w:r/>
    </w:p>
    <w:p>
      <w:pPr>
        <w:ind w:left="0" w:firstLine="480"/>
        <w:jc w:val="left"/>
        <w:spacing w:line="3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若因人员频繁变动导致服务质量下降，甲方有权按合同约定追究违约责任并执行扣款。</w:t>
      </w:r>
      <w:r/>
    </w:p>
    <w:p>
      <w:pPr>
        <w:ind w:left="0" w:firstLine="482"/>
        <w:jc w:val="left"/>
        <w:spacing w:line="360" w:lineRule="exact"/>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1.4.外出与请假管理</w:t>
      </w:r>
      <w:r/>
    </w:p>
    <w:p>
      <w:pPr>
        <w:ind w:left="0" w:firstLine="480"/>
        <w:jc w:val="left"/>
        <w:spacing w:line="3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因公外出：所有运维人员因公外出须提前履行报备手续，说明外出事由、时间及地点。</w:t>
      </w:r>
      <w:r/>
    </w:p>
    <w:p>
      <w:pPr>
        <w:ind w:left="0" w:firstLine="480"/>
        <w:jc w:val="left"/>
        <w:spacing w:line="3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因私请假：所有运维人员因私请假须提前提交书面报告，经审批通过后方可离岗。</w:t>
      </w:r>
      <w:r/>
    </w:p>
    <w:p>
      <w:pPr>
        <w:ind w:left="0" w:firstLine="482"/>
        <w:jc w:val="left"/>
        <w:spacing w:line="360" w:lineRule="exact"/>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2.项目管理</w:t>
      </w:r>
      <w:r/>
    </w:p>
    <w:p>
      <w:pPr>
        <w:ind w:left="0" w:firstLine="482"/>
        <w:jc w:val="left"/>
        <w:spacing w:line="360" w:lineRule="exact"/>
        <w:rPr>
          <w:rFonts w:hint="eastAsia" w:ascii="宋体" w:hAnsi="宋体" w:eastAsia="宋体" w:cs="宋体"/>
          <w:b w:val="0"/>
          <w:bCs w:val="0"/>
          <w:sz w:val="24"/>
          <w:szCs w:val="24"/>
          <w:lang w:val="en-US" w:eastAsia="zh-CN" w:bidi="ar-SA"/>
        </w:rPr>
      </w:pPr>
      <w:r>
        <w:rPr>
          <w:rFonts w:hint="eastAsia" w:ascii="宋体" w:hAnsi="宋体" w:eastAsia="宋体" w:cs="宋体"/>
          <w:b/>
          <w:bCs/>
          <w:sz w:val="24"/>
          <w:szCs w:val="24"/>
          <w:lang w:val="en-US" w:eastAsia="zh-CN" w:bidi="ar-SA"/>
        </w:rPr>
        <w:t xml:space="preserve">2.1.工作记录管理</w:t>
      </w:r>
      <w:r/>
    </w:p>
    <w:p>
      <w:pPr>
        <w:ind w:left="0" w:firstLine="480"/>
        <w:jc w:val="left"/>
        <w:spacing w:line="360" w:lineRule="exact"/>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所有运维工作（日常巡检、设备维修、耗材更换、日报登记、耗材入库等），均需在钉钉等办公平台上登记记录；未在平台上登记的工作内容，视为未开展。</w:t>
      </w:r>
      <w:r/>
    </w:p>
    <w:p>
      <w:pPr>
        <w:ind w:left="0" w:firstLine="482"/>
        <w:jc w:val="left"/>
        <w:spacing w:line="360" w:lineRule="exact"/>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2.2.日报管理</w:t>
      </w:r>
      <w:r/>
    </w:p>
    <w:p>
      <w:pPr>
        <w:ind w:left="0" w:firstLine="480"/>
        <w:jc w:val="left"/>
        <w:spacing w:line="3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每标段项目经理须于次日11点前汇报前一日工作内容，实行日报制度；周末、节假日可延迟至上班第一天下班前报告。</w:t>
      </w:r>
      <w:r/>
    </w:p>
    <w:p>
      <w:pPr>
        <w:ind w:left="0" w:firstLine="480"/>
        <w:jc w:val="left"/>
        <w:spacing w:line="3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日报内容需包含所属设备在线情况、前一天工作内容小结、问题及建议等；</w:t>
      </w:r>
      <w:r/>
    </w:p>
    <w:p>
      <w:pPr>
        <w:ind w:left="0" w:firstLine="480"/>
        <w:jc w:val="left"/>
        <w:spacing w:line="3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日报内容不合理、失实、不准确、不完整或漏报，经甲方运维科室及分管领导综合评定不合格后，扣100-300元；日报无故不上报，扣500元。</w:t>
      </w:r>
      <w:r/>
    </w:p>
    <w:p>
      <w:pPr>
        <w:ind w:left="0" w:firstLine="482"/>
        <w:jc w:val="left"/>
        <w:spacing w:line="360" w:lineRule="exact"/>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2.3.周报管理</w:t>
      </w:r>
      <w:r/>
    </w:p>
    <w:p>
      <w:pPr>
        <w:ind w:left="0" w:firstLine="480"/>
        <w:jc w:val="left"/>
        <w:spacing w:line="3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各标段须按要求提交周报（具体要求按甲方统一规范执行）。</w:t>
      </w:r>
      <w:r/>
    </w:p>
    <w:p>
      <w:pPr>
        <w:ind w:left="0" w:firstLine="482"/>
        <w:jc w:val="left"/>
        <w:spacing w:line="360" w:lineRule="exact"/>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2.4.月报管理</w:t>
      </w:r>
      <w:r/>
    </w:p>
    <w:p>
      <w:pPr>
        <w:ind w:left="0" w:firstLine="480"/>
        <w:jc w:val="left"/>
        <w:spacing w:line="3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每标段须提供月报，若甲方运维科室及分管领导综合评定不合格，扣500-1000元。月报需在下个月10日前提交，逾期扣1000元；无故不提交月报，扣2000元。</w:t>
      </w:r>
      <w:r/>
    </w:p>
    <w:p>
      <w:pPr>
        <w:ind w:left="0" w:firstLine="482"/>
        <w:jc w:val="left"/>
        <w:spacing w:line="360" w:lineRule="exact"/>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2.5.月度运维养护计划管理</w:t>
      </w:r>
      <w:r/>
    </w:p>
    <w:p>
      <w:pPr>
        <w:ind w:left="0" w:firstLine="480"/>
        <w:jc w:val="left"/>
        <w:spacing w:line="3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各标段须按要求制定并提交每月运维养护计划（具体要求按甲方统一规范执行）。</w:t>
      </w:r>
      <w:r/>
    </w:p>
    <w:p>
      <w:pPr>
        <w:ind w:left="0" w:firstLine="482"/>
        <w:jc w:val="left"/>
        <w:spacing w:line="360" w:lineRule="exact"/>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2.6.年度总结报告</w:t>
      </w:r>
      <w:r/>
    </w:p>
    <w:p>
      <w:pPr>
        <w:ind w:left="0" w:firstLine="480"/>
        <w:jc w:val="left"/>
        <w:spacing w:line="3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每标段须提供年度总结报告，若甲方运维科室及分管领导综合评定不合格，扣2000-3000元。</w:t>
      </w:r>
      <w:r/>
    </w:p>
    <w:p>
      <w:pPr>
        <w:ind w:left="0" w:firstLine="480"/>
        <w:jc w:val="left"/>
        <w:spacing w:line="3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年度总结报告需在下一年度第一个月底前提供，逾期扣2000元；无故不提交年度总结报告，扣5000元。</w:t>
      </w:r>
      <w:r/>
    </w:p>
    <w:p>
      <w:pPr>
        <w:ind w:left="0" w:firstLine="482"/>
        <w:jc w:val="left"/>
        <w:spacing w:line="360" w:lineRule="exact"/>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2.7.工作留痕管理</w:t>
      </w:r>
      <w:r/>
    </w:p>
    <w:p>
      <w:pPr>
        <w:ind w:left="0" w:firstLine="480"/>
        <w:jc w:val="left"/>
        <w:spacing w:line="3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所有工作需拍照留痕，须使用水印相机，注明时间、地点、工作内容、巡检人员等重要信息，并上传至钉钉等办公平台。</w:t>
      </w:r>
      <w:r/>
    </w:p>
    <w:p>
      <w:pPr>
        <w:ind w:left="0" w:firstLine="482"/>
        <w:jc w:val="left"/>
        <w:spacing w:line="360" w:lineRule="exact"/>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2.8抽查与违规管理</w:t>
      </w:r>
      <w:r/>
    </w:p>
    <w:p>
      <w:pPr>
        <w:ind w:left="0" w:firstLine="480"/>
        <w:jc w:val="left"/>
        <w:spacing w:line="3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甲方项目负责人对运维工作进行随机抽查，经甲方运维科室及分管领导综合评定不合格后，扣200-5000元；</w:t>
      </w:r>
      <w:r/>
    </w:p>
    <w:p>
      <w:pPr>
        <w:ind w:left="0" w:firstLine="480"/>
        <w:jc w:val="left"/>
        <w:spacing w:line="3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运维过程中，若乙方存在推诿扯皮、消极怠工情况，经评定不合格后，扣500-1000元；</w:t>
      </w:r>
      <w:r/>
    </w:p>
    <w:p>
      <w:pPr>
        <w:ind w:left="0" w:firstLine="480"/>
        <w:jc w:val="left"/>
        <w:spacing w:line="3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运维中未按规定采取相关安全措施（如未戴安全帽、未穿安全衣、井下作业未通风等不规范操作），经评定不合格后，每次扣500-1000元。</w:t>
      </w:r>
      <w:r/>
    </w:p>
    <w:p>
      <w:pPr>
        <w:ind w:left="0" w:firstLine="482"/>
        <w:jc w:val="left"/>
        <w:spacing w:line="360" w:lineRule="exact"/>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3.视频监控运维</w:t>
      </w:r>
      <w:r/>
    </w:p>
    <w:p>
      <w:pPr>
        <w:ind w:left="0" w:firstLine="480"/>
        <w:jc w:val="left"/>
        <w:spacing w:line="3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视频监控运维参照《安全防范系统维护保养规范》（GA/T1081-2020）、《公共视频监控系统运维服务规范》（DB23/T2851-2021）等标准运维。</w:t>
      </w:r>
      <w:r/>
    </w:p>
    <w:p>
      <w:pPr>
        <w:ind w:left="0" w:firstLine="482"/>
        <w:jc w:val="left"/>
        <w:spacing w:line="360" w:lineRule="exact"/>
        <w:rPr>
          <w:rFonts w:hint="eastAsia" w:ascii="宋体" w:hAnsi="宋体" w:eastAsia="宋体" w:cs="宋体"/>
          <w:b w:val="0"/>
          <w:bCs w:val="0"/>
          <w:sz w:val="24"/>
          <w:szCs w:val="24"/>
          <w:lang w:val="en-US" w:eastAsia="zh-CN" w:bidi="ar-SA"/>
        </w:rPr>
      </w:pPr>
      <w:r>
        <w:rPr>
          <w:rFonts w:hint="eastAsia" w:ascii="宋体" w:hAnsi="宋体" w:eastAsia="宋体" w:cs="宋体"/>
          <w:b/>
          <w:bCs/>
          <w:sz w:val="24"/>
          <w:szCs w:val="24"/>
          <w:lang w:val="en-US" w:eastAsia="zh-CN" w:bidi="ar-SA"/>
        </w:rPr>
        <w:t xml:space="preserve">3.1.日常巡检管理</w:t>
      </w:r>
      <w:r/>
    </w:p>
    <w:p>
      <w:pPr>
        <w:ind w:left="0" w:firstLine="480"/>
        <w:jc w:val="left"/>
        <w:spacing w:line="3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每日需在视频平台开展巡检，统计画面不正常或不在线设备，并在钉钉平台登记记录，缺1次扣200元；</w:t>
      </w:r>
      <w:r/>
    </w:p>
    <w:p>
      <w:pPr>
        <w:ind w:left="0" w:firstLine="480"/>
        <w:jc w:val="left"/>
        <w:spacing w:line="3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每月需完成现场巡检全覆盖，每少巡检1台设备扣200元。</w:t>
      </w:r>
      <w:r/>
    </w:p>
    <w:p>
      <w:pPr>
        <w:ind w:left="0" w:firstLine="482"/>
        <w:jc w:val="left"/>
        <w:spacing w:line="360" w:lineRule="exact"/>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3.2.在线情况与点位管理</w:t>
      </w:r>
      <w:r/>
    </w:p>
    <w:p>
      <w:pPr>
        <w:ind w:left="0" w:firstLine="480"/>
        <w:jc w:val="left"/>
        <w:spacing w:line="3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除不可抗力因素外，某视频监控点位长期不在线超过1周，每点每天扣除100元；汛期重要点位若无法正常查看，每点扣除200元，若被局领导批评则追加扣300元。</w:t>
      </w:r>
      <w:r/>
    </w:p>
    <w:p>
      <w:pPr>
        <w:ind w:left="0" w:firstLine="482"/>
        <w:jc w:val="left"/>
        <w:spacing w:line="360" w:lineRule="exact"/>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3.3.抽查违规管理</w:t>
      </w:r>
      <w:r/>
    </w:p>
    <w:p>
      <w:pPr>
        <w:ind w:left="0" w:firstLine="480"/>
        <w:jc w:val="left"/>
        <w:spacing w:line="3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甲方随机抽查中，发现以下问题将执行对应扣款：</w:t>
      </w:r>
      <w:r/>
    </w:p>
    <w:p>
      <w:pPr>
        <w:ind w:left="0" w:firstLine="480"/>
        <w:jc w:val="left"/>
        <w:spacing w:line="3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电箱柜门敞开未锁，扣100元；视频监控问题点位存在漏报、瞒报，扣200元；视频监控相关设施生锈、卫生不达标，扣100元；视频监控画面不正常（如树枝遮挡、不清晰），扣100元，若24小时内未处理则追加扣200元；运维电话标识张贴不到位，导致相关单位施工无法联系，扣200元。</w:t>
      </w:r>
      <w:r/>
    </w:p>
    <w:p>
      <w:pPr>
        <w:ind w:left="0" w:firstLine="482"/>
        <w:jc w:val="left"/>
        <w:spacing w:line="360" w:lineRule="exact"/>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3.4.汛期值守管理</w:t>
      </w:r>
      <w:r/>
    </w:p>
    <w:p>
      <w:pPr>
        <w:ind w:left="0" w:firstLine="480"/>
        <w:jc w:val="left"/>
        <w:spacing w:line="3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汛期需按甲方要求执行24小时轮班值守，未配合甲方工作的，扣300-500元。</w:t>
      </w:r>
      <w:r/>
    </w:p>
    <w:p>
      <w:pPr>
        <w:ind w:left="0" w:firstLine="482"/>
        <w:jc w:val="left"/>
        <w:spacing w:line="360" w:lineRule="exact"/>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3.5.年度报告管理</w:t>
      </w:r>
      <w:r/>
    </w:p>
    <w:p>
      <w:pPr>
        <w:ind w:left="0" w:firstLine="480"/>
        <w:jc w:val="left"/>
        <w:spacing w:line="3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需提供视频监控运维设备年报，全面评估设备状态并给出下年度维护重点建议；若经甲方运维科室及分管领导综合评定不合格，扣2000-3000元。</w:t>
      </w:r>
      <w:r/>
    </w:p>
    <w:p>
      <w:pPr>
        <w:ind w:left="0" w:firstLine="482"/>
        <w:jc w:val="left"/>
        <w:spacing w:line="360" w:lineRule="exact"/>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4.窨井设备运维</w:t>
      </w:r>
      <w:r/>
    </w:p>
    <w:p>
      <w:pPr>
        <w:ind w:left="0" w:firstLine="480"/>
        <w:jc w:val="left"/>
        <w:spacing w:line="3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窨井设备运维参照《城市排水管网监测技术规范》（CJJ/T 234-2018）、《城镇排水管渠在线监测运行维护导则》（上海）等标准运维。</w:t>
      </w:r>
      <w:r/>
    </w:p>
    <w:p>
      <w:pPr>
        <w:ind w:left="0" w:firstLine="482"/>
        <w:jc w:val="left"/>
        <w:spacing w:line="360" w:lineRule="exact"/>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4.1.日常运维与巡检管理</w:t>
      </w:r>
      <w:r/>
    </w:p>
    <w:p>
      <w:pPr>
        <w:ind w:left="0" w:firstLine="480"/>
        <w:jc w:val="left"/>
        <w:spacing w:line="3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每日需在物联网平台查看设备在线和数据准确情况，形成日志并上传至钉钉；每月需完成现场巡察全覆盖，每少巡检1台设备扣200元；每月每台设备须完成校准并留存校准记录，无校准记录每台扣100元。</w:t>
      </w:r>
      <w:r/>
    </w:p>
    <w:p>
      <w:pPr>
        <w:ind w:left="0" w:firstLine="482"/>
        <w:jc w:val="left"/>
        <w:spacing w:line="360" w:lineRule="exact"/>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4.2.在线情况与设备状态管理</w:t>
      </w:r>
      <w:r/>
    </w:p>
    <w:p>
      <w:pPr>
        <w:ind w:left="0" w:firstLine="480"/>
        <w:jc w:val="left"/>
        <w:spacing w:line="3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某窨井设备长期不在线超过1周，每点每天扣除100元；甲方随机抽查中发现设备数据不准确，每台扣100元；发现设备故障，每台扣100元，若24小时内未处理则追加扣200元。</w:t>
      </w:r>
      <w:r/>
    </w:p>
    <w:p>
      <w:pPr>
        <w:ind w:left="0" w:firstLine="482"/>
        <w:jc w:val="left"/>
        <w:spacing w:line="360" w:lineRule="exact"/>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4.3.现场管理与安全规范</w:t>
      </w:r>
      <w:r/>
    </w:p>
    <w:p>
      <w:pPr>
        <w:ind w:left="0" w:firstLine="480"/>
        <w:jc w:val="left"/>
        <w:spacing w:line="3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甲方随机抽查中，井内卫生不达标、存有垃圾，每点扣100元；未按下井规范进行通风施工、未佩戴安全设施，每次扣200元；发现窨井设备问题存在漏报、瞒报，每次扣200元。</w:t>
      </w:r>
      <w:r/>
    </w:p>
    <w:p>
      <w:pPr>
        <w:ind w:left="0" w:firstLine="482"/>
        <w:jc w:val="left"/>
        <w:spacing w:line="360" w:lineRule="exact"/>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4.4.设备迁移与年度报告</w:t>
      </w:r>
      <w:r/>
    </w:p>
    <w:p>
      <w:pPr>
        <w:ind w:left="0" w:firstLine="480"/>
        <w:jc w:val="left"/>
        <w:spacing w:line="3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因市政施工等影响，需配合甲方将设备迁移至指定地点，该服务为免费服务；需提供窨井运维设备年报，全面评估设备状态并给出下年度维护重点建议；若甲方运维科室及分管领导综合评定不合格，扣2000-3000元。</w:t>
      </w:r>
      <w:r/>
    </w:p>
    <w:p>
      <w:pPr>
        <w:ind w:left="0" w:firstLine="482"/>
        <w:jc w:val="left"/>
        <w:spacing w:line="360" w:lineRule="exact"/>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5.水质站运维</w:t>
      </w:r>
      <w:r/>
    </w:p>
    <w:p>
      <w:pPr>
        <w:ind w:left="0" w:firstLine="480"/>
        <w:jc w:val="left"/>
        <w:spacing w:line="3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水质运维参照《地表水水质自动监测站（常规五参数、CODMn、NH3⁃N、TP、TN）运行维护技术规范》（HJ_915.3_2024_）标准运维。</w:t>
      </w:r>
      <w:r/>
    </w:p>
    <w:p>
      <w:pPr>
        <w:ind w:left="0" w:firstLine="482"/>
        <w:jc w:val="left"/>
        <w:spacing w:line="360" w:lineRule="exact"/>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5.1.日常运维与巡检管理</w:t>
      </w:r>
      <w:r/>
    </w:p>
    <w:p>
      <w:pPr>
        <w:ind w:left="0" w:firstLine="480"/>
        <w:jc w:val="left"/>
        <w:spacing w:line="3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每日需在物联网平台查看设备在线和数据准确情况，形成日志并上传至钉钉；每月需完成现场巡察全覆盖，每少巡检1台设备扣200元；每月每台设备须完成校准并留存校准记录，无校准记录每台扣100元。</w:t>
      </w:r>
      <w:r/>
    </w:p>
    <w:p>
      <w:pPr>
        <w:ind w:left="0" w:firstLine="482"/>
        <w:jc w:val="left"/>
        <w:spacing w:line="360" w:lineRule="exact"/>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5.2.在线情况与设备状态管理</w:t>
      </w:r>
      <w:r/>
    </w:p>
    <w:p>
      <w:pPr>
        <w:ind w:left="0" w:firstLine="480"/>
        <w:jc w:val="left"/>
        <w:spacing w:line="3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设备长期不在线超过1周，每点每天扣除100元；甲方随机抽查中发现设备数据不准确，每台扣100元；发现设备故障，每台扣100元，若24小时内未处理则追加扣200元。</w:t>
      </w:r>
      <w:r/>
    </w:p>
    <w:p>
      <w:pPr>
        <w:ind w:left="0" w:firstLine="482"/>
        <w:jc w:val="left"/>
        <w:spacing w:line="360" w:lineRule="exact"/>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5.3.现场管理与安全规范</w:t>
      </w:r>
      <w:r/>
    </w:p>
    <w:p>
      <w:pPr>
        <w:ind w:left="0" w:firstLine="480"/>
        <w:jc w:val="left"/>
        <w:spacing w:line="3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甲方随机抽查中，未按水质站运维标准规范操作，每次扣200元；发现设备问题存在漏报、瞒报，每次扣200元。</w:t>
      </w:r>
      <w:r/>
    </w:p>
    <w:p>
      <w:pPr>
        <w:ind w:left="0" w:firstLine="482"/>
        <w:jc w:val="left"/>
        <w:spacing w:line="360" w:lineRule="exact"/>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5.4.设备迁移与年度报告</w:t>
      </w:r>
      <w:r/>
    </w:p>
    <w:p>
      <w:pPr>
        <w:ind w:left="0" w:firstLine="480"/>
        <w:jc w:val="left"/>
        <w:spacing w:line="3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因市政施工等影响，需配合甲方将设备迁移至指定地点，该服务为免费服务；需提供水质站运维设备年报，全面评估设备状态并给出下年度维护重点建议；若甲方运维科室及分管领导综合评定不合格，扣2000-3000元。</w:t>
      </w:r>
      <w:r/>
    </w:p>
    <w:p>
      <w:pPr>
        <w:ind w:left="0" w:firstLine="482"/>
        <w:jc w:val="left"/>
        <w:spacing w:line="360" w:lineRule="exact"/>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5.5.运维耗材管理</w:t>
      </w:r>
      <w:r/>
    </w:p>
    <w:p>
      <w:pPr>
        <w:ind w:left="0" w:firstLine="480"/>
        <w:jc w:val="left"/>
        <w:spacing w:line="360" w:lineRule="exact"/>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乙方须将耗材套装、检测试剂等全部运维耗材存放于甲方指定地点，且耗材品质需符合原厂标准。耗材的出入库、使用、销毁等全流程须在指定平台上完成记录，实现全过程可追溯。若耗材管理或使用不符合使用手册规范，甲方有权每次扣除200-2000元运维服务费。</w:t>
      </w:r>
      <w:r/>
    </w:p>
    <w:p>
      <w:pPr>
        <w:ind w:left="0" w:firstLine="482"/>
        <w:jc w:val="left"/>
        <w:spacing w:line="360" w:lineRule="exact"/>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6.保密要求</w:t>
      </w:r>
      <w:r/>
    </w:p>
    <w:p>
      <w:pPr>
        <w:ind w:left="0" w:firstLine="480"/>
        <w:jc w:val="left"/>
        <w:spacing w:line="360" w:lineRule="exact"/>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运维单位须严格恪守甲方的保密管理制度，并与甲方正式签署《单位保密协议》及《运维人员个人保密承诺书》。若发生项目资料泄露或失泄密事件，一经核实，甲方有权依据违规情节轻重及造成的后果，在当期运维费用中直接扣除1,000元至10,000元作为违约金；情节严重造成重大损失的，甲方保留进一步追究法律责任的权利。</w:t>
      </w:r>
      <w:r/>
    </w:p>
    <w:p>
      <w:pP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br w:type="page" w:clear="all"/>
      </w:r>
      <w:r/>
    </w:p>
    <w:p>
      <w:pPr>
        <w:ind w:left="0"/>
        <w:jc w:val="center"/>
        <w:widowControl/>
        <w:rPr>
          <w:rFonts w:hint="eastAsia" w:ascii="宋体" w:hAnsi="宋体" w:eastAsia="宋体" w:cs="宋体"/>
          <w:b w:val="0"/>
          <w:bCs w:val="0"/>
          <w:sz w:val="32"/>
          <w:szCs w:val="32"/>
          <w:highlight w:val="none"/>
        </w:rPr>
      </w:pPr>
      <w:r>
        <w:rPr>
          <w:rFonts w:hint="eastAsia" w:ascii="宋体" w:hAnsi="宋体" w:eastAsia="宋体" w:cs="宋体"/>
          <w:b w:val="0"/>
          <w:bCs w:val="0"/>
          <w:sz w:val="32"/>
          <w:szCs w:val="32"/>
          <w:highlight w:val="none"/>
        </w:rPr>
        <w:t xml:space="preserve">政府采购合同（标段二）</w:t>
      </w:r>
      <w:r/>
    </w:p>
    <w:p>
      <w:pPr>
        <w:ind w:left="0"/>
        <w:jc w:val="left"/>
        <w:spacing w:line="360" w:lineRule="auto"/>
        <w:widowControl/>
        <w:rPr>
          <w:rFonts w:hint="default" w:ascii="宋体" w:hAnsi="宋体" w:eastAsia="宋体" w:cs="宋体"/>
          <w:b w:val="0"/>
          <w:bCs w:val="0"/>
          <w:sz w:val="24"/>
          <w:szCs w:val="24"/>
        </w:rPr>
      </w:pPr>
      <w:r>
        <w:rPr>
          <w:rFonts w:hint="eastAsia" w:ascii="宋体" w:hAnsi="宋体" w:eastAsia="宋体" w:cs="宋体"/>
          <w:b w:val="0"/>
          <w:bCs w:val="0"/>
          <w:sz w:val="24"/>
          <w:szCs w:val="24"/>
        </w:rPr>
        <w:t xml:space="preserve">项目名称：</w:t>
      </w:r>
      <w:r/>
    </w:p>
    <w:p>
      <w:pPr>
        <w:ind w:left="0"/>
        <w:jc w:val="left"/>
        <w:spacing w:line="360" w:lineRule="auto"/>
        <w:widowControl/>
        <w:rPr>
          <w:rFonts w:hint="default" w:ascii="宋体" w:hAnsi="宋体" w:eastAsia="宋体" w:cs="宋体"/>
          <w:b w:val="0"/>
          <w:bCs w:val="0"/>
          <w:sz w:val="24"/>
          <w:szCs w:val="24"/>
        </w:rPr>
      </w:pPr>
      <w:r>
        <w:rPr>
          <w:rFonts w:hint="eastAsia" w:ascii="宋体" w:hAnsi="宋体" w:eastAsia="宋体" w:cs="宋体"/>
          <w:b w:val="0"/>
          <w:bCs w:val="0"/>
          <w:sz w:val="24"/>
          <w:szCs w:val="24"/>
        </w:rPr>
        <w:t xml:space="preserve">项目编号：</w:t>
      </w:r>
      <w:r/>
    </w:p>
    <w:p>
      <w:pPr>
        <w:ind w:left="1024"/>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r>
      <w:r/>
    </w:p>
    <w:p>
      <w:pPr>
        <w:ind w:left="0"/>
        <w:jc w:val="left"/>
        <w:spacing w:line="360" w:lineRule="auto"/>
        <w:widowControl/>
        <w:rPr>
          <w:rFonts w:hint="default" w:ascii="宋体" w:hAnsi="宋体" w:eastAsia="宋体" w:cs="宋体"/>
          <w:b w:val="0"/>
          <w:bCs w:val="0"/>
          <w:sz w:val="24"/>
          <w:szCs w:val="24"/>
        </w:rPr>
      </w:pPr>
      <w:r>
        <w:rPr>
          <w:rFonts w:hint="eastAsia" w:ascii="宋体" w:hAnsi="宋体" w:eastAsia="宋体" w:cs="宋体"/>
          <w:b w:val="0"/>
          <w:bCs w:val="0"/>
          <w:sz w:val="24"/>
          <w:szCs w:val="24"/>
        </w:rPr>
        <w:t xml:space="preserve">甲方：</w:t>
      </w:r>
      <w:r/>
    </w:p>
    <w:p>
      <w:pPr>
        <w:ind w:left="0"/>
        <w:jc w:val="left"/>
        <w:spacing w:line="360" w:lineRule="auto"/>
        <w:widowControl/>
        <w:rPr>
          <w:rFonts w:hint="default" w:ascii="宋体" w:hAnsi="宋体" w:eastAsia="宋体" w:cs="宋体"/>
          <w:b w:val="0"/>
          <w:bCs w:val="0"/>
          <w:sz w:val="24"/>
          <w:szCs w:val="24"/>
        </w:rPr>
      </w:pPr>
      <w:r>
        <w:rPr>
          <w:rFonts w:hint="eastAsia" w:ascii="宋体" w:hAnsi="宋体" w:eastAsia="宋体" w:cs="宋体"/>
          <w:b w:val="0"/>
          <w:bCs w:val="0"/>
          <w:sz w:val="24"/>
          <w:szCs w:val="24"/>
        </w:rPr>
        <w:t xml:space="preserve">地址：</w:t>
      </w:r>
      <w:r/>
    </w:p>
    <w:p>
      <w:pPr>
        <w:ind w:left="0"/>
        <w:jc w:val="left"/>
        <w:spacing w:line="360" w:lineRule="auto"/>
        <w:widowControl/>
        <w:rPr>
          <w:rFonts w:hint="default" w:ascii="宋体" w:hAnsi="宋体" w:eastAsia="宋体" w:cs="宋体"/>
          <w:b w:val="0"/>
          <w:bCs w:val="0"/>
          <w:sz w:val="24"/>
          <w:szCs w:val="24"/>
        </w:rPr>
      </w:pPr>
      <w:r>
        <w:rPr>
          <w:rFonts w:hint="eastAsia" w:ascii="宋体" w:hAnsi="宋体" w:eastAsia="宋体" w:cs="宋体"/>
          <w:b w:val="0"/>
          <w:bCs w:val="0"/>
          <w:sz w:val="24"/>
          <w:szCs w:val="24"/>
        </w:rPr>
        <w:t xml:space="preserve">电话：</w:t>
      </w:r>
      <w:r/>
    </w:p>
    <w:p>
      <w:pPr>
        <w:ind w:left="0"/>
        <w:jc w:val="left"/>
        <w:spacing w:line="360" w:lineRule="auto"/>
        <w:widowControl/>
        <w:rPr>
          <w:rFonts w:hint="default" w:ascii="宋体" w:hAnsi="宋体" w:eastAsia="宋体" w:cs="宋体"/>
          <w:b w:val="0"/>
          <w:bCs w:val="0"/>
          <w:sz w:val="24"/>
          <w:szCs w:val="24"/>
        </w:rPr>
      </w:pPr>
      <w:r>
        <w:rPr>
          <w:rFonts w:hint="eastAsia" w:ascii="宋体" w:hAnsi="宋体" w:eastAsia="宋体" w:cs="宋体"/>
          <w:b w:val="0"/>
          <w:bCs w:val="0"/>
          <w:sz w:val="24"/>
          <w:szCs w:val="24"/>
        </w:rPr>
        <w:t xml:space="preserve">传真：</w:t>
      </w:r>
      <w:r/>
    </w:p>
    <w:p>
      <w:pPr>
        <w:ind w:left="0"/>
        <w:jc w:val="left"/>
        <w:spacing w:line="360" w:lineRule="auto"/>
        <w:widowControl/>
        <w:rPr>
          <w:rFonts w:hint="default" w:ascii="宋体" w:hAnsi="宋体" w:eastAsia="宋体" w:cs="宋体"/>
          <w:b w:val="0"/>
          <w:bCs w:val="0"/>
          <w:sz w:val="24"/>
          <w:szCs w:val="24"/>
        </w:rPr>
      </w:pPr>
      <w:r>
        <w:rPr>
          <w:rFonts w:hint="default" w:ascii="宋体" w:hAnsi="宋体" w:eastAsia="宋体" w:cs="宋体"/>
          <w:b w:val="0"/>
          <w:bCs w:val="0"/>
          <w:sz w:val="24"/>
          <w:szCs w:val="24"/>
        </w:rPr>
      </w:r>
      <w:r/>
    </w:p>
    <w:p>
      <w:pPr>
        <w:ind w:left="0"/>
        <w:jc w:val="left"/>
        <w:spacing w:line="360" w:lineRule="auto"/>
        <w:widowControl/>
        <w:rPr>
          <w:rFonts w:hint="default" w:ascii="宋体" w:hAnsi="宋体" w:eastAsia="宋体" w:cs="宋体"/>
          <w:b w:val="0"/>
          <w:bCs w:val="0"/>
          <w:sz w:val="24"/>
          <w:szCs w:val="24"/>
        </w:rPr>
      </w:pPr>
      <w:r>
        <w:rPr>
          <w:rFonts w:hint="eastAsia" w:ascii="宋体" w:hAnsi="宋体" w:eastAsia="宋体" w:cs="宋体"/>
          <w:b w:val="0"/>
          <w:bCs w:val="0"/>
          <w:sz w:val="24"/>
          <w:szCs w:val="24"/>
        </w:rPr>
        <w:t xml:space="preserve">乙方：</w:t>
      </w:r>
      <w:r/>
    </w:p>
    <w:p>
      <w:pPr>
        <w:ind w:left="0"/>
        <w:jc w:val="left"/>
        <w:spacing w:line="360" w:lineRule="auto"/>
        <w:widowControl/>
        <w:rPr>
          <w:rFonts w:hint="default" w:ascii="宋体" w:hAnsi="宋体" w:eastAsia="宋体" w:cs="宋体"/>
          <w:b w:val="0"/>
          <w:bCs w:val="0"/>
          <w:sz w:val="24"/>
          <w:szCs w:val="24"/>
        </w:rPr>
      </w:pPr>
      <w:r>
        <w:rPr>
          <w:rFonts w:hint="eastAsia" w:ascii="宋体" w:hAnsi="宋体" w:eastAsia="宋体" w:cs="宋体"/>
          <w:b w:val="0"/>
          <w:bCs w:val="0"/>
          <w:sz w:val="24"/>
          <w:szCs w:val="24"/>
        </w:rPr>
        <w:t xml:space="preserve">地址：</w:t>
      </w:r>
      <w:r/>
    </w:p>
    <w:p>
      <w:pPr>
        <w:ind w:left="0"/>
        <w:jc w:val="left"/>
        <w:spacing w:line="360" w:lineRule="auto"/>
        <w:widowControl/>
        <w:rPr>
          <w:rFonts w:hint="default" w:ascii="宋体" w:hAnsi="宋体" w:eastAsia="宋体" w:cs="宋体"/>
          <w:b w:val="0"/>
          <w:bCs w:val="0"/>
          <w:sz w:val="24"/>
          <w:szCs w:val="24"/>
        </w:rPr>
      </w:pPr>
      <w:r>
        <w:rPr>
          <w:rFonts w:hint="eastAsia" w:ascii="宋体" w:hAnsi="宋体" w:eastAsia="宋体" w:cs="宋体"/>
          <w:b w:val="0"/>
          <w:bCs w:val="0"/>
          <w:sz w:val="24"/>
          <w:szCs w:val="24"/>
        </w:rPr>
        <w:t xml:space="preserve">电话：</w:t>
      </w:r>
      <w:r/>
    </w:p>
    <w:p>
      <w:pPr>
        <w:ind w:left="0"/>
        <w:jc w:val="left"/>
        <w:spacing w:line="360" w:lineRule="auto"/>
        <w:widowControl/>
        <w:rPr>
          <w:rFonts w:hint="default" w:ascii="宋体" w:hAnsi="宋体" w:eastAsia="宋体" w:cs="宋体"/>
          <w:b w:val="0"/>
          <w:bCs w:val="0"/>
          <w:sz w:val="24"/>
          <w:szCs w:val="24"/>
        </w:rPr>
      </w:pPr>
      <w:r>
        <w:rPr>
          <w:rFonts w:hint="eastAsia" w:ascii="宋体" w:hAnsi="宋体" w:eastAsia="宋体" w:cs="宋体"/>
          <w:b w:val="0"/>
          <w:bCs w:val="0"/>
          <w:sz w:val="24"/>
          <w:szCs w:val="24"/>
        </w:rPr>
        <w:t xml:space="preserve">传真：</w:t>
      </w:r>
      <w:r/>
    </w:p>
    <w:p>
      <w:pPr>
        <w:ind w:left="0" w:firstLine="480"/>
        <w:spacing w:line="360" w:lineRule="auto"/>
        <w:widowControl/>
        <w:rPr>
          <w:rFonts w:hint="default" w:ascii="宋体" w:hAnsi="宋体" w:eastAsia="宋体" w:cs="宋体"/>
          <w:b w:val="0"/>
          <w:bCs w:val="0"/>
          <w:sz w:val="24"/>
          <w:szCs w:val="24"/>
        </w:rPr>
      </w:pPr>
      <w:r>
        <w:rPr>
          <w:rFonts w:hint="default" w:ascii="宋体" w:hAnsi="宋体" w:eastAsia="宋体" w:cs="宋体"/>
          <w:b w:val="0"/>
          <w:bCs w:val="0"/>
          <w:sz w:val="24"/>
          <w:szCs w:val="24"/>
        </w:rPr>
      </w:r>
      <w:r/>
    </w:p>
    <w:p>
      <w:pPr>
        <w:ind w:left="0" w:firstLine="480"/>
        <w:spacing w:line="360" w:lineRule="auto"/>
        <w:widowControl w:val="off"/>
        <w:rPr>
          <w:rFonts w:hint="default" w:ascii="宋体" w:hAnsi="宋体" w:eastAsia="宋体" w:cs="宋体"/>
          <w:b w:val="0"/>
          <w:bCs w:val="0"/>
          <w:sz w:val="24"/>
          <w:szCs w:val="24"/>
        </w:rPr>
      </w:pPr>
      <w:r>
        <w:rPr>
          <w:rFonts w:hint="eastAsia" w:ascii="宋体" w:hAnsi="宋体" w:eastAsia="宋体" w:cs="宋体"/>
          <w:b w:val="0"/>
          <w:bCs w:val="0"/>
          <w:sz w:val="24"/>
          <w:szCs w:val="24"/>
        </w:rPr>
        <w:t xml:space="preserve">根据《中华人民共和国民法典》和《</w:t>
      </w:r>
      <w:r>
        <w:rPr>
          <w:rFonts w:hint="default" w:ascii="宋体" w:hAnsi="宋体" w:eastAsia="宋体" w:cs="宋体"/>
          <w:b w:val="0"/>
          <w:bCs w:val="0"/>
          <w:sz w:val="24"/>
          <w:szCs w:val="24"/>
        </w:rPr>
        <w:t xml:space="preserve">中华人民共和国</w:t>
      </w:r>
      <w:r>
        <w:rPr>
          <w:rFonts w:hint="eastAsia" w:ascii="宋体" w:hAnsi="宋体" w:eastAsia="宋体" w:cs="宋体"/>
          <w:b w:val="0"/>
          <w:bCs w:val="0"/>
          <w:sz w:val="24"/>
          <w:szCs w:val="24"/>
        </w:rPr>
        <w:t xml:space="preserve">政府采购</w:t>
      </w:r>
      <w:r>
        <w:rPr>
          <w:rFonts w:hint="default" w:ascii="宋体" w:hAnsi="宋体" w:eastAsia="宋体" w:cs="宋体"/>
          <w:b w:val="0"/>
          <w:bCs w:val="0"/>
          <w:sz w:val="24"/>
          <w:szCs w:val="24"/>
        </w:rPr>
        <w:t xml:space="preserve">法</w:t>
      </w:r>
      <w:r>
        <w:rPr>
          <w:rFonts w:hint="eastAsia" w:ascii="宋体" w:hAnsi="宋体" w:eastAsia="宋体" w:cs="宋体"/>
          <w:b w:val="0"/>
          <w:bCs w:val="0"/>
          <w:sz w:val="24"/>
          <w:szCs w:val="24"/>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firstLine="480"/>
        <w:spacing w:line="360" w:lineRule="auto"/>
        <w:widowControl w:val="off"/>
        <w:rPr>
          <w:rFonts w:hint="default" w:ascii="宋体" w:hAnsi="宋体" w:eastAsia="宋体" w:cs="宋体"/>
          <w:b w:val="0"/>
          <w:bCs w:val="0"/>
          <w:sz w:val="24"/>
          <w:szCs w:val="24"/>
        </w:rPr>
      </w:pPr>
      <w:r>
        <w:rPr>
          <w:rFonts w:hint="default" w:ascii="宋体" w:hAnsi="宋体" w:eastAsia="宋体" w:cs="宋体"/>
          <w:b w:val="0"/>
          <w:bCs w:val="0"/>
          <w:sz w:val="24"/>
          <w:szCs w:val="24"/>
        </w:rPr>
      </w:r>
      <w:r/>
    </w:p>
    <w:p>
      <w:pPr>
        <w:ind w:left="0" w:firstLine="480"/>
        <w:spacing w:line="360" w:lineRule="auto"/>
        <w:widowControl w:val="off"/>
        <w:rPr>
          <w:rFonts w:hint="default" w:ascii="宋体" w:hAnsi="宋体" w:eastAsia="宋体" w:cs="宋体"/>
          <w:b w:val="0"/>
          <w:bCs w:val="0"/>
          <w:sz w:val="24"/>
          <w:szCs w:val="24"/>
        </w:rPr>
      </w:pPr>
      <w:r>
        <w:rPr>
          <w:rFonts w:hint="eastAsia" w:ascii="宋体" w:hAnsi="宋体" w:eastAsia="宋体" w:cs="宋体"/>
          <w:b w:val="0"/>
          <w:bCs w:val="0"/>
          <w:sz w:val="24"/>
          <w:szCs w:val="24"/>
        </w:rPr>
        <w:t xml:space="preserve">一、定义</w:t>
      </w:r>
      <w:r/>
    </w:p>
    <w:p>
      <w:pPr>
        <w:ind w:left="0" w:firstLine="480"/>
        <w:spacing w:line="360" w:lineRule="auto"/>
        <w:widowControl w:val="off"/>
        <w:rPr>
          <w:rFonts w:hint="default" w:ascii="宋体" w:hAnsi="宋体" w:eastAsia="宋体" w:cs="宋体"/>
          <w:b w:val="0"/>
          <w:bCs w:val="0"/>
          <w:sz w:val="24"/>
          <w:szCs w:val="24"/>
        </w:rPr>
      </w:pPr>
      <w:r>
        <w:rPr>
          <w:rFonts w:hint="eastAsia" w:ascii="宋体" w:hAnsi="宋体" w:eastAsia="宋体" w:cs="宋体"/>
          <w:b w:val="0"/>
          <w:bCs w:val="0"/>
          <w:sz w:val="24"/>
          <w:szCs w:val="24"/>
        </w:rPr>
        <w:t xml:space="preserve">以下术语有特定的含义：</w:t>
      </w:r>
      <w:r/>
    </w:p>
    <w:p>
      <w:pPr>
        <w:ind w:left="0" w:firstLine="480"/>
        <w:spacing w:line="360" w:lineRule="auto"/>
        <w:widowControl w:val="off"/>
        <w:rPr>
          <w:rFonts w:hint="default" w:ascii="宋体" w:hAnsi="宋体" w:eastAsia="宋体" w:cs="宋体"/>
          <w:b w:val="0"/>
          <w:bCs w:val="0"/>
          <w:sz w:val="24"/>
          <w:szCs w:val="24"/>
        </w:rPr>
      </w:pPr>
      <w:r>
        <w:rPr>
          <w:rFonts w:hint="eastAsia" w:ascii="宋体" w:hAnsi="宋体" w:eastAsia="宋体" w:cs="宋体"/>
          <w:b w:val="0"/>
          <w:bCs w:val="0"/>
          <w:sz w:val="24"/>
          <w:szCs w:val="24"/>
        </w:rPr>
        <w:t xml:space="preserve">服务是指根据合同规定乙方应承担</w:t>
      </w:r>
      <w:r>
        <w:rPr>
          <w:rFonts w:hint="eastAsia" w:ascii="宋体" w:hAnsi="宋体" w:eastAsia="宋体" w:cs="宋体"/>
          <w:b w:val="0"/>
          <w:bCs w:val="0"/>
          <w:sz w:val="24"/>
          <w:szCs w:val="24"/>
          <w:u w:val="single"/>
        </w:rPr>
        <w:t xml:space="preserve"> </w:t>
      </w:r>
      <w:r>
        <w:rPr>
          <w:rFonts w:hint="default" w:ascii="宋体" w:hAnsi="宋体" w:eastAsia="宋体" w:cs="宋体"/>
          <w:b w:val="0"/>
          <w:bCs w:val="0"/>
          <w:sz w:val="24"/>
          <w:szCs w:val="24"/>
          <w:u w:val="single"/>
        </w:rPr>
        <w:t xml:space="preserve">                 </w:t>
      </w:r>
      <w:r>
        <w:rPr>
          <w:rFonts w:hint="eastAsia" w:ascii="宋体" w:hAnsi="宋体" w:eastAsia="宋体" w:cs="宋体"/>
          <w:b w:val="0"/>
          <w:bCs w:val="0"/>
          <w:sz w:val="24"/>
          <w:szCs w:val="24"/>
        </w:rPr>
        <w:t xml:space="preserve">等工作和合同中规定乙方应承担的其它义务。</w:t>
      </w:r>
      <w:r/>
    </w:p>
    <w:p>
      <w:pPr>
        <w:ind w:left="0" w:firstLine="480"/>
        <w:spacing w:line="360" w:lineRule="auto"/>
        <w:widowControl w:val="off"/>
        <w:rPr>
          <w:rFonts w:hint="default" w:ascii="宋体" w:hAnsi="宋体" w:eastAsia="宋体" w:cs="宋体"/>
          <w:b w:val="0"/>
          <w:bCs w:val="0"/>
          <w:sz w:val="24"/>
          <w:szCs w:val="24"/>
        </w:rPr>
      </w:pPr>
      <w:r>
        <w:rPr>
          <w:rFonts w:hint="eastAsia" w:ascii="宋体" w:hAnsi="宋体" w:eastAsia="宋体" w:cs="宋体"/>
          <w:b w:val="0"/>
          <w:bCs w:val="0"/>
          <w:sz w:val="24"/>
          <w:szCs w:val="24"/>
        </w:rPr>
        <w:t xml:space="preserve">合同价款是指根据成交单位的投标文件和合同规定，乙方在正确地履行合同义务后甲方应支付给乙方的价款。</w:t>
      </w:r>
      <w:r/>
    </w:p>
    <w:p>
      <w:pPr>
        <w:ind w:left="0" w:firstLine="480"/>
        <w:spacing w:line="360" w:lineRule="auto"/>
        <w:widowControl w:val="off"/>
        <w:rPr>
          <w:rFonts w:hint="default" w:ascii="宋体" w:hAnsi="宋体" w:eastAsia="宋体" w:cs="宋体"/>
          <w:b w:val="0"/>
          <w:bCs w:val="0"/>
          <w:sz w:val="24"/>
          <w:szCs w:val="24"/>
        </w:rPr>
      </w:pPr>
      <w:r>
        <w:rPr>
          <w:rFonts w:hint="eastAsia" w:ascii="宋体" w:hAnsi="宋体" w:eastAsia="宋体" w:cs="宋体"/>
          <w:b w:val="0"/>
          <w:bCs w:val="0"/>
          <w:sz w:val="24"/>
          <w:szCs w:val="24"/>
        </w:rPr>
        <w:t xml:space="preserve">甲方是指合同中明确规定的实际购买和接受服务的单位。</w:t>
      </w:r>
      <w:r/>
    </w:p>
    <w:p>
      <w:pPr>
        <w:ind w:left="0" w:firstLine="480"/>
        <w:spacing w:line="360" w:lineRule="auto"/>
        <w:widowControl w:val="off"/>
        <w:rPr>
          <w:rFonts w:hint="default" w:ascii="宋体" w:hAnsi="宋体" w:eastAsia="宋体" w:cs="宋体"/>
          <w:b w:val="0"/>
          <w:bCs w:val="0"/>
          <w:sz w:val="24"/>
          <w:szCs w:val="24"/>
        </w:rPr>
      </w:pPr>
      <w:r>
        <w:rPr>
          <w:rFonts w:hint="eastAsia" w:ascii="宋体" w:hAnsi="宋体" w:eastAsia="宋体" w:cs="宋体"/>
          <w:b w:val="0"/>
          <w:bCs w:val="0"/>
          <w:sz w:val="24"/>
          <w:szCs w:val="24"/>
        </w:rPr>
        <w:t xml:space="preserve">乙方是指合同中规定的提供服务的单位。</w:t>
      </w:r>
      <w:r/>
    </w:p>
    <w:p>
      <w:pPr>
        <w:ind w:left="0" w:firstLine="480"/>
        <w:spacing w:line="360" w:lineRule="auto"/>
        <w:widowControl w:val="off"/>
        <w:rPr>
          <w:rFonts w:hint="default" w:ascii="宋体" w:hAnsi="宋体" w:eastAsia="宋体" w:cs="宋体"/>
          <w:b w:val="0"/>
          <w:bCs w:val="0"/>
          <w:sz w:val="24"/>
          <w:szCs w:val="24"/>
        </w:rPr>
      </w:pPr>
      <w:r>
        <w:rPr>
          <w:rFonts w:hint="eastAsia" w:ascii="宋体" w:hAnsi="宋体" w:eastAsia="宋体" w:cs="宋体"/>
          <w:b w:val="0"/>
          <w:bCs w:val="0"/>
          <w:sz w:val="24"/>
          <w:szCs w:val="24"/>
        </w:rPr>
        <w:t xml:space="preserve">损失是指合同一方因不履行合同义务而导致另一方及第三方的各种损失的费用，还包括守约方为减轻损失或维护权利而需支付的各种调查费用、车旅费用、律师费用等。</w:t>
      </w:r>
      <w:r/>
    </w:p>
    <w:p>
      <w:pPr>
        <w:ind w:left="0" w:firstLine="480"/>
        <w:spacing w:line="360" w:lineRule="auto"/>
        <w:widowControl w:val="off"/>
        <w:rPr>
          <w:rFonts w:hint="default" w:ascii="宋体" w:hAnsi="宋体" w:eastAsia="宋体" w:cs="宋体"/>
          <w:b w:val="0"/>
          <w:bCs w:val="0"/>
          <w:sz w:val="24"/>
          <w:szCs w:val="24"/>
        </w:rPr>
      </w:pPr>
      <w:r>
        <w:rPr>
          <w:rFonts w:hint="eastAsia" w:ascii="宋体" w:hAnsi="宋体" w:eastAsia="宋体" w:cs="宋体"/>
          <w:b w:val="0"/>
          <w:bCs w:val="0"/>
          <w:sz w:val="24"/>
          <w:szCs w:val="24"/>
        </w:rPr>
        <w:t xml:space="preserve">二、合同项目及期限</w:t>
      </w:r>
      <w:r/>
    </w:p>
    <w:p>
      <w:pPr>
        <w:ind w:left="0" w:firstLine="480"/>
        <w:spacing w:line="360" w:lineRule="auto"/>
        <w:widowControl w:val="off"/>
        <w:rPr>
          <w:rFonts w:hint="default" w:ascii="宋体" w:hAnsi="宋体" w:eastAsia="宋体" w:cs="宋体"/>
          <w:b w:val="0"/>
          <w:bCs w:val="0"/>
          <w:sz w:val="24"/>
          <w:szCs w:val="24"/>
        </w:rPr>
      </w:pPr>
      <w:r>
        <w:rPr>
          <w:rFonts w:hint="eastAsia" w:ascii="宋体" w:hAnsi="宋体" w:eastAsia="宋体" w:cs="宋体"/>
          <w:b w:val="0"/>
          <w:bCs w:val="0"/>
          <w:sz w:val="24"/>
          <w:szCs w:val="24"/>
        </w:rPr>
        <w:t xml:space="preserve">2.1乙方负责</w:t>
      </w:r>
      <w:r>
        <w:rPr>
          <w:rFonts w:hint="eastAsia" w:ascii="宋体" w:hAnsi="宋体" w:eastAsia="宋体" w:cs="宋体"/>
          <w:b w:val="0"/>
          <w:bCs w:val="0"/>
          <w:sz w:val="24"/>
          <w:szCs w:val="24"/>
          <w:u w:val="single"/>
        </w:rPr>
        <w:t xml:space="preserve"> </w:t>
      </w:r>
      <w:r>
        <w:rPr>
          <w:rFonts w:hint="default" w:ascii="宋体" w:hAnsi="宋体" w:eastAsia="宋体" w:cs="宋体"/>
          <w:b w:val="0"/>
          <w:bCs w:val="0"/>
          <w:sz w:val="24"/>
          <w:szCs w:val="24"/>
          <w:u w:val="single"/>
        </w:rPr>
        <w:t xml:space="preserve">                 </w:t>
      </w:r>
      <w:r>
        <w:rPr>
          <w:rFonts w:hint="eastAsia" w:ascii="宋体" w:hAnsi="宋体" w:eastAsia="宋体" w:cs="宋体"/>
          <w:b w:val="0"/>
          <w:bCs w:val="0"/>
          <w:sz w:val="24"/>
          <w:szCs w:val="24"/>
        </w:rPr>
        <w:t xml:space="preserve">的服务工作。</w:t>
      </w:r>
      <w:r/>
    </w:p>
    <w:p>
      <w:pPr>
        <w:ind w:left="0" w:firstLine="480"/>
        <w:spacing w:line="360" w:lineRule="auto"/>
        <w:widowControl w:val="off"/>
        <w:rPr>
          <w:rFonts w:hint="default" w:ascii="宋体" w:hAnsi="宋体" w:eastAsia="宋体" w:cs="宋体"/>
          <w:b w:val="0"/>
          <w:bCs w:val="0"/>
          <w:sz w:val="24"/>
          <w:szCs w:val="24"/>
        </w:rPr>
      </w:pPr>
      <w:r>
        <w:rPr>
          <w:rFonts w:hint="eastAsia" w:ascii="宋体" w:hAnsi="宋体" w:eastAsia="宋体" w:cs="宋体"/>
          <w:b w:val="0"/>
          <w:bCs w:val="0"/>
          <w:sz w:val="24"/>
          <w:szCs w:val="24"/>
        </w:rPr>
        <w:t xml:space="preserve">2.2服务期限：</w:t>
      </w:r>
      <w:r/>
    </w:p>
    <w:p>
      <w:pPr>
        <w:ind w:left="0" w:firstLine="480"/>
        <w:spacing w:line="360" w:lineRule="auto"/>
        <w:widowControl w:val="off"/>
        <w:rPr>
          <w:rFonts w:hint="default" w:ascii="宋体" w:hAnsi="宋体" w:eastAsia="宋体" w:cs="宋体"/>
          <w:b w:val="0"/>
          <w:bCs w:val="0"/>
          <w:sz w:val="24"/>
          <w:szCs w:val="24"/>
        </w:rPr>
      </w:pPr>
      <w:r>
        <w:rPr>
          <w:rFonts w:hint="eastAsia" w:ascii="宋体" w:hAnsi="宋体" w:eastAsia="宋体" w:cs="宋体"/>
          <w:b w:val="0"/>
          <w:bCs w:val="0"/>
          <w:sz w:val="24"/>
          <w:szCs w:val="24"/>
        </w:rPr>
        <w:t xml:space="preserve">2</w:t>
      </w:r>
      <w:r>
        <w:rPr>
          <w:rFonts w:hint="default" w:ascii="宋体" w:hAnsi="宋体" w:eastAsia="宋体" w:cs="宋体"/>
          <w:b w:val="0"/>
          <w:bCs w:val="0"/>
          <w:sz w:val="24"/>
          <w:szCs w:val="24"/>
        </w:rPr>
        <w:t xml:space="preserve">.3</w:t>
      </w:r>
      <w:r>
        <w:rPr>
          <w:rFonts w:hint="eastAsia" w:ascii="宋体" w:hAnsi="宋体" w:eastAsia="宋体" w:cs="宋体"/>
          <w:b w:val="0"/>
          <w:bCs w:val="0"/>
          <w:sz w:val="24"/>
          <w:szCs w:val="24"/>
        </w:rPr>
        <w:t xml:space="preserve">服务地点：根据甲方指定地点。</w:t>
      </w:r>
      <w:r/>
    </w:p>
    <w:p>
      <w:pPr>
        <w:ind w:left="0" w:firstLine="480"/>
        <w:spacing w:line="360" w:lineRule="auto"/>
        <w:widowControl w:val="off"/>
        <w:rPr>
          <w:rFonts w:hint="default" w:ascii="宋体" w:hAnsi="宋体" w:eastAsia="宋体" w:cs="宋体"/>
          <w:b w:val="0"/>
          <w:bCs w:val="0"/>
          <w:sz w:val="24"/>
          <w:szCs w:val="24"/>
        </w:rPr>
      </w:pPr>
      <w:r>
        <w:rPr>
          <w:rFonts w:hint="default" w:ascii="宋体" w:hAnsi="宋体" w:eastAsia="宋体" w:cs="宋体"/>
          <w:b w:val="0"/>
          <w:bCs w:val="0"/>
          <w:sz w:val="24"/>
          <w:szCs w:val="24"/>
        </w:rPr>
      </w:r>
      <w:r/>
    </w:p>
    <w:p>
      <w:pPr>
        <w:numPr>
          <w:ilvl w:val="0"/>
          <w:numId w:val="9"/>
        </w:numPr>
        <w:ind w:left="840" w:hanging="42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合同总价款：大写人民币</w:t>
      </w:r>
      <w:r>
        <w:rPr>
          <w:rFonts w:hint="eastAsia" w:ascii="宋体" w:hAnsi="宋体" w:eastAsia="宋体" w:cs="宋体"/>
          <w:b w:val="0"/>
          <w:bCs w:val="0"/>
          <w:sz w:val="24"/>
          <w:szCs w:val="24"/>
          <w:u w:val="single"/>
        </w:rPr>
        <w:t xml:space="preserve"> </w:t>
      </w:r>
      <w:r>
        <w:rPr>
          <w:rFonts w:hint="default" w:ascii="宋体" w:hAnsi="宋体" w:eastAsia="宋体" w:cs="宋体"/>
          <w:b w:val="0"/>
          <w:bCs w:val="0"/>
          <w:sz w:val="24"/>
          <w:szCs w:val="24"/>
          <w:u w:val="single"/>
        </w:rPr>
        <w:t xml:space="preserve">          </w:t>
      </w:r>
      <w:r>
        <w:rPr>
          <w:rFonts w:hint="eastAsia" w:ascii="宋体" w:hAnsi="宋体" w:eastAsia="宋体" w:cs="宋体"/>
          <w:b w:val="0"/>
          <w:bCs w:val="0"/>
          <w:sz w:val="24"/>
          <w:szCs w:val="24"/>
        </w:rPr>
        <w:t xml:space="preserve">元整，小写￥</w:t>
      </w:r>
      <w:r>
        <w:rPr>
          <w:rFonts w:hint="eastAsia" w:ascii="宋体" w:hAnsi="宋体" w:eastAsia="宋体" w:cs="宋体"/>
          <w:b w:val="0"/>
          <w:bCs w:val="0"/>
          <w:sz w:val="24"/>
          <w:szCs w:val="24"/>
          <w:u w:val="single"/>
        </w:rPr>
        <w:t xml:space="preserve"> </w:t>
      </w:r>
      <w:r>
        <w:rPr>
          <w:rFonts w:hint="default" w:ascii="宋体" w:hAnsi="宋体" w:eastAsia="宋体" w:cs="宋体"/>
          <w:b w:val="0"/>
          <w:bCs w:val="0"/>
          <w:sz w:val="24"/>
          <w:szCs w:val="24"/>
          <w:u w:val="single"/>
        </w:rPr>
        <w:t xml:space="preserve">                 </w:t>
      </w:r>
      <w:r>
        <w:rPr>
          <w:rFonts w:hint="eastAsia" w:ascii="宋体" w:hAnsi="宋体" w:eastAsia="宋体" w:cs="宋体"/>
          <w:b w:val="0"/>
          <w:bCs w:val="0"/>
          <w:sz w:val="24"/>
          <w:szCs w:val="24"/>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80"/>
        <w:spacing w:line="360" w:lineRule="auto"/>
        <w:widowControl w:val="off"/>
        <w:rPr>
          <w:rFonts w:hint="default"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三</w:t>
      </w:r>
      <w:r>
        <w:rPr>
          <w:rFonts w:hint="eastAsia" w:ascii="宋体" w:hAnsi="宋体" w:eastAsia="宋体" w:cs="宋体"/>
          <w:b w:val="0"/>
          <w:bCs w:val="0"/>
          <w:sz w:val="24"/>
          <w:szCs w:val="24"/>
        </w:rPr>
        <w:t xml:space="preserve">、考核</w:t>
      </w:r>
      <w:r/>
    </w:p>
    <w:p>
      <w:pPr>
        <w:ind w:left="0" w:firstLine="480"/>
        <w:spacing w:line="360" w:lineRule="auto"/>
        <w:widowControl w:val="off"/>
        <w:rPr>
          <w:rFonts w:hint="default" w:ascii="宋体" w:hAnsi="宋体" w:eastAsia="宋体" w:cs="宋体"/>
          <w:b w:val="0"/>
          <w:bCs w:val="0"/>
          <w:sz w:val="24"/>
          <w:szCs w:val="24"/>
        </w:rPr>
      </w:pPr>
      <w:r>
        <w:rPr>
          <w:rFonts w:hint="eastAsia" w:ascii="宋体" w:hAnsi="宋体" w:eastAsia="宋体" w:cs="宋体"/>
          <w:b w:val="0"/>
          <w:bCs w:val="0"/>
          <w:sz w:val="24"/>
          <w:szCs w:val="24"/>
        </w:rPr>
        <w:t xml:space="preserve">考核参照</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rPr>
        <w:t xml:space="preserve">202</w:t>
      </w:r>
      <w:r>
        <w:rPr>
          <w:rFonts w:hint="eastAsia" w:ascii="宋体" w:hAnsi="宋体" w:eastAsia="宋体" w:cs="宋体"/>
          <w:b w:val="0"/>
          <w:bCs w:val="0"/>
          <w:sz w:val="24"/>
          <w:szCs w:val="24"/>
          <w:lang w:val="en-US" w:eastAsia="zh-CN"/>
        </w:rPr>
        <w:t xml:space="preserve">6</w:t>
      </w:r>
      <w:r>
        <w:rPr>
          <w:rFonts w:hint="eastAsia" w:ascii="宋体" w:hAnsi="宋体" w:eastAsia="宋体" w:cs="宋体"/>
          <w:b w:val="0"/>
          <w:bCs w:val="0"/>
          <w:sz w:val="24"/>
          <w:szCs w:val="24"/>
        </w:rPr>
        <w:t xml:space="preserve">年智水苏州硬件运维管理考核办法</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rPr>
        <w:t xml:space="preserve">（详见附件1）。</w:t>
      </w:r>
      <w:r/>
    </w:p>
    <w:p>
      <w:pPr>
        <w:ind w:left="0" w:firstLine="480"/>
        <w:spacing w:line="360" w:lineRule="auto"/>
        <w:widowControl w:val="off"/>
        <w:rPr>
          <w:rFonts w:hint="default"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考核以百分制的方式进行，</w:t>
      </w:r>
      <w:r>
        <w:rPr>
          <w:rFonts w:hint="eastAsia" w:ascii="宋体" w:hAnsi="宋体" w:eastAsia="宋体" w:cs="宋体"/>
          <w:b w:val="0"/>
          <w:bCs w:val="0"/>
          <w:sz w:val="24"/>
          <w:szCs w:val="24"/>
          <w:highlight w:val="none"/>
          <w:lang w:val="en-US" w:eastAsia="zh-CN"/>
        </w:rPr>
        <w:t xml:space="preserve">每月进行考核</w:t>
      </w:r>
      <w:r>
        <w:rPr>
          <w:rFonts w:hint="eastAsia" w:ascii="宋体" w:hAnsi="宋体" w:eastAsia="宋体" w:cs="宋体"/>
          <w:b w:val="0"/>
          <w:bCs w:val="0"/>
          <w:sz w:val="24"/>
          <w:szCs w:val="24"/>
          <w:highlight w:val="none"/>
        </w:rPr>
        <w:t xml:space="preserve">，甲方针对已完成的维保质量进行考核评分（每期实际付款金额与考评结果挂钩）。</w:t>
      </w:r>
      <w:r/>
    </w:p>
    <w:p>
      <w:pPr>
        <w:ind w:left="0" w:firstLine="480"/>
        <w:spacing w:line="360" w:lineRule="auto"/>
        <w:widowControl w:val="off"/>
        <w:rPr>
          <w:rFonts w:hint="default" w:ascii="宋体" w:hAnsi="宋体" w:eastAsia="宋体" w:cs="宋体"/>
          <w:b w:val="0"/>
          <w:bCs w:val="0"/>
          <w:sz w:val="24"/>
          <w:szCs w:val="24"/>
        </w:rPr>
      </w:pPr>
      <w:r>
        <w:rPr>
          <w:rFonts w:hint="eastAsia" w:ascii="宋体" w:hAnsi="宋体" w:eastAsia="宋体" w:cs="宋体"/>
          <w:b w:val="0"/>
          <w:bCs w:val="0"/>
          <w:sz w:val="24"/>
          <w:szCs w:val="24"/>
        </w:rPr>
        <w:t xml:space="preserve">每个考核周期综合得分在90分（含）以上的：按100%比例支付当期服务费用。</w:t>
      </w:r>
      <w:r/>
    </w:p>
    <w:p>
      <w:pPr>
        <w:ind w:left="0" w:firstLine="480"/>
        <w:spacing w:line="360" w:lineRule="auto"/>
        <w:widowControl w:val="off"/>
        <w:rPr>
          <w:rFonts w:hint="default" w:ascii="宋体" w:hAnsi="宋体" w:eastAsia="宋体" w:cs="宋体"/>
          <w:b w:val="0"/>
          <w:bCs w:val="0"/>
          <w:sz w:val="24"/>
          <w:szCs w:val="24"/>
        </w:rPr>
      </w:pPr>
      <w:r>
        <w:rPr>
          <w:rFonts w:hint="eastAsia" w:ascii="宋体" w:hAnsi="宋体" w:eastAsia="宋体" w:cs="宋体"/>
          <w:b w:val="0"/>
          <w:bCs w:val="0"/>
          <w:sz w:val="24"/>
          <w:szCs w:val="24"/>
        </w:rPr>
        <w:t xml:space="preserve">每个考核周期综合得分在80分（含）以上不满90分的：减按90%比例支付当期服务费用。</w:t>
      </w:r>
      <w:r/>
    </w:p>
    <w:p>
      <w:pPr>
        <w:ind w:left="0" w:firstLine="480"/>
        <w:spacing w:line="360" w:lineRule="auto"/>
        <w:widowControl w:val="off"/>
        <w:rPr>
          <w:rFonts w:hint="default" w:ascii="宋体" w:hAnsi="宋体" w:eastAsia="宋体" w:cs="宋体"/>
          <w:b w:val="0"/>
          <w:bCs w:val="0"/>
          <w:sz w:val="24"/>
          <w:szCs w:val="24"/>
        </w:rPr>
      </w:pPr>
      <w:r>
        <w:rPr>
          <w:rFonts w:hint="eastAsia" w:ascii="宋体" w:hAnsi="宋体" w:eastAsia="宋体" w:cs="宋体"/>
          <w:b w:val="0"/>
          <w:bCs w:val="0"/>
          <w:sz w:val="24"/>
          <w:szCs w:val="24"/>
        </w:rPr>
        <w:t xml:space="preserve">每个考核周期综合得分在70分（含）以上不满80分的：减按80%比例支付当期服务费用。</w:t>
      </w:r>
      <w:r/>
    </w:p>
    <w:p>
      <w:pPr>
        <w:ind w:left="0" w:firstLine="480"/>
        <w:spacing w:line="360" w:lineRule="auto"/>
        <w:widowControl w:val="off"/>
        <w:rPr>
          <w:rFonts w:hint="default" w:ascii="宋体" w:hAnsi="宋体" w:eastAsia="宋体" w:cs="宋体"/>
          <w:b w:val="0"/>
          <w:bCs w:val="0"/>
          <w:sz w:val="24"/>
          <w:szCs w:val="24"/>
        </w:rPr>
      </w:pPr>
      <w:r>
        <w:rPr>
          <w:rFonts w:hint="eastAsia" w:ascii="宋体" w:hAnsi="宋体" w:eastAsia="宋体" w:cs="宋体"/>
          <w:b w:val="0"/>
          <w:bCs w:val="0"/>
          <w:sz w:val="24"/>
          <w:szCs w:val="24"/>
        </w:rPr>
        <w:t xml:space="preserve">每个考核周期综合得分在60分（含）以上不满70分的：减按70%比例支付当期服务费用。</w:t>
      </w:r>
      <w:r/>
    </w:p>
    <w:p>
      <w:pPr>
        <w:ind w:left="0" w:firstLine="480"/>
        <w:spacing w:line="360" w:lineRule="auto"/>
        <w:widowControl w:val="off"/>
        <w:rPr>
          <w:rFonts w:hint="default" w:ascii="宋体" w:hAnsi="宋体" w:eastAsia="宋体" w:cs="宋体"/>
          <w:b w:val="0"/>
          <w:bCs w:val="0"/>
          <w:sz w:val="24"/>
          <w:szCs w:val="24"/>
        </w:rPr>
      </w:pPr>
      <w:r>
        <w:rPr>
          <w:rFonts w:hint="eastAsia" w:ascii="宋体" w:hAnsi="宋体" w:eastAsia="宋体" w:cs="宋体"/>
          <w:b w:val="0"/>
          <w:bCs w:val="0"/>
          <w:sz w:val="24"/>
          <w:szCs w:val="24"/>
        </w:rPr>
        <w:t xml:space="preserve">每个考核周期综合得分低于60分的：全额扣减当期服务费用</w:t>
      </w:r>
      <w:r/>
    </w:p>
    <w:p>
      <w:pPr>
        <w:ind w:left="0" w:firstLine="480"/>
        <w:spacing w:line="360" w:lineRule="auto"/>
        <w:widowControl w:val="off"/>
        <w:rPr>
          <w:rFonts w:hint="default"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四</w:t>
      </w:r>
      <w:r>
        <w:rPr>
          <w:rFonts w:hint="eastAsia" w:ascii="宋体" w:hAnsi="宋体" w:eastAsia="宋体" w:cs="宋体"/>
          <w:b w:val="0"/>
          <w:bCs w:val="0"/>
          <w:sz w:val="24"/>
          <w:szCs w:val="24"/>
        </w:rPr>
        <w:t xml:space="preserve">、付款方式</w:t>
      </w:r>
      <w:r/>
    </w:p>
    <w:p>
      <w:pPr>
        <w:ind w:left="0" w:firstLine="480"/>
        <w:spacing w:line="360" w:lineRule="auto"/>
        <w:widowControl w:val="off"/>
        <w:rPr>
          <w:rFonts w:hint="default" w:ascii="宋体" w:hAnsi="宋体" w:eastAsia="宋体" w:cs="宋体"/>
          <w:b w:val="0"/>
          <w:bCs w:val="0"/>
          <w:sz w:val="24"/>
          <w:szCs w:val="24"/>
        </w:rPr>
      </w:pPr>
      <w:r>
        <w:rPr>
          <w:rFonts w:hint="default" w:ascii="宋体" w:hAnsi="宋体" w:eastAsia="宋体" w:cs="宋体"/>
          <w:b w:val="0"/>
          <w:bCs w:val="0"/>
          <w:sz w:val="24"/>
          <w:szCs w:val="24"/>
        </w:rPr>
        <w:t xml:space="preserve">1.</w:t>
      </w:r>
      <w:r>
        <w:rPr>
          <w:rFonts w:hint="eastAsia" w:ascii="宋体" w:hAnsi="宋体" w:eastAsia="宋体" w:cs="宋体"/>
          <w:b w:val="0"/>
          <w:bCs w:val="0"/>
          <w:sz w:val="24"/>
          <w:szCs w:val="24"/>
        </w:rPr>
        <w:t xml:space="preserve">付款步骤：</w:t>
      </w:r>
      <w:r/>
    </w:p>
    <w:p>
      <w:pPr>
        <w:ind w:left="0" w:firstLine="480"/>
        <w:spacing w:line="360" w:lineRule="auto"/>
        <w:widowControl w:val="off"/>
        <w:rPr>
          <w:rFonts w:hint="default" w:ascii="宋体" w:hAnsi="宋体" w:eastAsia="宋体" w:cs="宋体"/>
          <w:b w:val="0"/>
          <w:bCs w:val="0"/>
          <w:sz w:val="24"/>
          <w:szCs w:val="24"/>
        </w:rPr>
      </w:pPr>
      <w:r>
        <w:rPr>
          <w:rFonts w:hint="eastAsia" w:ascii="宋体" w:hAnsi="宋体" w:eastAsia="宋体" w:cs="宋体"/>
          <w:b w:val="0"/>
          <w:bCs w:val="0"/>
          <w:sz w:val="24"/>
          <w:szCs w:val="24"/>
        </w:rPr>
        <w:t xml:space="preserve">（1）支付步骤</w:t>
      </w:r>
      <w:r/>
    </w:p>
    <w:p>
      <w:pPr>
        <w:ind w:left="0" w:firstLine="482"/>
        <w:spacing w:line="360" w:lineRule="auto"/>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预付款：</w:t>
      </w:r>
      <w:r>
        <w:rPr>
          <w:rFonts w:hint="eastAsia" w:ascii="宋体" w:hAnsi="宋体" w:eastAsia="宋体" w:cs="宋体"/>
          <w:sz w:val="24"/>
          <w:szCs w:val="24"/>
          <w:highlight w:val="none"/>
        </w:rPr>
        <w:t xml:space="preserve">自本合同签订生效之日起，甲方向乙方支付合同总价的10%作为预付款。</w:t>
      </w:r>
      <w:r/>
    </w:p>
    <w:p>
      <w:pPr>
        <w:ind w:left="478" w:firstLine="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进度款：</w:t>
      </w:r>
      <w:r>
        <w:rPr>
          <w:rFonts w:hint="eastAsia" w:ascii="宋体" w:hAnsi="宋体" w:eastAsia="宋体" w:cs="宋体"/>
          <w:sz w:val="24"/>
          <w:szCs w:val="24"/>
          <w:highlight w:val="none"/>
        </w:rPr>
        <w:t xml:space="preserve">项目实施期间实行月度考核，</w:t>
      </w:r>
      <w:r>
        <w:rPr>
          <w:rFonts w:hint="eastAsia" w:ascii="宋体" w:hAnsi="宋体" w:eastAsia="宋体" w:cs="宋体"/>
          <w:sz w:val="24"/>
          <w:szCs w:val="24"/>
          <w:highlight w:val="none"/>
          <w:lang w:val="en-US" w:eastAsia="zh-CN"/>
        </w:rPr>
        <w:t xml:space="preserve">自运维期</w:t>
      </w:r>
      <w:r>
        <w:rPr>
          <w:rFonts w:hint="eastAsia" w:ascii="宋体" w:hAnsi="宋体" w:eastAsia="宋体" w:cs="宋体"/>
          <w:sz w:val="24"/>
          <w:szCs w:val="24"/>
          <w:highlight w:val="none"/>
        </w:rPr>
        <w:t xml:space="preserve">第四个月开始，乙方考核合格后，甲方按月支付合同总价4%的进度款。</w:t>
      </w:r>
      <w:r/>
    </w:p>
    <w:p>
      <w:pPr>
        <w:ind w:left="0" w:firstLine="482"/>
        <w:spacing w:line="360" w:lineRule="auto"/>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尾款：</w:t>
      </w:r>
      <w:r>
        <w:rPr>
          <w:rFonts w:hint="eastAsia" w:ascii="宋体" w:hAnsi="宋体" w:eastAsia="宋体" w:cs="宋体"/>
          <w:sz w:val="24"/>
          <w:szCs w:val="24"/>
          <w:highlight w:val="none"/>
        </w:rPr>
        <w:t xml:space="preserve">项目全部完成并经甲方验收合格后，甲方向乙方一次性支付合同剩余全部款项。</w:t>
      </w:r>
      <w:r/>
    </w:p>
    <w:p>
      <w:pPr>
        <w:ind w:left="0" w:firstLine="480"/>
        <w:spacing w:line="360" w:lineRule="auto"/>
        <w:widowControl w:val="off"/>
        <w:rPr>
          <w:rFonts w:hint="default" w:ascii="宋体" w:hAnsi="宋体" w:eastAsia="宋体" w:cs="宋体"/>
          <w:b w:val="0"/>
          <w:bCs w:val="0"/>
          <w:sz w:val="24"/>
          <w:szCs w:val="24"/>
        </w:rPr>
      </w:pPr>
      <w:r>
        <w:rPr>
          <w:rFonts w:hint="eastAsia" w:ascii="宋体" w:hAnsi="宋体" w:eastAsia="宋体" w:cs="宋体"/>
          <w:b w:val="0"/>
          <w:bCs w:val="0"/>
          <w:sz w:val="24"/>
          <w:szCs w:val="24"/>
        </w:rPr>
        <w:t xml:space="preserve">（2）在签订合同时，乙方明确表示无需预付款或者主动要求降低预付款比例的，甲方可不适用上述关于预付款的规定。</w:t>
      </w:r>
      <w:r/>
    </w:p>
    <w:p>
      <w:pPr>
        <w:ind w:left="0" w:firstLine="480"/>
        <w:spacing w:line="360" w:lineRule="auto"/>
        <w:widowControl w:val="off"/>
        <w:rPr>
          <w:rFonts w:hint="default" w:ascii="宋体" w:hAnsi="宋体" w:eastAsia="宋体" w:cs="宋体"/>
          <w:b w:val="0"/>
          <w:bCs w:val="0"/>
          <w:sz w:val="24"/>
          <w:szCs w:val="24"/>
        </w:rPr>
      </w:pPr>
      <w:r>
        <w:rPr>
          <w:rFonts w:hint="eastAsia" w:ascii="宋体" w:hAnsi="宋体" w:eastAsia="宋体" w:cs="宋体"/>
          <w:b w:val="0"/>
          <w:bCs w:val="0"/>
          <w:sz w:val="24"/>
          <w:szCs w:val="24"/>
        </w:rPr>
        <w:t xml:space="preserve">（3）按照《江苏省财政厅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80"/>
        <w:spacing w:line="360" w:lineRule="auto"/>
        <w:widowControl w:val="off"/>
        <w:rPr>
          <w:rFonts w:hint="default" w:ascii="宋体" w:hAnsi="宋体" w:eastAsia="宋体" w:cs="宋体"/>
          <w:b w:val="0"/>
          <w:bCs w:val="0"/>
          <w:sz w:val="24"/>
          <w:szCs w:val="24"/>
        </w:rPr>
      </w:pPr>
      <w:r>
        <w:rPr>
          <w:rFonts w:hint="default" w:ascii="宋体" w:hAnsi="宋体" w:eastAsia="宋体" w:cs="宋体"/>
          <w:b w:val="0"/>
          <w:bCs w:val="0"/>
          <w:sz w:val="24"/>
          <w:szCs w:val="24"/>
        </w:rPr>
        <w:t xml:space="preserve">2</w:t>
      </w:r>
      <w:r>
        <w:rPr>
          <w:rFonts w:hint="eastAsia" w:ascii="宋体" w:hAnsi="宋体" w:eastAsia="宋体" w:cs="宋体"/>
          <w:b w:val="0"/>
          <w:bCs w:val="0"/>
          <w:sz w:val="24"/>
          <w:szCs w:val="24"/>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left="0" w:firstLine="480"/>
        <w:spacing w:line="360" w:lineRule="auto"/>
        <w:widowControl w:val="off"/>
        <w:rPr>
          <w:rFonts w:hint="default" w:ascii="宋体" w:hAnsi="宋体" w:eastAsia="宋体" w:cs="宋体"/>
          <w:b w:val="0"/>
          <w:bCs w:val="0"/>
          <w:sz w:val="24"/>
          <w:szCs w:val="24"/>
        </w:rPr>
      </w:pPr>
      <w:r>
        <w:rPr>
          <w:rFonts w:hint="eastAsia" w:ascii="宋体" w:hAnsi="宋体" w:eastAsia="宋体" w:cs="宋体"/>
          <w:b w:val="0"/>
          <w:bCs w:val="0"/>
          <w:sz w:val="24"/>
          <w:szCs w:val="24"/>
        </w:rPr>
        <w:t xml:space="preserve">3.支付方式：本次货款以数字人民币形式支付。乙方账户信息如下：</w:t>
      </w:r>
      <w:r/>
    </w:p>
    <w:p>
      <w:pPr>
        <w:ind w:left="0" w:firstLine="480"/>
        <w:spacing w:line="360" w:lineRule="auto"/>
        <w:widowControl w:val="off"/>
        <w:rPr>
          <w:rFonts w:hint="default" w:ascii="宋体" w:hAnsi="宋体" w:eastAsia="宋体" w:cs="宋体"/>
          <w:b w:val="0"/>
          <w:bCs w:val="0"/>
          <w:sz w:val="24"/>
          <w:szCs w:val="24"/>
        </w:rPr>
      </w:pPr>
      <w:r>
        <w:rPr>
          <w:rFonts w:hint="eastAsia" w:ascii="宋体" w:hAnsi="宋体" w:eastAsia="宋体" w:cs="宋体"/>
          <w:b w:val="0"/>
          <w:bCs w:val="0"/>
          <w:sz w:val="24"/>
          <w:szCs w:val="24"/>
        </w:rPr>
        <w:t xml:space="preserve">开户名称：</w:t>
      </w:r>
      <w:r/>
    </w:p>
    <w:p>
      <w:pPr>
        <w:ind w:left="0" w:firstLine="480"/>
        <w:spacing w:line="360" w:lineRule="auto"/>
        <w:widowControl w:val="off"/>
        <w:rPr>
          <w:rFonts w:hint="default" w:ascii="宋体" w:hAnsi="宋体" w:eastAsia="宋体" w:cs="宋体"/>
          <w:b w:val="0"/>
          <w:bCs w:val="0"/>
          <w:sz w:val="24"/>
          <w:szCs w:val="24"/>
        </w:rPr>
      </w:pPr>
      <w:r>
        <w:rPr>
          <w:rFonts w:hint="eastAsia" w:ascii="宋体" w:hAnsi="宋体" w:eastAsia="宋体" w:cs="宋体"/>
          <w:b w:val="0"/>
          <w:bCs w:val="0"/>
          <w:sz w:val="24"/>
          <w:szCs w:val="24"/>
        </w:rPr>
        <w:t xml:space="preserve">开户银行：</w:t>
      </w:r>
      <w:r/>
    </w:p>
    <w:p>
      <w:pPr>
        <w:ind w:left="0" w:firstLine="480"/>
        <w:spacing w:line="360" w:lineRule="auto"/>
        <w:widowControl w:val="off"/>
        <w:rPr>
          <w:rFonts w:hint="default" w:ascii="宋体" w:hAnsi="宋体" w:eastAsia="宋体" w:cs="宋体"/>
          <w:b w:val="0"/>
          <w:bCs w:val="0"/>
          <w:sz w:val="24"/>
          <w:szCs w:val="24"/>
        </w:rPr>
      </w:pPr>
      <w:r>
        <w:rPr>
          <w:rFonts w:hint="eastAsia" w:ascii="宋体" w:hAnsi="宋体" w:eastAsia="宋体" w:cs="宋体"/>
          <w:b w:val="0"/>
          <w:bCs w:val="0"/>
          <w:sz w:val="24"/>
          <w:szCs w:val="24"/>
        </w:rPr>
        <w:t xml:space="preserve">数字人民币账户（数币钱包ID）：</w:t>
      </w:r>
      <w:r/>
    </w:p>
    <w:p>
      <w:pPr>
        <w:ind w:left="0" w:firstLine="480"/>
        <w:spacing w:line="360" w:lineRule="auto"/>
        <w:widowControl w:val="off"/>
        <w:rPr>
          <w:rFonts w:hint="default" w:ascii="宋体" w:hAnsi="宋体" w:eastAsia="宋体" w:cs="宋体"/>
          <w:b w:val="0"/>
          <w:bCs w:val="0"/>
          <w:sz w:val="24"/>
          <w:szCs w:val="24"/>
        </w:rPr>
      </w:pPr>
      <w:r>
        <w:rPr>
          <w:rFonts w:hint="eastAsia" w:ascii="宋体" w:hAnsi="宋体" w:eastAsia="宋体" w:cs="宋体"/>
          <w:b w:val="0"/>
          <w:bCs w:val="0"/>
          <w:sz w:val="24"/>
          <w:szCs w:val="24"/>
        </w:rPr>
        <w:t xml:space="preserve">五、甲、乙双方的责任</w:t>
      </w:r>
      <w:r/>
    </w:p>
    <w:p>
      <w:pPr>
        <w:ind w:left="0" w:firstLine="480"/>
        <w:spacing w:line="360" w:lineRule="auto"/>
        <w:widowControl w:val="off"/>
        <w:rPr>
          <w:rFonts w:hint="default" w:ascii="宋体" w:hAnsi="宋体" w:eastAsia="宋体" w:cs="宋体"/>
          <w:b w:val="0"/>
          <w:bCs w:val="0"/>
          <w:sz w:val="24"/>
          <w:szCs w:val="24"/>
        </w:rPr>
      </w:pPr>
      <w:r>
        <w:rPr>
          <w:rFonts w:hint="eastAsia" w:ascii="宋体" w:hAnsi="宋体" w:eastAsia="宋体" w:cs="宋体"/>
          <w:b w:val="0"/>
          <w:bCs w:val="0"/>
          <w:sz w:val="24"/>
          <w:szCs w:val="24"/>
        </w:rPr>
        <w:t xml:space="preserve">1.甲方责任：</w:t>
      </w:r>
      <w:r/>
    </w:p>
    <w:p>
      <w:pPr>
        <w:ind w:left="0" w:firstLine="480"/>
        <w:spacing w:line="360" w:lineRule="auto"/>
        <w:widowControl w:val="off"/>
        <w:rPr>
          <w:rFonts w:hint="default" w:ascii="宋体" w:hAnsi="宋体" w:eastAsia="宋体" w:cs="宋体"/>
          <w:b w:val="0"/>
          <w:bCs w:val="0"/>
          <w:sz w:val="24"/>
          <w:szCs w:val="24"/>
        </w:rPr>
      </w:pPr>
      <w:r>
        <w:rPr>
          <w:rFonts w:hint="eastAsia" w:ascii="宋体" w:hAnsi="宋体" w:eastAsia="宋体" w:cs="宋体"/>
          <w:b w:val="0"/>
          <w:bCs w:val="0"/>
          <w:sz w:val="24"/>
          <w:szCs w:val="24"/>
        </w:rPr>
        <w:t xml:space="preserve">1.</w:t>
      </w:r>
      <w:r>
        <w:rPr>
          <w:rFonts w:hint="default" w:ascii="宋体" w:hAnsi="宋体" w:eastAsia="宋体" w:cs="宋体"/>
          <w:b w:val="0"/>
          <w:bCs w:val="0"/>
          <w:sz w:val="24"/>
          <w:szCs w:val="24"/>
        </w:rPr>
        <w:t xml:space="preserve">1</w:t>
      </w:r>
      <w:r>
        <w:rPr>
          <w:rFonts w:hint="eastAsia" w:ascii="宋体" w:hAnsi="宋体" w:eastAsia="宋体" w:cs="宋体"/>
          <w:b w:val="0"/>
          <w:bCs w:val="0"/>
          <w:sz w:val="24"/>
          <w:szCs w:val="24"/>
        </w:rPr>
        <w:t xml:space="preserve">依本合同约定按期支付合同款项；</w:t>
      </w:r>
      <w:r/>
    </w:p>
    <w:p>
      <w:pPr>
        <w:ind w:left="0" w:firstLine="480"/>
        <w:spacing w:line="360" w:lineRule="auto"/>
        <w:widowControl w:val="off"/>
        <w:rPr>
          <w:rFonts w:hint="default" w:ascii="宋体" w:hAnsi="宋体" w:eastAsia="宋体" w:cs="宋体"/>
          <w:b w:val="0"/>
          <w:bCs w:val="0"/>
          <w:sz w:val="24"/>
          <w:szCs w:val="24"/>
        </w:rPr>
      </w:pPr>
      <w:r>
        <w:rPr>
          <w:rFonts w:hint="default" w:ascii="宋体" w:hAnsi="宋体" w:eastAsia="宋体" w:cs="宋体"/>
          <w:b w:val="0"/>
          <w:bCs w:val="0"/>
          <w:sz w:val="24"/>
          <w:szCs w:val="24"/>
        </w:rPr>
        <w:t xml:space="preserve">1.</w:t>
      </w:r>
      <w:r>
        <w:rPr>
          <w:rFonts w:hint="eastAsia" w:ascii="宋体" w:hAnsi="宋体" w:eastAsia="宋体" w:cs="宋体"/>
          <w:b w:val="0"/>
          <w:bCs w:val="0"/>
          <w:sz w:val="24"/>
          <w:szCs w:val="24"/>
        </w:rPr>
        <w:t xml:space="preserve">2依本合同约定及时组织验收；</w:t>
      </w:r>
      <w:r/>
    </w:p>
    <w:p>
      <w:pPr>
        <w:ind w:left="0" w:firstLine="480"/>
        <w:spacing w:line="360" w:lineRule="auto"/>
        <w:widowControl w:val="off"/>
        <w:rPr>
          <w:rFonts w:hint="default" w:ascii="宋体" w:hAnsi="宋体" w:eastAsia="宋体" w:cs="宋体"/>
          <w:b w:val="0"/>
          <w:bCs w:val="0"/>
          <w:sz w:val="24"/>
          <w:szCs w:val="24"/>
        </w:rPr>
      </w:pPr>
      <w:r>
        <w:rPr>
          <w:rFonts w:hint="default" w:ascii="宋体" w:hAnsi="宋体" w:eastAsia="宋体" w:cs="宋体"/>
          <w:b w:val="0"/>
          <w:bCs w:val="0"/>
          <w:sz w:val="24"/>
          <w:szCs w:val="24"/>
        </w:rPr>
        <w:t xml:space="preserve">1.</w:t>
      </w:r>
      <w:r>
        <w:rPr>
          <w:rFonts w:hint="eastAsia" w:ascii="宋体" w:hAnsi="宋体" w:eastAsia="宋体" w:cs="宋体"/>
          <w:b w:val="0"/>
          <w:bCs w:val="0"/>
          <w:sz w:val="24"/>
          <w:szCs w:val="24"/>
        </w:rPr>
        <w:t xml:space="preserve">3协助乙方进行项目的相关协调工作及约定期限内提供相关资料以利于开展项目。</w:t>
      </w:r>
      <w:r/>
    </w:p>
    <w:p>
      <w:pPr>
        <w:ind w:left="0" w:firstLine="480"/>
        <w:spacing w:line="360" w:lineRule="auto"/>
        <w:widowControl/>
        <w:rPr>
          <w:rFonts w:hint="default" w:ascii="宋体" w:hAnsi="宋体" w:eastAsia="宋体" w:cs="宋体"/>
          <w:b w:val="0"/>
          <w:bCs w:val="0"/>
          <w:sz w:val="24"/>
          <w:szCs w:val="24"/>
        </w:rPr>
      </w:pPr>
      <w:r>
        <w:rPr>
          <w:rFonts w:hint="eastAsia" w:ascii="宋体" w:hAnsi="宋体" w:eastAsia="宋体" w:cs="宋体"/>
          <w:b w:val="0"/>
          <w:bCs w:val="0"/>
          <w:sz w:val="24"/>
          <w:szCs w:val="24"/>
        </w:rPr>
        <w:t xml:space="preserve">2.乙方责任：</w:t>
      </w:r>
      <w:r/>
    </w:p>
    <w:p>
      <w:pPr>
        <w:ind w:left="0" w:firstLine="480"/>
        <w:spacing w:line="360" w:lineRule="auto"/>
        <w:widowControl/>
        <w:rPr>
          <w:rFonts w:hint="default" w:ascii="宋体" w:hAnsi="宋体" w:eastAsia="宋体" w:cs="宋体"/>
          <w:b w:val="0"/>
          <w:bCs w:val="0"/>
          <w:sz w:val="24"/>
          <w:szCs w:val="24"/>
        </w:rPr>
      </w:pPr>
      <w:r>
        <w:rPr>
          <w:rFonts w:hint="eastAsia" w:ascii="宋体" w:hAnsi="宋体" w:eastAsia="宋体" w:cs="宋体"/>
          <w:b w:val="0"/>
          <w:bCs w:val="0"/>
          <w:sz w:val="24"/>
          <w:szCs w:val="24"/>
        </w:rPr>
        <w:t xml:space="preserve">乙方负责完成本次采购要求的全部服务工作，乙方应按招标文件以及合同约定的技术规范、标准进行实施，并保证按期、保质保量完成项目的实施工作，对提交的项目质量负责。</w:t>
      </w:r>
      <w:r/>
    </w:p>
    <w:p>
      <w:pPr>
        <w:ind w:left="0" w:firstLine="480"/>
        <w:spacing w:line="360" w:lineRule="auto"/>
        <w:widowControl/>
        <w:rPr>
          <w:rFonts w:hint="default" w:ascii="宋体" w:hAnsi="宋体" w:eastAsia="宋体" w:cs="宋体"/>
          <w:b w:val="0"/>
          <w:bCs w:val="0"/>
          <w:sz w:val="24"/>
          <w:szCs w:val="24"/>
        </w:rPr>
      </w:pPr>
      <w:r>
        <w:rPr>
          <w:rFonts w:hint="eastAsia" w:ascii="宋体" w:hAnsi="宋体" w:eastAsia="宋体" w:cs="宋体"/>
          <w:b w:val="0"/>
          <w:bCs w:val="0"/>
          <w:sz w:val="24"/>
          <w:szCs w:val="24"/>
        </w:rPr>
        <w:t xml:space="preserve">六、违约责任</w:t>
      </w:r>
      <w:r/>
    </w:p>
    <w:p>
      <w:pPr>
        <w:ind w:left="0" w:firstLine="480"/>
        <w:spacing w:line="360" w:lineRule="auto"/>
        <w:widowControl w:val="off"/>
        <w:rPr>
          <w:rFonts w:hint="default" w:ascii="宋体" w:hAnsi="宋体" w:eastAsia="宋体" w:cs="宋体"/>
          <w:b w:val="0"/>
          <w:bCs w:val="0"/>
          <w:sz w:val="24"/>
          <w:szCs w:val="24"/>
        </w:rPr>
      </w:pPr>
      <w:r>
        <w:rPr>
          <w:rFonts w:hint="eastAsia" w:ascii="宋体" w:hAnsi="宋体" w:eastAsia="宋体" w:cs="宋体"/>
          <w:b w:val="0"/>
          <w:bCs w:val="0"/>
          <w:sz w:val="24"/>
          <w:szCs w:val="24"/>
        </w:rPr>
        <w:t xml:space="preserve">1.甲方违约责任：</w:t>
      </w:r>
      <w:r/>
    </w:p>
    <w:p>
      <w:pPr>
        <w:ind w:left="0" w:firstLine="480"/>
        <w:spacing w:line="360" w:lineRule="auto"/>
        <w:widowControl w:val="off"/>
        <w:rPr>
          <w:rFonts w:hint="default" w:ascii="宋体" w:hAnsi="宋体" w:eastAsia="宋体" w:cs="宋体"/>
          <w:b w:val="0"/>
          <w:bCs w:val="0"/>
          <w:sz w:val="24"/>
          <w:szCs w:val="24"/>
        </w:rPr>
      </w:pPr>
      <w:r>
        <w:rPr>
          <w:rFonts w:hint="default" w:ascii="宋体" w:hAnsi="宋体" w:eastAsia="宋体" w:cs="宋体"/>
          <w:b w:val="0"/>
          <w:bCs w:val="0"/>
          <w:sz w:val="24"/>
          <w:szCs w:val="24"/>
        </w:rPr>
        <w:t xml:space="preserve">1.1在合同生效后，甲方</w:t>
      </w:r>
      <w:r>
        <w:rPr>
          <w:rFonts w:hint="eastAsia" w:ascii="宋体" w:hAnsi="宋体" w:eastAsia="宋体" w:cs="宋体"/>
          <w:b w:val="0"/>
          <w:bCs w:val="0"/>
          <w:sz w:val="24"/>
          <w:szCs w:val="24"/>
        </w:rPr>
        <w:t xml:space="preserve">无故</w:t>
      </w:r>
      <w:r>
        <w:rPr>
          <w:rFonts w:hint="default" w:ascii="宋体" w:hAnsi="宋体" w:eastAsia="宋体" w:cs="宋体"/>
          <w:b w:val="0"/>
          <w:bCs w:val="0"/>
          <w:sz w:val="24"/>
          <w:szCs w:val="24"/>
        </w:rPr>
        <w:t xml:space="preserve">要求解除合同的，应向乙方偿付合同总价款5%的违约金，违约金不足以补偿损失的，乙方有权要求甲方补足。</w:t>
      </w:r>
      <w:r/>
    </w:p>
    <w:p>
      <w:pPr>
        <w:ind w:left="0" w:firstLine="480"/>
        <w:spacing w:line="360" w:lineRule="auto"/>
        <w:widowControl w:val="off"/>
        <w:rPr>
          <w:rFonts w:hint="default" w:ascii="宋体" w:hAnsi="宋体" w:eastAsia="宋体" w:cs="宋体"/>
          <w:b w:val="0"/>
          <w:bCs w:val="0"/>
          <w:sz w:val="24"/>
          <w:szCs w:val="24"/>
        </w:rPr>
      </w:pPr>
      <w:r>
        <w:rPr>
          <w:rFonts w:hint="default" w:ascii="宋体" w:hAnsi="宋体" w:eastAsia="宋体" w:cs="宋体"/>
          <w:b w:val="0"/>
          <w:bCs w:val="0"/>
          <w:sz w:val="24"/>
          <w:szCs w:val="24"/>
        </w:rPr>
        <w:t xml:space="preserve">1.2甲方逾期付款的应按照逾期付款金额的每天万分之四支付逾期付款违约金</w:t>
      </w:r>
      <w:r>
        <w:rPr>
          <w:rFonts w:hint="eastAsia" w:ascii="宋体" w:hAnsi="宋体" w:eastAsia="宋体" w:cs="宋体"/>
          <w:b w:val="0"/>
          <w:bCs w:val="0"/>
          <w:sz w:val="24"/>
          <w:szCs w:val="24"/>
        </w:rPr>
        <w:t xml:space="preserve">，总额不超总价款的5%</w:t>
      </w:r>
      <w:r>
        <w:rPr>
          <w:rFonts w:hint="default" w:ascii="宋体" w:hAnsi="宋体" w:eastAsia="宋体" w:cs="宋体"/>
          <w:b w:val="0"/>
          <w:bCs w:val="0"/>
          <w:sz w:val="24"/>
          <w:szCs w:val="24"/>
        </w:rPr>
        <w:t xml:space="preserve">。</w:t>
      </w:r>
      <w:r/>
    </w:p>
    <w:p>
      <w:pPr>
        <w:ind w:left="0" w:firstLine="480"/>
        <w:spacing w:line="360" w:lineRule="auto"/>
        <w:widowControl w:val="off"/>
        <w:rPr>
          <w:rFonts w:hint="default" w:ascii="宋体" w:hAnsi="宋体" w:eastAsia="宋体" w:cs="宋体"/>
          <w:b w:val="0"/>
          <w:bCs w:val="0"/>
          <w:sz w:val="24"/>
          <w:szCs w:val="24"/>
        </w:rPr>
      </w:pPr>
      <w:r>
        <w:rPr>
          <w:rFonts w:hint="eastAsia" w:ascii="宋体" w:hAnsi="宋体" w:eastAsia="宋体" w:cs="宋体"/>
          <w:b w:val="0"/>
          <w:bCs w:val="0"/>
          <w:sz w:val="24"/>
          <w:szCs w:val="24"/>
        </w:rPr>
        <w:t xml:space="preserve">2.乙方的违约责任：</w:t>
      </w:r>
      <w:r/>
    </w:p>
    <w:p>
      <w:pPr>
        <w:ind w:left="0" w:firstLine="480"/>
        <w:spacing w:line="360" w:lineRule="auto"/>
        <w:widowControl w:val="off"/>
        <w:rPr>
          <w:rFonts w:hint="default" w:ascii="宋体" w:hAnsi="宋体" w:eastAsia="宋体" w:cs="宋体"/>
          <w:b w:val="0"/>
          <w:bCs w:val="0"/>
          <w:sz w:val="24"/>
          <w:szCs w:val="24"/>
        </w:rPr>
      </w:pPr>
      <w:r>
        <w:rPr>
          <w:rFonts w:hint="eastAsia" w:ascii="宋体" w:hAnsi="宋体" w:eastAsia="宋体" w:cs="宋体"/>
          <w:b w:val="0"/>
          <w:bCs w:val="0"/>
          <w:sz w:val="24"/>
          <w:szCs w:val="24"/>
        </w:rPr>
        <w:t xml:space="preserve">2</w:t>
      </w:r>
      <w:r>
        <w:rPr>
          <w:rFonts w:hint="default" w:ascii="宋体" w:hAnsi="宋体" w:eastAsia="宋体" w:cs="宋体"/>
          <w:b w:val="0"/>
          <w:bCs w:val="0"/>
          <w:sz w:val="24"/>
          <w:szCs w:val="24"/>
        </w:rPr>
        <w:t xml:space="preserve">.1 </w:t>
      </w:r>
      <w:r>
        <w:rPr>
          <w:rFonts w:hint="eastAsia" w:ascii="宋体" w:hAnsi="宋体" w:eastAsia="宋体" w:cs="宋体"/>
          <w:b w:val="0"/>
          <w:bCs w:val="0"/>
          <w:sz w:val="24"/>
          <w:szCs w:val="24"/>
        </w:rPr>
        <w:t xml:space="preserve">在合同生效后，乙方无故要求解除合同的，应向甲方偿付合同总价款5%的违约金，违约金不足以补偿损失的，甲方有权要求乙方补足。</w:t>
      </w:r>
      <w:r/>
    </w:p>
    <w:p>
      <w:pPr>
        <w:ind w:left="0" w:firstLine="480"/>
        <w:spacing w:line="360" w:lineRule="auto"/>
        <w:widowControl w:val="off"/>
        <w:rPr>
          <w:rFonts w:hint="default" w:ascii="宋体" w:hAnsi="宋体" w:eastAsia="宋体" w:cs="宋体"/>
          <w:b w:val="0"/>
          <w:bCs w:val="0"/>
          <w:sz w:val="24"/>
          <w:szCs w:val="24"/>
        </w:rPr>
      </w:pPr>
      <w:r>
        <w:rPr>
          <w:rFonts w:hint="eastAsia" w:ascii="宋体" w:hAnsi="宋体" w:eastAsia="宋体" w:cs="宋体"/>
          <w:b w:val="0"/>
          <w:bCs w:val="0"/>
          <w:sz w:val="24"/>
          <w:szCs w:val="24"/>
        </w:rPr>
        <w:t xml:space="preserve">2.</w:t>
      </w:r>
      <w:r>
        <w:rPr>
          <w:rFonts w:hint="default" w:ascii="宋体" w:hAnsi="宋体" w:eastAsia="宋体" w:cs="宋体"/>
          <w:b w:val="0"/>
          <w:bCs w:val="0"/>
          <w:sz w:val="24"/>
          <w:szCs w:val="24"/>
        </w:rPr>
        <w:t xml:space="preserve">2</w:t>
      </w:r>
      <w:r>
        <w:rPr>
          <w:rFonts w:hint="eastAsia" w:ascii="宋体" w:hAnsi="宋体" w:eastAsia="宋体" w:cs="宋体"/>
          <w:b w:val="0"/>
          <w:bCs w:val="0"/>
          <w:sz w:val="24"/>
          <w:szCs w:val="24"/>
        </w:rPr>
        <w:t xml:space="preserve">乙方未按合同规定的质量要求提供服务，不能完成合同时，甲方有权解除合同，乙方向甲方偿付合同总价款5%的违约金，违约金不足以补偿损失的甲方有权要求乙方补足。</w:t>
      </w:r>
      <w:r/>
    </w:p>
    <w:p>
      <w:pPr>
        <w:ind w:left="0" w:firstLine="480"/>
        <w:spacing w:line="360" w:lineRule="auto"/>
        <w:widowControl w:val="off"/>
        <w:rPr>
          <w:rFonts w:hint="default" w:ascii="宋体" w:hAnsi="宋体" w:eastAsia="宋体" w:cs="宋体"/>
          <w:b w:val="0"/>
          <w:bCs w:val="0"/>
          <w:sz w:val="24"/>
          <w:szCs w:val="24"/>
        </w:rPr>
      </w:pPr>
      <w:r>
        <w:rPr>
          <w:rFonts w:hint="eastAsia" w:ascii="宋体" w:hAnsi="宋体" w:eastAsia="宋体" w:cs="宋体"/>
          <w:b w:val="0"/>
          <w:bCs w:val="0"/>
          <w:sz w:val="24"/>
          <w:szCs w:val="24"/>
        </w:rPr>
        <w:t xml:space="preserve">2.</w:t>
      </w:r>
      <w:r>
        <w:rPr>
          <w:rFonts w:hint="default" w:ascii="宋体" w:hAnsi="宋体" w:eastAsia="宋体" w:cs="宋体"/>
          <w:b w:val="0"/>
          <w:bCs w:val="0"/>
          <w:sz w:val="24"/>
          <w:szCs w:val="24"/>
        </w:rPr>
        <w:t xml:space="preserve">3</w:t>
      </w:r>
      <w:r>
        <w:rPr>
          <w:rFonts w:hint="eastAsia" w:ascii="宋体" w:hAnsi="宋体" w:eastAsia="宋体" w:cs="宋体"/>
          <w:b w:val="0"/>
          <w:bCs w:val="0"/>
          <w:sz w:val="24"/>
          <w:szCs w:val="24"/>
        </w:rPr>
        <w:t xml:space="preserve">乙方必须自己完成合同内容，不得自行分包，否则，甲方有权按乙方不能完成合同处理。</w:t>
      </w:r>
      <w:r/>
    </w:p>
    <w:p>
      <w:pPr>
        <w:ind w:left="0" w:firstLine="480"/>
        <w:spacing w:line="360" w:lineRule="auto"/>
        <w:widowControl w:val="off"/>
        <w:rPr>
          <w:rFonts w:hint="default" w:ascii="宋体" w:hAnsi="宋体" w:eastAsia="宋体" w:cs="宋体"/>
          <w:b w:val="0"/>
          <w:bCs w:val="0"/>
          <w:sz w:val="24"/>
          <w:szCs w:val="24"/>
        </w:rPr>
      </w:pPr>
      <w:r>
        <w:rPr>
          <w:rFonts w:hint="eastAsia" w:ascii="宋体" w:hAnsi="宋体" w:eastAsia="宋体" w:cs="宋体"/>
          <w:b w:val="0"/>
          <w:bCs w:val="0"/>
          <w:sz w:val="24"/>
          <w:szCs w:val="24"/>
        </w:rPr>
        <w:t xml:space="preserve">2.</w:t>
      </w:r>
      <w:r>
        <w:rPr>
          <w:rFonts w:hint="default" w:ascii="宋体" w:hAnsi="宋体" w:eastAsia="宋体" w:cs="宋体"/>
          <w:b w:val="0"/>
          <w:bCs w:val="0"/>
          <w:sz w:val="24"/>
          <w:szCs w:val="24"/>
        </w:rPr>
        <w:t xml:space="preserve">4</w:t>
      </w:r>
      <w:r>
        <w:rPr>
          <w:rFonts w:hint="eastAsia" w:ascii="宋体" w:hAnsi="宋体" w:eastAsia="宋体" w:cs="宋体"/>
          <w:b w:val="0"/>
          <w:bCs w:val="0"/>
          <w:sz w:val="24"/>
          <w:szCs w:val="24"/>
        </w:rPr>
        <w:t xml:space="preserve">乙方应执行国家有关规定（如苏州最低工资标准和其他规定），负责乙方员工的生病、事故、伤残、死亡和劳务纠纷，甲方不承担任何相关责任。</w:t>
      </w:r>
      <w:r/>
    </w:p>
    <w:p>
      <w:pPr>
        <w:ind w:left="0" w:firstLine="480"/>
        <w:spacing w:line="360" w:lineRule="auto"/>
        <w:widowControl w:val="off"/>
        <w:rPr>
          <w:rFonts w:hint="default" w:ascii="宋体" w:hAnsi="宋体" w:eastAsia="宋体" w:cs="宋体"/>
          <w:b w:val="0"/>
          <w:bCs w:val="0"/>
          <w:sz w:val="24"/>
          <w:szCs w:val="24"/>
        </w:rPr>
      </w:pPr>
      <w:r>
        <w:rPr>
          <w:rFonts w:hint="eastAsia" w:ascii="宋体" w:hAnsi="宋体" w:eastAsia="宋体" w:cs="宋体"/>
          <w:b w:val="0"/>
          <w:bCs w:val="0"/>
          <w:sz w:val="24"/>
          <w:szCs w:val="24"/>
        </w:rPr>
        <w:t xml:space="preserve">2.</w:t>
      </w:r>
      <w:r>
        <w:rPr>
          <w:rFonts w:hint="default" w:ascii="宋体" w:hAnsi="宋体" w:eastAsia="宋体" w:cs="宋体"/>
          <w:b w:val="0"/>
          <w:bCs w:val="0"/>
          <w:sz w:val="24"/>
          <w:szCs w:val="24"/>
        </w:rPr>
        <w:t xml:space="preserve">5</w:t>
      </w:r>
      <w:r>
        <w:rPr>
          <w:rFonts w:hint="eastAsia" w:ascii="宋体" w:hAnsi="宋体" w:eastAsia="宋体" w:cs="宋体"/>
          <w:b w:val="0"/>
          <w:bCs w:val="0"/>
          <w:sz w:val="24"/>
          <w:szCs w:val="24"/>
        </w:rPr>
        <w:t xml:space="preserve">乙方负有对自己员工的安全责任，甲方不承担任何相关责任。</w:t>
      </w:r>
      <w:r/>
    </w:p>
    <w:p>
      <w:pPr>
        <w:ind w:left="0" w:firstLine="480"/>
        <w:spacing w:line="360" w:lineRule="auto"/>
        <w:widowControl/>
        <w:rPr>
          <w:rFonts w:hint="default" w:ascii="宋体" w:hAnsi="宋体" w:eastAsia="宋体" w:cs="宋体"/>
          <w:b w:val="0"/>
          <w:bCs w:val="0"/>
          <w:sz w:val="24"/>
          <w:szCs w:val="24"/>
        </w:rPr>
      </w:pPr>
      <w:r>
        <w:rPr>
          <w:rFonts w:hint="eastAsia" w:ascii="宋体" w:hAnsi="宋体" w:eastAsia="宋体" w:cs="宋体"/>
          <w:b w:val="0"/>
          <w:bCs w:val="0"/>
          <w:sz w:val="24"/>
          <w:szCs w:val="24"/>
        </w:rPr>
        <w:t xml:space="preserve">七、不可抗力</w:t>
      </w:r>
      <w:r/>
    </w:p>
    <w:p>
      <w:pPr>
        <w:ind w:left="0" w:firstLine="480"/>
        <w:spacing w:line="360" w:lineRule="auto"/>
        <w:widowControl w:val="off"/>
        <w:rPr>
          <w:rFonts w:hint="default" w:ascii="宋体" w:hAnsi="宋体" w:eastAsia="宋体" w:cs="宋体"/>
          <w:b w:val="0"/>
          <w:bCs w:val="0"/>
          <w:sz w:val="24"/>
          <w:szCs w:val="24"/>
        </w:rPr>
      </w:pPr>
      <w:r>
        <w:rPr>
          <w:rFonts w:hint="eastAsia" w:ascii="宋体" w:hAnsi="宋体" w:eastAsia="宋体" w:cs="宋体"/>
          <w:b w:val="0"/>
          <w:bCs w:val="0"/>
          <w:sz w:val="24"/>
          <w:szCs w:val="24"/>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80"/>
        <w:spacing w:line="360" w:lineRule="auto"/>
        <w:widowControl w:val="off"/>
        <w:rPr>
          <w:rFonts w:hint="default" w:ascii="宋体" w:hAnsi="宋体" w:eastAsia="宋体" w:cs="宋体"/>
          <w:b w:val="0"/>
          <w:bCs w:val="0"/>
          <w:sz w:val="24"/>
          <w:szCs w:val="24"/>
        </w:rPr>
      </w:pPr>
      <w:r>
        <w:rPr>
          <w:rFonts w:hint="eastAsia" w:ascii="宋体" w:hAnsi="宋体" w:eastAsia="宋体" w:cs="宋体"/>
          <w:b w:val="0"/>
          <w:bCs w:val="0"/>
          <w:sz w:val="24"/>
          <w:szCs w:val="24"/>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80"/>
        <w:spacing w:line="360" w:lineRule="auto"/>
        <w:widowControl w:val="off"/>
        <w:rPr>
          <w:rFonts w:hint="default" w:ascii="宋体" w:hAnsi="宋体" w:eastAsia="宋体" w:cs="宋体"/>
          <w:b w:val="0"/>
          <w:bCs w:val="0"/>
          <w:sz w:val="24"/>
          <w:szCs w:val="24"/>
        </w:rPr>
      </w:pPr>
      <w:r>
        <w:rPr>
          <w:rFonts w:hint="eastAsia" w:ascii="宋体" w:hAnsi="宋体" w:eastAsia="宋体" w:cs="宋体"/>
          <w:b w:val="0"/>
          <w:bCs w:val="0"/>
          <w:sz w:val="24"/>
          <w:szCs w:val="24"/>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480"/>
        <w:spacing w:line="360" w:lineRule="auto"/>
        <w:widowControl w:val="off"/>
        <w:rPr>
          <w:rFonts w:hint="default" w:ascii="宋体" w:hAnsi="宋体" w:eastAsia="宋体" w:cs="宋体"/>
          <w:b w:val="0"/>
          <w:bCs w:val="0"/>
          <w:sz w:val="24"/>
          <w:szCs w:val="24"/>
        </w:rPr>
      </w:pPr>
      <w:r>
        <w:rPr>
          <w:rFonts w:hint="eastAsia" w:ascii="宋体" w:hAnsi="宋体" w:eastAsia="宋体" w:cs="宋体"/>
          <w:b w:val="0"/>
          <w:bCs w:val="0"/>
          <w:sz w:val="24"/>
          <w:szCs w:val="24"/>
        </w:rPr>
        <w:t xml:space="preserve">八、争端的解决 </w:t>
      </w:r>
      <w:r/>
    </w:p>
    <w:p>
      <w:pPr>
        <w:ind w:left="0" w:firstLine="480"/>
        <w:spacing w:line="360" w:lineRule="auto"/>
        <w:widowControl w:val="off"/>
        <w:rPr>
          <w:rFonts w:hint="default" w:ascii="宋体" w:hAnsi="宋体" w:eastAsia="宋体" w:cs="宋体"/>
          <w:b w:val="0"/>
          <w:bCs w:val="0"/>
          <w:sz w:val="24"/>
          <w:szCs w:val="24"/>
        </w:rPr>
      </w:pPr>
      <w:r>
        <w:rPr>
          <w:rFonts w:hint="eastAsia" w:ascii="宋体" w:hAnsi="宋体" w:eastAsia="宋体" w:cs="宋体"/>
          <w:b w:val="0"/>
          <w:bCs w:val="0"/>
          <w:sz w:val="24"/>
          <w:szCs w:val="24"/>
        </w:rPr>
        <w:t xml:space="preserve">1.甲方和乙方应通过友好协商，解决在执行本合同过程中所发生的或与本合同有关的一切争端。如从协商开始十天内仍不能解决，可向有关合同管理部门提请调解。 </w:t>
      </w:r>
      <w:r/>
    </w:p>
    <w:p>
      <w:pPr>
        <w:ind w:left="0" w:firstLine="480"/>
        <w:spacing w:line="360" w:lineRule="auto"/>
        <w:widowControl w:val="off"/>
        <w:rPr>
          <w:rFonts w:hint="default" w:ascii="宋体" w:hAnsi="宋体" w:eastAsia="宋体" w:cs="宋体"/>
          <w:b w:val="0"/>
          <w:bCs w:val="0"/>
          <w:sz w:val="24"/>
          <w:szCs w:val="24"/>
        </w:rPr>
      </w:pPr>
      <w:r>
        <w:rPr>
          <w:rFonts w:hint="eastAsia" w:ascii="宋体" w:hAnsi="宋体" w:eastAsia="宋体" w:cs="宋体"/>
          <w:b w:val="0"/>
          <w:bCs w:val="0"/>
          <w:sz w:val="24"/>
          <w:szCs w:val="24"/>
        </w:rPr>
        <w:t xml:space="preserve">2.如果调解不成，双方中的任何一方可向人民法院提起诉讼。诉讼由合同签订地人民法院管辖。 </w:t>
      </w:r>
      <w:r/>
    </w:p>
    <w:p>
      <w:pPr>
        <w:ind w:left="0" w:firstLine="480"/>
        <w:spacing w:line="360" w:lineRule="auto"/>
        <w:widowControl w:val="off"/>
        <w:rPr>
          <w:rFonts w:hint="default" w:ascii="宋体" w:hAnsi="宋体" w:eastAsia="宋体" w:cs="宋体"/>
          <w:b w:val="0"/>
          <w:bCs w:val="0"/>
          <w:sz w:val="24"/>
          <w:szCs w:val="24"/>
        </w:rPr>
      </w:pPr>
      <w:r>
        <w:rPr>
          <w:rFonts w:hint="eastAsia" w:ascii="宋体" w:hAnsi="宋体" w:eastAsia="宋体" w:cs="宋体"/>
          <w:b w:val="0"/>
          <w:bCs w:val="0"/>
          <w:sz w:val="24"/>
          <w:szCs w:val="24"/>
        </w:rPr>
        <w:t xml:space="preserve">3.诉讼费由败诉方负担。</w:t>
      </w:r>
      <w:r/>
    </w:p>
    <w:p>
      <w:pPr>
        <w:ind w:left="0" w:firstLine="480"/>
        <w:spacing w:line="360" w:lineRule="auto"/>
        <w:widowControl w:val="off"/>
        <w:rPr>
          <w:rFonts w:hint="default" w:ascii="宋体" w:hAnsi="宋体" w:eastAsia="宋体" w:cs="宋体"/>
          <w:b w:val="0"/>
          <w:bCs w:val="0"/>
          <w:sz w:val="24"/>
          <w:szCs w:val="24"/>
        </w:rPr>
      </w:pPr>
      <w:r>
        <w:rPr>
          <w:rFonts w:hint="eastAsia" w:ascii="宋体" w:hAnsi="宋体" w:eastAsia="宋体" w:cs="宋体"/>
          <w:b w:val="0"/>
          <w:bCs w:val="0"/>
          <w:sz w:val="24"/>
          <w:szCs w:val="24"/>
        </w:rPr>
        <w:t xml:space="preserve">4.因合同部分履行引发诉讼的，在诉讼期间，除正在进行诉讼的部分外，本合同的其它部分应继续执行。</w:t>
      </w:r>
      <w:r/>
    </w:p>
    <w:p>
      <w:pPr>
        <w:ind w:left="0" w:firstLine="480"/>
        <w:spacing w:line="360" w:lineRule="auto"/>
        <w:widowControl w:val="off"/>
        <w:rPr>
          <w:rFonts w:hint="default" w:ascii="宋体" w:hAnsi="宋体" w:eastAsia="宋体" w:cs="宋体"/>
          <w:b w:val="0"/>
          <w:bCs w:val="0"/>
          <w:sz w:val="24"/>
          <w:szCs w:val="24"/>
        </w:rPr>
      </w:pPr>
      <w:r>
        <w:rPr>
          <w:rFonts w:hint="eastAsia" w:ascii="宋体" w:hAnsi="宋体" w:eastAsia="宋体" w:cs="宋体"/>
          <w:b w:val="0"/>
          <w:bCs w:val="0"/>
          <w:sz w:val="24"/>
          <w:szCs w:val="24"/>
        </w:rPr>
        <w:t xml:space="preserve">九、违约终止合同</w:t>
      </w:r>
      <w:r/>
    </w:p>
    <w:p>
      <w:pPr>
        <w:ind w:left="0" w:firstLine="480"/>
        <w:spacing w:line="360" w:lineRule="auto"/>
        <w:widowControl w:val="off"/>
        <w:rPr>
          <w:rFonts w:hint="default" w:ascii="宋体" w:hAnsi="宋体" w:eastAsia="宋体" w:cs="宋体"/>
          <w:b w:val="0"/>
          <w:bCs w:val="0"/>
          <w:sz w:val="24"/>
          <w:szCs w:val="24"/>
        </w:rPr>
      </w:pPr>
      <w:r>
        <w:rPr>
          <w:rFonts w:hint="eastAsia" w:ascii="宋体" w:hAnsi="宋体" w:eastAsia="宋体" w:cs="宋体"/>
          <w:b w:val="0"/>
          <w:bCs w:val="0"/>
          <w:sz w:val="24"/>
          <w:szCs w:val="24"/>
        </w:rPr>
        <w:t xml:space="preserve">1.在甲方因乙方违约而按合同约定采取的任何补救措施不受影响的情况下，甲方可在下列情况下向乙方发出书面通知，提出终止部分或全部合同。</w:t>
      </w:r>
      <w:r/>
    </w:p>
    <w:p>
      <w:pPr>
        <w:ind w:left="0" w:firstLine="480"/>
        <w:spacing w:line="360" w:lineRule="auto"/>
        <w:widowControl w:val="off"/>
        <w:rPr>
          <w:rFonts w:hint="default" w:ascii="宋体" w:hAnsi="宋体" w:eastAsia="宋体" w:cs="宋体"/>
          <w:b w:val="0"/>
          <w:bCs w:val="0"/>
          <w:sz w:val="24"/>
          <w:szCs w:val="24"/>
        </w:rPr>
      </w:pPr>
      <w:r>
        <w:rPr>
          <w:rFonts w:hint="eastAsia" w:ascii="宋体" w:hAnsi="宋体" w:eastAsia="宋体" w:cs="宋体"/>
          <w:b w:val="0"/>
          <w:bCs w:val="0"/>
          <w:sz w:val="24"/>
          <w:szCs w:val="24"/>
        </w:rPr>
        <w:t xml:space="preserve">1.1 如果乙方未能在合同规定的限期或甲方同意延长的限期内提供部分或全部服务。</w:t>
      </w:r>
      <w:r/>
    </w:p>
    <w:p>
      <w:pPr>
        <w:ind w:left="0" w:firstLine="480"/>
        <w:spacing w:line="360" w:lineRule="auto"/>
        <w:widowControl w:val="off"/>
        <w:rPr>
          <w:rFonts w:hint="default" w:ascii="宋体" w:hAnsi="宋体" w:eastAsia="宋体" w:cs="宋体"/>
          <w:b w:val="0"/>
          <w:bCs w:val="0"/>
          <w:sz w:val="24"/>
          <w:szCs w:val="24"/>
        </w:rPr>
      </w:pPr>
      <w:r>
        <w:rPr>
          <w:rFonts w:hint="eastAsia" w:ascii="宋体" w:hAnsi="宋体" w:eastAsia="宋体" w:cs="宋体"/>
          <w:b w:val="0"/>
          <w:bCs w:val="0"/>
          <w:sz w:val="24"/>
          <w:szCs w:val="24"/>
        </w:rPr>
        <w:t xml:space="preserve">1.2 如果乙方未能履行合同规定的其它任何义务。</w:t>
      </w:r>
      <w:r/>
    </w:p>
    <w:p>
      <w:pPr>
        <w:ind w:left="0" w:firstLine="480"/>
        <w:spacing w:line="360" w:lineRule="auto"/>
        <w:widowControl w:val="off"/>
        <w:rPr>
          <w:rFonts w:hint="default" w:ascii="宋体" w:hAnsi="宋体" w:eastAsia="宋体" w:cs="宋体"/>
          <w:b w:val="0"/>
          <w:bCs w:val="0"/>
          <w:sz w:val="24"/>
          <w:szCs w:val="24"/>
        </w:rPr>
      </w:pPr>
      <w:r>
        <w:rPr>
          <w:rFonts w:hint="eastAsia" w:ascii="宋体" w:hAnsi="宋体" w:eastAsia="宋体" w:cs="宋体"/>
          <w:b w:val="0"/>
          <w:bCs w:val="0"/>
          <w:sz w:val="24"/>
          <w:szCs w:val="24"/>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80"/>
        <w:spacing w:line="360" w:lineRule="auto"/>
        <w:widowControl w:val="off"/>
        <w:rPr>
          <w:rFonts w:hint="default" w:ascii="宋体" w:hAnsi="宋体" w:eastAsia="宋体" w:cs="宋体"/>
          <w:b w:val="0"/>
          <w:bCs w:val="0"/>
          <w:sz w:val="24"/>
          <w:szCs w:val="24"/>
        </w:rPr>
      </w:pPr>
      <w:r>
        <w:rPr>
          <w:rFonts w:hint="eastAsia" w:ascii="宋体" w:hAnsi="宋体" w:eastAsia="宋体" w:cs="宋体"/>
          <w:b w:val="0"/>
          <w:bCs w:val="0"/>
          <w:sz w:val="24"/>
          <w:szCs w:val="24"/>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left="0" w:firstLine="480"/>
        <w:spacing w:line="360" w:lineRule="auto"/>
        <w:widowControl w:val="off"/>
        <w:rPr>
          <w:rFonts w:hint="default" w:ascii="宋体" w:hAnsi="宋体" w:eastAsia="宋体" w:cs="宋体"/>
          <w:b w:val="0"/>
          <w:bCs w:val="0"/>
          <w:sz w:val="24"/>
          <w:szCs w:val="24"/>
        </w:rPr>
      </w:pPr>
      <w:r>
        <w:rPr>
          <w:rFonts w:hint="eastAsia" w:ascii="宋体" w:hAnsi="宋体" w:eastAsia="宋体" w:cs="宋体"/>
          <w:b w:val="0"/>
          <w:bCs w:val="0"/>
          <w:sz w:val="24"/>
          <w:szCs w:val="24"/>
        </w:rPr>
        <w:t xml:space="preserve">3.如果甲方违约，应承担相应的违约责任。 </w:t>
      </w:r>
      <w:r/>
    </w:p>
    <w:p>
      <w:pPr>
        <w:ind w:left="0" w:firstLine="480"/>
        <w:spacing w:line="360" w:lineRule="auto"/>
        <w:widowControl w:val="off"/>
        <w:rPr>
          <w:rFonts w:hint="default" w:ascii="宋体" w:hAnsi="宋体" w:eastAsia="宋体" w:cs="宋体"/>
          <w:b w:val="0"/>
          <w:bCs w:val="0"/>
          <w:sz w:val="24"/>
          <w:szCs w:val="24"/>
        </w:rPr>
      </w:pPr>
      <w:r>
        <w:rPr>
          <w:rFonts w:hint="eastAsia" w:ascii="宋体" w:hAnsi="宋体" w:eastAsia="宋体" w:cs="宋体"/>
          <w:b w:val="0"/>
          <w:bCs w:val="0"/>
          <w:sz w:val="24"/>
          <w:szCs w:val="24"/>
        </w:rPr>
        <w:t xml:space="preserve">十、破产终止合同：如果乙方破产或丧失清偿能力，甲方可在任何时候以书面形式通知乙方终止合同而不给乙方补偿。该终止合同将不损害或影响甲方已经采取或将要采取任何补救措施的权力。 </w:t>
      </w:r>
      <w:r/>
    </w:p>
    <w:p>
      <w:pPr>
        <w:ind w:left="0" w:firstLine="480"/>
        <w:spacing w:line="360" w:lineRule="auto"/>
        <w:widowControl w:val="off"/>
        <w:rPr>
          <w:rFonts w:hint="default" w:ascii="宋体" w:hAnsi="宋体" w:eastAsia="宋体" w:cs="宋体"/>
          <w:b w:val="0"/>
          <w:bCs w:val="0"/>
          <w:sz w:val="24"/>
          <w:szCs w:val="24"/>
        </w:rPr>
      </w:pPr>
      <w:r>
        <w:rPr>
          <w:rFonts w:hint="eastAsia" w:ascii="宋体" w:hAnsi="宋体" w:eastAsia="宋体" w:cs="宋体"/>
          <w:b w:val="0"/>
          <w:bCs w:val="0"/>
          <w:sz w:val="24"/>
          <w:szCs w:val="24"/>
        </w:rPr>
        <w:t xml:space="preserve">十一、政府采购法对政府采购合同变更终止的规定：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w:t>
      </w:r>
      <w:r/>
    </w:p>
    <w:p>
      <w:pPr>
        <w:ind w:left="0" w:firstLine="480"/>
        <w:spacing w:line="360" w:lineRule="auto"/>
        <w:widowControl w:val="off"/>
        <w:rPr>
          <w:rFonts w:hint="default" w:ascii="宋体" w:hAnsi="宋体" w:eastAsia="宋体" w:cs="宋体"/>
          <w:b w:val="0"/>
          <w:bCs w:val="0"/>
          <w:sz w:val="24"/>
          <w:szCs w:val="24"/>
        </w:rPr>
      </w:pPr>
      <w:r>
        <w:rPr>
          <w:rFonts w:hint="eastAsia" w:ascii="宋体" w:hAnsi="宋体" w:eastAsia="宋体" w:cs="宋体"/>
          <w:b w:val="0"/>
          <w:bCs w:val="0"/>
          <w:sz w:val="24"/>
          <w:szCs w:val="24"/>
        </w:rPr>
        <w:t xml:space="preserve">十二、合同转让和分包：本项目不得转</w:t>
      </w:r>
      <w:r>
        <w:rPr>
          <w:rFonts w:hint="eastAsia" w:ascii="宋体" w:hAnsi="宋体" w:eastAsia="宋体" w:cs="宋体"/>
          <w:b w:val="0"/>
          <w:bCs w:val="0"/>
          <w:sz w:val="24"/>
          <w:szCs w:val="24"/>
          <w:lang w:val="en-US" w:eastAsia="zh-CN"/>
        </w:rPr>
        <w:t xml:space="preserve">包，</w:t>
      </w:r>
      <w:r>
        <w:rPr>
          <w:rFonts w:hint="eastAsia" w:ascii="宋体" w:hAnsi="宋体" w:eastAsia="宋体" w:cs="宋体"/>
          <w:b w:val="0"/>
          <w:bCs w:val="0"/>
          <w:sz w:val="24"/>
          <w:szCs w:val="24"/>
        </w:rPr>
        <w:t xml:space="preserve">未经甲方同意不可擅自分包本项目。</w:t>
      </w:r>
      <w:r/>
    </w:p>
    <w:p>
      <w:pPr>
        <w:ind w:left="0" w:firstLine="480"/>
        <w:spacing w:line="360" w:lineRule="auto"/>
        <w:widowControl w:val="off"/>
        <w:rPr>
          <w:rFonts w:hint="default" w:ascii="宋体" w:hAnsi="宋体" w:eastAsia="宋体" w:cs="宋体"/>
          <w:b w:val="0"/>
          <w:bCs w:val="0"/>
          <w:sz w:val="24"/>
          <w:szCs w:val="24"/>
        </w:rPr>
      </w:pPr>
      <w:r>
        <w:rPr>
          <w:rFonts w:hint="eastAsia" w:ascii="宋体" w:hAnsi="宋体" w:eastAsia="宋体" w:cs="宋体"/>
          <w:b w:val="0"/>
          <w:bCs w:val="0"/>
          <w:sz w:val="24"/>
          <w:szCs w:val="24"/>
        </w:rPr>
        <w:t xml:space="preserve">十三、需要补充的合同条款：（根据评审过程中或者商务谈判时商定的条款和条件在订立合同时标明）。</w:t>
      </w:r>
      <w:r/>
    </w:p>
    <w:p>
      <w:pPr>
        <w:ind w:left="0" w:firstLine="480"/>
        <w:spacing w:line="360" w:lineRule="auto"/>
        <w:widowControl w:val="off"/>
        <w:rPr>
          <w:rFonts w:hint="default" w:ascii="宋体" w:hAnsi="宋体" w:eastAsia="宋体" w:cs="宋体"/>
          <w:b w:val="0"/>
          <w:bCs w:val="0"/>
          <w:sz w:val="24"/>
          <w:szCs w:val="24"/>
        </w:rPr>
      </w:pPr>
      <w:r>
        <w:rPr>
          <w:rFonts w:hint="eastAsia" w:ascii="宋体" w:hAnsi="宋体" w:eastAsia="宋体" w:cs="宋体"/>
          <w:b w:val="0"/>
          <w:bCs w:val="0"/>
          <w:sz w:val="24"/>
          <w:szCs w:val="24"/>
        </w:rPr>
        <w:t xml:space="preserve">十四、合同生效</w:t>
      </w:r>
      <w:r/>
    </w:p>
    <w:p>
      <w:pPr>
        <w:ind w:left="0" w:firstLine="480"/>
        <w:spacing w:line="360" w:lineRule="auto"/>
        <w:widowControl w:val="off"/>
        <w:rPr>
          <w:rFonts w:hint="default" w:ascii="宋体" w:hAnsi="宋体" w:eastAsia="宋体" w:cs="宋体"/>
          <w:b w:val="0"/>
          <w:bCs w:val="0"/>
          <w:sz w:val="24"/>
          <w:szCs w:val="24"/>
        </w:rPr>
      </w:pPr>
      <w:r>
        <w:rPr>
          <w:rFonts w:hint="eastAsia" w:ascii="宋体" w:hAnsi="宋体" w:eastAsia="宋体" w:cs="宋体"/>
          <w:b w:val="0"/>
          <w:bCs w:val="0"/>
          <w:sz w:val="24"/>
          <w:szCs w:val="24"/>
        </w:rPr>
        <w:t xml:space="preserve">1.双方签约人为各自法定代表人或被授权代表。</w:t>
      </w:r>
      <w:r/>
    </w:p>
    <w:p>
      <w:pPr>
        <w:ind w:left="0" w:firstLine="480"/>
        <w:spacing w:line="360" w:lineRule="auto"/>
        <w:widowControl w:val="off"/>
        <w:rPr>
          <w:rFonts w:hint="default" w:ascii="宋体" w:hAnsi="宋体" w:eastAsia="宋体" w:cs="宋体"/>
          <w:b w:val="0"/>
          <w:bCs w:val="0"/>
          <w:sz w:val="24"/>
          <w:szCs w:val="24"/>
        </w:rPr>
      </w:pPr>
      <w:r>
        <w:rPr>
          <w:rFonts w:hint="eastAsia" w:ascii="宋体" w:hAnsi="宋体" w:eastAsia="宋体" w:cs="宋体"/>
          <w:b w:val="0"/>
          <w:bCs w:val="0"/>
          <w:sz w:val="24"/>
          <w:szCs w:val="24"/>
        </w:rPr>
        <w:t xml:space="preserve">2.本合同系指本文件及其附件中的所有部分，招标文件、成交单位的投标文件、中标通知书、中标人在采购过程中的澄清和承诺等为本合同不可缺少的组成部分。</w:t>
      </w:r>
      <w:r/>
    </w:p>
    <w:p>
      <w:pPr>
        <w:ind w:left="0" w:firstLine="480"/>
        <w:spacing w:line="360" w:lineRule="auto"/>
        <w:widowControl w:val="off"/>
        <w:rPr>
          <w:rFonts w:hint="default" w:ascii="宋体" w:hAnsi="宋体" w:eastAsia="宋体" w:cs="宋体"/>
          <w:b w:val="0"/>
          <w:bCs w:val="0"/>
          <w:sz w:val="24"/>
          <w:szCs w:val="24"/>
        </w:rPr>
      </w:pPr>
      <w:r>
        <w:rPr>
          <w:rFonts w:hint="eastAsia" w:ascii="宋体" w:hAnsi="宋体" w:eastAsia="宋体" w:cs="宋体"/>
          <w:b w:val="0"/>
          <w:bCs w:val="0"/>
          <w:sz w:val="24"/>
          <w:szCs w:val="24"/>
        </w:rPr>
        <w:t xml:space="preserve">3.本合同自甲乙双方签字盖章之日起生效。</w:t>
      </w:r>
      <w:r/>
    </w:p>
    <w:p>
      <w:pPr>
        <w:ind w:left="0" w:firstLine="480"/>
        <w:spacing w:line="360" w:lineRule="auto"/>
        <w:widowControl w:val="off"/>
        <w:rPr>
          <w:rFonts w:hint="default" w:ascii="宋体" w:hAnsi="宋体" w:eastAsia="宋体" w:cs="宋体"/>
          <w:b w:val="0"/>
          <w:bCs w:val="0"/>
          <w:sz w:val="24"/>
          <w:szCs w:val="24"/>
        </w:rPr>
      </w:pPr>
      <w:r>
        <w:rPr>
          <w:rFonts w:hint="eastAsia" w:ascii="宋体" w:hAnsi="宋体" w:eastAsia="宋体" w:cs="宋体"/>
          <w:b w:val="0"/>
          <w:bCs w:val="0"/>
          <w:sz w:val="24"/>
          <w:szCs w:val="24"/>
        </w:rPr>
        <w:t xml:space="preserve">4.本合同壹式肆份，甲乙双方各执贰份，各份具有同等法律效力。</w:t>
      </w:r>
      <w:r/>
    </w:p>
    <w:p>
      <w:pPr>
        <w:ind w:left="0" w:firstLine="480"/>
        <w:spacing w:line="360" w:lineRule="auto"/>
        <w:widowControl w:val="off"/>
        <w:rPr>
          <w:rFonts w:hint="default" w:ascii="宋体" w:hAnsi="宋体" w:eastAsia="宋体" w:cs="宋体"/>
          <w:b w:val="0"/>
          <w:bCs w:val="0"/>
          <w:sz w:val="24"/>
          <w:szCs w:val="24"/>
        </w:rPr>
      </w:pPr>
      <w:r>
        <w:rPr>
          <w:rFonts w:hint="eastAsia" w:ascii="宋体" w:hAnsi="宋体" w:eastAsia="宋体" w:cs="宋体"/>
          <w:b w:val="0"/>
          <w:bCs w:val="0"/>
          <w:sz w:val="24"/>
          <w:szCs w:val="24"/>
        </w:rPr>
        <w:t xml:space="preserve">5.本合同应按照中华人民共和国的现行法律进行解释。</w:t>
      </w:r>
      <w:r/>
    </w:p>
    <w:p>
      <w:pPr>
        <w:ind w:left="0" w:firstLine="480"/>
        <w:spacing w:line="360" w:lineRule="auto"/>
        <w:widowControl w:val="off"/>
        <w:rPr>
          <w:rFonts w:hint="default" w:ascii="宋体" w:hAnsi="宋体" w:eastAsia="宋体" w:cs="宋体"/>
          <w:b w:val="0"/>
          <w:bCs w:val="0"/>
          <w:sz w:val="24"/>
          <w:szCs w:val="24"/>
        </w:rPr>
      </w:pPr>
      <w:r>
        <w:rPr>
          <w:rFonts w:hint="eastAsia" w:ascii="宋体" w:hAnsi="宋体" w:eastAsia="宋体" w:cs="宋体"/>
          <w:b w:val="0"/>
          <w:bCs w:val="0"/>
          <w:sz w:val="24"/>
          <w:szCs w:val="24"/>
        </w:rPr>
        <w:t xml:space="preserve">6.合同修改：除甲乙双方签署书面修改、补充协议，并成为本合同不可分割的一部分之外，本合同条件不得有任何变化或修改。 </w:t>
      </w:r>
      <w:r/>
    </w:p>
    <w:p>
      <w:pPr>
        <w:ind w:left="0" w:firstLine="0"/>
        <w:jc w:val="both"/>
        <w:spacing w:line="3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r>
      <w:r/>
    </w:p>
    <w:p>
      <w:pPr>
        <w:ind w:left="0"/>
        <w:spacing w:line="360" w:lineRule="auto"/>
        <w:widowControl w:val="off"/>
        <w:rPr>
          <w:rFonts w:hint="default" w:ascii="宋体" w:hAnsi="宋体" w:eastAsia="宋体" w:cs="宋体"/>
          <w:b w:val="0"/>
          <w:bCs w:val="0"/>
          <w:sz w:val="24"/>
          <w:szCs w:val="24"/>
        </w:rPr>
      </w:pPr>
      <w:r>
        <w:rPr>
          <w:rFonts w:hint="eastAsia" w:ascii="宋体" w:hAnsi="宋体" w:eastAsia="宋体" w:cs="宋体"/>
          <w:b w:val="0"/>
          <w:bCs w:val="0"/>
          <w:sz w:val="24"/>
          <w:szCs w:val="24"/>
        </w:rPr>
        <w:t xml:space="preserve">甲方（公章）：                     </w:t>
      </w:r>
      <w:r>
        <w:rPr>
          <w:rFonts w:hint="default" w:ascii="宋体" w:hAnsi="宋体" w:eastAsia="宋体" w:cs="宋体"/>
          <w:b w:val="0"/>
          <w:bCs w:val="0"/>
          <w:sz w:val="24"/>
          <w:szCs w:val="24"/>
        </w:rPr>
        <w:t xml:space="preserve">   </w:t>
      </w:r>
      <w:r>
        <w:rPr>
          <w:rFonts w:hint="eastAsia" w:ascii="宋体" w:hAnsi="宋体" w:eastAsia="宋体" w:cs="宋体"/>
          <w:b w:val="0"/>
          <w:bCs w:val="0"/>
          <w:sz w:val="24"/>
          <w:szCs w:val="24"/>
        </w:rPr>
        <w:t xml:space="preserve">        </w:t>
      </w:r>
      <w:r>
        <w:rPr>
          <w:rFonts w:hint="default" w:ascii="宋体" w:hAnsi="宋体" w:eastAsia="宋体" w:cs="宋体"/>
          <w:b w:val="0"/>
          <w:bCs w:val="0"/>
          <w:sz w:val="24"/>
          <w:szCs w:val="24"/>
        </w:rPr>
        <w:t xml:space="preserve">     </w:t>
      </w:r>
      <w:r>
        <w:rPr>
          <w:rFonts w:hint="eastAsia" w:ascii="宋体" w:hAnsi="宋体" w:eastAsia="宋体" w:cs="宋体"/>
          <w:b w:val="0"/>
          <w:bCs w:val="0"/>
          <w:sz w:val="24"/>
          <w:szCs w:val="24"/>
        </w:rPr>
        <w:t xml:space="preserve"> 乙方（公章）：</w:t>
      </w:r>
      <w:r/>
    </w:p>
    <w:p>
      <w:pPr>
        <w:ind w:left="0"/>
        <w:spacing w:line="360" w:lineRule="auto"/>
        <w:widowControl w:val="off"/>
        <w:rPr>
          <w:rFonts w:hint="default" w:ascii="宋体" w:hAnsi="宋体" w:eastAsia="宋体" w:cs="宋体"/>
          <w:b w:val="0"/>
          <w:bCs w:val="0"/>
          <w:sz w:val="24"/>
          <w:szCs w:val="24"/>
        </w:rPr>
      </w:pPr>
      <w:r>
        <w:rPr>
          <w:rFonts w:hint="eastAsia" w:ascii="宋体" w:hAnsi="宋体" w:eastAsia="宋体" w:cs="宋体"/>
          <w:b w:val="0"/>
          <w:bCs w:val="0"/>
          <w:sz w:val="24"/>
          <w:szCs w:val="24"/>
        </w:rPr>
        <w:t xml:space="preserve">法定代表人或授权代表（签字或盖章）：                法定代表人或授权代表（签字或盖章）： </w:t>
      </w:r>
      <w:r/>
    </w:p>
    <w:p>
      <w:pPr>
        <w:ind w:left="0"/>
        <w:spacing w:line="360" w:lineRule="auto"/>
        <w:widowControl w:val="off"/>
        <w:rPr>
          <w:rFonts w:hint="default" w:ascii="宋体" w:hAnsi="宋体" w:eastAsia="宋体" w:cs="宋体"/>
          <w:b w:val="0"/>
          <w:bCs w:val="0"/>
          <w:sz w:val="24"/>
          <w:szCs w:val="24"/>
        </w:rPr>
      </w:pPr>
      <w:r>
        <w:rPr>
          <w:rFonts w:hint="eastAsia" w:ascii="宋体" w:hAnsi="宋体" w:eastAsia="宋体" w:cs="宋体"/>
          <w:b w:val="0"/>
          <w:bCs w:val="0"/>
          <w:sz w:val="24"/>
          <w:szCs w:val="24"/>
        </w:rPr>
        <w:t xml:space="preserve">签约日期：                                  </w:t>
      </w:r>
      <w:r>
        <w:rPr>
          <w:rFonts w:hint="default" w:ascii="宋体" w:hAnsi="宋体" w:eastAsia="宋体" w:cs="宋体"/>
          <w:b w:val="0"/>
          <w:bCs w:val="0"/>
          <w:sz w:val="24"/>
          <w:szCs w:val="24"/>
        </w:rPr>
        <w:t xml:space="preserve">        </w:t>
      </w:r>
      <w:r>
        <w:rPr>
          <w:rFonts w:hint="eastAsia" w:ascii="宋体" w:hAnsi="宋体" w:eastAsia="宋体" w:cs="宋体"/>
          <w:b w:val="0"/>
          <w:bCs w:val="0"/>
          <w:sz w:val="24"/>
          <w:szCs w:val="24"/>
        </w:rPr>
        <w:t xml:space="preserve">签约日期： </w:t>
      </w:r>
      <w:r/>
    </w:p>
    <w:p>
      <w:pPr>
        <w:ind w:left="400" w:firstLine="480"/>
        <w:jc w:val="both"/>
        <w:spacing w:line="3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r>
      <w:r/>
    </w:p>
    <w:p>
      <w:pPr>
        <w:ind w:left="0"/>
        <w:spacing w:line="360" w:lineRule="auto"/>
        <w:widowControl w:val="off"/>
        <w:rPr>
          <w:rFonts w:hint="default" w:ascii="宋体" w:hAnsi="宋体" w:eastAsia="宋体" w:cs="宋体"/>
          <w:b w:val="0"/>
          <w:bCs w:val="0"/>
          <w:sz w:val="24"/>
          <w:szCs w:val="24"/>
        </w:rPr>
      </w:pPr>
      <w:r>
        <w:rPr>
          <w:rFonts w:hint="eastAsia" w:ascii="宋体" w:hAnsi="宋体" w:eastAsia="宋体" w:cs="宋体"/>
          <w:b w:val="0"/>
          <w:bCs w:val="0"/>
          <w:sz w:val="24"/>
          <w:szCs w:val="24"/>
        </w:rPr>
        <w:t xml:space="preserve">合同签定地：</w:t>
      </w:r>
      <w:r/>
    </w:p>
    <w:p>
      <w:pPr>
        <w:ind w:left="0" w:firstLine="0"/>
        <w:spacing w:line="240" w:lineRule="auto"/>
        <w:widowControl/>
        <w:rPr>
          <w:rFonts w:hint="default" w:ascii="宋体" w:hAnsi="宋体" w:eastAsia="宋体" w:cs="宋体"/>
          <w:b w:val="0"/>
          <w:bCs w:val="0"/>
          <w:sz w:val="24"/>
          <w:szCs w:val="24"/>
        </w:rPr>
      </w:pPr>
      <w:r>
        <w:rPr>
          <w:rFonts w:hint="eastAsia" w:ascii="宋体" w:hAnsi="宋体" w:eastAsia="宋体" w:cs="宋体"/>
          <w:b w:val="0"/>
          <w:bCs w:val="0"/>
          <w:sz w:val="24"/>
          <w:szCs w:val="24"/>
        </w:rPr>
        <w:br w:type="page" w:clear="all"/>
      </w:r>
      <w:r/>
    </w:p>
    <w:p>
      <w:pPr>
        <w:ind w:left="0" w:firstLine="480"/>
        <w:spacing w:line="360" w:lineRule="auto"/>
        <w:widowControl w:val="off"/>
        <w:rPr>
          <w:rFonts w:hint="default" w:ascii="宋体" w:hAnsi="宋体" w:eastAsia="宋体" w:cs="宋体"/>
          <w:b w:val="0"/>
          <w:bCs w:val="0"/>
          <w:sz w:val="24"/>
          <w:szCs w:val="24"/>
        </w:rPr>
      </w:pPr>
      <w:r>
        <w:rPr>
          <w:rFonts w:hint="eastAsia" w:ascii="宋体" w:hAnsi="宋体" w:eastAsia="宋体" w:cs="宋体"/>
          <w:b w:val="0"/>
          <w:bCs w:val="0"/>
          <w:sz w:val="24"/>
          <w:szCs w:val="24"/>
        </w:rPr>
        <w:t xml:space="preserve">附件1：</w:t>
      </w:r>
      <w:r/>
    </w:p>
    <w:p>
      <w:pPr>
        <w:ind w:left="0"/>
        <w:jc w:val="center"/>
        <w:spacing w:line="360" w:lineRule="auto"/>
        <w:widowControl w:val="off"/>
        <w:rPr>
          <w:rFonts w:hint="eastAsia" w:ascii="宋体" w:hAnsi="宋体" w:eastAsia="宋体" w:cs="宋体"/>
          <w:b w:val="0"/>
          <w:bCs w:val="0"/>
          <w:sz w:val="32"/>
          <w:szCs w:val="32"/>
          <w:highlight w:val="none"/>
        </w:rPr>
      </w:pPr>
      <w:r>
        <w:rPr>
          <w:rFonts w:hint="eastAsia" w:ascii="宋体" w:hAnsi="宋体" w:eastAsia="宋体" w:cs="宋体"/>
          <w:b w:val="0"/>
          <w:bCs w:val="0"/>
          <w:sz w:val="32"/>
          <w:szCs w:val="32"/>
          <w:highlight w:val="none"/>
        </w:rPr>
        <w:t xml:space="preserve">《202</w:t>
      </w:r>
      <w:r>
        <w:rPr>
          <w:rFonts w:hint="eastAsia" w:ascii="宋体" w:hAnsi="宋体" w:eastAsia="宋体" w:cs="宋体"/>
          <w:b w:val="0"/>
          <w:bCs w:val="0"/>
          <w:sz w:val="32"/>
          <w:szCs w:val="32"/>
          <w:highlight w:val="none"/>
          <w:lang w:val="en-US" w:eastAsia="zh-CN"/>
        </w:rPr>
        <w:t xml:space="preserve">6</w:t>
      </w:r>
      <w:r>
        <w:rPr>
          <w:rFonts w:hint="eastAsia" w:ascii="宋体" w:hAnsi="宋体" w:eastAsia="宋体" w:cs="宋体"/>
          <w:b w:val="0"/>
          <w:bCs w:val="0"/>
          <w:sz w:val="32"/>
          <w:szCs w:val="32"/>
          <w:highlight w:val="none"/>
        </w:rPr>
        <w:t xml:space="preserve">年智水苏州硬件运维管理考核办法</w:t>
      </w:r>
      <w:r>
        <w:rPr>
          <w:rFonts w:hint="eastAsia" w:ascii="宋体" w:hAnsi="宋体" w:eastAsia="宋体" w:cs="宋体"/>
          <w:b w:val="0"/>
          <w:bCs w:val="0"/>
          <w:sz w:val="32"/>
          <w:szCs w:val="32"/>
          <w:highlight w:val="none"/>
          <w:lang w:val="en-US" w:eastAsia="zh-CN"/>
        </w:rPr>
        <w:t xml:space="preserve">-标段二</w:t>
      </w:r>
      <w:r>
        <w:rPr>
          <w:rFonts w:hint="eastAsia" w:ascii="宋体" w:hAnsi="宋体" w:eastAsia="宋体" w:cs="宋体"/>
          <w:b w:val="0"/>
          <w:bCs w:val="0"/>
          <w:sz w:val="32"/>
          <w:szCs w:val="32"/>
          <w:highlight w:val="none"/>
        </w:rPr>
        <w:t xml:space="preserve">》</w:t>
      </w:r>
      <w:r/>
    </w:p>
    <w:p>
      <w:pPr>
        <w:spacing w:after="50" w:line="36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p>
      <w:pPr>
        <w:ind w:left="420"/>
        <w:spacing w:after="50" w:line="36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（一）考核内容</w:t>
      </w:r>
      <w:r/>
    </w:p>
    <w:p>
      <w:pPr>
        <w:ind w:left="0" w:firstLine="560"/>
        <w:spacing w:after="50" w:line="36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1、基础保障。</w:t>
      </w:r>
      <w:r/>
    </w:p>
    <w:p>
      <w:pPr>
        <w:ind w:left="0" w:firstLine="560"/>
        <w:spacing w:after="50" w:line="36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2、台帐资料。</w:t>
      </w:r>
      <w:r/>
    </w:p>
    <w:p>
      <w:pPr>
        <w:ind w:left="0" w:firstLine="560"/>
        <w:spacing w:after="50" w:line="36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3、维护质量。</w:t>
      </w:r>
      <w:r/>
    </w:p>
    <w:p>
      <w:pPr>
        <w:ind w:left="0" w:firstLine="560"/>
        <w:spacing w:after="50" w:line="36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4、紧急响应。</w:t>
      </w:r>
      <w:r/>
    </w:p>
    <w:p>
      <w:pPr>
        <w:ind w:left="0" w:firstLine="560"/>
        <w:spacing w:after="50" w:line="36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5、企业形象。</w:t>
      </w:r>
      <w:r/>
    </w:p>
    <w:p>
      <w:pPr>
        <w:ind w:left="0" w:firstLine="560"/>
        <w:spacing w:after="50" w:line="36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6</w:t>
      </w:r>
      <w:r>
        <w:rPr>
          <w:rFonts w:hint="eastAsia" w:ascii="宋体" w:hAnsi="宋体" w:eastAsia="宋体" w:cs="宋体"/>
          <w:b w:val="0"/>
          <w:bCs w:val="0"/>
          <w:sz w:val="24"/>
          <w:szCs w:val="24"/>
          <w:highlight w:val="none"/>
        </w:rPr>
        <w:t xml:space="preserve">、重点事项交办情况。</w:t>
      </w:r>
      <w:r/>
    </w:p>
    <w:p>
      <w:pPr>
        <w:pStyle w:val="848"/>
        <w:rPr>
          <w:rFonts w:hint="eastAsia" w:hAnsi="宋体" w:eastAsia="宋体" w:cs="宋体"/>
          <w:highlight w:val="none"/>
          <w:lang w:val="en-US" w:eastAsia="zh-CN"/>
        </w:rPr>
      </w:pPr>
      <w:r>
        <w:rPr>
          <w:rFonts w:hint="eastAsia" w:hAnsi="宋体" w:cs="宋体"/>
          <w:b w:val="0"/>
          <w:bCs w:val="0"/>
          <w:sz w:val="24"/>
          <w:szCs w:val="24"/>
          <w:highlight w:val="none"/>
          <w:lang w:val="en-US" w:eastAsia="zh-CN"/>
        </w:rPr>
        <w:t xml:space="preserve">7、</w:t>
      </w:r>
      <w:r>
        <w:rPr>
          <w:rFonts w:hint="eastAsia" w:ascii="宋体" w:hAnsi="宋体" w:eastAsia="宋体" w:cs="宋体"/>
          <w:b w:val="0"/>
          <w:bCs w:val="0"/>
          <w:i w:val="0"/>
          <w:iCs w:val="0"/>
          <w:color w:val="000000"/>
          <w:sz w:val="24"/>
          <w:szCs w:val="24"/>
          <w:highlight w:val="none"/>
          <w:u w:val="none"/>
          <w:lang w:val="en-US" w:eastAsia="zh-CN" w:bidi="ar"/>
        </w:rPr>
        <w:t xml:space="preserve">《设备运维管理要求-标段</w:t>
      </w:r>
      <w:r>
        <w:rPr>
          <w:rFonts w:hint="eastAsia" w:hAnsi="宋体" w:cs="宋体"/>
          <w:b w:val="0"/>
          <w:bCs w:val="0"/>
          <w:i w:val="0"/>
          <w:iCs w:val="0"/>
          <w:color w:val="000000"/>
          <w:sz w:val="24"/>
          <w:szCs w:val="24"/>
          <w:highlight w:val="none"/>
          <w:u w:val="none"/>
          <w:lang w:val="en-US" w:eastAsia="zh-CN" w:bidi="ar"/>
        </w:rPr>
        <w:t xml:space="preserve">二</w:t>
      </w:r>
      <w:r>
        <w:rPr>
          <w:rFonts w:hint="eastAsia" w:ascii="宋体" w:hAnsi="宋体" w:eastAsia="宋体" w:cs="宋体"/>
          <w:b w:val="0"/>
          <w:bCs w:val="0"/>
          <w:i w:val="0"/>
          <w:iCs w:val="0"/>
          <w:color w:val="000000"/>
          <w:sz w:val="24"/>
          <w:szCs w:val="24"/>
          <w:highlight w:val="none"/>
          <w:u w:val="none"/>
          <w:lang w:val="en-US" w:eastAsia="zh-CN" w:bidi="ar"/>
        </w:rPr>
        <w:t xml:space="preserve">》（试行）</w:t>
      </w:r>
      <w:r/>
    </w:p>
    <w:p>
      <w:pPr>
        <w:ind w:left="0" w:firstLine="482"/>
        <w:jc w:val="left"/>
        <w:spacing w:after="50"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（二）考核标准</w:t>
      </w:r>
      <w:r/>
    </w:p>
    <w:tbl>
      <w:tblPr>
        <w:tblStyle w:val="847"/>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93"/>
        <w:gridCol w:w="1019"/>
        <w:gridCol w:w="3810"/>
        <w:gridCol w:w="2846"/>
        <w:gridCol w:w="1156"/>
        <w:gridCol w:w="456"/>
      </w:tblGrid>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内容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评分标准</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考核方式</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得分</w:t>
            </w:r>
            <w:r/>
          </w:p>
        </w:tc>
      </w:tr>
      <w:tr>
        <w:trPr>
          <w:trHeight w:val="10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基础保障（10分）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定员定岗（10分）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配备1名专职项目经理，对接甲方运维管理交办事项，其他维护人员数量按照招标文件要求执行。</w:t>
            </w:r>
            <w:r/>
          </w:p>
        </w:tc>
        <w:tc>
          <w:tcPr>
            <w:shd w:val="clear" w:color="auto" w:fill="auto"/>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每缺一名维护人员扣1分；未按时按要求甲方交办事项，每次扣2分。</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ind w:left="0"/>
              <w:jc w:val="left"/>
              <w:keepLines w:val="0"/>
              <w:keepNext w:val="0"/>
              <w:widowControl/>
              <w:rPr>
                <w:rFonts w:hint="default" w:ascii="宋体" w:hAnsi="宋体" w:eastAsia="宋体" w:cs="宋体"/>
                <w:b w:val="0"/>
                <w:bCs w:val="0"/>
                <w:i w:val="0"/>
                <w:iCs w:val="0"/>
                <w:color w:val="000000"/>
                <w:sz w:val="24"/>
                <w:szCs w:val="24"/>
                <w:u w:val="none"/>
                <w:lang w:val="en-US"/>
              </w:rPr>
              <w:suppressLineNumbers w:val="0"/>
            </w:pPr>
            <w:r>
              <w:rPr>
                <w:rFonts w:hint="eastAsia" w:ascii="宋体" w:hAnsi="宋体" w:eastAsia="宋体" w:cs="宋体"/>
                <w:b w:val="0"/>
                <w:bCs w:val="0"/>
                <w:i w:val="0"/>
                <w:iCs w:val="0"/>
                <w:color w:val="000000"/>
                <w:sz w:val="24"/>
                <w:szCs w:val="24"/>
                <w:u w:val="none"/>
                <w:lang w:val="en-US" w:eastAsia="zh-CN" w:bidi="ar"/>
              </w:rPr>
              <w:t xml:space="preserve">查人员花名册，现场核对，考勤表</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ind w:left="1024"/>
              <w:jc w:val="center"/>
              <w:widowControl/>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台帐资料（20分）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计划和总结（10分）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按甲方要求按时提供年度和月度服务总结报告。</w:t>
            </w:r>
            <w:r/>
          </w:p>
        </w:tc>
        <w:tc>
          <w:tcPr>
            <w:shd w:val="clear" w:color="auto" w:fill="auto"/>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未按时提供扣2分；不符合财务绩效考核指标要求，每项扣1分。</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现场查阅</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ind w:left="1024"/>
              <w:jc w:val="center"/>
              <w:widowControl/>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trHeight w:val="21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1024"/>
              <w:jc w:val="center"/>
              <w:widowControl/>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巡检报告（10分）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按照《设备维护清单》分类建立巡检台账，巡检表格清晰易懂，每月认真如实填写巡检、维护情况，包括自查情况汇总，并按招标要求时限报送甲方填写意见和签字确认。根据甲方需要，按时提供周报，日报服务。</w:t>
            </w:r>
            <w:r/>
          </w:p>
        </w:tc>
        <w:tc>
          <w:tcPr>
            <w:shd w:val="clear" w:color="auto" w:fill="auto"/>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不符合财务绩效考核指标要求、填写内容不实、有歧义的每次每件扣1分，不按时上报、漏报的每次扣1分。</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现场查阅</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ind w:left="1024"/>
              <w:jc w:val="center"/>
              <w:widowControl/>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trHeight w:val="81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维护质量（50分）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水资源测站设备维护（10分）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left"/>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每日通过省水资源系统平台在线巡查监测站；每月至少一次站点巡查，全面检查维护设备；每两月校对市级地下水位、流量现场与平台数据；每季度检查养护取水计量设施及太阳能电池板；每年养护投入式水位传感器，每两年养护蓄电池及防雷接地；保障苏州分中心监测站月均在线率95%以上。</w:t>
            </w:r>
            <w:r/>
          </w:p>
        </w:tc>
        <w:tc>
          <w:tcPr>
            <w:shd w:val="clear" w:color="auto" w:fill="auto"/>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在线率低于95%，每少1%，扣1分。</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日常检查，抽查</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ind w:left="1024"/>
              <w:jc w:val="center"/>
              <w:widowControl/>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trHeight w:val="2625"/>
        </w:trPr>
        <w:tc>
          <w:tcPr>
            <w:shd w:val="clear" w:color="auto" w:fill="auto"/>
            <w:tcBorders>
              <w:left w:val="single" w:color="000000" w:sz="4" w:space="0"/>
              <w:right w:val="single" w:color="000000" w:sz="4" w:space="0"/>
            </w:tcBorders>
            <w:tcW w:w="0" w:type="auto"/>
            <w:vAlign w:val="center"/>
            <w:vMerge w:val="continue"/>
            <w:textDirection w:val="lrTb"/>
            <w:noWrap w:val="false"/>
          </w:tcPr>
          <w:p>
            <w:pPr>
              <w:ind w:left="0"/>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SA"/>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无人机设备维护（10分）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left"/>
              <w:keepLines w:val="0"/>
              <w:keepNext w:val="0"/>
              <w:widowControl/>
              <w:rPr>
                <w:rFonts w:hint="eastAsia" w:ascii="宋体" w:hAnsi="宋体" w:eastAsia="宋体" w:cs="宋体"/>
                <w:b w:val="0"/>
                <w:bCs w:val="0"/>
                <w:i w:val="0"/>
                <w:iCs w:val="0"/>
                <w:color w:val="000000"/>
                <w:sz w:val="24"/>
                <w:szCs w:val="24"/>
                <w:highlight w:val="none"/>
                <w:u w:val="none"/>
                <w:lang w:val="en-US" w:eastAsia="zh-CN" w:bidi="ar-SA"/>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严格按照项目作业方案、航线规划及空域管理要求每周飞一次，负责无人机及机库现场日常巡检、清洁、保养与环境维护，完成无人机航拍、巡检数据的接收、整理、备份与质量检查和无人机云平台等系统的日常运行与状态监控，每周巡视不少于1次。</w:t>
            </w:r>
            <w:r/>
          </w:p>
        </w:tc>
        <w:tc>
          <w:tcPr>
            <w:shd w:val="clear" w:color="auto" w:fill="auto"/>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巡查记录不及时扣1分，巡查记录不真实扣1分/每处。</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日常检查，抽查</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ind w:left="1024"/>
              <w:jc w:val="center"/>
              <w:widowControl/>
              <w:rPr>
                <w:rFonts w:hint="eastAsia" w:ascii="宋体" w:hAnsi="宋体" w:eastAsia="宋体" w:cs="宋体"/>
                <w:b w:val="0"/>
                <w:bCs w:val="0"/>
                <w:i w:val="0"/>
                <w:iCs w:val="0"/>
                <w:color w:val="000000"/>
                <w:sz w:val="24"/>
                <w:szCs w:val="24"/>
                <w:u w:val="none"/>
                <w:lang w:val="en-US" w:eastAsia="zh-CN" w:bidi="ar-SA"/>
              </w:rPr>
            </w:pPr>
            <w:r>
              <w:rPr>
                <w:rFonts w:hint="eastAsia" w:ascii="宋体" w:hAnsi="宋体" w:eastAsia="宋体" w:cs="宋体"/>
                <w:b w:val="0"/>
                <w:bCs w:val="0"/>
                <w:i w:val="0"/>
                <w:iCs w:val="0"/>
                <w:color w:val="000000"/>
                <w:sz w:val="24"/>
                <w:szCs w:val="24"/>
                <w:u w:val="none"/>
                <w:lang w:val="en-US" w:eastAsia="zh-CN" w:bidi="ar-SA"/>
              </w:rPr>
            </w:r>
            <w:r/>
          </w:p>
        </w:tc>
      </w:tr>
      <w:tr>
        <w:trPr>
          <w:trHeight w:val="183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1024"/>
              <w:jc w:val="center"/>
              <w:widowControl/>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河道水位、流量设备维护（10分）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left"/>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负责河道水位计、流量计设备基础状态监控、周期性现场巡检及应急响应辅助,同时完成设备在线巡查、技术故障处理、系统优化及资料整理、数据汇总等工作，保证设备月平均在线率90%以上。</w:t>
            </w:r>
            <w:r/>
          </w:p>
        </w:tc>
        <w:tc>
          <w:tcPr>
            <w:shd w:val="clear" w:color="auto" w:fill="auto"/>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在线率低于90%，每少1%，扣1分。</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日常检查，抽查</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ind w:left="1024"/>
              <w:jc w:val="center"/>
              <w:widowControl/>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trHeight w:val="15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1024"/>
              <w:jc w:val="center"/>
              <w:widowControl/>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流量校测（10分）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left"/>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负责对24个流量监测点位进行流量校测，每个点位每年测10次，汛前汛后各测流1次，配合流量设备厂商做好校准等作，根据甲方要求提供校测成果材料。</w:t>
            </w:r>
            <w:r/>
          </w:p>
        </w:tc>
        <w:tc>
          <w:tcPr>
            <w:shd w:val="clear" w:color="auto" w:fill="auto"/>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未按甲方要求及时校测，每次扣1分。</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日常检查，抽查</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ind w:left="1024"/>
              <w:jc w:val="center"/>
              <w:widowControl/>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trHeight w:val="11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1024"/>
              <w:jc w:val="center"/>
              <w:widowControl/>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所有设备正常运行（5分）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保障《设备维护清单》中的所有设备正常供电，及时提供配件和维修，确保设备及网络稳定运行。</w:t>
            </w:r>
            <w:r/>
          </w:p>
        </w:tc>
        <w:tc>
          <w:tcPr>
            <w:shd w:val="clear" w:color="auto" w:fill="auto"/>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设备因配件不到位、维修不及时影响甲方工作的，每次扣1分。</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日常检查，抽查</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ind w:left="1024"/>
              <w:jc w:val="center"/>
              <w:widowControl/>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trHeight w:val="10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1024"/>
              <w:jc w:val="center"/>
              <w:widowControl/>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问题处理率（5分）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发现偷盗、恶意破坏、船只撞损等非常规情况，需第一时间报警并通知甲方协助挽回损失。</w:t>
            </w:r>
            <w:r/>
          </w:p>
        </w:tc>
        <w:tc>
          <w:tcPr>
            <w:shd w:val="clear" w:color="auto" w:fill="auto"/>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未第一时间上报的一次扣1分；未及时处理一次扣2分；因上报不及时产生重大后果的一次扣3分。</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日常检查、抽查</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ind w:left="1024"/>
              <w:jc w:val="center"/>
              <w:widowControl/>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trHeight w:val="183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紧急响应（10分）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处理及时率（10分）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项目经理接到甲方反馈应第一时间安排人员处理问题，及时如实上报处理结果，现场记录情况及工作照片需在3日内上报；保证信息畅通，相关管理人员、技术工程师电话必须24小时有人接听。</w:t>
            </w:r>
            <w:r/>
          </w:p>
        </w:tc>
        <w:tc>
          <w:tcPr>
            <w:shd w:val="clear" w:color="auto" w:fill="auto"/>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未及时安排处理紧急抢修每次扣1分；超时或不报抢修进展的每次扣2分；无抢修台账的扣1分；上报情况与实际不符每次扣2分；造成严重影响的扣3分；出现关机、无人接听、无法联系等情况，15分钟内联系不到的每次扣1分。</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日常检查、抽查</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ind w:left="1024"/>
              <w:jc w:val="center"/>
              <w:widowControl/>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trHeight w:val="11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企业形象（10分）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安全生产（5分）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维护时周边设置有统一的安全标示、装置，设置安全围护；定期对维护人员进行安全培训，做好安全台帐。</w:t>
            </w:r>
            <w:r/>
          </w:p>
        </w:tc>
        <w:tc>
          <w:tcPr>
            <w:shd w:val="clear" w:color="auto" w:fill="auto"/>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不按规定的每次扣2分；未设置安全维护造成人员伤亡或财产损失的应承担相应责任，并扣3分。</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抽查</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ind w:left="1024"/>
              <w:jc w:val="center"/>
              <w:widowControl/>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trHeight w:val="131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1024"/>
              <w:jc w:val="center"/>
              <w:widowControl/>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文明作业（5分）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维护人员文明作业, 保持良好工作态度和形象，不得同附近居民争吵；维护过程产生的废弃物需妥善处置，不得随意丢弃。</w:t>
            </w:r>
            <w:r/>
          </w:p>
        </w:tc>
        <w:tc>
          <w:tcPr>
            <w:shd w:val="clear" w:color="auto" w:fill="auto"/>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不文明作业每次扣1分；维护过程收到附近行人投诉的每次扣1分；随意丢弃废弃物的每次扣1分。 </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抽查</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ind w:left="1024"/>
              <w:jc w:val="center"/>
              <w:widowControl/>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trHeight w:val="7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重点事项办理情况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1024"/>
              <w:jc w:val="center"/>
              <w:widowControl/>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left"/>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乙方需第一时间跟踪完成甲方交办的重点事项</w:t>
            </w:r>
            <w:r/>
          </w:p>
        </w:tc>
        <w:tc>
          <w:tcPr>
            <w:shd w:val="clear" w:color="auto" w:fill="auto"/>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乙方未及时跟踪反馈事项办理进度，每次扣除1000元；未按时办理完成，每次扣除2000元。</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根据实际情况考核</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ind w:left="1024"/>
              <w:jc w:val="center"/>
              <w:widowControl/>
              <w:rPr>
                <w:rFonts w:hint="eastAsia" w:ascii="宋体" w:hAnsi="宋体" w:eastAsia="宋体" w:cs="宋体"/>
                <w:b w:val="0"/>
                <w:bCs w:val="0"/>
                <w:i w:val="0"/>
                <w:iCs w:val="0"/>
                <w:color w:val="000000"/>
                <w:sz w:val="24"/>
                <w:szCs w:val="24"/>
                <w:highlight w:val="green"/>
                <w:u w:val="none"/>
              </w:rPr>
            </w:pPr>
            <w:r>
              <w:rPr>
                <w:rFonts w:hint="eastAsia" w:ascii="宋体" w:hAnsi="宋体" w:eastAsia="宋体" w:cs="宋体"/>
                <w:b w:val="0"/>
                <w:bCs w:val="0"/>
                <w:i w:val="0"/>
                <w:iCs w:val="0"/>
                <w:color w:val="000000"/>
                <w:sz w:val="24"/>
                <w:szCs w:val="24"/>
                <w:highlight w:val="green"/>
                <w:u w:val="none"/>
              </w:rPr>
            </w:r>
            <w:r/>
          </w:p>
        </w:tc>
      </w:tr>
      <w:tr>
        <w:trPr>
          <w:trHeight w:val="788"/>
        </w:trPr>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其他</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7675"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以上评分内容为室外硬件设备运维服务的核心考核要求，其他管理要求详见《设备运维管理要求-标段二》（试行）中规定的全流程管理标准</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根据实际情况考核</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ind w:left="0"/>
              <w:jc w:val="center"/>
              <w:keepLines w:val="0"/>
              <w:keepNext w:val="0"/>
              <w:widowControl/>
              <w:rPr>
                <w:rFonts w:hint="eastAsia" w:ascii="宋体" w:hAnsi="宋体" w:eastAsia="宋体" w:cs="宋体"/>
                <w:b w:val="0"/>
                <w:bCs w:val="0"/>
                <w:i w:val="0"/>
                <w:iCs w:val="0"/>
                <w:color w:val="000000"/>
                <w:sz w:val="24"/>
                <w:szCs w:val="24"/>
                <w:highlight w:val="green"/>
                <w:u w:val="none"/>
              </w:rPr>
              <w:suppressLineNumbers w:val="0"/>
            </w:pPr>
            <w:r>
              <w:rPr>
                <w:rFonts w:hint="eastAsia" w:ascii="宋体" w:hAnsi="宋体" w:eastAsia="宋体" w:cs="宋体"/>
                <w:b w:val="0"/>
                <w:bCs w:val="0"/>
                <w:i w:val="0"/>
                <w:iCs w:val="0"/>
                <w:color w:val="000000"/>
                <w:sz w:val="24"/>
                <w:szCs w:val="24"/>
                <w:highlight w:val="green"/>
                <w:u w:val="none"/>
              </w:rPr>
            </w:r>
            <w:r/>
          </w:p>
        </w:tc>
      </w:tr>
    </w:tbl>
    <w:p>
      <w:pPr>
        <w:ind w:left="0"/>
        <w:spacing w:line="360" w:lineRule="auto"/>
        <w:widowControl w:val="off"/>
        <w:tabs>
          <w:tab w:val="left" w:pos="0" w:leader="none"/>
        </w:tabs>
        <w:rPr>
          <w:rFonts w:hint="eastAsia" w:ascii="宋体" w:hAnsi="宋体" w:eastAsia="宋体" w:cs="宋体"/>
          <w:b w:val="0"/>
          <w:bCs w:val="0"/>
          <w:sz w:val="24"/>
          <w:szCs w:val="24"/>
        </w:rPr>
      </w:pPr>
      <w:r>
        <w:rPr>
          <w:rFonts w:hint="eastAsia" w:ascii="宋体" w:hAnsi="宋体" w:eastAsia="宋体" w:cs="宋体"/>
          <w:b w:val="0"/>
          <w:bCs w:val="0"/>
          <w:sz w:val="24"/>
          <w:szCs w:val="24"/>
        </w:rPr>
      </w:r>
      <w:r/>
    </w:p>
    <w:p>
      <w:pPr>
        <w:ind w:left="0"/>
        <w:spacing w:line="360" w:lineRule="auto"/>
        <w:widowControl w:val="off"/>
        <w:tabs>
          <w:tab w:val="left" w:pos="0" w:leader="none"/>
        </w:tabs>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考核得分：                      签名：                         日期：</w:t>
      </w:r>
      <w:r/>
    </w:p>
    <w:p>
      <w:pPr>
        <w:ind w:left="0"/>
        <w:spacing w:line="360" w:lineRule="auto"/>
        <w:widowControl w:val="off"/>
        <w:tabs>
          <w:tab w:val="left" w:pos="0" w:leader="none"/>
        </w:tabs>
        <w:rPr>
          <w:rFonts w:hint="eastAsia" w:ascii="宋体" w:hAnsi="宋体" w:eastAsia="宋体" w:cs="宋体"/>
          <w:b w:val="0"/>
          <w:bCs w:val="0"/>
          <w:sz w:val="24"/>
          <w:szCs w:val="24"/>
        </w:rPr>
      </w:pPr>
      <w:r>
        <w:rPr>
          <w:rFonts w:hint="eastAsia" w:ascii="宋体" w:hAnsi="宋体" w:eastAsia="宋体" w:cs="宋体"/>
          <w:b w:val="0"/>
          <w:bCs w:val="0"/>
          <w:sz w:val="24"/>
          <w:szCs w:val="24"/>
        </w:rPr>
      </w:r>
      <w:r/>
    </w:p>
    <w:p>
      <w:pPr>
        <w:ind w:left="0"/>
        <w:spacing w:line="360" w:lineRule="auto"/>
        <w:widowControl w:val="off"/>
        <w:tabs>
          <w:tab w:val="left" w:pos="0" w:leader="none"/>
        </w:tabs>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代表方：运行科            监理方（画圈形式选择）   </w:t>
      </w:r>
      <w:r/>
    </w:p>
    <w:p>
      <w:pPr>
        <w:ind w:left="0"/>
        <w:spacing w:line="360" w:lineRule="auto"/>
        <w:widowControl w:val="off"/>
        <w:tabs>
          <w:tab w:val="left" w:pos="0" w:leader="none"/>
        </w:tabs>
        <w:rPr>
          <w:rFonts w:hint="eastAsia" w:ascii="宋体" w:hAnsi="宋体" w:eastAsia="宋体" w:cs="宋体"/>
          <w:b w:val="0"/>
          <w:bCs w:val="0"/>
          <w:sz w:val="24"/>
          <w:szCs w:val="24"/>
        </w:rPr>
        <w:sectPr>
          <w:footnotePr/>
          <w:endnotePr/>
          <w:type w:val="nextPage"/>
          <w:pgSz w:w="11906" w:h="16838" w:orient="portrait"/>
          <w:pgMar w:top="1418" w:right="1021" w:bottom="1418" w:left="1021" w:header="567" w:footer="567" w:gutter="0"/>
          <w:cols w:num="1" w:sep="0" w:space="720" w:equalWidth="1"/>
          <w:docGrid w:linePitch="360"/>
          <w:titlePg/>
        </w:sectPr>
      </w:pPr>
      <w:r>
        <w:rPr>
          <w:rFonts w:hint="eastAsia" w:ascii="宋体" w:hAnsi="宋体" w:eastAsia="宋体" w:cs="宋体"/>
          <w:b w:val="0"/>
          <w:bCs w:val="0"/>
          <w:sz w:val="24"/>
          <w:szCs w:val="24"/>
        </w:rPr>
      </w:r>
      <w:r/>
    </w:p>
    <w:p>
      <w:pPr>
        <w:ind w:left="0" w:firstLine="480"/>
        <w:spacing w:line="360" w:lineRule="auto"/>
        <w:widowControl w:val="off"/>
        <w:rPr>
          <w:rFonts w:hint="default" w:ascii="宋体" w:hAnsi="宋体" w:eastAsia="宋体" w:cs="宋体"/>
          <w:b w:val="0"/>
          <w:bCs w:val="0"/>
          <w:sz w:val="24"/>
          <w:szCs w:val="24"/>
        </w:rPr>
      </w:pPr>
      <w:r>
        <w:rPr>
          <w:rFonts w:hint="eastAsia" w:ascii="宋体" w:hAnsi="宋体" w:eastAsia="宋体" w:cs="宋体"/>
          <w:b w:val="0"/>
          <w:bCs w:val="0"/>
          <w:sz w:val="24"/>
          <w:szCs w:val="24"/>
        </w:rPr>
        <w:t xml:space="preserve">附件</w:t>
      </w:r>
      <w:r>
        <w:rPr>
          <w:rFonts w:hint="eastAsia" w:ascii="宋体" w:hAnsi="宋体" w:eastAsia="宋体" w:cs="宋体"/>
          <w:b w:val="0"/>
          <w:bCs w:val="0"/>
          <w:sz w:val="24"/>
          <w:szCs w:val="24"/>
          <w:lang w:val="en-US" w:eastAsia="zh-CN"/>
        </w:rPr>
        <w:t xml:space="preserve">2</w:t>
      </w:r>
      <w:r>
        <w:rPr>
          <w:rFonts w:hint="eastAsia" w:ascii="宋体" w:hAnsi="宋体" w:eastAsia="宋体" w:cs="宋体"/>
          <w:b w:val="0"/>
          <w:bCs w:val="0"/>
          <w:sz w:val="24"/>
          <w:szCs w:val="24"/>
        </w:rPr>
        <w:t xml:space="preserve">：</w:t>
      </w:r>
      <w:r/>
    </w:p>
    <w:p>
      <w:pPr>
        <w:ind w:left="0" w:firstLine="0"/>
        <w:jc w:val="center"/>
        <w:spacing w:line="360" w:lineRule="exact"/>
        <w:rPr>
          <w:rFonts w:hint="eastAsia" w:ascii="宋体" w:hAnsi="宋体" w:eastAsia="宋体" w:cs="宋体"/>
          <w:b w:val="0"/>
          <w:bCs w:val="0"/>
          <w:sz w:val="32"/>
          <w:szCs w:val="32"/>
          <w:highlight w:val="none"/>
          <w:lang w:val="en-US" w:eastAsia="zh-CN" w:bidi="ar-SA"/>
        </w:rPr>
      </w:pPr>
      <w:r>
        <w:rPr>
          <w:rFonts w:hint="eastAsia" w:ascii="宋体" w:hAnsi="宋体" w:eastAsia="宋体" w:cs="宋体"/>
          <w:b w:val="0"/>
          <w:bCs w:val="0"/>
          <w:sz w:val="32"/>
          <w:szCs w:val="32"/>
          <w:highlight w:val="none"/>
          <w:lang w:val="en-US" w:eastAsia="zh-CN" w:bidi="ar-SA"/>
        </w:rPr>
      </w:r>
      <w:r/>
    </w:p>
    <w:p>
      <w:pPr>
        <w:ind w:left="0" w:firstLine="0"/>
        <w:jc w:val="center"/>
        <w:spacing w:line="360" w:lineRule="exact"/>
        <w:rPr>
          <w:rFonts w:hint="eastAsia" w:ascii="宋体" w:hAnsi="宋体" w:eastAsia="宋体" w:cs="宋体"/>
          <w:b w:val="0"/>
          <w:bCs w:val="0"/>
          <w:sz w:val="32"/>
          <w:szCs w:val="32"/>
          <w:highlight w:val="none"/>
          <w:lang w:val="en-US" w:eastAsia="zh-CN" w:bidi="ar-SA"/>
        </w:rPr>
      </w:pPr>
      <w:r>
        <w:rPr>
          <w:rFonts w:hint="eastAsia" w:ascii="宋体" w:hAnsi="宋体" w:eastAsia="宋体" w:cs="宋体"/>
          <w:b w:val="0"/>
          <w:bCs w:val="0"/>
          <w:sz w:val="32"/>
          <w:szCs w:val="32"/>
          <w:highlight w:val="none"/>
          <w:lang w:val="en-US" w:eastAsia="zh-CN" w:bidi="ar-SA"/>
        </w:rPr>
        <w:t xml:space="preserve">《设备运维管理要求-标段二》（试行）</w:t>
      </w:r>
      <w:r/>
    </w:p>
    <w:p>
      <w:pPr>
        <w:pStyle w:val="848"/>
        <w:rPr>
          <w:rFonts w:hint="eastAsia" w:hAnsi="宋体" w:cs="宋体"/>
          <w:lang w:val="en-US" w:eastAsia="zh-CN"/>
        </w:rPr>
      </w:pPr>
      <w:r>
        <w:rPr>
          <w:rFonts w:hint="eastAsia" w:hAnsi="宋体" w:cs="宋体"/>
          <w:lang w:val="en-US" w:eastAsia="zh-CN"/>
        </w:rPr>
      </w:r>
      <w:r/>
    </w:p>
    <w:p>
      <w:pPr>
        <w:ind w:left="0" w:firstLine="482"/>
        <w:jc w:val="left"/>
        <w:spacing w:line="360" w:lineRule="exact"/>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1.人员管理</w:t>
      </w:r>
      <w:r/>
    </w:p>
    <w:p>
      <w:pPr>
        <w:ind w:left="0" w:firstLine="480"/>
        <w:jc w:val="left"/>
        <w:spacing w:line="3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为规范运维标段人员管理，保障服务连续性与工作效率，特制定本制度，适用于所有驻场及运维相关人员。</w:t>
      </w:r>
      <w:r/>
    </w:p>
    <w:p>
      <w:pPr>
        <w:ind w:left="0" w:firstLine="482"/>
        <w:jc w:val="left"/>
        <w:spacing w:line="360" w:lineRule="exact"/>
        <w:rPr>
          <w:rFonts w:hint="eastAsia" w:ascii="宋体" w:hAnsi="宋体" w:eastAsia="宋体" w:cs="宋体"/>
          <w:b w:val="0"/>
          <w:bCs w:val="0"/>
          <w:sz w:val="24"/>
          <w:szCs w:val="24"/>
          <w:highlight w:val="red"/>
          <w:lang w:val="en-US" w:eastAsia="zh-CN" w:bidi="ar-SA"/>
        </w:rPr>
      </w:pPr>
      <w:r>
        <w:rPr>
          <w:rFonts w:hint="eastAsia" w:ascii="宋体" w:hAnsi="宋体" w:eastAsia="宋体" w:cs="宋体"/>
          <w:b/>
          <w:bCs/>
          <w:sz w:val="24"/>
          <w:szCs w:val="24"/>
          <w:lang w:val="en-US" w:eastAsia="zh-CN" w:bidi="ar-SA"/>
        </w:rPr>
        <w:t xml:space="preserve">1.1.考勤管理（每日钉钉等办公软件打卡）</w:t>
      </w:r>
      <w:r/>
    </w:p>
    <w:p>
      <w:pPr>
        <w:ind w:left="0" w:firstLine="480"/>
        <w:jc w:val="left"/>
        <w:spacing w:line="3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（1）工作时间与人员配置</w:t>
      </w:r>
      <w:r/>
    </w:p>
    <w:p>
      <w:pPr>
        <w:ind w:left="0" w:firstLine="480"/>
        <w:jc w:val="left"/>
        <w:spacing w:line="3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运维人员工作时间须与甲方保持一致，人员数量及岗位配备需严格符合招标文件要求。</w:t>
      </w:r>
      <w:r/>
    </w:p>
    <w:p>
      <w:pPr>
        <w:ind w:left="0" w:firstLine="480"/>
        <w:jc w:val="left"/>
        <w:spacing w:line="3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（2）日常考勤扣款规则</w:t>
      </w:r>
      <w:r/>
    </w:p>
    <w:p>
      <w:pPr>
        <w:ind w:left="0" w:firstLine="480"/>
        <w:jc w:val="left"/>
        <w:spacing w:line="3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每月每人可缺卡2次，超出后每缺卡1次扣200元；每迟到/早退1次扣100元；每旷工1天扣500元。</w:t>
      </w:r>
      <w:r/>
    </w:p>
    <w:p>
      <w:pPr>
        <w:ind w:left="0" w:firstLine="480"/>
        <w:jc w:val="left"/>
        <w:spacing w:line="3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（3）严重违规认定与处理</w:t>
      </w:r>
      <w:r/>
    </w:p>
    <w:p>
      <w:pPr>
        <w:ind w:left="0" w:firstLine="480"/>
        <w:jc w:val="left"/>
        <w:spacing w:line="3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出现以下任一情形，视为严重违反运维管理制度：</w:t>
      </w:r>
      <w:r/>
    </w:p>
    <w:p>
      <w:pPr>
        <w:ind w:left="0" w:firstLine="480"/>
        <w:jc w:val="left"/>
        <w:spacing w:line="3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每月单人缺卡≥5次，或标段月累计缺卡≥15次；</w:t>
      </w:r>
      <w:r/>
    </w:p>
    <w:p>
      <w:pPr>
        <w:ind w:left="0" w:firstLine="480"/>
        <w:jc w:val="left"/>
        <w:spacing w:line="3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每月单人迟到≥5次，或标段月累计迟到≥20次；</w:t>
      </w:r>
      <w:r/>
    </w:p>
    <w:p>
      <w:pPr>
        <w:ind w:left="0" w:firstLine="480"/>
        <w:jc w:val="left"/>
        <w:spacing w:line="3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每月单人旷工≥3次，或标段月累计旷工≥10次。</w:t>
      </w:r>
      <w:r/>
    </w:p>
    <w:p>
      <w:pPr>
        <w:ind w:left="0" w:firstLine="480"/>
        <w:jc w:val="left"/>
        <w:spacing w:line="3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处理方式：</w:t>
      </w:r>
      <w:r/>
    </w:p>
    <w:p>
      <w:pPr>
        <w:ind w:left="0" w:firstLine="480"/>
        <w:jc w:val="left"/>
        <w:spacing w:line="3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运维方须提交书面情况说明；甲方扣除该运维项不低于10%的月度运维费用；若造成甲方实际损失超出上述扣款，按实际损失另行处理；</w:t>
      </w:r>
      <w:r/>
    </w:p>
    <w:p>
      <w:pPr>
        <w:ind w:left="0" w:firstLine="480"/>
        <w:jc w:val="left"/>
        <w:spacing w:line="3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交通事故、生病、自然灾害等特殊情况，经与甲方协商一致后，可不计入考勤管理。</w:t>
      </w:r>
      <w:r/>
    </w:p>
    <w:p>
      <w:pPr>
        <w:ind w:left="0" w:firstLine="482"/>
        <w:jc w:val="left"/>
        <w:spacing w:line="360" w:lineRule="exact"/>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1.2.驻场人员管理</w:t>
      </w:r>
      <w:r/>
    </w:p>
    <w:p>
      <w:pPr>
        <w:ind w:left="0" w:firstLine="480"/>
        <w:jc w:val="left"/>
        <w:spacing w:line="3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（1）驻场配置要求</w:t>
      </w:r>
      <w:r/>
    </w:p>
    <w:p>
      <w:pPr>
        <w:ind w:left="0" w:firstLine="480"/>
        <w:jc w:val="left"/>
        <w:spacing w:line="3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每标段须配置1名驻场项目经理，驻场地点由甲方指定，主要协助甲方开展项目管理工作；经甲方书面批准后可外出协助运维工作，且须提前履行报备手续。</w:t>
      </w:r>
      <w:r/>
    </w:p>
    <w:p>
      <w:pPr>
        <w:ind w:left="0" w:firstLine="480"/>
        <w:jc w:val="left"/>
        <w:spacing w:line="3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（2）响应时效与扣款规则</w:t>
      </w:r>
      <w:r/>
    </w:p>
    <w:p>
      <w:pPr>
        <w:ind w:left="0" w:firstLine="480"/>
        <w:jc w:val="left"/>
        <w:spacing w:line="3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驻场项目经理须严格响应甲方工作安排：工作日驻场期间：15分钟内响应，外场工作期间：30分钟内响应，节假日期间：1小时内响应。</w:t>
      </w:r>
      <w:r/>
    </w:p>
    <w:p>
      <w:pPr>
        <w:ind w:left="0" w:firstLine="480"/>
        <w:jc w:val="left"/>
        <w:spacing w:line="3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未达标处理：</w:t>
      </w:r>
      <w:r/>
    </w:p>
    <w:p>
      <w:pPr>
        <w:ind w:left="0" w:firstLine="480"/>
        <w:jc w:val="left"/>
        <w:spacing w:line="3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单次2小时内未响应，扣200元/次；每月不响应次数≥5次，每次扣500元。</w:t>
      </w:r>
      <w:r/>
    </w:p>
    <w:p>
      <w:pPr>
        <w:ind w:left="0" w:firstLine="482"/>
        <w:jc w:val="left"/>
        <w:spacing w:line="360" w:lineRule="exact"/>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1.3.核心团队稳定性管理</w:t>
      </w:r>
      <w:r/>
    </w:p>
    <w:p>
      <w:pPr>
        <w:ind w:left="0" w:firstLine="480"/>
        <w:jc w:val="left"/>
        <w:spacing w:line="3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（1）稳定要求</w:t>
      </w:r>
      <w:r/>
    </w:p>
    <w:p>
      <w:pPr>
        <w:ind w:left="0" w:firstLine="480"/>
        <w:jc w:val="left"/>
        <w:spacing w:line="3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除汛期（5-9月）因应急需求临时增配的人员外，项目经理、运维技术人员、巡检人员等核心运维团队须保持相对稳定，原则上不得随意更换。</w:t>
      </w:r>
      <w:r/>
    </w:p>
    <w:p>
      <w:pPr>
        <w:ind w:left="0" w:firstLine="480"/>
        <w:jc w:val="left"/>
        <w:spacing w:line="3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（2）人员更换流程</w:t>
      </w:r>
      <w:r/>
    </w:p>
    <w:p>
      <w:pPr>
        <w:ind w:left="0" w:firstLine="480"/>
        <w:jc w:val="left"/>
        <w:spacing w:line="3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因员工离职、不可抗力等特殊原因确需更换的，须提前15个工作日向甲方提交书面申请，经甲方书面同意后方可实施；</w:t>
      </w:r>
      <w:r/>
    </w:p>
    <w:p>
      <w:pPr>
        <w:ind w:left="0" w:firstLine="480"/>
        <w:jc w:val="left"/>
        <w:spacing w:line="3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同一岗位12个月内更换不得超过1次，且更换后须通过甲方组织的岗前能力验证，确保运维连续性不受影响。</w:t>
      </w:r>
      <w:r/>
    </w:p>
    <w:p>
      <w:pPr>
        <w:ind w:left="0" w:firstLine="480"/>
        <w:jc w:val="left"/>
        <w:spacing w:line="3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（3）违约责任</w:t>
      </w:r>
      <w:r/>
    </w:p>
    <w:p>
      <w:pPr>
        <w:ind w:left="0" w:firstLine="480"/>
        <w:jc w:val="left"/>
        <w:spacing w:line="3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若因人员频繁变动导致服务质量下降，甲方有权按合同约定追究违约责任并执行扣款。</w:t>
      </w:r>
      <w:r/>
    </w:p>
    <w:p>
      <w:pPr>
        <w:ind w:left="0" w:firstLine="482"/>
        <w:jc w:val="left"/>
        <w:spacing w:line="360" w:lineRule="exact"/>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1.4.外出与请假管理</w:t>
      </w:r>
      <w:r/>
    </w:p>
    <w:p>
      <w:pPr>
        <w:ind w:left="0" w:firstLine="480"/>
        <w:jc w:val="left"/>
        <w:spacing w:line="3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因公外出：所有运维人员因公外出须提前履行报备手续，说明外出事由、时间及地点。</w:t>
      </w:r>
      <w:r/>
    </w:p>
    <w:p>
      <w:pPr>
        <w:ind w:left="0" w:firstLine="480"/>
        <w:jc w:val="left"/>
        <w:spacing w:line="3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因私请假：所有运维人员因私请假须提前提交书面报告，经审批通过后方可离岗。</w:t>
      </w:r>
      <w:r/>
    </w:p>
    <w:p>
      <w:pPr>
        <w:ind w:left="0" w:firstLine="482"/>
        <w:jc w:val="left"/>
        <w:spacing w:line="360" w:lineRule="exact"/>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2.项目管理</w:t>
      </w:r>
      <w:r/>
    </w:p>
    <w:p>
      <w:pPr>
        <w:ind w:left="0" w:firstLine="482"/>
        <w:jc w:val="left"/>
        <w:spacing w:line="360" w:lineRule="exact"/>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2.1.工作记录管理</w:t>
      </w:r>
      <w:r/>
    </w:p>
    <w:p>
      <w:pPr>
        <w:ind w:left="0" w:firstLine="480"/>
        <w:jc w:val="left"/>
        <w:spacing w:line="360" w:lineRule="exact"/>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所有运维工作（日常巡检、设备维修、耗材更换、日报登记、耗材入库等），均需在钉钉等办公平台上登记记录；未在平台上登记的工作内容，视为未开展。</w:t>
      </w:r>
      <w:r/>
    </w:p>
    <w:p>
      <w:pPr>
        <w:ind w:left="0" w:firstLine="482"/>
        <w:jc w:val="left"/>
        <w:spacing w:line="360" w:lineRule="exact"/>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2.2.日报管理</w:t>
      </w:r>
      <w:r/>
    </w:p>
    <w:p>
      <w:pPr>
        <w:ind w:left="0" w:firstLine="480"/>
        <w:jc w:val="left"/>
        <w:spacing w:line="3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每标段项目经理须于次日11点前汇报前一日工作内容，实行日报制度；周末、节假日可延迟至上班第一天下班前报告。</w:t>
      </w:r>
      <w:r/>
    </w:p>
    <w:p>
      <w:pPr>
        <w:ind w:left="0" w:firstLine="480"/>
        <w:jc w:val="left"/>
        <w:spacing w:line="3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日报内容需包含所属设备在线情况、前一天工作内容小结、问题及建议等；</w:t>
      </w:r>
      <w:r/>
    </w:p>
    <w:p>
      <w:pPr>
        <w:ind w:left="0" w:firstLine="480"/>
        <w:jc w:val="left"/>
        <w:spacing w:line="3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日报内容不合理、失实、不准确、不完整或漏报，经甲方运维科室及分管领导综合评定不合格后，扣100-300元；日报无故不上报，扣500元。</w:t>
      </w:r>
      <w:r/>
    </w:p>
    <w:p>
      <w:pPr>
        <w:ind w:left="0" w:firstLine="482"/>
        <w:jc w:val="left"/>
        <w:spacing w:line="360" w:lineRule="exact"/>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2.3.周报管理</w:t>
      </w:r>
      <w:r/>
    </w:p>
    <w:p>
      <w:pPr>
        <w:ind w:left="0" w:firstLine="480"/>
        <w:jc w:val="left"/>
        <w:spacing w:line="3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各标段须按要求提交周报（具体要求按甲方统一规范执行）。</w:t>
      </w:r>
      <w:r/>
    </w:p>
    <w:p>
      <w:pPr>
        <w:ind w:left="0" w:firstLine="482"/>
        <w:jc w:val="left"/>
        <w:spacing w:line="360" w:lineRule="exact"/>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2.4.月报管理</w:t>
      </w:r>
      <w:r/>
    </w:p>
    <w:p>
      <w:pPr>
        <w:ind w:left="0" w:firstLine="480"/>
        <w:jc w:val="left"/>
        <w:spacing w:line="3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每标段须提供月报，若甲方运维科室及分管领导综合评定不合格，扣500-1000元。月报需在下个月10日前提交，逾期扣1000元；无故不提交月报，扣2000元。</w:t>
      </w:r>
      <w:r/>
    </w:p>
    <w:p>
      <w:pPr>
        <w:ind w:left="0" w:firstLine="482"/>
        <w:jc w:val="left"/>
        <w:spacing w:line="360" w:lineRule="exact"/>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2.5.月度运维养护计划管理</w:t>
      </w:r>
      <w:r/>
    </w:p>
    <w:p>
      <w:pPr>
        <w:ind w:left="0" w:firstLine="480"/>
        <w:jc w:val="left"/>
        <w:spacing w:line="3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各标段须按要求制定并提交每月运维养护计划（具体要求按甲方统一规范执行）。</w:t>
      </w:r>
      <w:r/>
    </w:p>
    <w:p>
      <w:pPr>
        <w:ind w:left="0" w:firstLine="482"/>
        <w:jc w:val="left"/>
        <w:spacing w:line="360" w:lineRule="exact"/>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2.6.年度总结报告</w:t>
      </w:r>
      <w:r/>
    </w:p>
    <w:p>
      <w:pPr>
        <w:ind w:left="0" w:firstLine="480"/>
        <w:jc w:val="left"/>
        <w:spacing w:line="3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每标段须提供年度总结报告，若甲方运维科室及分管领导综合评定不合格，扣2000-3000元。</w:t>
      </w:r>
      <w:r/>
    </w:p>
    <w:p>
      <w:pPr>
        <w:ind w:left="0" w:firstLine="480"/>
        <w:jc w:val="left"/>
        <w:spacing w:line="3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年度总结报告需在下一年度第一个月底前提供，逾期扣2000元；无故不提交年度总结报告，扣5000元。</w:t>
      </w:r>
      <w:r/>
    </w:p>
    <w:p>
      <w:pPr>
        <w:ind w:left="0" w:firstLine="482"/>
        <w:jc w:val="left"/>
        <w:spacing w:line="360" w:lineRule="exact"/>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2.7.工作留痕管理</w:t>
      </w:r>
      <w:r/>
    </w:p>
    <w:p>
      <w:pPr>
        <w:ind w:left="0" w:firstLine="480"/>
        <w:jc w:val="left"/>
        <w:spacing w:line="3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所有工作需拍照留痕，须使用水印相机，注明时间、地点、工作内容、巡检人员等重要信息，并上传至钉钉。</w:t>
      </w:r>
      <w:r/>
    </w:p>
    <w:p>
      <w:pPr>
        <w:ind w:left="0" w:firstLine="482"/>
        <w:jc w:val="left"/>
        <w:spacing w:line="360" w:lineRule="exact"/>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2.8.抽查与违规管理</w:t>
      </w:r>
      <w:r/>
    </w:p>
    <w:p>
      <w:pPr>
        <w:ind w:left="0" w:firstLine="480"/>
        <w:jc w:val="left"/>
        <w:spacing w:line="3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甲方项目负责人对运维工作进行随机抽查，经甲方运维科室及分管领导综合评定不合格后，扣200-5000元；</w:t>
      </w:r>
      <w:r/>
    </w:p>
    <w:p>
      <w:pPr>
        <w:ind w:left="0" w:firstLine="480"/>
        <w:jc w:val="left"/>
        <w:spacing w:line="3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运维过程中，若乙方存在推诿扯皮、消极怠工情况，经评定不合格后，扣500-1000元；</w:t>
      </w:r>
      <w:r/>
    </w:p>
    <w:p>
      <w:pPr>
        <w:ind w:left="0" w:firstLine="480"/>
        <w:jc w:val="left"/>
        <w:spacing w:line="3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运维中未按规定采取相关安全措施（如未戴安全帽、未穿安全衣、井下作业未通风等不规范操作），经评定不合格后，每次扣500-1000元。</w:t>
      </w:r>
      <w:r/>
    </w:p>
    <w:p>
      <w:pPr>
        <w:ind w:left="0" w:firstLine="482"/>
        <w:jc w:val="left"/>
        <w:spacing w:line="360" w:lineRule="exact"/>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3.水位站、流量站运维</w:t>
      </w:r>
      <w:r/>
    </w:p>
    <w:p>
      <w:pPr>
        <w:ind w:left="0" w:firstLine="480"/>
        <w:jc w:val="left"/>
        <w:spacing w:line="3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水位站、流量站运维参照《河流流量测验规范》（GB 50179-2015）、《水文测站运行维护技术规范》（SL 61-2015）等标准运维。</w:t>
      </w:r>
      <w:r/>
    </w:p>
    <w:p>
      <w:pPr>
        <w:ind w:left="0" w:firstLine="482"/>
        <w:jc w:val="left"/>
        <w:spacing w:line="360" w:lineRule="exact"/>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3.1.日常运维与巡检管理</w:t>
      </w:r>
      <w:r/>
    </w:p>
    <w:p>
      <w:pPr>
        <w:ind w:left="0" w:firstLine="480"/>
        <w:jc w:val="left"/>
        <w:spacing w:line="3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每日需在物联网平台查看设备在线和数据准确情况，形成日志并上传至钉钉；每月需完成现场巡察全覆盖，每少巡检1台设备扣200元；每月每台设备须完成校准并留存校准记录，无校准记录每台扣100元。</w:t>
      </w:r>
      <w:r/>
    </w:p>
    <w:p>
      <w:pPr>
        <w:ind w:left="0" w:firstLine="482"/>
        <w:jc w:val="left"/>
        <w:spacing w:line="360" w:lineRule="exact"/>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3.2.在线情况与设备状态管理</w:t>
      </w:r>
      <w:r/>
    </w:p>
    <w:p>
      <w:pPr>
        <w:ind w:left="0" w:firstLine="480"/>
        <w:jc w:val="left"/>
        <w:spacing w:line="3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设备长期不在线超过1周，每点每天扣除100元；甲方随机抽查中发现设备数据不准确，每台扣100元；发现设备故障，每台扣100元，若24小时内未处理则追加扣200元。</w:t>
      </w:r>
      <w:r/>
    </w:p>
    <w:p>
      <w:pPr>
        <w:ind w:left="0" w:firstLine="482"/>
        <w:jc w:val="left"/>
        <w:spacing w:line="360" w:lineRule="exact"/>
        <w:rPr>
          <w:rFonts w:hint="eastAsia" w:ascii="宋体" w:hAnsi="宋体" w:eastAsia="宋体" w:cs="宋体"/>
          <w:b w:val="0"/>
          <w:bCs w:val="0"/>
          <w:sz w:val="24"/>
          <w:szCs w:val="24"/>
          <w:lang w:val="en-US" w:eastAsia="zh-CN" w:bidi="ar-SA"/>
        </w:rPr>
      </w:pPr>
      <w:r>
        <w:rPr>
          <w:rFonts w:hint="eastAsia" w:ascii="宋体" w:hAnsi="宋体" w:eastAsia="宋体" w:cs="宋体"/>
          <w:b/>
          <w:bCs/>
          <w:sz w:val="24"/>
          <w:szCs w:val="24"/>
          <w:lang w:val="en-US" w:eastAsia="zh-CN" w:bidi="ar-SA"/>
        </w:rPr>
        <w:t xml:space="preserve">3.3现场管理与安全规范</w:t>
      </w:r>
      <w:r/>
    </w:p>
    <w:p>
      <w:pPr>
        <w:ind w:left="0" w:firstLine="480"/>
        <w:jc w:val="left"/>
        <w:spacing w:line="3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甲方随机抽查中，未按河边施工安全规范佩戴安全设施，每次扣200元；发现设备问题存在漏报、瞒报，每次扣200元。</w:t>
      </w:r>
      <w:r/>
    </w:p>
    <w:p>
      <w:pPr>
        <w:ind w:left="0" w:firstLine="482"/>
        <w:jc w:val="left"/>
        <w:spacing w:line="360" w:lineRule="exact"/>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3.4.设备迁移与年度报告</w:t>
      </w:r>
      <w:r/>
    </w:p>
    <w:p>
      <w:pPr>
        <w:ind w:left="0" w:firstLine="480"/>
        <w:jc w:val="left"/>
        <w:spacing w:line="3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因市政施工等影响，需配合甲方将设备迁移至指定地点，该服务为免费服务；需提供水位、流量运维设备年报，全面评估设备状态并给出下年度维护重点建议；若甲方运维科室及分管领导综合评定不合格，扣2000-3000元。</w:t>
      </w:r>
      <w:r/>
    </w:p>
    <w:p>
      <w:pPr>
        <w:ind w:left="0" w:firstLine="482"/>
        <w:jc w:val="left"/>
        <w:spacing w:line="360" w:lineRule="exact"/>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4.水资源测站运维</w:t>
      </w:r>
      <w:r/>
    </w:p>
    <w:p>
      <w:pPr>
        <w:ind w:left="0" w:firstLine="480"/>
        <w:jc w:val="left"/>
        <w:spacing w:line="3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水资源测站运维参照苏水资〔2013〕7号 江苏省水资源管理信息系统运维管理办法、《苏州市取水口监测计量体系管理效能提升行动方案（2022-2025）》等标准运维。</w:t>
      </w:r>
      <w:r/>
    </w:p>
    <w:p>
      <w:pPr>
        <w:ind w:left="0" w:firstLine="482"/>
        <w:jc w:val="left"/>
        <w:spacing w:line="360" w:lineRule="exact"/>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4.1.水量测站运维</w:t>
      </w:r>
      <w:r/>
    </w:p>
    <w:p>
      <w:pPr>
        <w:ind w:left="0" w:firstLine="480"/>
        <w:jc w:val="left"/>
        <w:spacing w:line="3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负责每日通过省水资源系统平台在线</w:t>
      </w:r>
      <w:r>
        <w:rPr>
          <w:rFonts w:hint="eastAsia" w:ascii="宋体" w:hAnsi="宋体" w:eastAsia="宋体" w:cs="宋体"/>
          <w:b w:val="0"/>
          <w:bCs w:val="0"/>
          <w:sz w:val="24"/>
          <w:szCs w:val="24"/>
          <w:lang w:val="en-US" w:eastAsia="zh-CN" w:bidi="ar-SA"/>
        </w:rPr>
        <w:t xml:space="preserve">巡查监测站，每少巡检1台设备扣200元；每月至少一次站点巡查，全面检查维护设备，每少巡检1台设备扣200元；每两月校对市级地下水位、流量现场与平台数据，每少校对一台设备扣200元；每季度检查养护取水计量设施及太阳能电池板，每少检查一台设备扣200元；每年养护投入式水位传感器，每两年养护蓄电池及防雷接地，每少养护一台设备扣200元；保障苏州分中心监测站月均在线率95%以上，每低1%扣款500元；做好运维档案，每两月提交记录，每年提供年度报告，若甲方运维科室及分管领导综合评定报告不合格，扣2000-3000元。</w:t>
      </w:r>
      <w:r/>
    </w:p>
    <w:p>
      <w:pPr>
        <w:ind w:left="0" w:firstLine="482"/>
        <w:jc w:val="left"/>
        <w:spacing w:line="360" w:lineRule="exact"/>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4.2.水位测站运维</w:t>
      </w:r>
      <w:r/>
    </w:p>
    <w:p>
      <w:pPr>
        <w:ind w:left="0" w:firstLine="480"/>
        <w:jc w:val="left"/>
        <w:spacing w:line="3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负责每日通过省水资源系统平台在线巡查监测站，每少巡检1台设备扣200元；每月至少一次站点巡查，全</w:t>
      </w:r>
      <w:r>
        <w:rPr>
          <w:rFonts w:hint="eastAsia" w:ascii="宋体" w:hAnsi="宋体" w:eastAsia="宋体" w:cs="宋体"/>
          <w:b w:val="0"/>
          <w:bCs w:val="0"/>
          <w:sz w:val="24"/>
          <w:szCs w:val="24"/>
          <w:lang w:val="en-US" w:eastAsia="zh-CN" w:bidi="ar-SA"/>
        </w:rPr>
        <w:t xml:space="preserve">面检查维护设备，及时处理问题并记录，每少巡检1台设备扣200元；每两月校对市级地下水位、流量现场与平台数据，每少校对一台设备扣200元；每季度检查养护取水计量设施及太阳能电池板，每少检查一台设备扣200元；每年养护投入式水位传感器，每两年养护蓄电池及防雷接地，每少养护一台设备扣200元；及时处置故障测站，按要求管理停用及新增测站；保障苏州分中心监测站月均在线率95%以上，每低1%扣款500元；做好运维档案，每两月提交记录，每年提供年度报告，若甲方运维科室及分管领导综合评定报告不合格，扣2000-3000元。</w:t>
      </w:r>
      <w:r/>
    </w:p>
    <w:p>
      <w:pPr>
        <w:ind w:left="0" w:firstLine="482"/>
        <w:jc w:val="left"/>
        <w:spacing w:line="360" w:lineRule="exact"/>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5.无人机运维</w:t>
      </w:r>
      <w:r/>
    </w:p>
    <w:p>
      <w:pPr>
        <w:ind w:left="0" w:firstLine="480"/>
        <w:jc w:val="left"/>
        <w:spacing w:line="3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无人机运维参照《水利无人机遥感应用技术规程》（SL/T 801-2020）、《无人机巡检作业技术规范》（MH/T 1065-2018）等标准运维。</w:t>
      </w:r>
      <w:r/>
    </w:p>
    <w:p>
      <w:pPr>
        <w:ind w:left="0" w:firstLine="482"/>
        <w:jc w:val="left"/>
        <w:spacing w:line="360" w:lineRule="exact"/>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5.1.日常巡检管理</w:t>
      </w:r>
      <w:r/>
    </w:p>
    <w:p>
      <w:pPr>
        <w:ind w:left="0" w:firstLine="480"/>
        <w:jc w:val="left"/>
        <w:spacing w:line="3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严格按照项目作业方案、航线规划及空域管理要求，执行无人机自动/手动飞行任务。负责飞行前设备检查：无人机外观、电池电量、GPS/RTK信号、云台、避障系统、图传链路等，形成日志并上传至钉钉；负责飞行任务记录：填写飞行日志、起降时间、飞行架次、飞行里程、作业区域、异常情况等，每少一次记录扣200元。</w:t>
      </w:r>
      <w:r/>
    </w:p>
    <w:p>
      <w:pPr>
        <w:ind w:left="0" w:firstLine="482"/>
        <w:jc w:val="left"/>
        <w:spacing w:line="360" w:lineRule="exact"/>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5.2.无人机库管理</w:t>
      </w:r>
      <w:r/>
    </w:p>
    <w:p>
      <w:pPr>
        <w:ind w:left="0" w:firstLine="480"/>
        <w:jc w:val="left"/>
        <w:spacing w:line="3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负责每月对无人机及机库现场日常巡检、清洁、保养与环境维护，没少保养一次扣200元；每月对无人机进行清洁：机身、云台、镜头、桨叶、散热口除尘除污，检查有无磕碰、变形、裂纹，每少清洁一次扣200元；每月对机库（无人机机场）进行巡检：舱门开合、密封防水、内部温湿度、散热、防尘滤网、干燥剂状态、接地与防雷检查，每少巡检一次扣200元。</w:t>
      </w:r>
      <w:r/>
    </w:p>
    <w:p>
      <w:pPr>
        <w:ind w:left="0" w:firstLine="482"/>
        <w:jc w:val="left"/>
        <w:spacing w:line="360" w:lineRule="exact"/>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5.3.台账及报告管理</w:t>
      </w:r>
      <w:r/>
    </w:p>
    <w:p>
      <w:pPr>
        <w:ind w:firstLine="480"/>
        <w:jc w:val="left"/>
        <w:spacing w:line="360" w:lineRule="exact"/>
        <w:rPr>
          <w:rFonts w:hint="eastAsia" w:ascii="宋体" w:hAnsi="宋体" w:eastAsia="宋体" w:cs="宋体"/>
          <w:lang w:val="en-US" w:eastAsia="zh-CN"/>
        </w:rPr>
      </w:pPr>
      <w:r>
        <w:rPr>
          <w:rFonts w:hint="eastAsia" w:ascii="宋体" w:hAnsi="宋体" w:eastAsia="宋体" w:cs="宋体"/>
          <w:b w:val="0"/>
          <w:bCs w:val="0"/>
          <w:sz w:val="24"/>
          <w:szCs w:val="24"/>
          <w:lang w:val="en-US" w:eastAsia="zh-CN" w:bidi="ar-SA"/>
        </w:rPr>
        <w:t xml:space="preserve">记录巡检与养护台账，上报设备损耗、故障、需更换备件等情况，每少一次台账扣100元；对数据进行分类归档与成果交付，确保数据可追溯、可查询、可复用，每缺一次成果扣200元；做好运维档案，每两月提交记录，每年提供年度报告，若甲方运维科室及分管领导综合评定报告不合格，扣2000-3000元。</w:t>
      </w:r>
      <w:r/>
    </w:p>
    <w:p>
      <w:pPr>
        <w:ind w:left="0" w:firstLine="482"/>
        <w:jc w:val="left"/>
        <w:spacing w:line="360" w:lineRule="exact"/>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6.流量设备校测</w:t>
      </w:r>
      <w:r/>
    </w:p>
    <w:p>
      <w:pPr>
        <w:ind w:left="0" w:firstLine="480"/>
        <w:jc w:val="left"/>
        <w:spacing w:line="3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流量校测针对已建设的24台流量站进行流量校测比对，每年度每个测量校测次数不少于12次。测量需满足《河流流量测验规范》（GB 50179-2015）等规范要求。所有校测结果需要经进行专家评审，对无法率定出校正关系的测站需做说明，并由业主及专家进行审议;对受工情、水情条件以及安装选址限制无法率定出关系线的测站，需分析原因并根据比测情况提出调整建议。</w:t>
      </w:r>
      <w:r/>
    </w:p>
    <w:p>
      <w:pPr>
        <w:ind w:left="0" w:firstLine="482"/>
        <w:jc w:val="left"/>
        <w:spacing w:line="360" w:lineRule="exact"/>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6.1.测量断面选取</w:t>
      </w:r>
      <w:r/>
    </w:p>
    <w:p>
      <w:pPr>
        <w:ind w:left="0" w:firstLine="480"/>
        <w:jc w:val="left"/>
        <w:spacing w:line="3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现场测量点位需在流量站上下游200米内，且选取的点位满足满足河道顺直、稳定、无分流、无回流、无漩涡，水流与断面垂直；河床稳定，无明显冲淤变化，若选址不合理，每一个点扣500元。</w:t>
      </w:r>
      <w:r/>
    </w:p>
    <w:p>
      <w:pPr>
        <w:ind w:left="0" w:firstLine="482"/>
        <w:jc w:val="left"/>
        <w:spacing w:line="360" w:lineRule="exact"/>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6.2.测量频次</w:t>
      </w:r>
      <w:r/>
    </w:p>
    <w:p>
      <w:pPr>
        <w:ind w:left="0" w:firstLine="480"/>
        <w:jc w:val="left"/>
        <w:spacing w:line="3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每个流量站点年度日常测量10次，汛前、汛后需额外补充测量各1次，单站点合计年测量不少于12次，每少一次扣500元。</w:t>
      </w:r>
      <w:r/>
    </w:p>
    <w:p>
      <w:pPr>
        <w:ind w:left="0" w:firstLine="482"/>
        <w:jc w:val="left"/>
        <w:spacing w:line="360" w:lineRule="exact"/>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6.3.数据整编</w:t>
      </w:r>
      <w:r/>
    </w:p>
    <w:p>
      <w:pPr>
        <w:ind w:left="0" w:firstLine="480"/>
        <w:jc w:val="left"/>
        <w:spacing w:line="3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（1）现场记录</w:t>
      </w:r>
      <w:r/>
    </w:p>
    <w:p>
      <w:pPr>
        <w:ind w:left="0" w:firstLine="480"/>
        <w:jc w:val="left"/>
        <w:spacing w:line="3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完整记录：断面号、水位、水温、天气、测速历时、测点流速、仪器编号、观测人。异常数据（跳变、负值、不合理）当场复测并注明原因。每少一次记录扣200元。</w:t>
      </w:r>
      <w:r/>
    </w:p>
    <w:p>
      <w:pPr>
        <w:ind w:left="0" w:firstLine="480"/>
        <w:jc w:val="left"/>
        <w:spacing w:line="3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（2）数据处理</w:t>
      </w:r>
      <w:r/>
    </w:p>
    <w:p>
      <w:pPr>
        <w:ind w:left="0" w:firstLine="480"/>
        <w:jc w:val="left"/>
        <w:spacing w:line="3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依据现场原始测量数据对流速、水位等测量数据进行处理，最终得出流量测量结果。</w:t>
      </w:r>
      <w:r/>
    </w:p>
    <w:p>
      <w:pPr>
        <w:ind w:left="0" w:firstLine="482"/>
        <w:jc w:val="left"/>
        <w:spacing w:line="360" w:lineRule="exact"/>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6.4.台账与报告管理</w:t>
      </w:r>
      <w:r/>
    </w:p>
    <w:p>
      <w:pPr>
        <w:ind w:left="0" w:firstLine="480"/>
        <w:jc w:val="left"/>
        <w:spacing w:line="36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记录巡检与养护台账，每少一次台账扣100元；对数据进行分类归档与成果交付，确保数据可追溯、可查询、可复用，每缺一次成果扣200元；做好运维档案，每两月提交记录，每年提供年度报告，若甲方运维科室及分管领导综合评定报告不合格，扣2000-3000元。</w:t>
      </w:r>
      <w:r/>
    </w:p>
    <w:p>
      <w:pPr>
        <w:ind w:left="0" w:firstLine="482"/>
        <w:jc w:val="left"/>
        <w:spacing w:line="360" w:lineRule="exact"/>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7.保密要求</w:t>
      </w:r>
      <w:r/>
    </w:p>
    <w:p>
      <w:pPr>
        <w:ind w:left="0" w:firstLine="480"/>
        <w:jc w:val="left"/>
        <w:spacing w:line="360" w:lineRule="exact"/>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运维单位须严格恪守甲方的保密管理制度，并与甲方正式签署《单位保密协议》及《运维人员个人保密承诺书》。若发生泄密事件，一经核实，甲方有权依据违规情节轻重及造成的后果，在当期运维费用中直接扣除1,000元至10,000元作为违约金；情节严重造成重大损失的，甲方保留进一步追究法律责任的权利。</w:t>
      </w:r>
      <w:r/>
    </w:p>
    <w:p>
      <w:pPr>
        <w:pStyle w:val="848"/>
        <w:ind w:left="0" w:firstLine="0"/>
        <w:rPr>
          <w:rFonts w:hint="eastAsia"/>
          <w:lang w:val="en-US" w:eastAsia="zh-CN"/>
        </w:rPr>
      </w:pPr>
      <w:r>
        <w:rPr>
          <w:rFonts w:hint="eastAsia"/>
          <w:lang w:val="en-US" w:eastAsia="zh-CN"/>
        </w:rPr>
      </w:r>
      <w:r/>
    </w:p>
    <w:p>
      <w:pPr>
        <w:ind w:left="400" w:firstLine="480"/>
        <w:jc w:val="both"/>
        <w:spacing w:line="3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r>
      <w:bookmarkEnd w:id="35"/>
      <w:bookmarkEnd w:id="37"/>
      <w:bookmarkEnd w:id="38"/>
      <w:r/>
    </w:p>
    <w:p>
      <w:pPr>
        <w:rPr>
          <w:rFonts w:hint="eastAsia" w:ascii="宋体" w:hAnsi="宋体" w:eastAsia="宋体" w:cs="宋体"/>
          <w:b w:val="0"/>
          <w:bCs w:val="0"/>
          <w:color w:val="auto"/>
          <w:sz w:val="24"/>
          <w:szCs w:val="24"/>
          <w:highlight w:val="none"/>
        </w:rPr>
      </w:pPr>
      <w:r/>
      <w:bookmarkStart w:id="41" w:name="_Toc388026588"/>
      <w:r/>
      <w:bookmarkStart w:id="42" w:name="_Toc494471875"/>
      <w:r/>
      <w:bookmarkStart w:id="43" w:name="_Toc160701728"/>
      <w:r/>
      <w:r/>
    </w:p>
    <w:p>
      <w:pPr>
        <w:pStyle w:val="1132"/>
        <w:ind w:firstLine="0"/>
        <w:jc w:val="left"/>
        <w:spacing w:line="240" w:lineRule="auto"/>
        <w:shd w:val="clear" w:color="auto" w:fill="ffff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br w:type="page" w:clear="all"/>
      </w:r>
      <w:r/>
    </w:p>
    <w:p>
      <w:pPr>
        <w:pStyle w:val="837"/>
        <w:jc w:val="center"/>
        <w:spacing w:before="0" w:after="0" w:line="579"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pStyle w:val="837"/>
        <w:jc w:val="center"/>
        <w:spacing w:before="0" w:after="0" w:line="579" w:lineRule="auto"/>
        <w:rPr>
          <w:rFonts w:ascii="宋体" w:hAnsi="宋体" w:eastAsia="宋体" w:cs="宋体"/>
          <w:b w:val="0"/>
          <w:bCs w:val="0"/>
          <w:color w:val="auto"/>
          <w:sz w:val="24"/>
          <w:szCs w:val="24"/>
          <w:highlight w:val="none"/>
        </w:rPr>
      </w:pPr>
      <w:r>
        <w:rPr>
          <w:rFonts w:hint="eastAsia" w:ascii="宋体" w:hAnsi="宋体" w:eastAsia="宋体" w:cs="宋体"/>
          <w:b w:val="0"/>
          <w:bCs w:val="0"/>
          <w:color w:val="auto"/>
          <w:sz w:val="32"/>
          <w:szCs w:val="32"/>
          <w:highlight w:val="none"/>
        </w:rPr>
        <w:t xml:space="preserve">第六章 评标办法及标准</w:t>
      </w:r>
      <w:bookmarkEnd w:id="41"/>
      <w:r/>
      <w:bookmarkEnd w:id="42"/>
      <w:r/>
      <w:bookmarkEnd w:id="43"/>
      <w:r/>
      <w:r/>
    </w:p>
    <w:p>
      <w:pPr>
        <w:numPr>
          <w:ilvl w:val="0"/>
          <w:numId w:val="10"/>
        </w:numPr>
        <w:spacing w:line="2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评标办法：</w:t>
      </w:r>
      <w:r/>
    </w:p>
    <w:p>
      <w:pPr>
        <w:pStyle w:val="848"/>
        <w:numPr>
          <w:ilvl w:val="0"/>
          <w:numId w:val="0"/>
        </w:numPr>
        <w:rPr>
          <w:rFonts w:hint="eastAsia" w:hAnsi="宋体" w:cs="宋体"/>
        </w:rPr>
      </w:pPr>
      <w:r>
        <w:rPr>
          <w:rFonts w:hint="eastAsia" w:hAnsi="宋体" w:cs="宋体"/>
        </w:rPr>
      </w:r>
      <w:r/>
    </w:p>
    <w:p>
      <w:pPr>
        <w:pStyle w:val="1091"/>
        <w:ind w:firstLine="480"/>
        <w:jc w:val="left"/>
        <w:spacing w:line="360" w:lineRule="auto"/>
        <w:rPr>
          <w:rFonts w:hint="eastAsia" w:hAnsi="宋体" w:eastAsia="宋体" w:cs="宋体"/>
          <w:b w:val="0"/>
          <w:bCs w:val="0"/>
          <w:color w:val="auto"/>
          <w:sz w:val="24"/>
          <w:szCs w:val="24"/>
          <w:highlight w:val="none"/>
        </w:rPr>
      </w:pPr>
      <w:r>
        <w:rPr>
          <w:rFonts w:hint="eastAsia" w:hAnsi="宋体" w:eastAsia="宋体" w:cs="宋体"/>
          <w:b w:val="0"/>
          <w:bCs w:val="0"/>
          <w:color w:val="auto"/>
          <w:sz w:val="24"/>
          <w:szCs w:val="24"/>
          <w:highlight w:val="none"/>
        </w:rPr>
        <w:t xml:space="preserve">1、本次招标评标采用为综合评分法</w:t>
      </w:r>
      <w:r>
        <w:rPr>
          <w:rFonts w:hint="eastAsia" w:hAnsi="宋体" w:eastAsia="宋体" w:cs="宋体"/>
          <w:b w:val="0"/>
          <w:bCs w:val="0"/>
          <w:color w:val="auto"/>
          <w:sz w:val="24"/>
          <w:szCs w:val="24"/>
          <w:highlight w:val="none"/>
        </w:rPr>
        <w:t xml:space="preserve">，即在满足招标文件实质性要求前提下，评标委员会按照招标文件中规定的评分标准和各项因素进行综合评审后，按评标总得分高低顺序推荐中标候选供应商。</w:t>
      </w:r>
      <w:r/>
    </w:p>
    <w:p>
      <w:pPr>
        <w:pStyle w:val="1091"/>
        <w:ind w:firstLine="480"/>
        <w:jc w:val="left"/>
        <w:spacing w:line="360" w:lineRule="auto"/>
        <w:rPr>
          <w:rFonts w:hint="eastAsia" w:hAnsi="宋体" w:eastAsia="宋体" w:cs="宋体"/>
          <w:b w:val="0"/>
          <w:bCs w:val="0"/>
          <w:color w:val="auto"/>
          <w:sz w:val="24"/>
          <w:szCs w:val="24"/>
          <w:highlight w:val="none"/>
        </w:rPr>
      </w:pPr>
      <w:r>
        <w:rPr>
          <w:rFonts w:hint="eastAsia" w:hAnsi="宋体" w:eastAsia="宋体" w:cs="宋体"/>
          <w:b w:val="0"/>
          <w:bCs w:val="0"/>
          <w:color w:val="auto"/>
          <w:sz w:val="24"/>
          <w:szCs w:val="24"/>
          <w:highlight w:val="none"/>
        </w:rPr>
        <w:t xml:space="preserve">2、评标时，评标委员会成员按照招标文件规定的评分标准，独立对每个供应商的投标文件进行评价、打分。将评委对投标文件的除价格部分外的其他因素评分，并按算术平均法汇总，计算出每个供应商的除价格部分外的其他因素评审得分（保留小数点后两位）。价格标得分按法规规定的计算公式直接计算取得。除价格部分外的其他因素评审得分和价格标得分相加即为供应商的评标总得分。</w:t>
      </w:r>
      <w:r/>
    </w:p>
    <w:p>
      <w:pPr>
        <w:pStyle w:val="1091"/>
        <w:ind w:firstLine="480"/>
        <w:jc w:val="left"/>
        <w:spacing w:line="360" w:lineRule="auto"/>
        <w:rPr>
          <w:rFonts w:hint="eastAsia" w:hAnsi="宋体" w:eastAsia="宋体" w:cs="宋体"/>
          <w:b w:val="0"/>
          <w:bCs w:val="0"/>
          <w:color w:val="auto"/>
          <w:sz w:val="24"/>
          <w:szCs w:val="24"/>
          <w:highlight w:val="none"/>
          <w:lang w:val="en-US" w:eastAsia="zh-CN"/>
        </w:rPr>
      </w:pPr>
      <w:r>
        <w:rPr>
          <w:rFonts w:hint="eastAsia" w:hAnsi="宋体" w:eastAsia="宋体" w:cs="宋体"/>
          <w:b w:val="0"/>
          <w:bCs w:val="0"/>
          <w:color w:val="auto"/>
          <w:sz w:val="24"/>
          <w:szCs w:val="24"/>
          <w:highlight w:val="none"/>
          <w:lang w:val="en-US" w:eastAsia="zh-CN"/>
        </w:rPr>
        <w:t xml:space="preserve">3、异常低价问题执行“苏财购〔2025］62号”文件。</w:t>
      </w:r>
      <w:r/>
    </w:p>
    <w:p>
      <w:pPr>
        <w:pStyle w:val="1091"/>
        <w:ind w:firstLine="480"/>
        <w:jc w:val="left"/>
        <w:spacing w:line="360" w:lineRule="auto"/>
        <w:rPr>
          <w:rFonts w:hint="eastAsia" w:hAnsi="宋体" w:eastAsia="宋体" w:cs="宋体"/>
          <w:b w:val="0"/>
          <w:bCs w:val="0"/>
          <w:color w:val="auto"/>
          <w:sz w:val="24"/>
          <w:szCs w:val="24"/>
          <w:highlight w:val="none"/>
        </w:rPr>
      </w:pPr>
      <w:r>
        <w:rPr>
          <w:rFonts w:hint="eastAsia" w:hAnsi="宋体" w:eastAsia="宋体" w:cs="宋体"/>
          <w:b w:val="0"/>
          <w:bCs w:val="0"/>
          <w:color w:val="auto"/>
          <w:sz w:val="24"/>
          <w:szCs w:val="24"/>
          <w:highlight w:val="none"/>
          <w:lang w:val="en-US" w:eastAsia="zh-CN"/>
        </w:rPr>
        <w:t xml:space="preserve">4</w:t>
      </w:r>
      <w:r>
        <w:rPr>
          <w:rFonts w:hint="eastAsia" w:hAnsi="宋体" w:eastAsia="宋体" w:cs="宋体"/>
          <w:b w:val="0"/>
          <w:bCs w:val="0"/>
          <w:color w:val="auto"/>
          <w:sz w:val="24"/>
          <w:szCs w:val="24"/>
          <w:highlight w:val="none"/>
        </w:rPr>
        <w:t xml:space="preserve">、中标候选人并列的，以投标报价较低者优先作为中标候选人，如果投标报价也相同的，则由招标单位组织以抽签方式确</w:t>
      </w:r>
      <w:bookmarkStart w:id="44" w:name="_GoBack"/>
      <w:r/>
      <w:bookmarkEnd w:id="44"/>
      <w:r>
        <w:rPr>
          <w:rFonts w:hint="eastAsia" w:hAnsi="宋体" w:eastAsia="宋体" w:cs="宋体"/>
          <w:b w:val="0"/>
          <w:bCs w:val="0"/>
          <w:color w:val="auto"/>
          <w:sz w:val="24"/>
          <w:szCs w:val="24"/>
          <w:highlight w:val="none"/>
        </w:rPr>
        <w:t xml:space="preserve">定中标候选人。</w:t>
      </w:r>
      <w:r/>
    </w:p>
    <w:p>
      <w:pPr>
        <w:ind w:firstLine="480"/>
        <w:spacing w:line="360" w:lineRule="auto"/>
        <w:rPr>
          <w:rFonts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、针对中小型企业、残疾人福利企业和监狱企业的评审：</w:t>
      </w:r>
      <w:r/>
    </w:p>
    <w:p>
      <w:pPr>
        <w:ind w:firstLine="480"/>
        <w:spacing w:line="360" w:lineRule="auto"/>
        <w:rPr>
          <w:rFonts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gt;的通知》（苏财购〔2022〕16号）的有关规定，本项目为专门面向中小企业采购的项目，不再执行价格评审优惠的扶持政策。</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供应商必须提供《中小企业声明函》或《残疾人福利性单位声明函》或由省级以上监狱管理局、戒毒管理局（含新疆生产建设兵团）出具的属于监狱企业的证明文件。</w:t>
      </w:r>
      <w:r/>
    </w:p>
    <w:p>
      <w:pPr>
        <w:ind w:left="0" w:firstLine="480"/>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ind w:left="0" w:firstLine="0"/>
        <w:jc w:val="left"/>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br w:type="page" w:clear="all"/>
      </w:r>
      <w:r/>
    </w:p>
    <w:p>
      <w:pPr>
        <w:ind w:left="0" w:firstLine="480"/>
        <w:jc w:val="center"/>
        <w:spacing w:line="360" w:lineRule="auto"/>
        <w:rPr>
          <w:rFonts w:hint="eastAsia" w:ascii="宋体" w:hAnsi="宋体" w:eastAsia="宋体" w:cs="宋体"/>
          <w:b w:val="0"/>
          <w:bCs w:val="0"/>
          <w:color w:val="auto"/>
          <w:sz w:val="28"/>
          <w:szCs w:val="28"/>
          <w:highlight w:val="yellow"/>
        </w:rPr>
      </w:pPr>
      <w:r>
        <w:rPr>
          <w:rFonts w:hint="eastAsia" w:ascii="宋体" w:hAnsi="宋体" w:eastAsia="宋体" w:cs="宋体"/>
          <w:b w:val="0"/>
          <w:bCs w:val="0"/>
          <w:color w:val="auto"/>
          <w:sz w:val="28"/>
          <w:szCs w:val="28"/>
          <w:highlight w:val="yellow"/>
        </w:rPr>
      </w:r>
      <w:r/>
    </w:p>
    <w:p>
      <w:pPr>
        <w:ind w:left="0" w:firstLine="480"/>
        <w:jc w:val="center"/>
        <w:spacing w:line="360" w:lineRule="auto"/>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rPr>
        <w:t xml:space="preserve">以下评分标准适用于标段</w:t>
      </w:r>
      <w:r>
        <w:rPr>
          <w:rFonts w:hint="eastAsia" w:ascii="宋体" w:hAnsi="宋体" w:eastAsia="宋体" w:cs="宋体"/>
          <w:b w:val="0"/>
          <w:bCs w:val="0"/>
          <w:color w:val="auto"/>
          <w:sz w:val="28"/>
          <w:szCs w:val="28"/>
          <w:highlight w:val="none"/>
          <w:lang w:val="en-US" w:eastAsia="zh-CN"/>
        </w:rPr>
        <w:t xml:space="preserve">一</w:t>
      </w:r>
      <w:r/>
    </w:p>
    <w:p>
      <w:pPr>
        <w:pStyle w:val="848"/>
        <w:rPr>
          <w:rFonts w:hint="eastAsia" w:hAnsi="宋体" w:eastAsia="宋体" w:cs="宋体"/>
          <w:b w:val="0"/>
          <w:bCs w:val="0"/>
          <w:sz w:val="24"/>
          <w:szCs w:val="24"/>
          <w:lang w:val="en-US" w:eastAsia="zh-CN"/>
        </w:rPr>
      </w:pPr>
      <w:r>
        <w:rPr>
          <w:rFonts w:hint="eastAsia" w:hAnsi="宋体" w:eastAsia="宋体" w:cs="宋体"/>
          <w:b w:val="0"/>
          <w:bCs w:val="0"/>
          <w:sz w:val="24"/>
          <w:szCs w:val="24"/>
          <w:lang w:val="en-US" w:eastAsia="zh-CN"/>
        </w:rPr>
      </w:r>
      <w:r/>
    </w:p>
    <w:p>
      <w:pPr>
        <w:ind w:firstLine="422"/>
        <w:spacing w:line="360" w:lineRule="auto"/>
        <w:shd w:val="clear" w:color="auto" w:fill="auto"/>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一）价格分（</w:t>
      </w: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rPr>
        <w:t xml:space="preserve">0分）</w:t>
      </w:r>
      <w:r/>
    </w:p>
    <w:p>
      <w:pPr>
        <w:ind w:firstLine="420"/>
        <w:spacing w:line="360" w:lineRule="auto"/>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第一步：投标报价低于或等于预算价格的，为有效投标报价。超预算的投标报价为无效投标报价。</w:t>
      </w:r>
      <w:r/>
    </w:p>
    <w:p>
      <w:pPr>
        <w:ind w:firstLine="420"/>
        <w:spacing w:line="360" w:lineRule="auto"/>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第二步：在所有有效投标报价中满足招标文件要求，且投标价格最低的投标报价为评标基准价，其他投标人的价格分按照下列公式计算（计算结果四舍五入保留两位小数）。</w:t>
      </w:r>
      <w:r/>
    </w:p>
    <w:p>
      <w:pPr>
        <w:ind w:firstLine="420"/>
        <w:spacing w:line="360" w:lineRule="auto"/>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投标报价得分＝（评标基准价/投标报价）×</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0％×100</w:t>
      </w:r>
      <w:r/>
    </w:p>
    <w:p>
      <w:pPr>
        <w:numPr>
          <w:ilvl w:val="0"/>
          <w:numId w:val="11"/>
        </w:numPr>
        <w:ind w:firstLine="482"/>
        <w:jc w:val="both"/>
        <w:spacing w:line="360" w:lineRule="auto"/>
        <w:widowControl w:val="off"/>
        <w:rPr>
          <w:rFonts w:hint="eastAsia" w:ascii="宋体" w:hAnsi="宋体" w:eastAsia="宋体" w:cs="宋体"/>
          <w:b/>
          <w:bCs/>
          <w:color w:val="auto"/>
          <w:sz w:val="24"/>
          <w:szCs w:val="24"/>
          <w:shd w:val="clear" w:color="auto" w:fill="auto"/>
        </w:rPr>
      </w:pPr>
      <w:r>
        <w:rPr>
          <w:rFonts w:hint="eastAsia" w:ascii="宋体" w:hAnsi="宋体" w:eastAsia="宋体" w:cs="宋体"/>
          <w:b/>
          <w:bCs/>
          <w:color w:val="auto"/>
          <w:sz w:val="24"/>
          <w:szCs w:val="24"/>
          <w:shd w:val="clear" w:color="auto" w:fill="auto"/>
        </w:rPr>
        <w:t xml:space="preserve">技术及商务部分（90分）</w:t>
      </w:r>
      <w:r/>
    </w:p>
    <w:tbl>
      <w:tblPr>
        <w:tblStyle w:val="847"/>
        <w:tblW w:w="5000"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63"/>
        <w:gridCol w:w="1180"/>
        <w:gridCol w:w="6228"/>
        <w:gridCol w:w="517"/>
      </w:tblGrid>
      <w:tr>
        <w:trPr>
          <w:trHeight w:val="487"/>
        </w:trPr>
        <w:tc>
          <w:tcPr>
            <w:tcBorders>
              <w:top w:val="single" w:color="auto" w:sz="4" w:space="0"/>
              <w:left w:val="single" w:color="auto" w:sz="4" w:space="0"/>
              <w:bottom w:val="single" w:color="auto" w:sz="4" w:space="0"/>
              <w:right w:val="single" w:color="auto" w:sz="4" w:space="0"/>
            </w:tcBorders>
            <w:tcW w:w="734" w:type="pct"/>
            <w:vAlign w:val="center"/>
            <w:textDirection w:val="lrTb"/>
            <w:noWrap w:val="false"/>
          </w:tcPr>
          <w:p>
            <w:pPr>
              <w:jc w:val="center"/>
              <w:rPr>
                <w:rFonts w:hint="eastAsia" w:ascii="宋体" w:hAnsi="宋体" w:eastAsia="宋体" w:cs="宋体"/>
                <w:bCs/>
                <w:sz w:val="21"/>
                <w:szCs w:val="21"/>
              </w:rPr>
            </w:pPr>
            <w:r>
              <w:rPr>
                <w:rFonts w:hint="eastAsia" w:ascii="宋体" w:hAnsi="宋体" w:eastAsia="宋体" w:cs="宋体"/>
                <w:bCs/>
                <w:sz w:val="21"/>
                <w:szCs w:val="21"/>
              </w:rPr>
              <w:t xml:space="preserve">评审类别</w:t>
            </w:r>
            <w:r/>
          </w:p>
        </w:tc>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center"/>
              <w:rPr>
                <w:rFonts w:hint="eastAsia" w:ascii="宋体" w:hAnsi="宋体" w:eastAsia="宋体" w:cs="宋体"/>
                <w:bCs/>
                <w:sz w:val="21"/>
                <w:szCs w:val="21"/>
              </w:rPr>
            </w:pPr>
            <w:r>
              <w:rPr>
                <w:rFonts w:hint="eastAsia" w:ascii="宋体" w:hAnsi="宋体" w:eastAsia="宋体" w:cs="宋体"/>
                <w:bCs/>
                <w:sz w:val="21"/>
                <w:szCs w:val="21"/>
              </w:rPr>
              <w:t xml:space="preserve">评审项</w:t>
            </w:r>
            <w:r/>
          </w:p>
        </w:tc>
        <w:tc>
          <w:tcPr>
            <w:tcBorders>
              <w:top w:val="single" w:color="auto" w:sz="4" w:space="0"/>
              <w:left w:val="single" w:color="auto" w:sz="4" w:space="0"/>
              <w:bottom w:val="single" w:color="auto" w:sz="4" w:space="0"/>
              <w:right w:val="single" w:color="auto" w:sz="4" w:space="0"/>
            </w:tcBorders>
            <w:tcW w:w="3351" w:type="pct"/>
            <w:vAlign w:val="center"/>
            <w:textDirection w:val="lrTb"/>
            <w:noWrap w:val="false"/>
          </w:tcPr>
          <w:p>
            <w:pPr>
              <w:jc w:val="center"/>
              <w:rPr>
                <w:rFonts w:hint="eastAsia" w:ascii="宋体" w:hAnsi="宋体" w:eastAsia="宋体" w:cs="宋体"/>
                <w:bCs/>
                <w:sz w:val="21"/>
                <w:szCs w:val="21"/>
              </w:rPr>
            </w:pPr>
            <w:r>
              <w:rPr>
                <w:rFonts w:hint="eastAsia" w:ascii="宋体" w:hAnsi="宋体" w:eastAsia="宋体" w:cs="宋体"/>
                <w:bCs/>
                <w:sz w:val="21"/>
                <w:szCs w:val="21"/>
              </w:rPr>
              <w:t xml:space="preserve">评审规则</w:t>
            </w:r>
            <w:r/>
          </w:p>
        </w:tc>
        <w:tc>
          <w:tcPr>
            <w:tcBorders>
              <w:top w:val="single" w:color="auto" w:sz="4" w:space="0"/>
              <w:left w:val="single" w:color="auto" w:sz="4" w:space="0"/>
              <w:bottom w:val="single" w:color="auto" w:sz="4" w:space="0"/>
              <w:right w:val="single" w:color="auto" w:sz="4" w:space="0"/>
            </w:tcBorders>
            <w:tcW w:w="278" w:type="pct"/>
            <w:vAlign w:val="center"/>
            <w:textDirection w:val="lrTb"/>
            <w:noWrap w:val="false"/>
          </w:tcPr>
          <w:p>
            <w:pPr>
              <w:jc w:val="center"/>
              <w:rPr>
                <w:rFonts w:hint="eastAsia" w:ascii="宋体" w:hAnsi="宋体" w:eastAsia="宋体" w:cs="宋体"/>
                <w:bCs/>
                <w:sz w:val="21"/>
                <w:szCs w:val="21"/>
              </w:rPr>
            </w:pPr>
            <w:r>
              <w:rPr>
                <w:rFonts w:hint="eastAsia" w:ascii="宋体" w:hAnsi="宋体" w:eastAsia="宋体" w:cs="宋体"/>
                <w:bCs/>
                <w:sz w:val="21"/>
                <w:szCs w:val="21"/>
              </w:rPr>
              <w:t xml:space="preserve">分值</w:t>
            </w:r>
            <w:r/>
          </w:p>
        </w:tc>
      </w:tr>
      <w:tr>
        <w:trPr>
          <w:trHeight w:val="932"/>
        </w:trPr>
        <w:tc>
          <w:tcPr>
            <w:tcBorders>
              <w:top w:val="none" w:color="000000" w:sz="4" w:space="0"/>
              <w:left w:val="single" w:color="auto" w:sz="4" w:space="0"/>
              <w:right w:val="single" w:color="auto" w:sz="4" w:space="0"/>
            </w:tcBorders>
            <w:tcW w:w="734" w:type="pct"/>
            <w:vAlign w:val="center"/>
            <w:vMerge w:val="restart"/>
            <w:textDirection w:val="lrTb"/>
            <w:noWrap w:val="false"/>
          </w:tcPr>
          <w:p>
            <w:pPr>
              <w:jc w:val="left"/>
              <w:rPr>
                <w:rFonts w:hint="eastAsia" w:ascii="宋体" w:hAnsi="宋体" w:eastAsia="宋体" w:cs="宋体"/>
                <w:bCs/>
                <w:sz w:val="21"/>
                <w:szCs w:val="21"/>
              </w:rPr>
            </w:pPr>
            <w:r>
              <w:rPr>
                <w:rFonts w:hint="eastAsia" w:ascii="宋体" w:hAnsi="宋体" w:eastAsia="宋体" w:cs="宋体"/>
                <w:b/>
                <w:bCs w:val="0"/>
                <w:sz w:val="21"/>
                <w:szCs w:val="21"/>
              </w:rPr>
              <w:t xml:space="preserve">技术</w:t>
            </w:r>
            <w:r>
              <w:rPr>
                <w:rFonts w:hint="eastAsia" w:ascii="宋体" w:hAnsi="宋体" w:eastAsia="宋体" w:cs="宋体"/>
                <w:b/>
                <w:bCs w:val="0"/>
                <w:sz w:val="21"/>
                <w:szCs w:val="21"/>
                <w:lang w:eastAsia="zh-CN"/>
              </w:rPr>
              <w:t xml:space="preserve">方案</w:t>
            </w:r>
            <w:r>
              <w:rPr>
                <w:rFonts w:hint="eastAsia" w:ascii="宋体" w:hAnsi="宋体" w:eastAsia="宋体" w:cs="宋体"/>
                <w:b/>
                <w:bCs w:val="0"/>
                <w:sz w:val="21"/>
                <w:szCs w:val="21"/>
              </w:rPr>
              <w:t xml:space="preserve">(6</w:t>
            </w:r>
            <w:r>
              <w:rPr>
                <w:rFonts w:hint="eastAsia" w:ascii="宋体" w:hAnsi="宋体" w:eastAsia="宋体" w:cs="宋体"/>
                <w:b/>
                <w:bCs w:val="0"/>
                <w:sz w:val="21"/>
                <w:szCs w:val="21"/>
                <w:lang w:val="en-US" w:eastAsia="zh-CN"/>
              </w:rPr>
              <w:t xml:space="preserve">8</w:t>
            </w:r>
            <w:r>
              <w:rPr>
                <w:rFonts w:hint="eastAsia" w:ascii="宋体" w:hAnsi="宋体" w:eastAsia="宋体" w:cs="宋体"/>
                <w:b/>
                <w:bCs w:val="0"/>
                <w:sz w:val="21"/>
                <w:szCs w:val="21"/>
              </w:rPr>
              <w:t xml:space="preserve">分)</w:t>
            </w:r>
            <w:r/>
          </w:p>
        </w:tc>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项目现状分析</w:t>
            </w:r>
            <w:r/>
          </w:p>
          <w:p>
            <w:pPr>
              <w:pStyle w:val="1132"/>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3351" w:type="pct"/>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b w:val="0"/>
                <w:bCs w:val="0"/>
                <w:sz w:val="21"/>
                <w:szCs w:val="21"/>
              </w:rPr>
              <w:t xml:space="preserve">根据供应商针对本项目全方位的现状分析方案进行评分，包含硬件清单、网络状况、安全体系：方案完整合理、完全符合本项目实际，得</w:t>
            </w:r>
            <w:r>
              <w:rPr>
                <w:rFonts w:hint="eastAsia" w:ascii="宋体" w:hAnsi="宋体" w:eastAsia="宋体" w:cs="宋体"/>
                <w:b w:val="0"/>
                <w:bCs w:val="0"/>
                <w:sz w:val="21"/>
                <w:szCs w:val="21"/>
                <w:lang w:val="en-US" w:eastAsia="zh-CN"/>
              </w:rPr>
              <w:t xml:space="preserve">12</w:t>
            </w:r>
            <w:r>
              <w:rPr>
                <w:rFonts w:hint="eastAsia" w:ascii="宋体" w:hAnsi="宋体" w:eastAsia="宋体" w:cs="宋体"/>
                <w:b w:val="0"/>
                <w:bCs w:val="0"/>
                <w:sz w:val="21"/>
                <w:szCs w:val="21"/>
              </w:rPr>
              <w:t xml:space="preserve">分；方案比较合理、较好符合本项目实际，得</w:t>
            </w:r>
            <w:r>
              <w:rPr>
                <w:rFonts w:hint="eastAsia" w:ascii="宋体" w:hAnsi="宋体" w:eastAsia="宋体" w:cs="宋体"/>
                <w:b w:val="0"/>
                <w:bCs w:val="0"/>
                <w:sz w:val="21"/>
                <w:szCs w:val="21"/>
                <w:lang w:val="en-US" w:eastAsia="zh-CN"/>
              </w:rPr>
              <w:t xml:space="preserve">6</w:t>
            </w:r>
            <w:r>
              <w:rPr>
                <w:rFonts w:hint="eastAsia" w:ascii="宋体" w:hAnsi="宋体" w:eastAsia="宋体" w:cs="宋体"/>
                <w:b w:val="0"/>
                <w:bCs w:val="0"/>
                <w:sz w:val="21"/>
                <w:szCs w:val="21"/>
              </w:rPr>
              <w:t xml:space="preserve">分；方案基本完整、基本满足本项目实际，得</w:t>
            </w:r>
            <w:r>
              <w:rPr>
                <w:rFonts w:hint="eastAsia" w:ascii="宋体" w:hAnsi="宋体" w:eastAsia="宋体" w:cs="宋体"/>
                <w:b w:val="0"/>
                <w:bCs w:val="0"/>
                <w:sz w:val="21"/>
                <w:szCs w:val="21"/>
                <w:lang w:val="en-US" w:eastAsia="zh-CN"/>
              </w:rPr>
              <w:t xml:space="preserve">2</w:t>
            </w:r>
            <w:r>
              <w:rPr>
                <w:rFonts w:hint="eastAsia" w:ascii="宋体" w:hAnsi="宋体" w:eastAsia="宋体" w:cs="宋体"/>
                <w:b w:val="0"/>
                <w:bCs w:val="0"/>
                <w:sz w:val="21"/>
                <w:szCs w:val="21"/>
              </w:rPr>
              <w:t xml:space="preserve">分； 没有提供对应方案的，得0分。</w:t>
            </w:r>
            <w:r/>
          </w:p>
        </w:tc>
        <w:tc>
          <w:tcPr>
            <w:tcBorders>
              <w:top w:val="single" w:color="auto" w:sz="4" w:space="0"/>
              <w:left w:val="single" w:color="auto" w:sz="4" w:space="0"/>
              <w:bottom w:val="single" w:color="auto" w:sz="4" w:space="0"/>
              <w:right w:val="single" w:color="auto" w:sz="4" w:space="0"/>
            </w:tcBorders>
            <w:tcW w:w="278" w:type="pct"/>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12</w:t>
            </w:r>
            <w:r/>
          </w:p>
        </w:tc>
      </w:tr>
      <w:tr>
        <w:trPr>
          <w:trHeight w:val="1258"/>
        </w:trPr>
        <w:tc>
          <w:tcPr>
            <w:tcBorders>
              <w:left w:val="single" w:color="auto" w:sz="4" w:space="0"/>
              <w:right w:val="single" w:color="auto" w:sz="4" w:space="0"/>
            </w:tcBorders>
            <w:tcW w:w="734" w:type="pct"/>
            <w:vAlign w:val="center"/>
            <w:vMerge w:val="continue"/>
            <w:textDirection w:val="lrTb"/>
            <w:noWrap w:val="false"/>
          </w:tcPr>
          <w:p>
            <w:pPr>
              <w:jc w:val="left"/>
              <w:rPr>
                <w:rFonts w:hint="eastAsia" w:ascii="宋体" w:hAnsi="宋体" w:eastAsia="宋体" w:cs="宋体"/>
                <w:bCs/>
                <w:sz w:val="21"/>
                <w:szCs w:val="21"/>
              </w:rPr>
            </w:pPr>
            <w:r>
              <w:rPr>
                <w:rFonts w:hint="eastAsia" w:ascii="宋体" w:hAnsi="宋体" w:eastAsia="宋体" w:cs="宋体"/>
                <w:bCs/>
                <w:sz w:val="21"/>
                <w:szCs w:val="21"/>
              </w:rPr>
            </w:r>
            <w:r/>
          </w:p>
        </w:tc>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设备运维方案</w:t>
            </w:r>
            <w:r/>
          </w:p>
          <w:p>
            <w:pPr>
              <w:pStyle w:val="1132"/>
              <w:ind w:firstLine="0"/>
              <w:jc w:val="center"/>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Borders>
              <w:top w:val="single" w:color="auto" w:sz="4" w:space="0"/>
              <w:left w:val="single" w:color="auto" w:sz="4" w:space="0"/>
              <w:bottom w:val="single" w:color="auto" w:sz="4" w:space="0"/>
              <w:right w:val="single" w:color="auto" w:sz="4" w:space="0"/>
            </w:tcBorders>
            <w:tcW w:w="3351" w:type="pct"/>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根据供应商针对本项目提供的设备运维方案进行评分，包含硬件运维方案、运维流程：方案完整合理、可行性强，完全满足本项目实际使用要求，得1</w:t>
            </w:r>
            <w:r>
              <w:rPr>
                <w:rFonts w:hint="eastAsia" w:ascii="宋体" w:hAnsi="宋体" w:eastAsia="宋体" w:cs="宋体"/>
                <w:bCs/>
                <w:sz w:val="21"/>
                <w:szCs w:val="21"/>
                <w:lang w:val="en-US" w:eastAsia="zh-CN"/>
              </w:rPr>
              <w:t xml:space="preserve">6</w:t>
            </w:r>
            <w:r>
              <w:rPr>
                <w:rFonts w:hint="eastAsia" w:ascii="宋体" w:hAnsi="宋体" w:eastAsia="宋体" w:cs="宋体"/>
                <w:bCs/>
                <w:sz w:val="21"/>
                <w:szCs w:val="21"/>
              </w:rPr>
              <w:t xml:space="preserve">分；方案完整比较合理、可行性较强，较好满足本项目实际使用要求，得</w:t>
            </w:r>
            <w:r>
              <w:rPr>
                <w:rFonts w:hint="eastAsia" w:ascii="宋体" w:hAnsi="宋体" w:eastAsia="宋体" w:cs="宋体"/>
                <w:bCs/>
                <w:sz w:val="21"/>
                <w:szCs w:val="21"/>
                <w:lang w:val="en-US" w:eastAsia="zh-CN"/>
              </w:rPr>
              <w:t xml:space="preserve">12</w:t>
            </w:r>
            <w:r>
              <w:rPr>
                <w:rFonts w:hint="eastAsia" w:ascii="宋体" w:hAnsi="宋体" w:eastAsia="宋体" w:cs="宋体"/>
                <w:bCs/>
                <w:sz w:val="21"/>
                <w:szCs w:val="21"/>
              </w:rPr>
              <w:t xml:space="preserve">分；方案基本完整、可行性一般，基本满足本项目实际使用要求的，得</w:t>
            </w:r>
            <w:r>
              <w:rPr>
                <w:rFonts w:hint="eastAsia" w:ascii="宋体" w:hAnsi="宋体" w:eastAsia="宋体" w:cs="宋体"/>
                <w:bCs/>
                <w:sz w:val="21"/>
                <w:szCs w:val="21"/>
                <w:lang w:val="en-US" w:eastAsia="zh-CN"/>
              </w:rPr>
              <w:t xml:space="preserve">8</w:t>
            </w:r>
            <w:r>
              <w:rPr>
                <w:rFonts w:hint="eastAsia" w:ascii="宋体" w:hAnsi="宋体" w:eastAsia="宋体" w:cs="宋体"/>
                <w:bCs/>
                <w:sz w:val="21"/>
                <w:szCs w:val="21"/>
              </w:rPr>
              <w:t xml:space="preserve">分； </w:t>
            </w:r>
            <w:r>
              <w:rPr>
                <w:rFonts w:hint="eastAsia" w:ascii="宋体" w:hAnsi="宋体" w:eastAsia="宋体" w:cs="宋体"/>
                <w:bCs/>
                <w:sz w:val="21"/>
                <w:szCs w:val="21"/>
                <w:lang w:val="en-US" w:eastAsia="zh-CN"/>
              </w:rPr>
              <w:t xml:space="preserve">方案不够健全、流程不太规范的得2分，</w:t>
            </w:r>
            <w:r>
              <w:rPr>
                <w:rFonts w:hint="eastAsia" w:ascii="宋体" w:hAnsi="宋体" w:eastAsia="宋体" w:cs="宋体"/>
                <w:bCs/>
                <w:sz w:val="21"/>
                <w:szCs w:val="21"/>
              </w:rPr>
              <w:t xml:space="preserve">没有提供对应方案的，得0分。</w:t>
            </w:r>
            <w:r/>
          </w:p>
        </w:tc>
        <w:tc>
          <w:tcPr>
            <w:tcBorders>
              <w:top w:val="single" w:color="auto" w:sz="4" w:space="0"/>
              <w:left w:val="single" w:color="auto" w:sz="4" w:space="0"/>
              <w:bottom w:val="single" w:color="auto" w:sz="4" w:space="0"/>
              <w:right w:val="single" w:color="auto" w:sz="4" w:space="0"/>
            </w:tcBorders>
            <w:tcW w:w="278" w:type="pct"/>
            <w:vAlign w:val="center"/>
            <w:textDirection w:val="lrTb"/>
            <w:noWrap w:val="false"/>
          </w:tcPr>
          <w:p>
            <w:pPr>
              <w:jc w:val="center"/>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16</w:t>
            </w:r>
            <w:r/>
          </w:p>
        </w:tc>
      </w:tr>
      <w:tr>
        <w:trPr>
          <w:trHeight w:val="978"/>
        </w:trPr>
        <w:tc>
          <w:tcPr>
            <w:tcBorders>
              <w:left w:val="single" w:color="auto" w:sz="4" w:space="0"/>
              <w:right w:val="single" w:color="auto" w:sz="4" w:space="0"/>
            </w:tcBorders>
            <w:tcW w:w="734" w:type="pct"/>
            <w:vAlign w:val="center"/>
            <w:vMerge w:val="continue"/>
            <w:textDirection w:val="lrTb"/>
            <w:noWrap w:val="false"/>
          </w:tcPr>
          <w:p>
            <w:pPr>
              <w:jc w:val="left"/>
              <w:rPr>
                <w:rFonts w:hint="eastAsia" w:ascii="宋体" w:hAnsi="宋体" w:eastAsia="宋体" w:cs="宋体"/>
                <w:bCs/>
                <w:sz w:val="21"/>
                <w:szCs w:val="21"/>
              </w:rPr>
            </w:pPr>
            <w:r>
              <w:rPr>
                <w:rFonts w:hint="eastAsia" w:ascii="宋体" w:hAnsi="宋体" w:eastAsia="宋体" w:cs="宋体"/>
                <w:bCs/>
                <w:sz w:val="21"/>
                <w:szCs w:val="21"/>
              </w:rPr>
            </w:r>
            <w:r/>
          </w:p>
        </w:tc>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信息安全方案</w:t>
            </w:r>
            <w:r/>
          </w:p>
          <w:p>
            <w:pPr>
              <w:pStyle w:val="1132"/>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3351" w:type="pct"/>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据供应商提供的网络安全方案进行评分，包括安全架构、安全措施、安全策略、安全应急演练：方案完整合理、可行性强，完全满足本项目实际使用要求，得1</w:t>
            </w:r>
            <w:r>
              <w:rPr>
                <w:rFonts w:hint="eastAsia" w:ascii="宋体" w:hAnsi="宋体" w:eastAsia="宋体" w:cs="宋体"/>
                <w:bCs/>
                <w:sz w:val="21"/>
                <w:szCs w:val="21"/>
                <w:lang w:val="en-US" w:eastAsia="zh-CN"/>
              </w:rPr>
              <w:t xml:space="preserve">6</w:t>
            </w:r>
            <w:r>
              <w:rPr>
                <w:rFonts w:hint="eastAsia" w:ascii="宋体" w:hAnsi="宋体" w:eastAsia="宋体" w:cs="宋体"/>
                <w:bCs/>
                <w:sz w:val="21"/>
                <w:szCs w:val="21"/>
              </w:rPr>
              <w:t xml:space="preserve">分；方案完整比较合理、可行性较强，较好满足本项目实际使用要求，得</w:t>
            </w:r>
            <w:r>
              <w:rPr>
                <w:rFonts w:hint="eastAsia" w:ascii="宋体" w:hAnsi="宋体" w:eastAsia="宋体" w:cs="宋体"/>
                <w:bCs/>
                <w:sz w:val="21"/>
                <w:szCs w:val="21"/>
                <w:lang w:val="en-US" w:eastAsia="zh-CN"/>
              </w:rPr>
              <w:t xml:space="preserve">12</w:t>
            </w:r>
            <w:r>
              <w:rPr>
                <w:rFonts w:hint="eastAsia" w:ascii="宋体" w:hAnsi="宋体" w:eastAsia="宋体" w:cs="宋体"/>
                <w:bCs/>
                <w:sz w:val="21"/>
                <w:szCs w:val="21"/>
              </w:rPr>
              <w:t xml:space="preserve">分；方案基本完整、可行性一般，基本满足本项目实际使用要求的，得</w:t>
            </w:r>
            <w:r>
              <w:rPr>
                <w:rFonts w:hint="eastAsia" w:ascii="宋体" w:hAnsi="宋体" w:eastAsia="宋体" w:cs="宋体"/>
                <w:bCs/>
                <w:sz w:val="21"/>
                <w:szCs w:val="21"/>
                <w:lang w:val="en-US" w:eastAsia="zh-CN"/>
              </w:rPr>
              <w:t xml:space="preserve">8</w:t>
            </w:r>
            <w:r>
              <w:rPr>
                <w:rFonts w:hint="eastAsia" w:ascii="宋体" w:hAnsi="宋体" w:eastAsia="宋体" w:cs="宋体"/>
                <w:bCs/>
                <w:sz w:val="21"/>
                <w:szCs w:val="21"/>
              </w:rPr>
              <w:t xml:space="preserve">分； </w:t>
            </w:r>
            <w:r>
              <w:rPr>
                <w:rFonts w:hint="eastAsia" w:ascii="宋体" w:hAnsi="宋体" w:eastAsia="宋体" w:cs="宋体"/>
                <w:bCs/>
                <w:sz w:val="21"/>
                <w:szCs w:val="21"/>
                <w:lang w:val="en-US" w:eastAsia="zh-CN"/>
              </w:rPr>
              <w:t xml:space="preserve">方案不够健全、流程不太规范的得2分，</w:t>
            </w:r>
            <w:r>
              <w:rPr>
                <w:rFonts w:hint="eastAsia" w:ascii="宋体" w:hAnsi="宋体" w:eastAsia="宋体" w:cs="宋体"/>
                <w:bCs/>
                <w:sz w:val="21"/>
                <w:szCs w:val="21"/>
              </w:rPr>
              <w:t xml:space="preserve">没有提供对应方案的，得0分。</w:t>
            </w:r>
            <w:r/>
          </w:p>
        </w:tc>
        <w:tc>
          <w:tcPr>
            <w:tcBorders>
              <w:top w:val="single" w:color="auto" w:sz="4" w:space="0"/>
              <w:left w:val="single" w:color="auto" w:sz="4" w:space="0"/>
              <w:bottom w:val="single" w:color="auto" w:sz="4" w:space="0"/>
              <w:right w:val="single" w:color="auto" w:sz="4" w:space="0"/>
            </w:tcBorders>
            <w:tcW w:w="278" w:type="pct"/>
            <w:vAlign w:val="center"/>
            <w:textDirection w:val="lrTb"/>
            <w:noWrap w:val="false"/>
          </w:tcPr>
          <w:p>
            <w:pPr>
              <w:jc w:val="center"/>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16</w:t>
            </w:r>
            <w:r/>
          </w:p>
        </w:tc>
      </w:tr>
      <w:tr>
        <w:trPr>
          <w:trHeight w:val="992"/>
        </w:trPr>
        <w:tc>
          <w:tcPr>
            <w:tcBorders>
              <w:left w:val="single" w:color="auto" w:sz="4" w:space="0"/>
              <w:right w:val="single" w:color="auto" w:sz="4" w:space="0"/>
            </w:tcBorders>
            <w:tcW w:w="734" w:type="pct"/>
            <w:vAlign w:val="center"/>
            <w:vMerge w:val="continue"/>
            <w:textDirection w:val="lrTb"/>
            <w:noWrap w:val="false"/>
          </w:tcPr>
          <w:p>
            <w:pPr>
              <w:jc w:val="left"/>
              <w:rPr>
                <w:rFonts w:hint="eastAsia" w:ascii="宋体" w:hAnsi="宋体" w:eastAsia="宋体" w:cs="宋体"/>
                <w:bCs/>
                <w:sz w:val="21"/>
                <w:szCs w:val="21"/>
              </w:rPr>
            </w:pPr>
            <w:r>
              <w:rPr>
                <w:rFonts w:hint="eastAsia" w:ascii="宋体" w:hAnsi="宋体" w:eastAsia="宋体" w:cs="宋体"/>
                <w:bCs/>
                <w:sz w:val="21"/>
                <w:szCs w:val="21"/>
              </w:rPr>
            </w:r>
            <w:r/>
          </w:p>
        </w:tc>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售后服务方案</w:t>
            </w:r>
            <w:r/>
          </w:p>
          <w:p>
            <w:pPr>
              <w:pStyle w:val="1132"/>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3351" w:type="pct"/>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根据供应商提供的售后服务保障方案进行评分：服务保障体系健全、流程规范、可操作性高，得1</w:t>
            </w:r>
            <w:r>
              <w:rPr>
                <w:rFonts w:hint="eastAsia" w:ascii="宋体" w:hAnsi="宋体" w:eastAsia="宋体" w:cs="宋体"/>
                <w:bCs/>
                <w:sz w:val="21"/>
                <w:szCs w:val="21"/>
                <w:lang w:val="en-US" w:eastAsia="zh-CN"/>
              </w:rPr>
              <w:t xml:space="preserve">2</w:t>
            </w:r>
            <w:r>
              <w:rPr>
                <w:rFonts w:hint="eastAsia" w:ascii="宋体" w:hAnsi="宋体" w:eastAsia="宋体" w:cs="宋体"/>
                <w:bCs/>
                <w:sz w:val="21"/>
                <w:szCs w:val="21"/>
              </w:rPr>
              <w:t xml:space="preserve">分；服务保障体系较健全、流程较规范、可操作性较高，得</w:t>
            </w:r>
            <w:r>
              <w:rPr>
                <w:rFonts w:hint="eastAsia" w:ascii="宋体" w:hAnsi="宋体" w:eastAsia="宋体" w:cs="宋体"/>
                <w:bCs/>
                <w:sz w:val="21"/>
                <w:szCs w:val="21"/>
                <w:lang w:val="en-US" w:eastAsia="zh-CN"/>
              </w:rPr>
              <w:t xml:space="preserve">6</w:t>
            </w:r>
            <w:r>
              <w:rPr>
                <w:rFonts w:hint="eastAsia" w:ascii="宋体" w:hAnsi="宋体" w:eastAsia="宋体" w:cs="宋体"/>
                <w:bCs/>
                <w:sz w:val="21"/>
                <w:szCs w:val="21"/>
              </w:rPr>
              <w:t xml:space="preserve">分；服务保障体系不够健全、流程不太规范、可操作性一般，得</w:t>
            </w:r>
            <w:r>
              <w:rPr>
                <w:rFonts w:hint="eastAsia" w:ascii="宋体" w:hAnsi="宋体" w:eastAsia="宋体" w:cs="宋体"/>
                <w:bCs/>
                <w:sz w:val="21"/>
                <w:szCs w:val="21"/>
                <w:lang w:val="en-US" w:eastAsia="zh-CN"/>
              </w:rPr>
              <w:t xml:space="preserve">2</w:t>
            </w:r>
            <w:r>
              <w:rPr>
                <w:rFonts w:hint="eastAsia" w:ascii="宋体" w:hAnsi="宋体" w:eastAsia="宋体" w:cs="宋体"/>
                <w:bCs/>
                <w:sz w:val="21"/>
                <w:szCs w:val="21"/>
              </w:rPr>
              <w:t xml:space="preserve">分；无服务保障体系相关内容，得0分。</w:t>
            </w:r>
            <w:r/>
          </w:p>
        </w:tc>
        <w:tc>
          <w:tcPr>
            <w:tcBorders>
              <w:top w:val="single" w:color="auto" w:sz="4" w:space="0"/>
              <w:left w:val="single" w:color="auto" w:sz="4" w:space="0"/>
              <w:bottom w:val="single" w:color="auto" w:sz="4" w:space="0"/>
              <w:right w:val="single" w:color="auto" w:sz="4" w:space="0"/>
            </w:tcBorders>
            <w:tcW w:w="278" w:type="pct"/>
            <w:vAlign w:val="center"/>
            <w:textDirection w:val="lrTb"/>
            <w:noWrap w:val="false"/>
          </w:tcPr>
          <w:p>
            <w:pPr>
              <w:jc w:val="center"/>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12</w:t>
            </w:r>
            <w:r/>
          </w:p>
        </w:tc>
      </w:tr>
      <w:tr>
        <w:trPr>
          <w:trHeight w:val="1050"/>
        </w:trPr>
        <w:tc>
          <w:tcPr>
            <w:tcBorders>
              <w:left w:val="single" w:color="auto" w:sz="4" w:space="0"/>
              <w:right w:val="single" w:color="auto" w:sz="4" w:space="0"/>
            </w:tcBorders>
            <w:tcW w:w="734" w:type="pct"/>
            <w:vAlign w:val="center"/>
            <w:vMerge w:val="continue"/>
            <w:textDirection w:val="lrTb"/>
            <w:noWrap w:val="false"/>
          </w:tcPr>
          <w:p>
            <w:pPr>
              <w:jc w:val="left"/>
              <w:rPr>
                <w:rFonts w:hint="eastAsia" w:ascii="宋体" w:hAnsi="宋体" w:eastAsia="宋体" w:cs="宋体"/>
                <w:bCs/>
                <w:sz w:val="21"/>
                <w:szCs w:val="21"/>
              </w:rPr>
            </w:pPr>
            <w:r>
              <w:rPr>
                <w:rFonts w:hint="eastAsia" w:ascii="宋体" w:hAnsi="宋体" w:eastAsia="宋体" w:cs="宋体"/>
                <w:bCs/>
                <w:sz w:val="21"/>
                <w:szCs w:val="21"/>
              </w:rPr>
            </w:r>
            <w:r/>
          </w:p>
        </w:tc>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应急处理方案</w:t>
            </w:r>
            <w:r/>
          </w:p>
          <w:p>
            <w:pPr>
              <w:pStyle w:val="1132"/>
              <w:ind w:firstLine="0"/>
              <w:jc w:val="center"/>
              <w:spacing w:line="24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c>
          <w:tcPr>
            <w:tcBorders>
              <w:top w:val="single" w:color="auto" w:sz="4" w:space="0"/>
              <w:left w:val="single" w:color="auto" w:sz="4" w:space="0"/>
              <w:bottom w:val="single" w:color="auto" w:sz="4" w:space="0"/>
              <w:right w:val="single" w:color="auto" w:sz="4" w:space="0"/>
            </w:tcBorders>
            <w:tcW w:w="3351" w:type="pct"/>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根据供应商提供的应急处理方案进行评分，包括但不限于：①响应时间安排 ②应急措施 ③故障与恢复策略：方案完整合理、可行性强，得</w:t>
            </w:r>
            <w:r>
              <w:rPr>
                <w:rFonts w:hint="eastAsia" w:ascii="宋体" w:hAnsi="宋体" w:eastAsia="宋体" w:cs="宋体"/>
                <w:bCs/>
                <w:sz w:val="21"/>
                <w:szCs w:val="21"/>
                <w:lang w:val="en-US" w:eastAsia="zh-CN"/>
              </w:rPr>
              <w:t xml:space="preserve">12</w:t>
            </w:r>
            <w:r>
              <w:rPr>
                <w:rFonts w:hint="eastAsia" w:ascii="宋体" w:hAnsi="宋体" w:eastAsia="宋体" w:cs="宋体"/>
                <w:bCs/>
                <w:sz w:val="21"/>
                <w:szCs w:val="21"/>
              </w:rPr>
              <w:t xml:space="preserve">分；方案较完整较合理、可行性较强，得</w:t>
            </w:r>
            <w:r>
              <w:rPr>
                <w:rFonts w:hint="eastAsia" w:ascii="宋体" w:hAnsi="宋体" w:eastAsia="宋体" w:cs="宋体"/>
                <w:bCs/>
                <w:sz w:val="21"/>
                <w:szCs w:val="21"/>
                <w:lang w:val="en-US" w:eastAsia="zh-CN"/>
              </w:rPr>
              <w:t xml:space="preserve">6</w:t>
            </w:r>
            <w:r>
              <w:rPr>
                <w:rFonts w:hint="eastAsia" w:ascii="宋体" w:hAnsi="宋体" w:eastAsia="宋体" w:cs="宋体"/>
                <w:bCs/>
                <w:sz w:val="21"/>
                <w:szCs w:val="21"/>
              </w:rPr>
              <w:t xml:space="preserve">分；方案基本完整、可行性一般，得2分； 没有提供对应方案的，得0分。</w:t>
            </w:r>
            <w:r/>
          </w:p>
        </w:tc>
        <w:tc>
          <w:tcPr>
            <w:tcBorders>
              <w:top w:val="single" w:color="auto" w:sz="4" w:space="0"/>
              <w:left w:val="single" w:color="auto" w:sz="4" w:space="0"/>
              <w:bottom w:val="single" w:color="auto" w:sz="4" w:space="0"/>
              <w:right w:val="single" w:color="auto" w:sz="4" w:space="0"/>
            </w:tcBorders>
            <w:tcW w:w="278" w:type="pct"/>
            <w:vAlign w:val="center"/>
            <w:textDirection w:val="lrTb"/>
            <w:noWrap w:val="false"/>
          </w:tcPr>
          <w:p>
            <w:pPr>
              <w:jc w:val="center"/>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12</w:t>
            </w:r>
            <w:r/>
          </w:p>
        </w:tc>
      </w:tr>
      <w:tr>
        <w:trPr>
          <w:trHeight w:val="932"/>
        </w:trPr>
        <w:tc>
          <w:tcPr>
            <w:tcBorders>
              <w:top w:val="none" w:color="000000" w:sz="4" w:space="0"/>
              <w:left w:val="single" w:color="auto" w:sz="4" w:space="0"/>
              <w:bottom w:val="single" w:color="auto" w:sz="4" w:space="0"/>
              <w:right w:val="single" w:color="auto" w:sz="4" w:space="0"/>
            </w:tcBorders>
            <w:tcW w:w="734" w:type="pct"/>
            <w:vAlign w:val="center"/>
            <w:vMerge w:val="restart"/>
            <w:textDirection w:val="lrTb"/>
            <w:noWrap w:val="false"/>
          </w:tcPr>
          <w:p>
            <w:pPr>
              <w:jc w:val="left"/>
              <w:rPr>
                <w:rFonts w:hint="eastAsia" w:ascii="宋体" w:hAnsi="宋体" w:eastAsia="宋体" w:cs="宋体"/>
                <w:bCs/>
                <w:sz w:val="21"/>
                <w:szCs w:val="21"/>
              </w:rPr>
            </w:pPr>
            <w:r>
              <w:rPr>
                <w:rFonts w:hint="eastAsia" w:ascii="宋体" w:hAnsi="宋体" w:eastAsia="宋体" w:cs="宋体"/>
                <w:b/>
                <w:bCs/>
                <w:sz w:val="21"/>
                <w:szCs w:val="21"/>
                <w:lang w:val="en-US" w:eastAsia="zh-CN" w:bidi="ar-SA"/>
              </w:rPr>
              <w:t xml:space="preserve">服务团队能力（10分）</w:t>
            </w:r>
            <w:r/>
          </w:p>
        </w:tc>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pStyle w:val="1132"/>
              <w:ind w:firstLine="0"/>
              <w:jc w:val="center"/>
              <w:spacing w:line="240" w:lineRule="auto"/>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项目</w:t>
            </w:r>
            <w:r>
              <w:rPr>
                <w:rFonts w:hint="eastAsia" w:ascii="宋体" w:hAnsi="宋体" w:eastAsia="宋体" w:cs="宋体"/>
                <w:b/>
                <w:bCs/>
                <w:sz w:val="21"/>
                <w:szCs w:val="21"/>
                <w:lang w:val="en-US" w:eastAsia="zh-CN"/>
              </w:rPr>
              <w:t xml:space="preserve">运维负责人</w:t>
            </w:r>
            <w:r/>
          </w:p>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3351" w:type="pct"/>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项目运维负责人具有信息技术应用创新人才集成项目管理师证书、</w:t>
            </w:r>
            <w:r>
              <w:rPr>
                <w:rFonts w:hint="eastAsia" w:ascii="宋体" w:hAnsi="宋体" w:eastAsia="宋体" w:cs="宋体"/>
                <w:bCs/>
                <w:sz w:val="21"/>
                <w:szCs w:val="21"/>
                <w:lang w:val="en-US" w:eastAsia="zh-CN"/>
              </w:rPr>
              <w:t xml:space="preserve">中级工程师</w:t>
            </w:r>
            <w:r>
              <w:rPr>
                <w:rFonts w:hint="eastAsia" w:ascii="宋体" w:hAnsi="宋体" w:eastAsia="宋体" w:cs="宋体"/>
                <w:bCs/>
                <w:sz w:val="21"/>
                <w:szCs w:val="21"/>
              </w:rPr>
              <w:t xml:space="preserve">证书的，每提供一份得2分，最高得4分。</w:t>
            </w:r>
            <w:r/>
          </w:p>
        </w:tc>
        <w:tc>
          <w:tcPr>
            <w:tcBorders>
              <w:top w:val="single" w:color="auto" w:sz="4" w:space="0"/>
              <w:left w:val="single" w:color="auto" w:sz="4" w:space="0"/>
              <w:bottom w:val="single" w:color="auto" w:sz="4" w:space="0"/>
              <w:right w:val="single" w:color="auto" w:sz="4" w:space="0"/>
            </w:tcBorders>
            <w:tcW w:w="278" w:type="pct"/>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w:t>
            </w:r>
            <w:r/>
          </w:p>
        </w:tc>
      </w:tr>
      <w:tr>
        <w:trPr>
          <w:trHeight w:val="981"/>
        </w:trPr>
        <w:tc>
          <w:tcPr>
            <w:tcBorders>
              <w:top w:val="none" w:color="000000" w:sz="4" w:space="0"/>
              <w:left w:val="single" w:color="auto" w:sz="4" w:space="0"/>
              <w:bottom w:val="single" w:color="auto" w:sz="4" w:space="0"/>
              <w:right w:val="single" w:color="auto" w:sz="4" w:space="0"/>
            </w:tcBorders>
            <w:tcW w:w="734" w:type="pct"/>
            <w:vAlign w:val="center"/>
            <w:vMerge w:val="continue"/>
            <w:textDirection w:val="lrTb"/>
            <w:noWrap w:val="false"/>
          </w:tcPr>
          <w:p>
            <w:pPr>
              <w:jc w:val="left"/>
              <w:rPr>
                <w:rFonts w:hint="eastAsia" w:ascii="宋体" w:hAnsi="宋体" w:eastAsia="宋体" w:cs="宋体"/>
                <w:bCs/>
                <w:sz w:val="21"/>
                <w:szCs w:val="21"/>
              </w:rPr>
            </w:pPr>
            <w:r>
              <w:rPr>
                <w:rFonts w:hint="eastAsia" w:ascii="宋体" w:hAnsi="宋体" w:eastAsia="宋体" w:cs="宋体"/>
                <w:bCs/>
                <w:sz w:val="21"/>
                <w:szCs w:val="21"/>
              </w:rPr>
            </w:r>
            <w:r/>
          </w:p>
        </w:tc>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numPr>
                <w:ilvl w:val="0"/>
                <w:numId w:val="0"/>
              </w:numPr>
              <w:jc w:val="center"/>
              <w:spacing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项目经理</w:t>
            </w:r>
            <w:r/>
          </w:p>
          <w:p>
            <w:pPr>
              <w:pStyle w:val="1132"/>
              <w:ind w:firstLine="0"/>
              <w:jc w:val="center"/>
              <w:spacing w:line="240" w:lineRule="auto"/>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r>
            <w:r/>
          </w:p>
        </w:tc>
        <w:tc>
          <w:tcPr>
            <w:tcBorders>
              <w:top w:val="single" w:color="auto" w:sz="4" w:space="0"/>
              <w:left w:val="single" w:color="auto" w:sz="4" w:space="0"/>
              <w:bottom w:val="single" w:color="auto" w:sz="4" w:space="0"/>
              <w:right w:val="single" w:color="auto" w:sz="4" w:space="0"/>
            </w:tcBorders>
            <w:tcW w:w="3351" w:type="pct"/>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项目</w:t>
            </w:r>
            <w:r>
              <w:rPr>
                <w:rFonts w:hint="eastAsia" w:ascii="宋体" w:hAnsi="宋体" w:eastAsia="宋体" w:cs="宋体"/>
                <w:bCs/>
                <w:sz w:val="21"/>
                <w:szCs w:val="21"/>
                <w:lang w:val="en-US" w:eastAsia="zh-CN"/>
              </w:rPr>
              <w:t xml:space="preserve">经理</w:t>
            </w:r>
            <w:r>
              <w:rPr>
                <w:rFonts w:hint="eastAsia" w:ascii="宋体" w:hAnsi="宋体" w:eastAsia="宋体" w:cs="宋体"/>
                <w:bCs/>
                <w:sz w:val="21"/>
                <w:szCs w:val="21"/>
              </w:rPr>
              <w:t xml:space="preserve">具有</w:t>
            </w:r>
            <w:r>
              <w:rPr>
                <w:rFonts w:hint="eastAsia" w:ascii="宋体" w:hAnsi="宋体" w:eastAsia="宋体" w:cs="宋体"/>
                <w:bCs/>
                <w:sz w:val="21"/>
                <w:szCs w:val="21"/>
                <w:lang w:val="en-US" w:eastAsia="zh-CN"/>
              </w:rPr>
              <w:t xml:space="preserve">中级工程师</w:t>
            </w:r>
            <w:r>
              <w:rPr>
                <w:rFonts w:hint="eastAsia" w:ascii="宋体" w:hAnsi="宋体" w:eastAsia="宋体" w:cs="宋体"/>
                <w:bCs/>
                <w:sz w:val="21"/>
                <w:szCs w:val="21"/>
              </w:rPr>
              <w:t xml:space="preserve">证书、</w:t>
            </w:r>
            <w:r>
              <w:rPr>
                <w:rFonts w:hint="eastAsia" w:ascii="宋体" w:hAnsi="宋体" w:eastAsia="宋体" w:cs="宋体"/>
                <w:bCs/>
                <w:sz w:val="21"/>
                <w:szCs w:val="21"/>
                <w:lang w:val="en-US" w:eastAsia="zh-CN"/>
              </w:rPr>
              <w:t xml:space="preserve">软件设计师(中级)</w:t>
            </w:r>
            <w:r>
              <w:rPr>
                <w:rFonts w:hint="eastAsia" w:ascii="宋体" w:hAnsi="宋体" w:eastAsia="宋体" w:cs="宋体"/>
                <w:bCs/>
                <w:sz w:val="21"/>
                <w:szCs w:val="21"/>
              </w:rPr>
              <w:t xml:space="preserve">证书的，每提供一份得2分，最高得4分。</w:t>
            </w:r>
            <w:r/>
          </w:p>
        </w:tc>
        <w:tc>
          <w:tcPr>
            <w:tcBorders>
              <w:top w:val="single" w:color="auto" w:sz="4" w:space="0"/>
              <w:left w:val="single" w:color="auto" w:sz="4" w:space="0"/>
              <w:bottom w:val="single" w:color="auto" w:sz="4" w:space="0"/>
              <w:right w:val="single" w:color="auto" w:sz="4" w:space="0"/>
            </w:tcBorders>
            <w:tcW w:w="278" w:type="pct"/>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w:t>
            </w:r>
            <w:r/>
          </w:p>
        </w:tc>
      </w:tr>
      <w:tr>
        <w:trPr>
          <w:trHeight w:val="1062"/>
        </w:trPr>
        <w:tc>
          <w:tcPr>
            <w:tcBorders>
              <w:top w:val="none" w:color="000000" w:sz="4" w:space="0"/>
              <w:left w:val="single" w:color="auto" w:sz="4" w:space="0"/>
              <w:bottom w:val="none" w:color="000000" w:sz="4" w:space="0"/>
              <w:right w:val="single" w:color="auto" w:sz="4" w:space="0"/>
            </w:tcBorders>
            <w:tcW w:w="734" w:type="pct"/>
            <w:vAlign w:val="center"/>
            <w:vMerge w:val="continue"/>
            <w:textDirection w:val="lrTb"/>
            <w:noWrap w:val="false"/>
          </w:tcPr>
          <w:p>
            <w:pPr>
              <w:jc w:val="left"/>
              <w:rPr>
                <w:rFonts w:hint="eastAsia" w:ascii="宋体" w:hAnsi="宋体" w:eastAsia="宋体" w:cs="宋体"/>
                <w:bCs/>
                <w:sz w:val="21"/>
                <w:szCs w:val="21"/>
              </w:rPr>
            </w:pPr>
            <w:r>
              <w:rPr>
                <w:rFonts w:hint="eastAsia" w:ascii="宋体" w:hAnsi="宋体" w:eastAsia="宋体" w:cs="宋体"/>
                <w:bCs/>
                <w:sz w:val="21"/>
                <w:szCs w:val="21"/>
              </w:rPr>
            </w:r>
            <w:r/>
          </w:p>
        </w:tc>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center"/>
              <w:spacing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项目团队人员</w:t>
            </w:r>
            <w:r/>
          </w:p>
          <w:p>
            <w:pPr>
              <w:pStyle w:val="1132"/>
              <w:ind w:firstLine="0"/>
              <w:jc w:val="center"/>
              <w:spacing w:line="240" w:lineRule="auto"/>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r>
            <w:r/>
          </w:p>
        </w:tc>
        <w:tc>
          <w:tcPr>
            <w:tcBorders>
              <w:top w:val="single" w:color="auto" w:sz="4" w:space="0"/>
              <w:left w:val="single" w:color="auto" w:sz="4" w:space="0"/>
              <w:bottom w:val="single" w:color="auto" w:sz="4" w:space="0"/>
              <w:right w:val="single" w:color="auto" w:sz="4" w:space="0"/>
            </w:tcBorders>
            <w:tcW w:w="3351" w:type="pct"/>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bCs/>
                <w:sz w:val="21"/>
                <w:szCs w:val="21"/>
                <w:lang w:val="en-US" w:eastAsia="zh-CN"/>
              </w:rPr>
              <w:t xml:space="preserve">除项目经理及运维负责人外的其他人员具有中级工程师及以上证书的有一名得1分，最高得2分</w:t>
            </w:r>
            <w:r/>
          </w:p>
        </w:tc>
        <w:tc>
          <w:tcPr>
            <w:tcBorders>
              <w:top w:val="single" w:color="auto" w:sz="4" w:space="0"/>
              <w:left w:val="single" w:color="auto" w:sz="4" w:space="0"/>
              <w:bottom w:val="single" w:color="auto" w:sz="4" w:space="0"/>
              <w:right w:val="single" w:color="auto" w:sz="4" w:space="0"/>
            </w:tcBorders>
            <w:tcW w:w="278" w:type="pct"/>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w:t>
            </w:r>
            <w:r/>
          </w:p>
        </w:tc>
      </w:tr>
      <w:tr>
        <w:trPr>
          <w:trHeight w:val="995"/>
        </w:trPr>
        <w:tc>
          <w:tcPr>
            <w:tcBorders>
              <w:top w:val="none" w:color="000000" w:sz="4" w:space="0"/>
              <w:left w:val="single" w:color="auto" w:sz="4" w:space="0"/>
              <w:bottom w:val="none" w:color="000000" w:sz="4" w:space="0"/>
              <w:right w:val="single" w:color="auto" w:sz="4" w:space="0"/>
            </w:tcBorders>
            <w:tcW w:w="734" w:type="pct"/>
            <w:vAlign w:val="center"/>
            <w:textDirection w:val="lrTb"/>
            <w:noWrap w:val="false"/>
          </w:tcPr>
          <w:p>
            <w:pPr>
              <w:jc w:val="left"/>
              <w:rPr>
                <w:rFonts w:hint="eastAsia" w:ascii="宋体" w:hAnsi="宋体" w:eastAsia="宋体" w:cs="宋体"/>
                <w:bCs/>
                <w:sz w:val="21"/>
                <w:szCs w:val="21"/>
              </w:rPr>
            </w:pPr>
            <w:r>
              <w:rPr>
                <w:rFonts w:hint="eastAsia" w:ascii="宋体" w:hAnsi="宋体" w:eastAsia="宋体" w:cs="宋体"/>
                <w:bCs/>
                <w:sz w:val="21"/>
                <w:szCs w:val="21"/>
              </w:rPr>
            </w:r>
            <w:r/>
          </w:p>
        </w:tc>
        <w:tc>
          <w:tcPr>
            <w:gridSpan w:val="3"/>
            <w:tcBorders>
              <w:top w:val="single" w:color="auto" w:sz="4" w:space="0"/>
              <w:left w:val="single" w:color="auto" w:sz="4" w:space="0"/>
              <w:bottom w:val="single" w:color="auto" w:sz="4" w:space="0"/>
              <w:right w:val="single" w:color="auto" w:sz="4" w:space="0"/>
            </w:tcBorders>
            <w:tcW w:w="4265" w:type="pct"/>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注：投标文件中需提供以上相关人员的证书复印件、证明材料复印件、投标人为其缴纳的最近一期的社保证明复印件并加盖投标人公章。未按要求提供或不提供不得分。</w:t>
            </w:r>
            <w:r/>
          </w:p>
        </w:tc>
      </w:tr>
      <w:tr>
        <w:trPr>
          <w:trHeight w:val="1256"/>
        </w:trPr>
        <w:tc>
          <w:tcPr>
            <w:tcBorders>
              <w:top w:val="single" w:color="auto" w:sz="4" w:space="0"/>
              <w:left w:val="single" w:color="auto" w:sz="4" w:space="0"/>
              <w:right w:val="single" w:color="auto" w:sz="4" w:space="0"/>
            </w:tcBorders>
            <w:tcW w:w="734" w:type="pct"/>
            <w:vAlign w:val="center"/>
            <w:vMerge w:val="restart"/>
            <w:textDirection w:val="lrTb"/>
            <w:noWrap w:val="false"/>
          </w:tcPr>
          <w:p>
            <w:pPr>
              <w:jc w:val="left"/>
              <w:rPr>
                <w:rFonts w:hint="eastAsia" w:ascii="宋体" w:hAnsi="宋体" w:eastAsia="宋体" w:cs="宋体"/>
                <w:bCs/>
                <w:sz w:val="21"/>
                <w:szCs w:val="21"/>
              </w:rPr>
            </w:pPr>
            <w:r>
              <w:rPr>
                <w:rFonts w:hint="eastAsia" w:ascii="宋体" w:hAnsi="宋体" w:eastAsia="宋体" w:cs="宋体"/>
                <w:bCs/>
                <w:sz w:val="21"/>
                <w:szCs w:val="21"/>
              </w:rPr>
            </w:r>
            <w:r/>
          </w:p>
          <w:p>
            <w:pPr>
              <w:jc w:val="left"/>
              <w:spacing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投标人履约能力（8分）</w:t>
            </w:r>
            <w:r/>
          </w:p>
          <w:p>
            <w:pPr>
              <w:pStyle w:val="848"/>
              <w:jc w:val="left"/>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auto" w:sz="4" w:space="0"/>
              <w:left w:val="single" w:color="auto" w:sz="4" w:space="0"/>
              <w:bottom w:val="single" w:color="auto" w:sz="4" w:space="0"/>
              <w:right w:val="single" w:color="auto" w:sz="4" w:space="0"/>
            </w:tcBorders>
            <w:tcW w:w="3987" w:type="pct"/>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1、供应商具有质量管理体系认证证书、环境管理体系认证证书</w:t>
            </w:r>
            <w:r>
              <w:rPr>
                <w:rFonts w:hint="eastAsia" w:ascii="宋体" w:hAnsi="宋体" w:eastAsia="宋体" w:cs="宋体"/>
                <w:bCs/>
                <w:sz w:val="21"/>
                <w:szCs w:val="21"/>
                <w:lang w:eastAsia="zh-CN"/>
              </w:rPr>
              <w:t xml:space="preserve">、职业健康安全管理体系认证证书、</w:t>
            </w:r>
            <w:r>
              <w:rPr>
                <w:rFonts w:hint="eastAsia" w:ascii="宋体" w:hAnsi="宋体" w:eastAsia="宋体" w:cs="宋体"/>
                <w:bCs/>
                <w:sz w:val="21"/>
                <w:szCs w:val="21"/>
              </w:rPr>
              <w:t xml:space="preserve">信息技术服务管理体系认证证书和信息安全管理体系认证证书的，每提供一份得</w:t>
            </w:r>
            <w:r>
              <w:rPr>
                <w:rFonts w:hint="eastAsia" w:ascii="宋体" w:hAnsi="宋体" w:eastAsia="宋体" w:cs="宋体"/>
                <w:bCs/>
                <w:sz w:val="21"/>
                <w:szCs w:val="21"/>
                <w:lang w:val="en-US" w:eastAsia="zh-CN"/>
              </w:rPr>
              <w:t xml:space="preserve">1</w:t>
            </w:r>
            <w:r>
              <w:rPr>
                <w:rFonts w:hint="eastAsia" w:ascii="宋体" w:hAnsi="宋体" w:eastAsia="宋体" w:cs="宋体"/>
                <w:bCs/>
                <w:sz w:val="21"/>
                <w:szCs w:val="21"/>
              </w:rPr>
              <w:t xml:space="preserve">分；最高得</w:t>
            </w:r>
            <w:r>
              <w:rPr>
                <w:rFonts w:hint="eastAsia" w:ascii="宋体" w:hAnsi="宋体" w:eastAsia="宋体" w:cs="宋体"/>
                <w:bCs/>
                <w:sz w:val="21"/>
                <w:szCs w:val="21"/>
                <w:lang w:val="en-US" w:eastAsia="zh-CN"/>
              </w:rPr>
              <w:t xml:space="preserve">5</w:t>
            </w:r>
            <w:r>
              <w:rPr>
                <w:rFonts w:hint="eastAsia" w:ascii="宋体" w:hAnsi="宋体" w:eastAsia="宋体" w:cs="宋体"/>
                <w:bCs/>
                <w:sz w:val="21"/>
                <w:szCs w:val="21"/>
              </w:rPr>
              <w:t xml:space="preserve">分。</w:t>
            </w:r>
            <w:r/>
          </w:p>
        </w:tc>
        <w:tc>
          <w:tcPr>
            <w:tcBorders>
              <w:top w:val="single" w:color="auto" w:sz="4" w:space="0"/>
              <w:left w:val="single" w:color="auto" w:sz="4" w:space="0"/>
              <w:bottom w:val="single" w:color="auto" w:sz="4" w:space="0"/>
              <w:right w:val="single" w:color="auto" w:sz="4" w:space="0"/>
            </w:tcBorders>
            <w:tcW w:w="278" w:type="pct"/>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w:t>
            </w:r>
            <w:r/>
          </w:p>
        </w:tc>
      </w:tr>
      <w:tr>
        <w:trPr>
          <w:trHeight w:val="90"/>
        </w:trPr>
        <w:tc>
          <w:tcPr>
            <w:tcBorders>
              <w:left w:val="single" w:color="auto" w:sz="4" w:space="0"/>
              <w:right w:val="single" w:color="auto" w:sz="4" w:space="0"/>
            </w:tcBorders>
            <w:tcW w:w="734" w:type="pct"/>
            <w:vAlign w:val="center"/>
            <w:vMerge w:val="continue"/>
            <w:textDirection w:val="lrTb"/>
            <w:noWrap w:val="false"/>
          </w:tcPr>
          <w:p>
            <w:pPr>
              <w:pStyle w:val="848"/>
              <w:jc w:val="left"/>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auto" w:sz="4" w:space="0"/>
              <w:left w:val="single" w:color="auto" w:sz="4" w:space="0"/>
              <w:bottom w:val="single" w:color="auto" w:sz="4" w:space="0"/>
              <w:right w:val="single" w:color="auto" w:sz="4" w:space="0"/>
            </w:tcBorders>
            <w:tcW w:w="3987" w:type="pct"/>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bCs/>
                <w:sz w:val="21"/>
                <w:szCs w:val="21"/>
                <w:lang w:val="en-US" w:eastAsia="zh-CN"/>
              </w:rPr>
              <w:t xml:space="preserve">2、具有信息技术服务标准“ITSS”三级及以上证书的得3分。</w:t>
            </w:r>
            <w:r/>
          </w:p>
        </w:tc>
        <w:tc>
          <w:tcPr>
            <w:tcBorders>
              <w:top w:val="single" w:color="auto" w:sz="4" w:space="0"/>
              <w:left w:val="single" w:color="auto" w:sz="4" w:space="0"/>
              <w:bottom w:val="single" w:color="auto" w:sz="4" w:space="0"/>
              <w:right w:val="single" w:color="auto" w:sz="4" w:space="0"/>
            </w:tcBorders>
            <w:tcW w:w="278" w:type="pct"/>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w:t>
            </w:r>
            <w:r/>
          </w:p>
        </w:tc>
      </w:tr>
      <w:tr>
        <w:trPr>
          <w:trHeight w:val="995"/>
        </w:trPr>
        <w:tc>
          <w:tcPr>
            <w:tcBorders>
              <w:left w:val="single" w:color="auto" w:sz="4" w:space="0"/>
              <w:bottom w:val="single" w:color="auto" w:sz="4" w:space="0"/>
              <w:right w:val="single" w:color="auto" w:sz="4" w:space="0"/>
            </w:tcBorders>
            <w:tcW w:w="734" w:type="pct"/>
            <w:vAlign w:val="center"/>
            <w:vMerge w:val="continue"/>
            <w:textDirection w:val="lrTb"/>
            <w:noWrap w:val="false"/>
          </w:tcPr>
          <w:p>
            <w:pPr>
              <w:pStyle w:val="848"/>
              <w:jc w:val="left"/>
              <w:rPr>
                <w:rFonts w:hint="eastAsia" w:ascii="宋体" w:hAnsi="宋体" w:eastAsia="宋体" w:cs="宋体"/>
                <w:sz w:val="21"/>
                <w:szCs w:val="21"/>
              </w:rPr>
            </w:pPr>
            <w:r>
              <w:rPr>
                <w:rFonts w:hint="eastAsia" w:ascii="宋体" w:hAnsi="宋体" w:eastAsia="宋体" w:cs="宋体"/>
                <w:sz w:val="21"/>
                <w:szCs w:val="21"/>
              </w:rPr>
            </w:r>
            <w:r/>
          </w:p>
        </w:tc>
        <w:tc>
          <w:tcPr>
            <w:gridSpan w:val="3"/>
            <w:tcBorders>
              <w:top w:val="single" w:color="auto" w:sz="4" w:space="0"/>
              <w:left w:val="single" w:color="auto" w:sz="4" w:space="0"/>
              <w:bottom w:val="single" w:color="auto" w:sz="4" w:space="0"/>
              <w:right w:val="single" w:color="auto" w:sz="4" w:space="0"/>
            </w:tcBorders>
            <w:tcW w:w="4265" w:type="pct"/>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注：投标文件中需提供上述证书复印件或相关证明材料加盖公章，未按要求提供或不提供不得分。</w:t>
            </w:r>
            <w:r/>
          </w:p>
        </w:tc>
      </w:tr>
      <w:tr>
        <w:trPr>
          <w:trHeight w:val="365"/>
        </w:trPr>
        <w:tc>
          <w:tcPr>
            <w:tcBorders>
              <w:top w:val="single" w:color="auto" w:sz="4" w:space="0"/>
              <w:left w:val="single" w:color="auto" w:sz="4" w:space="0"/>
              <w:bottom w:val="single" w:color="auto" w:sz="4" w:space="0"/>
              <w:right w:val="single" w:color="auto" w:sz="4" w:space="0"/>
            </w:tcBorders>
            <w:tcW w:w="734" w:type="pct"/>
            <w:vAlign w:val="center"/>
            <w:textDirection w:val="lrTb"/>
            <w:noWrap w:val="false"/>
          </w:tcPr>
          <w:p>
            <w:pPr>
              <w:jc w:val="left"/>
              <w:spacing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类似业绩（4分）</w:t>
            </w:r>
            <w:r/>
          </w:p>
          <w:p>
            <w:pPr>
              <w:pStyle w:val="848"/>
              <w:jc w:val="left"/>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auto" w:sz="4" w:space="0"/>
              <w:left w:val="single" w:color="auto" w:sz="4" w:space="0"/>
              <w:bottom w:val="single" w:color="auto" w:sz="4" w:space="0"/>
              <w:right w:val="single" w:color="auto" w:sz="4" w:space="0"/>
            </w:tcBorders>
            <w:tcW w:w="3987" w:type="pct"/>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投标人提供自202</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年1月1日起至今签订的类似项目业绩。每提供一份得</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分，最高得</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分。</w:t>
            </w:r>
            <w:r>
              <w:rPr>
                <w:rFonts w:hint="eastAsia" w:ascii="宋体" w:hAnsi="宋体" w:eastAsia="宋体" w:cs="宋体"/>
                <w:b w:val="0"/>
                <w:bCs w:val="0"/>
                <w:sz w:val="21"/>
                <w:szCs w:val="21"/>
              </w:rPr>
              <w:t xml:space="preserve">注：投标文件中需提供合同复印件并加盖公章，未按要求提供或未提供不得分。类似业绩日期认定：以签订合同日期为准。</w:t>
            </w:r>
            <w:r/>
          </w:p>
        </w:tc>
        <w:tc>
          <w:tcPr>
            <w:tcBorders>
              <w:top w:val="single" w:color="auto" w:sz="4" w:space="0"/>
              <w:left w:val="single" w:color="auto" w:sz="4" w:space="0"/>
              <w:bottom w:val="single" w:color="auto" w:sz="4" w:space="0"/>
              <w:right w:val="single" w:color="auto" w:sz="4" w:space="0"/>
            </w:tcBorders>
            <w:tcW w:w="278" w:type="pct"/>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w:t>
            </w:r>
            <w:r/>
          </w:p>
        </w:tc>
      </w:tr>
    </w:tbl>
    <w:p>
      <w:pPr>
        <w:pStyle w:val="848"/>
        <w:numPr>
          <w:ilvl w:val="0"/>
          <w:numId w:val="0"/>
        </w:numPr>
        <w:rPr>
          <w:lang w:val="en-US" w:eastAsia="zh-CN"/>
        </w:rPr>
      </w:pPr>
      <w:r>
        <w:rPr>
          <w:lang w:val="en-US" w:eastAsia="zh-CN"/>
        </w:rPr>
      </w:r>
      <w:r/>
    </w:p>
    <w:p>
      <w:pPr>
        <w:ind w:firstLine="422"/>
        <w:spacing w:line="360" w:lineRule="auto"/>
        <w:rPr>
          <w:rFonts w:hint="eastAsia" w:ascii="宋体" w:hAnsi="宋体" w:eastAsia="宋体" w:cs="Times New Roman"/>
          <w:b/>
          <w:sz w:val="21"/>
          <w:szCs w:val="21"/>
        </w:rPr>
      </w:pPr>
      <w:r>
        <w:rPr>
          <w:rFonts w:hint="eastAsia" w:ascii="宋体" w:hAnsi="宋体" w:eastAsia="宋体" w:cs="Times New Roman"/>
          <w:b/>
          <w:sz w:val="21"/>
          <w:szCs w:val="21"/>
        </w:rPr>
        <w:t xml:space="preserve">注：</w:t>
      </w:r>
      <w:r/>
    </w:p>
    <w:p>
      <w:pPr>
        <w:ind w:firstLine="422"/>
        <w:spacing w:line="360" w:lineRule="auto"/>
        <w:rPr>
          <w:rFonts w:hint="eastAsia" w:ascii="宋体" w:hAnsi="宋体" w:eastAsia="宋体" w:cs="Times New Roman"/>
          <w:b/>
          <w:sz w:val="21"/>
          <w:szCs w:val="21"/>
        </w:rPr>
      </w:pPr>
      <w:r>
        <w:rPr>
          <w:rFonts w:hint="eastAsia" w:ascii="宋体" w:hAnsi="宋体" w:eastAsia="宋体" w:cs="Times New Roman"/>
          <w:b/>
          <w:sz w:val="21"/>
          <w:szCs w:val="21"/>
        </w:rPr>
        <w:t xml:space="preserve">1、针对评分标准中评分的每一条，投标人均应提供相关资料并作出相应说明供评委评判，不提供相关资料的视为不具备该项得分的条件，资料须编好目录及页码。</w:t>
      </w:r>
      <w:r/>
    </w:p>
    <w:p>
      <w:pPr>
        <w:ind w:firstLine="422"/>
        <w:spacing w:line="360" w:lineRule="auto"/>
        <w:rPr>
          <w:rFonts w:hint="eastAsia" w:ascii="宋体" w:hAnsi="宋体" w:eastAsia="宋体" w:cs="Times New Roman"/>
          <w:b/>
          <w:sz w:val="21"/>
          <w:szCs w:val="21"/>
        </w:rPr>
      </w:pPr>
      <w:r>
        <w:rPr>
          <w:rFonts w:hint="eastAsia" w:ascii="宋体" w:hAnsi="宋体" w:eastAsia="宋体" w:cs="Times New Roman"/>
          <w:b/>
          <w:sz w:val="21"/>
          <w:szCs w:val="21"/>
        </w:rPr>
        <w:t xml:space="preserve">2、所有要求的复印件均须加盖投标人公章。</w:t>
      </w:r>
      <w:r/>
    </w:p>
    <w:p>
      <w:pPr>
        <w:ind w:firstLine="422"/>
        <w:spacing w:line="360" w:lineRule="auto"/>
        <w:rPr>
          <w:rFonts w:hint="eastAsia" w:ascii="Times New Roman" w:hAnsi="Times New Roman" w:eastAsia="宋体" w:cs="Times New Roman"/>
          <w:sz w:val="21"/>
          <w:szCs w:val="24"/>
        </w:rPr>
      </w:pPr>
      <w:r>
        <w:rPr>
          <w:rFonts w:hint="eastAsia" w:ascii="宋体" w:hAnsi="宋体" w:eastAsia="宋体" w:cs="Times New Roman"/>
          <w:b/>
          <w:sz w:val="21"/>
          <w:szCs w:val="21"/>
        </w:rPr>
        <w:t xml:space="preserve">3、投标人必须保证全部投标资料的真实性，如有虚假或对招标文件所要求说明的情况故隐瞒或虚报，视为不实质性投标文件，为无效投标。已中标的将取消资格。  </w:t>
      </w:r>
      <w:r/>
    </w:p>
    <w:p>
      <w:pPr>
        <w:ind w:firstLine="420"/>
        <w:spacing w:line="360" w:lineRule="auto"/>
        <w:rPr>
          <w:rFonts w:hint="eastAsia" w:ascii="Times New Roman" w:hAnsi="Times New Roman" w:eastAsia="宋体" w:cs="Times New Roman"/>
          <w:sz w:val="21"/>
          <w:szCs w:val="24"/>
        </w:rPr>
      </w:pPr>
      <w:r>
        <w:rPr>
          <w:rFonts w:hint="eastAsia" w:ascii="Times New Roman" w:hAnsi="Times New Roman" w:eastAsia="宋体" w:cs="Times New Roman"/>
          <w:sz w:val="21"/>
          <w:szCs w:val="24"/>
        </w:rPr>
      </w:r>
      <w:r/>
    </w:p>
    <w:p>
      <w:pPr>
        <w:ind w:left="0" w:firstLine="480"/>
        <w:jc w:val="center"/>
        <w:spacing w:line="360" w:lineRule="auto"/>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br w:type="page" w:clear="all"/>
      </w:r>
      <w:r/>
    </w:p>
    <w:p>
      <w:pPr>
        <w:ind w:left="0" w:firstLine="480"/>
        <w:jc w:val="center"/>
        <w:spacing w:line="360" w:lineRule="auto"/>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ind w:left="0" w:firstLine="480"/>
        <w:jc w:val="center"/>
        <w:spacing w:line="360" w:lineRule="auto"/>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rPr>
        <w:t xml:space="preserve">以下评分标准适用于标段</w:t>
      </w:r>
      <w:r>
        <w:rPr>
          <w:rFonts w:hint="eastAsia" w:ascii="宋体" w:hAnsi="宋体" w:eastAsia="宋体" w:cs="宋体"/>
          <w:b w:val="0"/>
          <w:bCs w:val="0"/>
          <w:color w:val="auto"/>
          <w:sz w:val="28"/>
          <w:szCs w:val="28"/>
          <w:highlight w:val="none"/>
          <w:lang w:val="en-US" w:eastAsia="zh-CN"/>
        </w:rPr>
        <w:t xml:space="preserve">二</w:t>
      </w:r>
      <w:r/>
    </w:p>
    <w:p>
      <w:pPr>
        <w:pStyle w:val="1132"/>
        <w:ind w:firstLine="0"/>
        <w:jc w:val="left"/>
        <w:spacing w:line="240" w:lineRule="auto"/>
        <w:shd w:val="clear" w:color="auto" w:fill="ffffff"/>
        <w:rPr>
          <w:rFonts w:hint="eastAsia" w:ascii="宋体" w:hAnsi="宋体" w:eastAsia="宋体" w:cs="宋体"/>
          <w:b w:val="0"/>
          <w:bCs w:val="0"/>
          <w:color w:val="auto"/>
          <w:sz w:val="24"/>
          <w:szCs w:val="24"/>
          <w:shd w:val="clear" w:color="auto" w:fill="auto"/>
          <w:lang w:val="en-US" w:eastAsia="zh-CN"/>
        </w:rPr>
      </w:pPr>
      <w:r>
        <w:rPr>
          <w:rFonts w:hint="eastAsia" w:ascii="宋体" w:hAnsi="宋体" w:eastAsia="宋体" w:cs="宋体"/>
          <w:b w:val="0"/>
          <w:bCs w:val="0"/>
          <w:color w:val="auto"/>
          <w:sz w:val="24"/>
          <w:szCs w:val="24"/>
          <w:shd w:val="clear" w:color="auto" w:fill="auto"/>
          <w:lang w:val="en-US" w:eastAsia="zh-CN"/>
        </w:rPr>
      </w:r>
      <w:r/>
    </w:p>
    <w:p>
      <w:pPr>
        <w:pStyle w:val="1132"/>
        <w:ind w:firstLine="0"/>
        <w:jc w:val="left"/>
        <w:spacing w:line="240" w:lineRule="auto"/>
        <w:shd w:val="clear" w:color="auto" w:fill="ffffff"/>
        <w:rPr>
          <w:rFonts w:hint="eastAsia" w:ascii="宋体" w:hAnsi="宋体" w:eastAsia="宋体" w:cs="宋体"/>
          <w:b w:val="0"/>
          <w:bCs w:val="0"/>
          <w:color w:val="auto"/>
          <w:sz w:val="24"/>
          <w:szCs w:val="24"/>
          <w:shd w:val="clear" w:color="auto" w:fill="auto"/>
        </w:rPr>
      </w:pPr>
      <w:r>
        <w:rPr>
          <w:rFonts w:hint="eastAsia" w:ascii="宋体" w:hAnsi="宋体" w:eastAsia="宋体" w:cs="宋体"/>
          <w:b w:val="0"/>
          <w:bCs w:val="0"/>
          <w:color w:val="auto"/>
          <w:sz w:val="24"/>
          <w:szCs w:val="24"/>
          <w:shd w:val="clear" w:color="auto" w:fill="auto"/>
        </w:rPr>
        <w:t xml:space="preserve">评分标准：</w:t>
      </w:r>
      <w:r/>
    </w:p>
    <w:p>
      <w:pPr>
        <w:pStyle w:val="1132"/>
        <w:ind w:firstLine="0"/>
        <w:jc w:val="left"/>
        <w:spacing w:line="240" w:lineRule="auto"/>
        <w:shd w:val="clear" w:color="auto" w:fill="ffffff"/>
        <w:rPr>
          <w:rFonts w:hint="eastAsia" w:ascii="宋体" w:hAnsi="宋体" w:eastAsia="宋体" w:cs="宋体"/>
          <w:b w:val="0"/>
          <w:bCs w:val="0"/>
          <w:color w:val="auto"/>
          <w:sz w:val="24"/>
          <w:szCs w:val="24"/>
          <w:shd w:val="clear" w:color="auto" w:fill="auto"/>
        </w:rPr>
      </w:pPr>
      <w:r>
        <w:rPr>
          <w:rFonts w:hint="eastAsia" w:ascii="宋体" w:hAnsi="宋体" w:eastAsia="宋体" w:cs="宋体"/>
          <w:b w:val="0"/>
          <w:bCs w:val="0"/>
          <w:color w:val="auto"/>
          <w:sz w:val="24"/>
          <w:szCs w:val="24"/>
          <w:shd w:val="clear" w:color="auto" w:fill="auto"/>
        </w:rPr>
      </w:r>
      <w:r/>
    </w:p>
    <w:p>
      <w:pPr>
        <w:pStyle w:val="1132"/>
        <w:ind w:firstLine="0"/>
        <w:jc w:val="left"/>
        <w:spacing w:line="240" w:lineRule="auto"/>
        <w:shd w:val="clear" w:color="auto" w:fill="ffffff"/>
        <w:rPr>
          <w:rFonts w:hint="eastAsia" w:ascii="宋体" w:hAnsi="宋体" w:eastAsia="宋体" w:cs="宋体"/>
          <w:b/>
          <w:bCs/>
          <w:color w:val="auto"/>
          <w:sz w:val="24"/>
          <w:szCs w:val="24"/>
          <w:shd w:val="clear" w:color="auto" w:fill="auto"/>
        </w:rPr>
      </w:pPr>
      <w:r>
        <w:rPr>
          <w:rFonts w:hint="eastAsia" w:ascii="宋体" w:hAnsi="宋体" w:eastAsia="宋体" w:cs="宋体"/>
          <w:b/>
          <w:bCs/>
          <w:color w:val="auto"/>
          <w:sz w:val="24"/>
          <w:szCs w:val="24"/>
          <w:shd w:val="clear" w:color="auto" w:fill="auto"/>
        </w:rPr>
        <w:t xml:space="preserve">(一）价格分：</w:t>
      </w:r>
      <w:r>
        <w:rPr>
          <w:rFonts w:hint="eastAsia" w:ascii="宋体" w:hAnsi="宋体" w:eastAsia="宋体" w:cs="宋体"/>
          <w:b/>
          <w:bCs/>
          <w:color w:val="auto"/>
          <w:sz w:val="24"/>
          <w:szCs w:val="24"/>
          <w:shd w:val="clear" w:color="auto" w:fill="auto"/>
          <w:lang w:val="en-US" w:eastAsia="zh-CN"/>
        </w:rPr>
        <w:t xml:space="preserve">1</w:t>
      </w:r>
      <w:r>
        <w:rPr>
          <w:rFonts w:hint="eastAsia" w:ascii="宋体" w:hAnsi="宋体" w:eastAsia="宋体" w:cs="宋体"/>
          <w:b/>
          <w:bCs/>
          <w:color w:val="auto"/>
          <w:sz w:val="24"/>
          <w:szCs w:val="24"/>
          <w:shd w:val="clear" w:color="auto" w:fill="auto"/>
        </w:rPr>
        <w:t xml:space="preserve">0分</w:t>
      </w:r>
      <w:r/>
    </w:p>
    <w:p>
      <w:pPr>
        <w:pStyle w:val="1132"/>
        <w:ind w:firstLine="0"/>
        <w:jc w:val="left"/>
        <w:spacing w:line="240" w:lineRule="auto"/>
        <w:shd w:val="clear" w:color="auto" w:fill="ffffff"/>
        <w:rPr>
          <w:rFonts w:hint="eastAsia" w:ascii="宋体" w:hAnsi="宋体" w:eastAsia="宋体" w:cs="宋体"/>
          <w:b w:val="0"/>
          <w:bCs w:val="0"/>
          <w:color w:val="auto"/>
          <w:sz w:val="24"/>
          <w:szCs w:val="24"/>
          <w:shd w:val="clear" w:color="auto" w:fill="auto"/>
        </w:rPr>
      </w:pPr>
      <w:r>
        <w:rPr>
          <w:rFonts w:hint="eastAsia" w:ascii="宋体" w:hAnsi="宋体" w:eastAsia="宋体" w:cs="宋体"/>
          <w:b w:val="0"/>
          <w:bCs w:val="0"/>
          <w:color w:val="auto"/>
          <w:sz w:val="24"/>
          <w:szCs w:val="24"/>
          <w:shd w:val="clear" w:color="auto" w:fill="auto"/>
        </w:rPr>
        <w:t xml:space="preserve">第一步：投标报价低于或等于财政预算价格（或最高限价）的，为有效投标报价。超财政预算（或最高限价）的投标报价为无效投标报价。</w:t>
      </w:r>
      <w:r/>
    </w:p>
    <w:p>
      <w:pPr>
        <w:pStyle w:val="1132"/>
        <w:ind w:firstLine="0"/>
        <w:jc w:val="left"/>
        <w:spacing w:line="240" w:lineRule="auto"/>
        <w:shd w:val="clear" w:color="auto" w:fill="ffffff"/>
        <w:rPr>
          <w:rFonts w:hint="eastAsia" w:ascii="宋体" w:hAnsi="宋体" w:eastAsia="宋体" w:cs="宋体"/>
          <w:b w:val="0"/>
          <w:bCs w:val="0"/>
          <w:color w:val="auto"/>
          <w:sz w:val="24"/>
          <w:szCs w:val="24"/>
          <w:shd w:val="clear" w:color="auto" w:fill="auto"/>
        </w:rPr>
      </w:pPr>
      <w:r>
        <w:rPr>
          <w:rFonts w:hint="eastAsia" w:ascii="宋体" w:hAnsi="宋体" w:eastAsia="宋体" w:cs="宋体"/>
          <w:b w:val="0"/>
          <w:bCs w:val="0"/>
          <w:color w:val="auto"/>
          <w:sz w:val="24"/>
          <w:szCs w:val="24"/>
          <w:shd w:val="clear" w:color="auto" w:fill="auto"/>
        </w:rPr>
        <w:t xml:space="preserve">第二步：在所有有效投标报价中满足招标文件要求，且投标价格最低的投标报价为评标基准价，其他投标人的价格分按照下列公式计算（计算结果四舍五入保留两位小数）。</w:t>
      </w:r>
      <w:r/>
    </w:p>
    <w:p>
      <w:pPr>
        <w:pStyle w:val="1132"/>
        <w:ind w:firstLine="0"/>
        <w:jc w:val="left"/>
        <w:spacing w:line="240" w:lineRule="auto"/>
        <w:shd w:val="clear" w:color="auto" w:fill="ffffff"/>
        <w:rPr>
          <w:rFonts w:hint="eastAsia" w:ascii="宋体" w:hAnsi="宋体" w:eastAsia="宋体" w:cs="宋体"/>
          <w:b w:val="0"/>
          <w:bCs w:val="0"/>
          <w:color w:val="auto"/>
          <w:sz w:val="24"/>
          <w:szCs w:val="24"/>
          <w:shd w:val="clear" w:color="auto" w:fill="auto"/>
        </w:rPr>
      </w:pPr>
      <w:r>
        <w:rPr>
          <w:rFonts w:hint="eastAsia" w:ascii="宋体" w:hAnsi="宋体" w:eastAsia="宋体" w:cs="宋体"/>
          <w:b w:val="0"/>
          <w:bCs w:val="0"/>
          <w:color w:val="auto"/>
          <w:sz w:val="24"/>
          <w:szCs w:val="24"/>
          <w:shd w:val="clear" w:color="auto" w:fill="auto"/>
        </w:rPr>
        <w:t xml:space="preserve">投标报价得分＝（评标基准价/投标报价）×</w:t>
      </w:r>
      <w:r>
        <w:rPr>
          <w:rFonts w:hint="eastAsia" w:ascii="宋体" w:hAnsi="宋体" w:eastAsia="宋体" w:cs="宋体"/>
          <w:b w:val="0"/>
          <w:bCs w:val="0"/>
          <w:color w:val="auto"/>
          <w:sz w:val="24"/>
          <w:szCs w:val="24"/>
          <w:shd w:val="clear" w:color="auto" w:fill="auto"/>
          <w:lang w:val="en-US" w:eastAsia="zh-CN"/>
        </w:rPr>
        <w:t xml:space="preserve">1</w:t>
      </w:r>
      <w:r>
        <w:rPr>
          <w:rFonts w:hint="eastAsia" w:ascii="宋体" w:hAnsi="宋体" w:eastAsia="宋体" w:cs="宋体"/>
          <w:b w:val="0"/>
          <w:bCs w:val="0"/>
          <w:color w:val="auto"/>
          <w:sz w:val="24"/>
          <w:szCs w:val="24"/>
          <w:shd w:val="clear" w:color="auto" w:fill="auto"/>
        </w:rPr>
        <w:t xml:space="preserve">0％×100</w:t>
      </w:r>
      <w:r/>
    </w:p>
    <w:p>
      <w:pPr>
        <w:pStyle w:val="1132"/>
        <w:ind w:firstLine="0"/>
        <w:jc w:val="left"/>
        <w:spacing w:line="240" w:lineRule="auto"/>
        <w:shd w:val="clear" w:color="auto" w:fill="ffffff"/>
        <w:rPr>
          <w:rFonts w:hint="eastAsia" w:ascii="宋体" w:hAnsi="宋体" w:eastAsia="宋体" w:cs="宋体"/>
          <w:b/>
          <w:bCs/>
          <w:color w:val="auto"/>
          <w:sz w:val="24"/>
          <w:szCs w:val="24"/>
          <w:shd w:val="clear" w:color="auto" w:fill="auto"/>
        </w:rPr>
      </w:pPr>
      <w:r>
        <w:rPr>
          <w:rFonts w:hint="eastAsia" w:ascii="宋体" w:hAnsi="宋体" w:eastAsia="宋体" w:cs="宋体"/>
          <w:b/>
          <w:bCs/>
          <w:color w:val="auto"/>
          <w:sz w:val="24"/>
          <w:szCs w:val="24"/>
          <w:shd w:val="clear" w:color="auto" w:fill="auto"/>
        </w:rPr>
        <w:t xml:space="preserve">（二）技术及商务部分（90分）</w:t>
      </w:r>
      <w:r/>
    </w:p>
    <w:tbl>
      <w:tblPr>
        <w:tblStyle w:val="847"/>
        <w:tblW w:w="5000"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09"/>
        <w:gridCol w:w="1378"/>
        <w:gridCol w:w="6072"/>
        <w:gridCol w:w="729"/>
      </w:tblGrid>
      <w:tr>
        <w:trPr>
          <w:trHeight w:val="487"/>
        </w:trPr>
        <w:tc>
          <w:tcPr>
            <w:tcBorders>
              <w:top w:val="single" w:color="auto" w:sz="4" w:space="0"/>
              <w:left w:val="single" w:color="auto" w:sz="4" w:space="0"/>
              <w:bottom w:val="single" w:color="auto" w:sz="4" w:space="0"/>
              <w:right w:val="single" w:color="auto" w:sz="4" w:space="0"/>
            </w:tcBorders>
            <w:tcW w:w="597" w:type="pct"/>
            <w:vAlign w:val="center"/>
            <w:textDirection w:val="lrTb"/>
            <w:noWrap w:val="false"/>
          </w:tcPr>
          <w:p>
            <w:pPr>
              <w:jc w:val="center"/>
              <w:rPr>
                <w:rFonts w:hint="eastAsia" w:ascii="宋体" w:hAnsi="宋体" w:eastAsia="宋体" w:cs="宋体"/>
                <w:bCs/>
                <w:sz w:val="21"/>
                <w:szCs w:val="21"/>
              </w:rPr>
            </w:pPr>
            <w:r>
              <w:rPr>
                <w:rFonts w:hint="eastAsia" w:ascii="宋体" w:hAnsi="宋体" w:eastAsia="宋体" w:cs="宋体"/>
                <w:bCs/>
                <w:sz w:val="21"/>
                <w:szCs w:val="21"/>
              </w:rPr>
              <w:t xml:space="preserve">评审类别</w:t>
            </w:r>
            <w:r/>
          </w:p>
        </w:tc>
        <w:tc>
          <w:tcPr>
            <w:tcBorders>
              <w:top w:val="single" w:color="auto" w:sz="4" w:space="0"/>
              <w:left w:val="single" w:color="auto" w:sz="4" w:space="0"/>
              <w:bottom w:val="single" w:color="auto" w:sz="4" w:space="0"/>
              <w:right w:val="single" w:color="auto" w:sz="4" w:space="0"/>
            </w:tcBorders>
            <w:tcW w:w="742" w:type="pct"/>
            <w:vAlign w:val="center"/>
            <w:textDirection w:val="lrTb"/>
            <w:noWrap w:val="false"/>
          </w:tcPr>
          <w:p>
            <w:pPr>
              <w:jc w:val="center"/>
              <w:rPr>
                <w:rFonts w:hint="eastAsia" w:ascii="宋体" w:hAnsi="宋体" w:eastAsia="宋体" w:cs="宋体"/>
                <w:bCs/>
                <w:sz w:val="21"/>
                <w:szCs w:val="21"/>
              </w:rPr>
            </w:pPr>
            <w:r>
              <w:rPr>
                <w:rFonts w:hint="eastAsia" w:ascii="宋体" w:hAnsi="宋体" w:eastAsia="宋体" w:cs="宋体"/>
                <w:bCs/>
                <w:sz w:val="21"/>
                <w:szCs w:val="21"/>
              </w:rPr>
              <w:t xml:space="preserve">评审项</w:t>
            </w:r>
            <w:r/>
          </w:p>
        </w:tc>
        <w:tc>
          <w:tcPr>
            <w:tcBorders>
              <w:top w:val="single" w:color="auto" w:sz="4" w:space="0"/>
              <w:left w:val="single" w:color="auto" w:sz="4" w:space="0"/>
              <w:bottom w:val="single" w:color="auto" w:sz="4" w:space="0"/>
              <w:right w:val="single" w:color="auto" w:sz="4" w:space="0"/>
            </w:tcBorders>
            <w:tcW w:w="3269" w:type="pct"/>
            <w:vAlign w:val="center"/>
            <w:textDirection w:val="lrTb"/>
            <w:noWrap w:val="false"/>
          </w:tcPr>
          <w:p>
            <w:pPr>
              <w:jc w:val="center"/>
              <w:rPr>
                <w:rFonts w:hint="eastAsia" w:ascii="宋体" w:hAnsi="宋体" w:eastAsia="宋体" w:cs="宋体"/>
                <w:bCs/>
                <w:sz w:val="21"/>
                <w:szCs w:val="21"/>
              </w:rPr>
            </w:pPr>
            <w:r>
              <w:rPr>
                <w:rFonts w:hint="eastAsia" w:ascii="宋体" w:hAnsi="宋体" w:eastAsia="宋体" w:cs="宋体"/>
                <w:bCs/>
                <w:sz w:val="21"/>
                <w:szCs w:val="21"/>
              </w:rPr>
              <w:t xml:space="preserve">评审规则</w:t>
            </w:r>
            <w:r/>
          </w:p>
        </w:tc>
        <w:tc>
          <w:tcPr>
            <w:tcBorders>
              <w:top w:val="single" w:color="auto" w:sz="4" w:space="0"/>
              <w:left w:val="single" w:color="auto" w:sz="4" w:space="0"/>
              <w:bottom w:val="single" w:color="auto" w:sz="4" w:space="0"/>
              <w:right w:val="single" w:color="auto" w:sz="4" w:space="0"/>
            </w:tcBorders>
            <w:tcW w:w="392" w:type="pct"/>
            <w:vAlign w:val="center"/>
            <w:textDirection w:val="lrTb"/>
            <w:noWrap w:val="false"/>
          </w:tcPr>
          <w:p>
            <w:pPr>
              <w:jc w:val="center"/>
              <w:rPr>
                <w:rFonts w:hint="eastAsia" w:ascii="宋体" w:hAnsi="宋体" w:eastAsia="宋体" w:cs="宋体"/>
                <w:bCs/>
                <w:sz w:val="21"/>
                <w:szCs w:val="21"/>
              </w:rPr>
            </w:pPr>
            <w:r>
              <w:rPr>
                <w:rFonts w:hint="eastAsia" w:ascii="宋体" w:hAnsi="宋体" w:eastAsia="宋体" w:cs="宋体"/>
                <w:bCs/>
                <w:sz w:val="21"/>
                <w:szCs w:val="21"/>
              </w:rPr>
              <w:t xml:space="preserve">分值</w:t>
            </w:r>
            <w:r/>
          </w:p>
        </w:tc>
      </w:tr>
      <w:tr>
        <w:trPr>
          <w:trHeight w:val="932"/>
        </w:trPr>
        <w:tc>
          <w:tcPr>
            <w:tcBorders>
              <w:top w:val="none" w:color="000000" w:sz="4" w:space="0"/>
              <w:left w:val="single" w:color="auto" w:sz="4" w:space="0"/>
              <w:right w:val="single" w:color="auto" w:sz="4" w:space="0"/>
            </w:tcBorders>
            <w:tcW w:w="597" w:type="pct"/>
            <w:vAlign w:val="center"/>
            <w:vMerge w:val="restart"/>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t xml:space="preserve">技术部分(60分)</w:t>
            </w:r>
            <w:r/>
          </w:p>
        </w:tc>
        <w:tc>
          <w:tcPr>
            <w:tcBorders>
              <w:top w:val="single" w:color="auto" w:sz="4" w:space="0"/>
              <w:left w:val="single" w:color="auto" w:sz="4" w:space="0"/>
              <w:bottom w:val="single" w:color="auto" w:sz="4" w:space="0"/>
              <w:right w:val="single" w:color="auto" w:sz="4" w:space="0"/>
            </w:tcBorders>
            <w:tcW w:w="742" w:type="pct"/>
            <w:vAlign w:val="center"/>
            <w:textDirection w:val="lrTb"/>
            <w:noWrap w:val="false"/>
          </w:tcPr>
          <w:p>
            <w:pPr>
              <w:jc w:val="center"/>
              <w:rPr>
                <w:rFonts w:ascii="宋体" w:hAnsi="宋体" w:eastAsia="宋体" w:cs="宋体"/>
                <w:sz w:val="21"/>
                <w:szCs w:val="21"/>
              </w:rPr>
            </w:pPr>
            <w:r>
              <w:rPr>
                <w:rFonts w:hint="eastAsia" w:ascii="宋体" w:hAnsi="宋体" w:eastAsia="宋体" w:cs="宋体"/>
                <w:sz w:val="21"/>
                <w:szCs w:val="21"/>
              </w:rPr>
              <w:t xml:space="preserve">对本项目需求理解</w:t>
            </w:r>
            <w:r/>
          </w:p>
        </w:tc>
        <w:tc>
          <w:tcPr>
            <w:tcBorders>
              <w:top w:val="single" w:color="auto" w:sz="4" w:space="0"/>
              <w:left w:val="single" w:color="auto" w:sz="4" w:space="0"/>
              <w:bottom w:val="single" w:color="auto" w:sz="4" w:space="0"/>
              <w:right w:val="single" w:color="auto" w:sz="4" w:space="0"/>
            </w:tcBorders>
            <w:tcW w:w="3269" w:type="pct"/>
            <w:vAlign w:val="center"/>
            <w:textDirection w:val="lrTb"/>
            <w:noWrap w:val="false"/>
          </w:tcPr>
          <w:p>
            <w:pPr>
              <w:rPr>
                <w:rFonts w:ascii="宋体" w:hAnsi="宋体" w:eastAsia="宋体" w:cs="宋体"/>
                <w:sz w:val="21"/>
                <w:szCs w:val="21"/>
              </w:rPr>
            </w:pPr>
            <w:r>
              <w:rPr>
                <w:rFonts w:hint="eastAsia" w:ascii="宋体" w:hAnsi="宋体" w:eastAsia="宋体" w:cs="宋体"/>
                <w:sz w:val="21"/>
                <w:szCs w:val="21"/>
              </w:rPr>
              <w:t xml:space="preserve">阐述对该项目的需求理解情况，包括但不限于项目情况、项目现状、服务目标、重难点分析等，</w:t>
            </w:r>
            <w:r>
              <w:rPr>
                <w:rFonts w:hint="eastAsia" w:ascii="宋体" w:hAnsi="宋体" w:eastAsia="宋体" w:cs="宋体"/>
                <w:sz w:val="21"/>
                <w:szCs w:val="21"/>
                <w:lang w:val="en-US" w:eastAsia="zh-CN"/>
              </w:rPr>
              <w:t xml:space="preserve">分析需求</w:t>
            </w:r>
            <w:r>
              <w:rPr>
                <w:rFonts w:hint="eastAsia" w:ascii="宋体" w:hAnsi="宋体" w:eastAsia="宋体" w:cs="宋体"/>
                <w:sz w:val="21"/>
                <w:szCs w:val="21"/>
              </w:rPr>
              <w:t xml:space="preserve">完整的得</w:t>
            </w:r>
            <w:r>
              <w:rPr>
                <w:rFonts w:hint="eastAsia" w:ascii="宋体" w:hAnsi="宋体" w:eastAsia="宋体" w:cs="宋体"/>
                <w:sz w:val="21"/>
                <w:szCs w:val="21"/>
                <w:lang w:val="en-US" w:eastAsia="zh-CN"/>
              </w:rPr>
              <w:t xml:space="preserve">10</w:t>
            </w:r>
            <w:r>
              <w:rPr>
                <w:rFonts w:hint="eastAsia" w:ascii="宋体" w:hAnsi="宋体" w:eastAsia="宋体" w:cs="宋体"/>
                <w:sz w:val="21"/>
                <w:szCs w:val="21"/>
              </w:rPr>
              <w:t xml:space="preserve">分；</w:t>
            </w:r>
            <w:r>
              <w:rPr>
                <w:rFonts w:hint="eastAsia" w:ascii="宋体" w:hAnsi="宋体" w:eastAsia="宋体" w:cs="宋体"/>
                <w:sz w:val="21"/>
                <w:szCs w:val="21"/>
                <w:lang w:val="en-US" w:eastAsia="zh-CN"/>
              </w:rPr>
              <w:t xml:space="preserve">分析需求</w:t>
            </w:r>
            <w:r>
              <w:rPr>
                <w:rFonts w:hint="eastAsia" w:ascii="宋体" w:hAnsi="宋体" w:eastAsia="宋体" w:cs="宋体"/>
                <w:sz w:val="21"/>
                <w:szCs w:val="21"/>
              </w:rPr>
              <w:t xml:space="preserve">较准确、内容较完整的得</w:t>
            </w: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分；</w:t>
            </w:r>
            <w:r>
              <w:rPr>
                <w:rFonts w:hint="eastAsia" w:ascii="宋体" w:hAnsi="宋体" w:eastAsia="宋体" w:cs="宋体"/>
                <w:sz w:val="21"/>
                <w:szCs w:val="21"/>
                <w:lang w:val="en-US" w:eastAsia="zh-CN"/>
              </w:rPr>
              <w:t xml:space="preserve">分析需求</w:t>
            </w:r>
            <w:r>
              <w:rPr>
                <w:rFonts w:hint="eastAsia" w:ascii="宋体" w:hAnsi="宋体" w:eastAsia="宋体" w:cs="宋体"/>
                <w:sz w:val="21"/>
                <w:szCs w:val="21"/>
              </w:rPr>
              <w:t xml:space="preserve">较差，内容缺失的得</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分；未提供的不得分</w:t>
            </w:r>
            <w:r/>
          </w:p>
        </w:tc>
        <w:tc>
          <w:tcPr>
            <w:tcBorders>
              <w:top w:val="single" w:color="auto" w:sz="4" w:space="0"/>
              <w:left w:val="single" w:color="auto" w:sz="4" w:space="0"/>
              <w:bottom w:val="single" w:color="auto" w:sz="4" w:space="0"/>
              <w:right w:val="single" w:color="auto" w:sz="4" w:space="0"/>
            </w:tcBorders>
            <w:tcW w:w="39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10分</w:t>
            </w:r>
            <w:r/>
          </w:p>
        </w:tc>
      </w:tr>
      <w:tr>
        <w:trPr>
          <w:trHeight w:val="1258"/>
        </w:trPr>
        <w:tc>
          <w:tcPr>
            <w:tcBorders>
              <w:left w:val="single" w:color="auto" w:sz="4" w:space="0"/>
              <w:right w:val="single" w:color="auto" w:sz="4" w:space="0"/>
            </w:tcBorders>
            <w:tcW w:w="0" w:type="auto"/>
            <w:vAlign w:val="center"/>
            <w:vMerge w:val="continue"/>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r>
            <w:r/>
          </w:p>
        </w:tc>
        <w:tc>
          <w:tcPr>
            <w:tcBorders>
              <w:top w:val="single" w:color="auto" w:sz="4" w:space="0"/>
              <w:left w:val="single" w:color="auto" w:sz="4" w:space="0"/>
              <w:bottom w:val="single" w:color="auto" w:sz="4" w:space="0"/>
              <w:right w:val="single" w:color="auto" w:sz="4" w:space="0"/>
            </w:tcBorders>
            <w:tcW w:w="742" w:type="pct"/>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rPr>
              <w:t xml:space="preserve">服务体系建设</w:t>
            </w:r>
            <w:r>
              <w:rPr>
                <w:rFonts w:hint="eastAsia" w:ascii="宋体" w:hAnsi="宋体" w:eastAsia="宋体" w:cs="宋体"/>
                <w:sz w:val="21"/>
                <w:szCs w:val="21"/>
                <w:lang w:val="en-US" w:eastAsia="zh-CN"/>
              </w:rPr>
              <w:t xml:space="preserve">方案</w:t>
            </w:r>
            <w:r/>
          </w:p>
        </w:tc>
        <w:tc>
          <w:tcPr>
            <w:tcBorders>
              <w:top w:val="single" w:color="auto" w:sz="4" w:space="0"/>
              <w:left w:val="single" w:color="auto" w:sz="4" w:space="0"/>
              <w:bottom w:val="single" w:color="auto" w:sz="4" w:space="0"/>
              <w:right w:val="single" w:color="auto" w:sz="4" w:space="0"/>
            </w:tcBorders>
            <w:tcW w:w="3269" w:type="pct"/>
            <w:vAlign w:val="center"/>
            <w:textDirection w:val="lrTb"/>
            <w:noWrap w:val="false"/>
          </w:tcPr>
          <w:p>
            <w:pPr>
              <w:rPr>
                <w:rFonts w:ascii="宋体" w:hAnsi="宋体" w:eastAsia="宋体" w:cs="宋体"/>
                <w:sz w:val="21"/>
                <w:szCs w:val="21"/>
              </w:rPr>
            </w:pPr>
            <w:r>
              <w:rPr>
                <w:rFonts w:hint="eastAsia" w:ascii="宋体" w:hAnsi="宋体" w:eastAsia="宋体" w:cs="宋体"/>
                <w:sz w:val="21"/>
                <w:szCs w:val="21"/>
              </w:rPr>
              <w:t xml:space="preserve">投标单位针对本项目所提供的服务体系建设方案准确、内容完整的得</w:t>
            </w:r>
            <w:r>
              <w:rPr>
                <w:rFonts w:hint="eastAsia" w:ascii="宋体" w:hAnsi="宋体" w:eastAsia="宋体" w:cs="宋体"/>
                <w:sz w:val="21"/>
                <w:szCs w:val="21"/>
                <w:lang w:val="en-US" w:eastAsia="zh-CN"/>
              </w:rPr>
              <w:t xml:space="preserve">15</w:t>
            </w:r>
            <w:r>
              <w:rPr>
                <w:rFonts w:hint="eastAsia" w:ascii="宋体" w:hAnsi="宋体" w:eastAsia="宋体" w:cs="宋体"/>
                <w:sz w:val="21"/>
                <w:szCs w:val="21"/>
              </w:rPr>
              <w:t xml:space="preserve">分；方案较准确、内容较完整的得</w:t>
            </w:r>
            <w:r>
              <w:rPr>
                <w:rFonts w:hint="eastAsia" w:ascii="宋体" w:hAnsi="宋体" w:eastAsia="宋体" w:cs="宋体"/>
                <w:sz w:val="21"/>
                <w:szCs w:val="21"/>
                <w:lang w:val="en-US" w:eastAsia="zh-CN"/>
              </w:rPr>
              <w:t xml:space="preserve">10</w:t>
            </w:r>
            <w:r>
              <w:rPr>
                <w:rFonts w:hint="eastAsia" w:ascii="宋体" w:hAnsi="宋体" w:eastAsia="宋体" w:cs="宋体"/>
                <w:sz w:val="21"/>
                <w:szCs w:val="21"/>
              </w:rPr>
              <w:t xml:space="preserve">分；方案较差，内容缺失的得</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分；未提供的不得分</w:t>
            </w:r>
            <w:r/>
          </w:p>
        </w:tc>
        <w:tc>
          <w:tcPr>
            <w:tcBorders>
              <w:top w:val="single" w:color="auto" w:sz="4" w:space="0"/>
              <w:left w:val="single" w:color="auto" w:sz="4" w:space="0"/>
              <w:bottom w:val="single" w:color="auto" w:sz="4" w:space="0"/>
              <w:right w:val="single" w:color="auto" w:sz="4" w:space="0"/>
            </w:tcBorders>
            <w:tcW w:w="392" w:type="pct"/>
            <w:vAlign w:val="center"/>
            <w:textDirection w:val="lrTb"/>
            <w:noWrap w:val="false"/>
          </w:tcPr>
          <w:p>
            <w:pPr>
              <w:jc w:val="center"/>
              <w:rPr>
                <w:rFonts w:hint="eastAsia" w:ascii="宋体" w:hAnsi="宋体" w:eastAsia="宋体" w:cs="宋体"/>
                <w:bCs/>
                <w:sz w:val="21"/>
                <w:szCs w:val="21"/>
              </w:rPr>
            </w:pPr>
            <w:r>
              <w:rPr>
                <w:rFonts w:hint="eastAsia" w:ascii="宋体" w:hAnsi="宋体" w:eastAsia="宋体" w:cs="宋体"/>
                <w:bCs/>
                <w:sz w:val="21"/>
                <w:szCs w:val="21"/>
                <w:lang w:val="en-US" w:eastAsia="zh-CN"/>
              </w:rPr>
              <w:t xml:space="preserve">15</w:t>
            </w:r>
            <w:r>
              <w:rPr>
                <w:rFonts w:hint="eastAsia" w:ascii="宋体" w:hAnsi="宋体" w:eastAsia="宋体" w:cs="宋体"/>
                <w:bCs/>
                <w:sz w:val="21"/>
                <w:szCs w:val="21"/>
              </w:rPr>
              <w:t xml:space="preserve">分</w:t>
            </w:r>
            <w:r/>
          </w:p>
        </w:tc>
      </w:tr>
      <w:tr>
        <w:trPr>
          <w:trHeight w:val="978"/>
        </w:trPr>
        <w:tc>
          <w:tcPr>
            <w:tcBorders>
              <w:left w:val="single" w:color="auto" w:sz="4" w:space="0"/>
              <w:right w:val="single" w:color="auto" w:sz="4" w:space="0"/>
            </w:tcBorders>
            <w:tcW w:w="0" w:type="auto"/>
            <w:vAlign w:val="center"/>
            <w:vMerge w:val="continue"/>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r>
            <w:r/>
          </w:p>
        </w:tc>
        <w:tc>
          <w:tcPr>
            <w:tcBorders>
              <w:top w:val="single" w:color="auto" w:sz="4" w:space="0"/>
              <w:left w:val="single" w:color="auto" w:sz="4" w:space="0"/>
              <w:bottom w:val="single" w:color="auto" w:sz="4" w:space="0"/>
              <w:right w:val="single" w:color="auto" w:sz="4" w:space="0"/>
            </w:tcBorders>
            <w:tcW w:w="742" w:type="pct"/>
            <w:vAlign w:val="center"/>
            <w:textDirection w:val="lrTb"/>
            <w:noWrap w:val="false"/>
          </w:tcPr>
          <w:p>
            <w:pPr>
              <w:jc w:val="center"/>
              <w:rPr>
                <w:rFonts w:ascii="宋体" w:hAnsi="宋体" w:eastAsia="宋体" w:cs="宋体"/>
                <w:sz w:val="21"/>
                <w:szCs w:val="21"/>
              </w:rPr>
            </w:pPr>
            <w:r>
              <w:rPr>
                <w:rFonts w:hint="eastAsia" w:ascii="宋体" w:hAnsi="宋体" w:eastAsia="宋体" w:cs="宋体"/>
                <w:sz w:val="21"/>
                <w:szCs w:val="21"/>
              </w:rPr>
              <w:t xml:space="preserve">维护的服务承诺和响应时间</w:t>
            </w:r>
            <w:r/>
          </w:p>
        </w:tc>
        <w:tc>
          <w:tcPr>
            <w:tcBorders>
              <w:top w:val="single" w:color="auto" w:sz="4" w:space="0"/>
              <w:left w:val="single" w:color="auto" w:sz="4" w:space="0"/>
              <w:bottom w:val="single" w:color="auto" w:sz="4" w:space="0"/>
              <w:right w:val="single" w:color="auto" w:sz="4" w:space="0"/>
            </w:tcBorders>
            <w:tcW w:w="3269" w:type="pct"/>
            <w:vAlign w:val="center"/>
            <w:textDirection w:val="lrTb"/>
            <w:noWrap w:val="false"/>
          </w:tcPr>
          <w:p>
            <w:pPr>
              <w:rPr>
                <w:rFonts w:ascii="宋体" w:hAnsi="宋体" w:eastAsia="宋体" w:cs="宋体"/>
                <w:sz w:val="21"/>
                <w:szCs w:val="21"/>
              </w:rPr>
            </w:pPr>
            <w:r>
              <w:rPr>
                <w:rFonts w:hint="eastAsia" w:ascii="宋体" w:hAnsi="宋体" w:eastAsia="宋体" w:cs="宋体"/>
                <w:sz w:val="21"/>
                <w:szCs w:val="21"/>
              </w:rPr>
              <w:t xml:space="preserve">投标单位针对本项目的承诺完整，响应时间合理、及时的得</w:t>
            </w:r>
            <w:r>
              <w:rPr>
                <w:rFonts w:hint="eastAsia" w:ascii="宋体" w:hAnsi="宋体" w:eastAsia="宋体" w:cs="宋体"/>
                <w:sz w:val="21"/>
                <w:szCs w:val="21"/>
                <w:lang w:val="en-US" w:eastAsia="zh-CN"/>
              </w:rPr>
              <w:t xml:space="preserve">13</w:t>
            </w:r>
            <w:r>
              <w:rPr>
                <w:rFonts w:hint="eastAsia" w:ascii="宋体" w:hAnsi="宋体" w:eastAsia="宋体" w:cs="宋体"/>
                <w:sz w:val="21"/>
                <w:szCs w:val="21"/>
              </w:rPr>
              <w:t xml:space="preserve">分；承诺较完整，响应时间较合理、及时的得</w:t>
            </w: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分；承诺完整性一般，响应时间合理性、及时性一般的得</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分；未提供的不得分</w:t>
            </w:r>
            <w:r/>
          </w:p>
        </w:tc>
        <w:tc>
          <w:tcPr>
            <w:tcBorders>
              <w:top w:val="single" w:color="auto" w:sz="4" w:space="0"/>
              <w:left w:val="single" w:color="auto" w:sz="4" w:space="0"/>
              <w:bottom w:val="single" w:color="auto" w:sz="4" w:space="0"/>
              <w:right w:val="single" w:color="auto" w:sz="4" w:space="0"/>
            </w:tcBorders>
            <w:tcW w:w="392" w:type="pct"/>
            <w:vAlign w:val="center"/>
            <w:textDirection w:val="lrTb"/>
            <w:noWrap w:val="false"/>
          </w:tcPr>
          <w:p>
            <w:pPr>
              <w:jc w:val="center"/>
              <w:rPr>
                <w:rFonts w:hint="eastAsia" w:ascii="宋体" w:hAnsi="宋体" w:eastAsia="宋体" w:cs="宋体"/>
                <w:bCs/>
                <w:sz w:val="21"/>
                <w:szCs w:val="21"/>
              </w:rPr>
            </w:pPr>
            <w:r>
              <w:rPr>
                <w:rFonts w:hint="eastAsia" w:ascii="宋体" w:hAnsi="宋体" w:eastAsia="宋体" w:cs="宋体"/>
                <w:sz w:val="21"/>
                <w:szCs w:val="21"/>
                <w:lang w:val="en-US" w:eastAsia="zh-CN"/>
              </w:rPr>
              <w:t xml:space="preserve">13</w:t>
            </w:r>
            <w:r>
              <w:rPr>
                <w:rFonts w:hint="eastAsia" w:ascii="宋体" w:hAnsi="宋体" w:eastAsia="宋体" w:cs="宋体"/>
                <w:sz w:val="21"/>
                <w:szCs w:val="21"/>
              </w:rPr>
              <w:t xml:space="preserve">分</w:t>
            </w:r>
            <w:r/>
          </w:p>
        </w:tc>
      </w:tr>
      <w:tr>
        <w:trPr>
          <w:trHeight w:val="992"/>
        </w:trPr>
        <w:tc>
          <w:tcPr>
            <w:tcBorders>
              <w:left w:val="single" w:color="auto" w:sz="4" w:space="0"/>
              <w:right w:val="single" w:color="auto" w:sz="4" w:space="0"/>
            </w:tcBorders>
            <w:tcW w:w="0" w:type="auto"/>
            <w:vAlign w:val="center"/>
            <w:vMerge w:val="continue"/>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r>
            <w:r/>
          </w:p>
        </w:tc>
        <w:tc>
          <w:tcPr>
            <w:tcBorders>
              <w:top w:val="single" w:color="auto" w:sz="4" w:space="0"/>
              <w:left w:val="single" w:color="auto" w:sz="4" w:space="0"/>
              <w:bottom w:val="single" w:color="auto" w:sz="4" w:space="0"/>
              <w:right w:val="single" w:color="auto" w:sz="4" w:space="0"/>
            </w:tcBorders>
            <w:tcW w:w="1265" w:type="dxa"/>
            <w:vAlign w:val="center"/>
            <w:textDirection w:val="lrTb"/>
            <w:noWrap w:val="false"/>
          </w:tcPr>
          <w:p>
            <w:pPr>
              <w:jc w:val="center"/>
              <w:rPr>
                <w:rFonts w:ascii="宋体" w:hAnsi="宋体" w:eastAsia="宋体" w:cs="宋体"/>
                <w:sz w:val="21"/>
                <w:szCs w:val="21"/>
              </w:rPr>
            </w:pPr>
            <w:r>
              <w:rPr>
                <w:rFonts w:hint="eastAsia" w:ascii="宋体" w:hAnsi="宋体" w:eastAsia="宋体" w:cs="宋体"/>
                <w:sz w:val="21"/>
                <w:szCs w:val="21"/>
              </w:rPr>
              <w:t xml:space="preserve">应急维护服务方案</w:t>
            </w:r>
            <w:r/>
          </w:p>
        </w:tc>
        <w:tc>
          <w:tcPr>
            <w:tcBorders>
              <w:top w:val="single" w:color="auto" w:sz="4" w:space="0"/>
              <w:left w:val="single" w:color="auto" w:sz="4" w:space="0"/>
              <w:bottom w:val="single" w:color="auto" w:sz="4" w:space="0"/>
              <w:right w:val="single" w:color="auto" w:sz="4" w:space="0"/>
            </w:tcBorders>
            <w:tcW w:w="5572" w:type="dxa"/>
            <w:vAlign w:val="center"/>
            <w:textDirection w:val="lrTb"/>
            <w:noWrap w:val="false"/>
          </w:tcPr>
          <w:p>
            <w:pPr>
              <w:rPr>
                <w:rFonts w:ascii="宋体" w:hAnsi="宋体" w:eastAsia="宋体" w:cs="宋体"/>
                <w:sz w:val="21"/>
                <w:szCs w:val="21"/>
              </w:rPr>
            </w:pPr>
            <w:r>
              <w:rPr>
                <w:rFonts w:hint="eastAsia" w:ascii="宋体" w:hAnsi="宋体" w:eastAsia="宋体" w:cs="宋体"/>
                <w:sz w:val="21"/>
                <w:szCs w:val="21"/>
              </w:rPr>
              <w:t xml:space="preserve">方案完整、操作性强，根据可能发生的故障问题提供有效可行的、保证系统正常运行的应急维护服务方案，内容完整的得</w:t>
            </w: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分；方案较准确、内容较完整的得</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分；方案较差，内容缺失的得</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分；未提供的不得分</w:t>
            </w:r>
            <w:r/>
          </w:p>
        </w:tc>
        <w:tc>
          <w:tcPr>
            <w:tcBorders>
              <w:top w:val="single" w:color="auto" w:sz="4" w:space="0"/>
              <w:left w:val="single" w:color="auto" w:sz="4" w:space="0"/>
              <w:bottom w:val="single" w:color="auto" w:sz="4" w:space="0"/>
              <w:right w:val="single" w:color="auto" w:sz="4" w:space="0"/>
            </w:tcBorders>
            <w:tcW w:w="392" w:type="pct"/>
            <w:vAlign w:val="center"/>
            <w:textDirection w:val="lrTb"/>
            <w:noWrap w:val="false"/>
          </w:tcPr>
          <w:p>
            <w:pPr>
              <w:jc w:val="center"/>
              <w:rPr>
                <w:rFonts w:hint="eastAsia" w:ascii="宋体" w:hAnsi="宋体" w:eastAsia="宋体" w:cs="宋体"/>
                <w:bCs/>
                <w:sz w:val="21"/>
                <w:szCs w:val="21"/>
              </w:rPr>
            </w:pP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分</w:t>
            </w:r>
            <w:r/>
          </w:p>
        </w:tc>
      </w:tr>
      <w:tr>
        <w:trPr>
          <w:trHeight w:val="1050"/>
        </w:trPr>
        <w:tc>
          <w:tcPr>
            <w:tcBorders>
              <w:left w:val="single" w:color="auto" w:sz="4" w:space="0"/>
              <w:right w:val="single" w:color="auto" w:sz="4" w:space="0"/>
            </w:tcBorders>
            <w:tcW w:w="0" w:type="auto"/>
            <w:vAlign w:val="center"/>
            <w:vMerge w:val="continue"/>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r>
            <w:r/>
          </w:p>
        </w:tc>
        <w:tc>
          <w:tcPr>
            <w:tcBorders>
              <w:top w:val="single" w:color="auto" w:sz="4" w:space="0"/>
              <w:left w:val="single" w:color="auto" w:sz="4" w:space="0"/>
              <w:bottom w:val="single" w:color="auto" w:sz="4" w:space="0"/>
              <w:right w:val="single" w:color="auto" w:sz="4" w:space="0"/>
            </w:tcBorders>
            <w:tcW w:w="742" w:type="pct"/>
            <w:vAlign w:val="center"/>
            <w:textDirection w:val="lrTb"/>
            <w:noWrap w:val="false"/>
          </w:tcPr>
          <w:p>
            <w:pPr>
              <w:jc w:val="center"/>
              <w:rPr>
                <w:rFonts w:hint="eastAsia" w:ascii="宋体" w:hAnsi="宋体" w:eastAsia="宋体" w:cs="宋体"/>
                <w:sz w:val="21"/>
                <w:szCs w:val="21"/>
                <w:lang w:eastAsia="zh-CN"/>
              </w:rPr>
            </w:pPr>
            <w:r>
              <w:rPr>
                <w:rFonts w:hint="eastAsia" w:ascii="宋体" w:hAnsi="宋体" w:eastAsia="宋体" w:cs="宋体"/>
                <w:sz w:val="21"/>
                <w:szCs w:val="21"/>
              </w:rPr>
              <w:t xml:space="preserve">文档</w:t>
            </w:r>
            <w:r>
              <w:rPr>
                <w:rFonts w:hint="eastAsia" w:ascii="宋体" w:hAnsi="宋体" w:eastAsia="宋体" w:cs="宋体"/>
                <w:sz w:val="21"/>
                <w:szCs w:val="21"/>
                <w:lang w:val="en-US" w:eastAsia="zh-CN"/>
              </w:rPr>
              <w:t xml:space="preserve">管理方案</w:t>
            </w:r>
            <w:r/>
          </w:p>
        </w:tc>
        <w:tc>
          <w:tcPr>
            <w:tcBorders>
              <w:top w:val="single" w:color="auto" w:sz="4" w:space="0"/>
              <w:left w:val="single" w:color="auto" w:sz="4" w:space="0"/>
              <w:bottom w:val="single" w:color="auto" w:sz="4" w:space="0"/>
              <w:right w:val="single" w:color="auto" w:sz="4" w:space="0"/>
            </w:tcBorders>
            <w:tcW w:w="3269" w:type="pct"/>
            <w:vAlign w:val="center"/>
            <w:textDirection w:val="lrTb"/>
            <w:noWrap w:val="false"/>
          </w:tcPr>
          <w:p>
            <w:pPr>
              <w:rPr>
                <w:rFonts w:ascii="宋体" w:hAnsi="宋体" w:eastAsia="宋体" w:cs="宋体"/>
                <w:sz w:val="21"/>
                <w:szCs w:val="21"/>
              </w:rPr>
            </w:pPr>
            <w:r>
              <w:rPr>
                <w:rFonts w:hint="eastAsia" w:ascii="宋体" w:hAnsi="宋体" w:eastAsia="宋体" w:cs="宋体"/>
                <w:sz w:val="21"/>
                <w:szCs w:val="21"/>
              </w:rPr>
              <w:t xml:space="preserve">投标单位针对本项目的维护文档方案完整、内容健全的得</w:t>
            </w: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分；维护文档较完整、内容较健全的得</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分；维护文档完整性、健全性一般的得</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分；未提供的不得分</w:t>
            </w:r>
            <w:r/>
          </w:p>
        </w:tc>
        <w:tc>
          <w:tcPr>
            <w:tcBorders>
              <w:top w:val="single" w:color="auto" w:sz="4" w:space="0"/>
              <w:left w:val="single" w:color="auto" w:sz="4" w:space="0"/>
              <w:bottom w:val="single" w:color="auto" w:sz="4" w:space="0"/>
              <w:right w:val="single" w:color="auto" w:sz="4" w:space="0"/>
            </w:tcBorders>
            <w:tcW w:w="392" w:type="pct"/>
            <w:vAlign w:val="center"/>
            <w:textDirection w:val="lrTb"/>
            <w:noWrap w:val="false"/>
          </w:tcPr>
          <w:p>
            <w:pPr>
              <w:jc w:val="center"/>
              <w:rPr>
                <w:rFonts w:hint="eastAsia" w:ascii="宋体" w:hAnsi="宋体" w:eastAsia="宋体" w:cs="宋体"/>
                <w:bCs/>
                <w:sz w:val="21"/>
                <w:szCs w:val="21"/>
              </w:rPr>
            </w:pP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分</w:t>
            </w:r>
            <w:r/>
          </w:p>
        </w:tc>
      </w:tr>
      <w:tr>
        <w:trPr>
          <w:trHeight w:val="934"/>
        </w:trPr>
        <w:tc>
          <w:tcPr>
            <w:tcBorders>
              <w:left w:val="single" w:color="auto" w:sz="4" w:space="0"/>
              <w:right w:val="single" w:color="auto" w:sz="4" w:space="0"/>
            </w:tcBorders>
            <w:tcW w:w="0" w:type="auto"/>
            <w:vAlign w:val="center"/>
            <w:vMerge w:val="continue"/>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r>
            <w:r/>
          </w:p>
        </w:tc>
        <w:tc>
          <w:tcPr>
            <w:tcBorders>
              <w:top w:val="single" w:color="auto" w:sz="4" w:space="0"/>
              <w:left w:val="single" w:color="auto" w:sz="4" w:space="0"/>
              <w:bottom w:val="single" w:color="auto" w:sz="4" w:space="0"/>
              <w:right w:val="single" w:color="auto" w:sz="4" w:space="0"/>
            </w:tcBorders>
            <w:tcW w:w="1265" w:type="dxa"/>
            <w:vAlign w:val="center"/>
            <w:textDirection w:val="lrTb"/>
            <w:noWrap w:val="false"/>
          </w:tcPr>
          <w:p>
            <w:pPr>
              <w:jc w:val="center"/>
              <w:rPr>
                <w:rFonts w:ascii="宋体" w:hAnsi="宋体" w:eastAsia="宋体" w:cs="宋体"/>
                <w:sz w:val="21"/>
                <w:szCs w:val="21"/>
              </w:rPr>
            </w:pPr>
            <w:r>
              <w:rPr>
                <w:rFonts w:hint="eastAsia" w:ascii="宋体" w:hAnsi="宋体" w:eastAsia="宋体" w:cs="宋体"/>
                <w:sz w:val="21"/>
                <w:szCs w:val="21"/>
              </w:rPr>
              <w:t xml:space="preserve">保密制度及方案</w:t>
            </w:r>
            <w:r/>
          </w:p>
        </w:tc>
        <w:tc>
          <w:tcPr>
            <w:tcBorders>
              <w:top w:val="single" w:color="auto" w:sz="4" w:space="0"/>
              <w:left w:val="single" w:color="auto" w:sz="4" w:space="0"/>
              <w:bottom w:val="single" w:color="auto" w:sz="4" w:space="0"/>
              <w:right w:val="single" w:color="auto" w:sz="4" w:space="0"/>
            </w:tcBorders>
            <w:tcW w:w="5572" w:type="dxa"/>
            <w:vAlign w:val="center"/>
            <w:textDirection w:val="lrTb"/>
            <w:noWrap w:val="false"/>
          </w:tcPr>
          <w:p>
            <w:pPr>
              <w:rPr>
                <w:rFonts w:ascii="宋体" w:hAnsi="宋体" w:eastAsia="宋体" w:cs="宋体"/>
                <w:sz w:val="21"/>
                <w:szCs w:val="21"/>
              </w:rPr>
            </w:pPr>
            <w:r>
              <w:rPr>
                <w:rFonts w:hint="eastAsia" w:ascii="宋体" w:hAnsi="宋体" w:eastAsia="宋体" w:cs="宋体"/>
                <w:sz w:val="21"/>
                <w:szCs w:val="21"/>
              </w:rPr>
              <w:t xml:space="preserve">驻场服务的过程中能保护招标人的资料、信息等内容，对建立完好的保密管理规范等方案，内容完整的得</w:t>
            </w: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分；方案较准确、内容较完整的得</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分；方案较差，内容缺失的得</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分；未提供的不得分</w:t>
            </w:r>
            <w:r/>
          </w:p>
        </w:tc>
        <w:tc>
          <w:tcPr>
            <w:tcBorders>
              <w:top w:val="single" w:color="auto" w:sz="4" w:space="0"/>
              <w:left w:val="single" w:color="auto" w:sz="4" w:space="0"/>
              <w:bottom w:val="single" w:color="auto" w:sz="4" w:space="0"/>
              <w:right w:val="single" w:color="auto" w:sz="4" w:space="0"/>
            </w:tcBorders>
            <w:tcW w:w="392" w:type="pct"/>
            <w:vAlign w:val="center"/>
            <w:textDirection w:val="lrTb"/>
            <w:noWrap w:val="false"/>
          </w:tcPr>
          <w:p>
            <w:pPr>
              <w:jc w:val="center"/>
              <w:rPr>
                <w:rFonts w:hint="eastAsia" w:ascii="宋体" w:hAnsi="宋体" w:eastAsia="宋体" w:cs="宋体"/>
                <w:bCs/>
                <w:sz w:val="21"/>
                <w:szCs w:val="21"/>
              </w:rPr>
            </w:pP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分</w:t>
            </w:r>
            <w:r/>
          </w:p>
        </w:tc>
      </w:tr>
      <w:tr>
        <w:trPr>
          <w:trHeight w:val="2807"/>
        </w:trPr>
        <w:tc>
          <w:tcPr>
            <w:tcBorders>
              <w:top w:val="none" w:color="000000" w:sz="4" w:space="0"/>
              <w:left w:val="single" w:color="auto" w:sz="4" w:space="0"/>
              <w:bottom w:val="single" w:color="auto" w:sz="4" w:space="0"/>
              <w:right w:val="single" w:color="auto" w:sz="4" w:space="0"/>
            </w:tcBorders>
            <w:tcW w:w="597" w:type="pct"/>
            <w:vAlign w:val="center"/>
            <w:vMerge w:val="restart"/>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t xml:space="preserve">商务部分（30分）</w:t>
            </w:r>
            <w:r/>
          </w:p>
        </w:tc>
        <w:tc>
          <w:tcPr>
            <w:tcBorders>
              <w:top w:val="single" w:color="auto" w:sz="4" w:space="0"/>
              <w:left w:val="single" w:color="auto" w:sz="4" w:space="0"/>
              <w:bottom w:val="single" w:color="auto" w:sz="4" w:space="0"/>
              <w:right w:val="single" w:color="auto" w:sz="4" w:space="0"/>
            </w:tcBorders>
            <w:tcW w:w="742" w:type="pct"/>
            <w:vAlign w:val="center"/>
            <w:textDirection w:val="lrTb"/>
            <w:noWrap w:val="false"/>
          </w:tcPr>
          <w:p>
            <w:pPr>
              <w:pStyle w:val="1132"/>
              <w:ind w:firstLine="0"/>
              <w:jc w:val="center"/>
              <w:spacing w:line="240" w:lineRule="auto"/>
              <w:rPr>
                <w:rFonts w:ascii="宋体" w:hAnsi="宋体" w:cs="宋体"/>
                <w:color w:val="auto"/>
                <w:sz w:val="21"/>
                <w:szCs w:val="21"/>
                <w:shd w:val="clear" w:color="auto" w:fill="auto"/>
              </w:rPr>
            </w:pPr>
            <w:r>
              <w:rPr>
                <w:rFonts w:hint="eastAsia" w:ascii="宋体" w:hAnsi="宋体" w:cs="宋体"/>
                <w:color w:val="auto"/>
                <w:sz w:val="21"/>
                <w:szCs w:val="21"/>
                <w:shd w:val="clear" w:color="auto" w:fill="auto"/>
              </w:rPr>
              <w:t xml:space="preserve">项目组成员配备</w:t>
            </w:r>
            <w:r/>
          </w:p>
        </w:tc>
        <w:tc>
          <w:tcPr>
            <w:tcBorders>
              <w:top w:val="single" w:color="auto" w:sz="4" w:space="0"/>
              <w:left w:val="single" w:color="auto" w:sz="4" w:space="0"/>
              <w:bottom w:val="single" w:color="auto" w:sz="4" w:space="0"/>
              <w:right w:val="single" w:color="auto" w:sz="4" w:space="0"/>
            </w:tcBorders>
            <w:tcW w:w="3269" w:type="pct"/>
            <w:vAlign w:val="center"/>
            <w:textDirection w:val="lrTb"/>
            <w:noWrap w:val="false"/>
          </w:tcPr>
          <w:p>
            <w:pPr>
              <w:rPr>
                <w:rFonts w:ascii="宋体" w:hAnsi="宋体" w:eastAsia="宋体" w:cs="宋体"/>
                <w:sz w:val="21"/>
                <w:szCs w:val="21"/>
              </w:rPr>
            </w:pPr>
            <w:r>
              <w:rPr>
                <w:rFonts w:hint="eastAsia" w:ascii="宋体" w:hAnsi="宋体" w:eastAsia="宋体" w:cs="宋体"/>
                <w:sz w:val="21"/>
                <w:szCs w:val="21"/>
              </w:rPr>
              <w:t xml:space="preserve">（1）项目经理具备自动化专业高级职称及以上职称得3分，具备注册安全工程师证书的得3分，最高得6分；</w:t>
            </w:r>
            <w:r/>
          </w:p>
          <w:p>
            <w:pPr>
              <w:rPr>
                <w:rFonts w:hint="eastAsia" w:ascii="宋体" w:hAnsi="宋体" w:eastAsia="宋体" w:cs="宋体"/>
                <w:sz w:val="21"/>
                <w:szCs w:val="21"/>
              </w:rPr>
            </w:pPr>
            <w:r>
              <w:rPr>
                <w:rFonts w:hint="eastAsia" w:ascii="宋体" w:hAnsi="宋体" w:eastAsia="宋体" w:cs="宋体"/>
                <w:sz w:val="21"/>
                <w:szCs w:val="21"/>
              </w:rPr>
              <w:t xml:space="preserve">（2）除项目经理外的其他人员具有：</w:t>
            </w:r>
            <w:r/>
          </w:p>
          <w:p>
            <w:pPr>
              <w:rPr>
                <w:rFonts w:ascii="宋体" w:hAnsi="宋体" w:eastAsia="宋体" w:cs="宋体"/>
                <w:sz w:val="21"/>
                <w:szCs w:val="21"/>
              </w:rPr>
            </w:pPr>
            <w:r>
              <w:rPr>
                <w:rFonts w:hint="eastAsia" w:ascii="宋体" w:hAnsi="宋体" w:eastAsia="宋体" w:cs="宋体"/>
                <w:sz w:val="21"/>
                <w:szCs w:val="21"/>
              </w:rPr>
              <w:t xml:space="preserve">①网络工程师证书、信息系统项目管理师的有一名得2分，最高得4分；</w:t>
            </w:r>
            <w:r/>
          </w:p>
          <w:p>
            <w:pPr>
              <w:rPr>
                <w:rFonts w:ascii="宋体" w:hAnsi="宋体" w:eastAsia="宋体" w:cs="宋体"/>
                <w:sz w:val="21"/>
                <w:szCs w:val="21"/>
              </w:rPr>
            </w:pPr>
            <w:r>
              <w:rPr>
                <w:rFonts w:hint="eastAsia" w:ascii="宋体" w:hAnsi="宋体" w:eastAsia="宋体" w:cs="宋体"/>
                <w:sz w:val="21"/>
                <w:szCs w:val="21"/>
              </w:rPr>
              <w:t xml:space="preserve">②注册安全工程师或机电设备维修工中级及以上证书的，有一名得2分，最高得6分。</w:t>
            </w:r>
            <w:r/>
          </w:p>
          <w:p>
            <w:pPr>
              <w:rPr>
                <w:rFonts w:hint="eastAsia" w:ascii="宋体" w:hAnsi="宋体" w:eastAsia="宋体" w:cs="宋体"/>
                <w:sz w:val="21"/>
                <w:szCs w:val="21"/>
              </w:rPr>
            </w:pPr>
            <w:r>
              <w:rPr>
                <w:rFonts w:hint="eastAsia" w:ascii="宋体" w:hAnsi="宋体" w:eastAsia="宋体" w:cs="宋体"/>
                <w:sz w:val="21"/>
                <w:szCs w:val="21"/>
              </w:rPr>
              <w:t xml:space="preserve">注：以上人员一人持多证，不重复计分。</w:t>
            </w:r>
            <w:r/>
          </w:p>
          <w:p>
            <w:pPr>
              <w:rPr>
                <w:rFonts w:ascii="宋体" w:hAnsi="宋体" w:eastAsia="宋体" w:cs="宋体"/>
                <w:sz w:val="21"/>
                <w:szCs w:val="21"/>
              </w:rPr>
            </w:pPr>
            <w:r>
              <w:rPr>
                <w:rFonts w:hint="eastAsia" w:ascii="宋体" w:hAnsi="宋体" w:eastAsia="宋体" w:cs="宋体"/>
                <w:sz w:val="21"/>
                <w:szCs w:val="21"/>
              </w:rPr>
              <w:t xml:space="preserve">（提供相关人员有效证书、投标单位为其缴纳的近期社保证明复印件，未提供不得分）</w:t>
            </w:r>
            <w:r/>
          </w:p>
        </w:tc>
        <w:tc>
          <w:tcPr>
            <w:tcBorders>
              <w:top w:val="single" w:color="auto" w:sz="4" w:space="0"/>
              <w:left w:val="single" w:color="auto" w:sz="4" w:space="0"/>
              <w:bottom w:val="single" w:color="auto" w:sz="4" w:space="0"/>
              <w:right w:val="single" w:color="auto" w:sz="4" w:space="0"/>
            </w:tcBorders>
            <w:tcW w:w="39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16分</w:t>
            </w:r>
            <w:r/>
          </w:p>
        </w:tc>
      </w:tr>
      <w:tr>
        <w:trPr>
          <w:trHeight w:val="981"/>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r>
            <w:r/>
          </w:p>
        </w:tc>
        <w:tc>
          <w:tcPr>
            <w:tcBorders>
              <w:top w:val="single" w:color="auto" w:sz="4" w:space="0"/>
              <w:left w:val="single" w:color="auto" w:sz="4" w:space="0"/>
              <w:bottom w:val="single" w:color="auto" w:sz="4" w:space="0"/>
              <w:right w:val="single" w:color="auto" w:sz="4" w:space="0"/>
            </w:tcBorders>
            <w:tcW w:w="742" w:type="pct"/>
            <w:vAlign w:val="center"/>
            <w:textDirection w:val="lrTb"/>
            <w:noWrap w:val="false"/>
          </w:tcPr>
          <w:p>
            <w:pPr>
              <w:pStyle w:val="1132"/>
              <w:ind w:firstLine="0"/>
              <w:jc w:val="center"/>
              <w:spacing w:line="240" w:lineRule="auto"/>
              <w:rPr>
                <w:rFonts w:ascii="宋体" w:hAnsi="宋体" w:cs="宋体"/>
                <w:color w:val="auto"/>
                <w:sz w:val="21"/>
                <w:szCs w:val="21"/>
                <w:shd w:val="clear" w:color="auto" w:fill="auto"/>
              </w:rPr>
            </w:pPr>
            <w:r>
              <w:rPr>
                <w:rFonts w:hint="eastAsia" w:ascii="宋体" w:hAnsi="宋体" w:cs="宋体"/>
                <w:color w:val="auto"/>
                <w:sz w:val="21"/>
                <w:szCs w:val="21"/>
                <w:shd w:val="clear" w:color="auto" w:fill="auto"/>
              </w:rPr>
              <w:t xml:space="preserve">认证体系</w:t>
            </w:r>
            <w:r/>
          </w:p>
        </w:tc>
        <w:tc>
          <w:tcPr>
            <w:tcBorders>
              <w:top w:val="single" w:color="auto" w:sz="4" w:space="0"/>
              <w:left w:val="single" w:color="auto" w:sz="4" w:space="0"/>
              <w:bottom w:val="single" w:color="auto" w:sz="4" w:space="0"/>
              <w:right w:val="single" w:color="auto" w:sz="4" w:space="0"/>
            </w:tcBorders>
            <w:tcW w:w="3269" w:type="pct"/>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投标人具有有效期内的：</w:t>
            </w:r>
            <w:r/>
          </w:p>
          <w:p>
            <w:pPr>
              <w:rPr>
                <w:rFonts w:hint="eastAsia" w:ascii="宋体" w:hAnsi="宋体" w:eastAsia="宋体" w:cs="宋体"/>
                <w:sz w:val="21"/>
                <w:szCs w:val="21"/>
              </w:rPr>
            </w:pPr>
            <w:r>
              <w:rPr>
                <w:rFonts w:hint="eastAsia" w:ascii="宋体" w:hAnsi="宋体" w:eastAsia="宋体" w:cs="宋体"/>
                <w:sz w:val="21"/>
                <w:szCs w:val="21"/>
              </w:rPr>
              <w:t xml:space="preserve">①质量管理体系认证；</w:t>
            </w:r>
            <w:r/>
          </w:p>
          <w:p>
            <w:pPr>
              <w:rPr>
                <w:rFonts w:hint="eastAsia" w:ascii="宋体" w:hAnsi="宋体" w:eastAsia="宋体" w:cs="宋体"/>
                <w:sz w:val="21"/>
                <w:szCs w:val="21"/>
              </w:rPr>
            </w:pPr>
            <w:r>
              <w:rPr>
                <w:rFonts w:hint="eastAsia" w:ascii="宋体" w:hAnsi="宋体" w:eastAsia="宋体" w:cs="宋体"/>
                <w:sz w:val="21"/>
                <w:szCs w:val="21"/>
              </w:rPr>
              <w:t xml:space="preserve">②环境管理体系认证；</w:t>
            </w:r>
            <w:r/>
          </w:p>
          <w:p>
            <w:pPr>
              <w:rPr>
                <w:rFonts w:hint="eastAsia" w:ascii="宋体" w:hAnsi="宋体" w:eastAsia="宋体" w:cs="宋体"/>
                <w:sz w:val="21"/>
                <w:szCs w:val="21"/>
              </w:rPr>
            </w:pPr>
            <w:r>
              <w:rPr>
                <w:rFonts w:hint="eastAsia" w:ascii="宋体" w:hAnsi="宋体" w:eastAsia="宋体" w:cs="宋体"/>
                <w:sz w:val="21"/>
                <w:szCs w:val="21"/>
              </w:rPr>
              <w:t xml:space="preserve">③职业健康安全管理体系认证；</w:t>
            </w:r>
            <w:r/>
          </w:p>
          <w:p>
            <w:pPr>
              <w:rPr>
                <w:rFonts w:hint="eastAsia" w:ascii="宋体" w:hAnsi="宋体" w:eastAsia="宋体" w:cs="宋体"/>
                <w:sz w:val="21"/>
                <w:szCs w:val="21"/>
              </w:rPr>
            </w:pPr>
            <w:r>
              <w:rPr>
                <w:rFonts w:hint="eastAsia" w:ascii="宋体" w:hAnsi="宋体" w:eastAsia="宋体" w:cs="宋体"/>
                <w:sz w:val="21"/>
                <w:szCs w:val="21"/>
              </w:rPr>
              <w:t xml:space="preserve">④信息安全管理体系认证；</w:t>
            </w:r>
            <w:r/>
          </w:p>
          <w:p>
            <w:pPr>
              <w:rPr>
                <w:rFonts w:hint="eastAsia" w:ascii="宋体" w:hAnsi="宋体" w:eastAsia="宋体" w:cs="宋体"/>
                <w:sz w:val="21"/>
                <w:szCs w:val="21"/>
              </w:rPr>
            </w:pPr>
            <w:r>
              <w:rPr>
                <w:rFonts w:hint="eastAsia" w:ascii="宋体" w:hAnsi="宋体" w:eastAsia="宋体" w:cs="宋体"/>
                <w:sz w:val="21"/>
                <w:szCs w:val="21"/>
              </w:rPr>
              <w:t xml:space="preserve">⑤信息技术服务管理体系认证；</w:t>
            </w:r>
            <w:r/>
          </w:p>
          <w:p>
            <w:pPr>
              <w:rPr>
                <w:rFonts w:hint="eastAsia" w:ascii="宋体" w:hAnsi="宋体" w:eastAsia="宋体" w:cs="宋体"/>
                <w:sz w:val="21"/>
                <w:szCs w:val="21"/>
              </w:rPr>
            </w:pPr>
            <w:r>
              <w:rPr>
                <w:rFonts w:hint="eastAsia" w:ascii="宋体" w:hAnsi="宋体" w:eastAsia="宋体" w:cs="宋体"/>
                <w:sz w:val="21"/>
                <w:szCs w:val="21"/>
              </w:rPr>
              <w:t xml:space="preserve">⑥信用评价AAA级信用企业证书。</w:t>
            </w:r>
            <w:r/>
          </w:p>
          <w:p>
            <w:pPr>
              <w:rPr>
                <w:rFonts w:ascii="宋体" w:hAnsi="宋体" w:eastAsia="宋体" w:cs="宋体"/>
                <w:sz w:val="21"/>
                <w:szCs w:val="21"/>
              </w:rPr>
            </w:pPr>
            <w:r>
              <w:rPr>
                <w:rFonts w:hint="eastAsia" w:ascii="宋体" w:hAnsi="宋体" w:eastAsia="宋体" w:cs="宋体"/>
                <w:sz w:val="21"/>
                <w:szCs w:val="21"/>
              </w:rPr>
              <w:t xml:space="preserve">每提供1项得1分，最高得6分。</w:t>
            </w:r>
            <w:r/>
          </w:p>
          <w:p>
            <w:pPr>
              <w:rPr>
                <w:rFonts w:ascii="宋体" w:hAnsi="宋体" w:eastAsia="宋体" w:cs="宋体"/>
                <w:sz w:val="21"/>
                <w:szCs w:val="21"/>
              </w:rPr>
            </w:pPr>
            <w:r>
              <w:rPr>
                <w:rFonts w:hint="eastAsia" w:ascii="宋体" w:hAnsi="宋体" w:eastAsia="宋体" w:cs="宋体"/>
                <w:sz w:val="21"/>
                <w:szCs w:val="21"/>
              </w:rPr>
              <w:t xml:space="preserve">（提供有效期内的证书复印件，不提供不得分）</w:t>
            </w:r>
            <w:r/>
          </w:p>
        </w:tc>
        <w:tc>
          <w:tcPr>
            <w:tcBorders>
              <w:top w:val="single" w:color="auto" w:sz="4" w:space="0"/>
              <w:left w:val="single" w:color="auto" w:sz="4" w:space="0"/>
              <w:bottom w:val="single" w:color="auto" w:sz="4" w:space="0"/>
              <w:right w:val="single" w:color="auto" w:sz="4" w:space="0"/>
            </w:tcBorders>
            <w:tcW w:w="39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6分</w:t>
            </w:r>
            <w:r/>
          </w:p>
        </w:tc>
      </w:tr>
      <w:tr>
        <w:trPr>
          <w:trHeight w:val="995"/>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r>
            <w:r/>
          </w:p>
        </w:tc>
        <w:tc>
          <w:tcPr>
            <w:tcBorders>
              <w:top w:val="single" w:color="auto" w:sz="4" w:space="0"/>
              <w:left w:val="single" w:color="auto" w:sz="4" w:space="0"/>
              <w:bottom w:val="single" w:color="auto" w:sz="4" w:space="0"/>
              <w:right w:val="single" w:color="auto" w:sz="4" w:space="0"/>
            </w:tcBorders>
            <w:tcW w:w="742" w:type="pct"/>
            <w:vAlign w:val="center"/>
            <w:textDirection w:val="lrTb"/>
            <w:noWrap w:val="false"/>
          </w:tcPr>
          <w:p>
            <w:pPr>
              <w:pStyle w:val="1132"/>
              <w:ind w:firstLine="0"/>
              <w:jc w:val="center"/>
              <w:spacing w:line="240" w:lineRule="auto"/>
              <w:rPr>
                <w:rFonts w:ascii="宋体" w:hAnsi="宋体" w:cs="宋体"/>
                <w:color w:val="auto"/>
                <w:sz w:val="21"/>
                <w:szCs w:val="21"/>
                <w:shd w:val="clear" w:color="auto" w:fill="auto"/>
              </w:rPr>
            </w:pPr>
            <w:r>
              <w:rPr>
                <w:rFonts w:hint="eastAsia" w:ascii="宋体" w:hAnsi="宋体" w:cs="宋体"/>
                <w:color w:val="auto"/>
                <w:sz w:val="21"/>
                <w:szCs w:val="21"/>
                <w:shd w:val="clear" w:color="auto" w:fill="auto"/>
              </w:rPr>
              <w:t xml:space="preserve">类似业绩</w:t>
            </w:r>
            <w:r/>
          </w:p>
        </w:tc>
        <w:tc>
          <w:tcPr>
            <w:tcBorders>
              <w:top w:val="single" w:color="auto" w:sz="4" w:space="0"/>
              <w:left w:val="single" w:color="auto" w:sz="4" w:space="0"/>
              <w:bottom w:val="single" w:color="auto" w:sz="4" w:space="0"/>
              <w:right w:val="single" w:color="auto" w:sz="4" w:space="0"/>
            </w:tcBorders>
            <w:tcW w:w="3269" w:type="pct"/>
            <w:vAlign w:val="center"/>
            <w:textDirection w:val="lrTb"/>
            <w:noWrap w:val="false"/>
          </w:tcPr>
          <w:p>
            <w:pPr>
              <w:rPr>
                <w:rFonts w:ascii="宋体" w:hAnsi="宋体" w:eastAsia="宋体" w:cs="宋体"/>
                <w:sz w:val="21"/>
                <w:szCs w:val="21"/>
              </w:rPr>
            </w:pPr>
            <w:r>
              <w:rPr>
                <w:rFonts w:hint="eastAsia" w:ascii="宋体" w:hAnsi="宋体" w:eastAsia="宋体" w:cs="宋体"/>
                <w:sz w:val="21"/>
                <w:szCs w:val="21"/>
              </w:rPr>
              <w:t xml:space="preserve">投标单位</w:t>
            </w:r>
            <w:r>
              <w:rPr>
                <w:rFonts w:hint="eastAsia" w:ascii="宋体" w:hAnsi="宋体" w:eastAsia="宋体" w:cs="宋体"/>
                <w:sz w:val="21"/>
                <w:szCs w:val="21"/>
                <w:highlight w:val="none"/>
              </w:rPr>
              <w:t xml:space="preserve">自202</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年1</w:t>
            </w:r>
            <w:r>
              <w:rPr>
                <w:rFonts w:hint="eastAsia" w:ascii="宋体" w:hAnsi="宋体" w:eastAsia="宋体" w:cs="宋体"/>
                <w:sz w:val="21"/>
                <w:szCs w:val="21"/>
              </w:rPr>
              <w:t xml:space="preserve">月1日起至今（以合同签订之日为准）签订的硬件运维项目业绩，每提供一份合同得2分，最高8分。</w:t>
            </w:r>
            <w:r/>
          </w:p>
          <w:p>
            <w:pPr>
              <w:rPr>
                <w:rFonts w:ascii="宋体" w:hAnsi="宋体" w:eastAsia="宋体" w:cs="宋体"/>
                <w:sz w:val="21"/>
                <w:szCs w:val="21"/>
              </w:rPr>
            </w:pPr>
            <w:r>
              <w:rPr>
                <w:rFonts w:hint="eastAsia" w:ascii="宋体" w:hAnsi="宋体" w:eastAsia="宋体" w:cs="宋体"/>
                <w:sz w:val="21"/>
                <w:szCs w:val="21"/>
              </w:rPr>
              <w:t xml:space="preserve">（提供合同复印件，不提供不得分）</w:t>
            </w:r>
            <w:r/>
          </w:p>
        </w:tc>
        <w:tc>
          <w:tcPr>
            <w:tcBorders>
              <w:top w:val="single" w:color="auto" w:sz="4" w:space="0"/>
              <w:left w:val="single" w:color="auto" w:sz="4" w:space="0"/>
              <w:bottom w:val="single" w:color="auto" w:sz="4" w:space="0"/>
              <w:right w:val="single" w:color="auto" w:sz="4" w:space="0"/>
            </w:tcBorders>
            <w:tcW w:w="39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8分</w:t>
            </w:r>
            <w:r/>
          </w:p>
        </w:tc>
      </w:tr>
    </w:tbl>
    <w:p>
      <w:pP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ind w:left="0"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（注：投标文件中需提供合同复印件，不提供相关证明不得分。）</w:t>
      </w:r>
      <w:r/>
    </w:p>
    <w:p>
      <w:pPr>
        <w:ind w:firstLine="482"/>
        <w:spacing w:line="360" w:lineRule="auto"/>
        <w:widowControl/>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备注：</w:t>
      </w:r>
      <w:r/>
    </w:p>
    <w:p>
      <w:pPr>
        <w:ind w:firstLine="482"/>
        <w:spacing w:line="360" w:lineRule="auto"/>
        <w:widowControl/>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1.针对评分标准中评分的每一条，供应商均应提供相关资料并作出相应说明供评委评判，不提供相关资料的视为不具备该项得分的条件。</w:t>
      </w:r>
      <w:r/>
    </w:p>
    <w:p>
      <w:pPr>
        <w:ind w:firstLine="482"/>
        <w:spacing w:line="360" w:lineRule="auto"/>
        <w:widowControl/>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2.投标文件中如出现前后不一致时，评委有权请供应商澄清说明，澄清说明事项涉及评分时，评委有权酌情扣分。</w:t>
      </w:r>
      <w:r/>
    </w:p>
    <w:p>
      <w:pPr>
        <w:ind w:firstLine="482"/>
        <w:spacing w:line="360" w:lineRule="auto"/>
        <w:widowControl/>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供应商必须保证全部投标资料的真实性，如有虚假或对招标文件所要求说明的情况故意隐瞒或虚报，视为不实质性投标招标文件，为无效投标，已中标的将取消中标资格，按“提供虚假材料谋取中标、成交”相关处理办法处理。</w:t>
      </w:r>
      <w:r/>
    </w:p>
    <w:p>
      <w:pPr>
        <w:spacing w:line="400" w:lineRule="exact"/>
        <w:rPr>
          <w:rFonts w:ascii="宋体" w:hAnsi="宋体" w:eastAsia="宋体" w:cs="宋体"/>
          <w:b w:val="0"/>
          <w:bCs w:val="0"/>
          <w:color w:val="auto"/>
          <w:sz w:val="24"/>
          <w:szCs w:val="24"/>
          <w:highlight w:val="none"/>
        </w:rPr>
      </w:pPr>
      <w:r>
        <w:rPr>
          <w:rFonts w:ascii="宋体" w:hAnsi="宋体" w:eastAsia="宋体" w:cs="宋体"/>
          <w:b w:val="0"/>
          <w:bCs w:val="0"/>
          <w:color w:val="auto"/>
          <w:sz w:val="24"/>
          <w:szCs w:val="24"/>
          <w:highlight w:val="none"/>
        </w:rPr>
      </w:r>
      <w:r/>
    </w:p>
    <w:p>
      <w:pPr>
        <w:ind w:left="482"/>
        <w:jc w:val="right"/>
        <w:spacing w:line="360" w:lineRule="auto"/>
        <w:widowControl/>
        <w:rPr>
          <w:rFonts w:hint="eastAsia" w:ascii="宋体" w:hAnsi="宋体" w:eastAsia="宋体" w:cs="宋体"/>
          <w:b w:val="0"/>
          <w:bCs w:val="0"/>
          <w:color w:val="auto"/>
          <w:sz w:val="24"/>
          <w:szCs w:val="24"/>
          <w:highlight w:val="none"/>
          <w:lang w:val="zh-TW" w:eastAsia="zh-CN"/>
        </w:rPr>
      </w:pPr>
      <w:r>
        <w:rPr>
          <w:rFonts w:hint="eastAsia" w:ascii="宋体" w:hAnsi="宋体" w:eastAsia="宋体" w:cs="宋体"/>
          <w:b w:val="0"/>
          <w:bCs w:val="0"/>
          <w:color w:val="auto"/>
          <w:sz w:val="24"/>
          <w:szCs w:val="24"/>
          <w:highlight w:val="none"/>
          <w:lang w:val="zh-TW" w:eastAsia="zh-CN"/>
        </w:rPr>
        <w:t xml:space="preserve">（全文完）</w:t>
      </w:r>
      <w:r/>
    </w:p>
    <w:sectPr>
      <w:headerReference w:type="default" r:id="rId11"/>
      <w:headerReference w:type="first" r:id="rId12"/>
      <w:footerReference w:type="default" r:id="rId17"/>
      <w:footerReference w:type="first" r:id="rId18"/>
      <w:footnotePr/>
      <w:endnotePr/>
      <w:type w:val="nextPage"/>
      <w:pgSz w:w="11906" w:h="16838" w:orient="portrait"/>
      <w:pgMar w:top="1077" w:right="1417" w:bottom="1077" w:left="1417" w:header="851" w:footer="992" w:gutter="0"/>
      <w:pgNumType w:start="75"/>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Calibri">
    <w:panose1 w:val="020F0502020204030204"/>
  </w:font>
  <w:font w:name="Courier New">
    <w:panose1 w:val="02070309020205020404"/>
  </w:font>
  <w:font w:name="仿宋_GB2312">
    <w:panose1 w:val="02010609060101010101"/>
  </w:font>
  <w:font w:name="Arial Unicode MS">
    <w:panose1 w:val="020B0604020202020204"/>
  </w:font>
  <w:font w:name="Arial">
    <w:panose1 w:val="020B0604020202020204"/>
  </w:font>
  <w:font w:name="Cambria">
    <w:panose1 w:val="02040503050406030204"/>
  </w:font>
  <w:font w:name="楷体_GB2312">
    <w:panose1 w:val="02010609060101010101"/>
  </w:font>
  <w:font w:name="SimSun">
    <w:panose1 w:val="02010600030101010101"/>
  </w:font>
  <w:font w:name="serif">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rPr>
        <w:rStyle w:val="892"/>
      </w:rPr>
      <w:framePr w:wrap="around" w:vAnchor="text" w:hAnchor="margin" w:xAlign="right" w:y="1"/>
    </w:pPr>
    <w:r>
      <w:fldChar w:fldCharType="begin"/>
    </w:r>
    <w:r>
      <w:rPr>
        <w:rStyle w:val="892"/>
      </w:rPr>
      <w:instrText xml:space="preserve">PAGE  </w:instrText>
    </w:r>
    <w:r>
      <w:fldChar w:fldCharType="end"/>
    </w:r>
    <w:r/>
  </w:p>
  <w:p>
    <w:pPr>
      <w:pStyle w:val="870"/>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firstLine="0"/>
      <w:jc w:val="center"/>
      <w:rPr>
        <w:rFonts w:ascii="Calibri" w:hAnsi="Calibri" w:eastAsia="宋体" w:cs="宋体"/>
        <w:lang w:val="en-US" w:eastAsia="zh-CN" w:bidi="ar-SA"/>
      </w:rPr>
    </w:pPr>
    <w:r>
      <w:rPr>
        <w:rFonts w:ascii="Calibri" w:hAnsi="Calibri" w:eastAsia="宋体" w:cs="宋体"/>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ind w:left="0" w:firstLine="0"/>
                            <w:jc w:val="both"/>
                            <w:rPr>
                              <w:rFonts w:ascii="Calibri" w:hAnsi="Calibri" w:eastAsia="宋体" w:cs="宋体"/>
                              <w:sz w:val="20"/>
                              <w:szCs w:val="13"/>
                              <w:lang w:val="en-US" w:eastAsia="zh-CN" w:bidi="ar-SA"/>
                            </w:rPr>
                          </w:pPr>
                          <w:r>
                            <w:rPr>
                              <w:rFonts w:hint="eastAsia" w:ascii="Calibri" w:hAnsi="Calibri" w:eastAsia="宋体" w:cs="宋体"/>
                              <w:sz w:val="20"/>
                              <w:szCs w:val="13"/>
                              <w:lang w:val="en-US" w:eastAsia="zh-CN" w:bidi="ar-SA"/>
                            </w:rPr>
                            <w:fldChar w:fldCharType="begin"/>
                          </w:r>
                          <w:r>
                            <w:rPr>
                              <w:rFonts w:hint="eastAsia" w:ascii="Calibri" w:hAnsi="Calibri" w:eastAsia="宋体" w:cs="宋体"/>
                              <w:sz w:val="20"/>
                              <w:szCs w:val="13"/>
                              <w:lang w:val="en-US" w:eastAsia="zh-CN" w:bidi="ar-SA"/>
                            </w:rPr>
                            <w:instrText xml:space="preserve"> PAGE  \* MERGEFORMAT </w:instrText>
                          </w:r>
                          <w:r>
                            <w:rPr>
                              <w:rFonts w:hint="eastAsia" w:ascii="Calibri" w:hAnsi="Calibri" w:eastAsia="宋体" w:cs="宋体"/>
                              <w:sz w:val="20"/>
                              <w:szCs w:val="13"/>
                              <w:lang w:val="en-US" w:eastAsia="zh-CN" w:bidi="ar-SA"/>
                            </w:rPr>
                            <w:fldChar w:fldCharType="separate"/>
                          </w:r>
                          <w:r>
                            <w:rPr>
                              <w:rFonts w:ascii="Calibri" w:hAnsi="Calibri" w:eastAsia="宋体" w:cs="宋体"/>
                              <w:sz w:val="20"/>
                              <w:szCs w:val="13"/>
                              <w:lang w:val="en-US" w:eastAsia="zh-CN" w:bidi="ar-SA"/>
                            </w:rPr>
                            <w:t xml:space="preserve">21</w:t>
                          </w:r>
                          <w:r>
                            <w:rPr>
                              <w:rFonts w:hint="eastAsia" w:ascii="Calibri" w:hAnsi="Calibri" w:eastAsia="宋体" w:cs="宋体"/>
                              <w:sz w:val="20"/>
                              <w:szCs w:val="13"/>
                              <w:lang w:val="en-US" w:eastAsia="zh-CN" w:bidi="ar-SA"/>
                            </w:rPr>
                            <w:fldChar w:fldCharType="end"/>
                          </w:r>
                          <w:r/>
                        </w:p>
                      </w:txbxContent>
                    </wps:txbx>
                    <wps:bodyPr wrap="square" lIns="0" tIns="0" rIns="0" bIns="0" upright="1"/>
                  </wps:wsp>
                </a:graphicData>
              </a:graphic>
            </wp:anchor>
          </w:drawing>
        </mc:Choice>
        <mc:Fallback>
          <w:pict>
            <v:shape id="shape 0" o:spid="_x0000_s0"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ind w:left="0" w:firstLine="0"/>
                      <w:jc w:val="both"/>
                      <w:rPr>
                        <w:rFonts w:ascii="Calibri" w:hAnsi="Calibri" w:eastAsia="宋体" w:cs="宋体"/>
                        <w:sz w:val="20"/>
                        <w:szCs w:val="13"/>
                        <w:lang w:val="en-US" w:eastAsia="zh-CN" w:bidi="ar-SA"/>
                      </w:rPr>
                    </w:pPr>
                    <w:r>
                      <w:rPr>
                        <w:rFonts w:hint="eastAsia" w:ascii="Calibri" w:hAnsi="Calibri" w:eastAsia="宋体" w:cs="宋体"/>
                        <w:sz w:val="20"/>
                        <w:szCs w:val="13"/>
                        <w:lang w:val="en-US" w:eastAsia="zh-CN" w:bidi="ar-SA"/>
                      </w:rPr>
                      <w:fldChar w:fldCharType="begin"/>
                    </w:r>
                    <w:r>
                      <w:rPr>
                        <w:rFonts w:hint="eastAsia" w:ascii="Calibri" w:hAnsi="Calibri" w:eastAsia="宋体" w:cs="宋体"/>
                        <w:sz w:val="20"/>
                        <w:szCs w:val="13"/>
                        <w:lang w:val="en-US" w:eastAsia="zh-CN" w:bidi="ar-SA"/>
                      </w:rPr>
                      <w:instrText xml:space="preserve"> PAGE  \* MERGEFORMAT </w:instrText>
                    </w:r>
                    <w:r>
                      <w:rPr>
                        <w:rFonts w:hint="eastAsia" w:ascii="Calibri" w:hAnsi="Calibri" w:eastAsia="宋体" w:cs="宋体"/>
                        <w:sz w:val="20"/>
                        <w:szCs w:val="13"/>
                        <w:lang w:val="en-US" w:eastAsia="zh-CN" w:bidi="ar-SA"/>
                      </w:rPr>
                      <w:fldChar w:fldCharType="separate"/>
                    </w:r>
                    <w:r>
                      <w:rPr>
                        <w:rFonts w:ascii="Calibri" w:hAnsi="Calibri" w:eastAsia="宋体" w:cs="宋体"/>
                        <w:sz w:val="20"/>
                        <w:szCs w:val="13"/>
                        <w:lang w:val="en-US" w:eastAsia="zh-CN" w:bidi="ar-SA"/>
                      </w:rPr>
                      <w:t xml:space="preserve">21</w:t>
                    </w:r>
                    <w:r>
                      <w:rPr>
                        <w:rFonts w:hint="eastAsia" w:ascii="Calibri" w:hAnsi="Calibri" w:eastAsia="宋体" w:cs="宋体"/>
                        <w:sz w:val="20"/>
                        <w:szCs w:val="13"/>
                        <w:lang w:val="en-US" w:eastAsia="zh-CN" w:bidi="ar-SA"/>
                      </w:rPr>
                      <w:fldChar w:fldCharType="end"/>
                    </w:r>
                    <w:r/>
                  </w:p>
                </w:txbxContent>
              </v:textbox>
            </v:shape>
          </w:pict>
        </mc:Fallback>
      </mc:AlternateContent>
    </w:r>
    <w:r/>
  </w:p>
  <w:p>
    <w:pPr>
      <w:ind w:left="0"/>
      <w:jc w:val="left"/>
      <w:widowControl/>
      <w:tabs>
        <w:tab w:val="center" w:pos="4153" w:leader="none"/>
        <w:tab w:val="right" w:pos="8306" w:leader="none"/>
      </w:tabs>
      <w:rPr>
        <w:rFonts w:hint="default" w:ascii="Times New Roman" w:hAnsi="Times New Roman" w:eastAsia="宋体" w:cs="宋体"/>
        <w:sz w:val="18"/>
      </w:rPr>
    </w:pPr>
    <w:r>
      <w:rPr>
        <w:rFonts w:hint="default" w:ascii="Times New Roman" w:hAnsi="Times New Roman" w:eastAsia="宋体" w:cs="宋体"/>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firstLine="0"/>
      <w:jc w:val="center"/>
      <w:rPr>
        <w:rFonts w:ascii="Calibri" w:hAnsi="Calibri" w:eastAsia="宋体" w:cs="宋体"/>
        <w:lang w:val="en-US" w:eastAsia="zh-CN" w:bidi="ar-SA"/>
      </w:rPr>
    </w:pPr>
    <w:r>
      <w:rPr>
        <w:rFonts w:ascii="Calibri" w:hAnsi="Calibri" w:eastAsia="宋体" w:cs="宋体"/>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ind w:left="0" w:firstLine="0"/>
                            <w:jc w:val="both"/>
                            <w:rPr>
                              <w:rFonts w:ascii="Calibri" w:hAnsi="Calibri" w:eastAsia="宋体" w:cs="宋体"/>
                              <w:lang w:val="en-US" w:eastAsia="zh-CN" w:bidi="ar-SA"/>
                            </w:rPr>
                          </w:pPr>
                          <w:r>
                            <w:rPr>
                              <w:rFonts w:hint="eastAsia" w:ascii="Calibri" w:hAnsi="Calibri" w:eastAsia="宋体" w:cs="宋体"/>
                              <w:lang w:val="en-US" w:eastAsia="zh-CN" w:bidi="ar-SA"/>
                            </w:rPr>
                            <w:fldChar w:fldCharType="begin"/>
                          </w:r>
                          <w:r>
                            <w:rPr>
                              <w:rFonts w:hint="eastAsia" w:ascii="Calibri" w:hAnsi="Calibri" w:eastAsia="宋体" w:cs="宋体"/>
                              <w:lang w:val="en-US" w:eastAsia="zh-CN" w:bidi="ar-SA"/>
                            </w:rPr>
                            <w:instrText xml:space="preserve"> PAGE  \* MERGEFORMAT </w:instrText>
                          </w:r>
                          <w:r>
                            <w:rPr>
                              <w:rFonts w:hint="eastAsia" w:ascii="Calibri" w:hAnsi="Calibri" w:eastAsia="宋体" w:cs="宋体"/>
                              <w:lang w:val="en-US" w:eastAsia="zh-CN" w:bidi="ar-SA"/>
                            </w:rPr>
                            <w:fldChar w:fldCharType="separate"/>
                          </w:r>
                          <w:r>
                            <w:rPr>
                              <w:rFonts w:ascii="Calibri" w:hAnsi="Calibri" w:eastAsia="宋体" w:cs="宋体"/>
                              <w:lang w:val="en-US" w:eastAsia="zh-CN" w:bidi="ar-SA"/>
                            </w:rPr>
                            <w:t xml:space="preserve">2</w:t>
                          </w:r>
                          <w:r>
                            <w:rPr>
                              <w:rFonts w:hint="eastAsia" w:ascii="Calibri" w:hAnsi="Calibri" w:eastAsia="宋体" w:cs="宋体"/>
                              <w:lang w:val="en-US" w:eastAsia="zh-CN" w:bidi="ar-S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ind w:left="0" w:firstLine="0"/>
                      <w:jc w:val="both"/>
                      <w:rPr>
                        <w:rFonts w:ascii="Calibri" w:hAnsi="Calibri" w:eastAsia="宋体" w:cs="宋体"/>
                        <w:lang w:val="en-US" w:eastAsia="zh-CN" w:bidi="ar-SA"/>
                      </w:rPr>
                    </w:pPr>
                    <w:r>
                      <w:rPr>
                        <w:rFonts w:hint="eastAsia" w:ascii="Calibri" w:hAnsi="Calibri" w:eastAsia="宋体" w:cs="宋体"/>
                        <w:lang w:val="en-US" w:eastAsia="zh-CN" w:bidi="ar-SA"/>
                      </w:rPr>
                      <w:fldChar w:fldCharType="begin"/>
                    </w:r>
                    <w:r>
                      <w:rPr>
                        <w:rFonts w:hint="eastAsia" w:ascii="Calibri" w:hAnsi="Calibri" w:eastAsia="宋体" w:cs="宋体"/>
                        <w:lang w:val="en-US" w:eastAsia="zh-CN" w:bidi="ar-SA"/>
                      </w:rPr>
                      <w:instrText xml:space="preserve"> PAGE  \* MERGEFORMAT </w:instrText>
                    </w:r>
                    <w:r>
                      <w:rPr>
                        <w:rFonts w:hint="eastAsia" w:ascii="Calibri" w:hAnsi="Calibri" w:eastAsia="宋体" w:cs="宋体"/>
                        <w:lang w:val="en-US" w:eastAsia="zh-CN" w:bidi="ar-SA"/>
                      </w:rPr>
                      <w:fldChar w:fldCharType="separate"/>
                    </w:r>
                    <w:r>
                      <w:rPr>
                        <w:rFonts w:ascii="Calibri" w:hAnsi="Calibri" w:eastAsia="宋体" w:cs="宋体"/>
                        <w:lang w:val="en-US" w:eastAsia="zh-CN" w:bidi="ar-SA"/>
                      </w:rPr>
                      <w:t xml:space="preserve">2</w:t>
                    </w:r>
                    <w:r>
                      <w:rPr>
                        <w:rFonts w:hint="eastAsia" w:ascii="Calibri" w:hAnsi="Calibri" w:eastAsia="宋体" w:cs="宋体"/>
                        <w:lang w:val="en-US" w:eastAsia="zh-CN" w:bidi="ar-SA"/>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2725420</wp:posOffset>
              </wp:positionH>
              <wp:positionV relativeFrom="paragraph">
                <wp:posOffset>121920</wp:posOffset>
              </wp:positionV>
              <wp:extent cx="288925" cy="310515"/>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288924" cy="31051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0"/>
                            <w:jc w:val="center"/>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2</w:t>
                          </w:r>
                          <w:r>
                            <w:rPr>
                              <w:rFonts w:hint="eastAsia" w:ascii="宋体" w:hAnsi="宋体" w:eastAsia="宋体" w:cs="宋体"/>
                              <w:sz w:val="21"/>
                              <w:szCs w:val="21"/>
                            </w:rP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59264;o:allowoverlap:true;o:allowincell:true;mso-position-horizontal-relative:margin;margin-left:214.6pt;mso-position-horizontal:absolute;mso-position-vertical-relative:text;margin-top:9.6pt;mso-position-vertical:absolute;width:22.8pt;height:24.4pt;mso-wrap-distance-left:9.0pt;mso-wrap-distance-top:0.0pt;mso-wrap-distance-right:9.0pt;mso-wrap-distance-bottom:0.0pt;v-text-anchor:top;visibility:visible;" filled="f" stroked="f" strokeweight="0.50pt">
              <v:textbox inset="0,0,0,0">
                <w:txbxContent>
                  <w:p>
                    <w:pPr>
                      <w:pStyle w:val="870"/>
                      <w:jc w:val="center"/>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2</w:t>
                    </w:r>
                    <w:r>
                      <w:rPr>
                        <w:rFonts w:hint="eastAsia" w:ascii="宋体" w:hAnsi="宋体" w:eastAsia="宋体" w:cs="宋体"/>
                        <w:sz w:val="21"/>
                        <w:szCs w:val="21"/>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2746375</wp:posOffset>
              </wp:positionH>
              <wp:positionV relativeFrom="paragraph">
                <wp:posOffset>0</wp:posOffset>
              </wp:positionV>
              <wp:extent cx="340360" cy="147955"/>
              <wp:effectExtent l="0" t="0" r="0" b="0"/>
              <wp:wrapNone/>
              <wp:docPr id="4" name="文本框 9"/>
              <wp:cNvGraphicFramePr/>
              <a:graphic xmlns:a="http://schemas.openxmlformats.org/drawingml/2006/main">
                <a:graphicData uri="http://schemas.microsoft.com/office/word/2010/wordprocessingShape">
                  <wps:wsp>
                    <wps:cNvPr id="0" name=""/>
                    <wps:cNvSpPr txBox="1"/>
                    <wps:spPr bwMode="auto">
                      <a:xfrm>
                        <a:off x="0" y="0"/>
                        <a:ext cx="340360" cy="14795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0"/>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1</w:t>
                          </w:r>
                          <w:r>
                            <w:rPr>
                              <w:rFonts w:hint="eastAsia" w:ascii="宋体" w:hAnsi="宋体" w:eastAsia="宋体" w:cs="宋体"/>
                              <w:sz w:val="21"/>
                              <w:szCs w:val="21"/>
                            </w:rP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3" o:spid="_x0000_s3" o:spt="202" type="#_x0000_t202" style="position:absolute;z-index:251660288;o:allowoverlap:true;o:allowincell:true;mso-position-horizontal-relative:margin;margin-left:216.2pt;mso-position-horizontal:absolute;mso-position-vertical-relative:text;margin-top:0.0pt;mso-position-vertical:absolute;width:26.8pt;height:11.6pt;mso-wrap-distance-left:9.0pt;mso-wrap-distance-top:0.0pt;mso-wrap-distance-right:9.0pt;mso-wrap-distance-bottom:0.0pt;v-text-anchor:top;visibility:visible;" filled="f" stroked="f" strokeweight="0.50pt">
              <v:textbox inset="0,0,0,0">
                <w:txbxContent>
                  <w:p>
                    <w:pPr>
                      <w:pStyle w:val="870"/>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1</w:t>
                    </w:r>
                    <w:r>
                      <w:rPr>
                        <w:rFonts w:hint="eastAsia" w:ascii="宋体" w:hAnsi="宋体" w:eastAsia="宋体" w:cs="宋体"/>
                        <w:sz w:val="21"/>
                        <w:szCs w:val="21"/>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ind w:right="90"/>
      <w:jc w:val="center"/>
      <w:rPr>
        <w:rFonts w:hint="eastAsia" w:ascii="宋体" w:hAnsi="宋体" w:eastAsia="宋体" w:cs="宋体"/>
        <w:lang w:eastAsia="zh-CN"/>
      </w:rPr>
    </w:pPr>
    <w:r>
      <w:rPr>
        <w:rFonts w:hint="eastAsia" w:ascii="宋体" w:hAnsi="宋体" w:eastAsia="宋体" w:cs="宋体"/>
        <w:u w:val="single"/>
      </w:rPr>
      <w:t xml:space="preserve">政府采购公开招标文件                                      招标编号：</w:t>
    </w:r>
    <w:r>
      <w:rPr>
        <w:rFonts w:hint="eastAsia" w:ascii="宋体" w:hAnsi="宋体" w:eastAsia="宋体" w:cs="宋体"/>
        <w:u w:val="single"/>
        <w:lang w:eastAsia="zh-CN"/>
      </w:rPr>
      <w:t xml:space="preserve">JSZC-320500-CXJT-G2026-0007</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jc w:val="both"/>
    </w:pPr>
    <w:r>
      <w:rPr>
        <w:rFonts w:hint="eastAsia" w:hAnsi="宋体" w:eastAsia="宋体"/>
      </w:rPr>
      <w:t xml:space="preserve">政府采购</w:t>
    </w:r>
    <w:r>
      <w:rPr>
        <w:rFonts w:hAnsi="宋体" w:eastAsia="宋体"/>
      </w:rPr>
      <w:t xml:space="preserve">招标文件</w:t>
    </w:r>
    <w:r>
      <w:rPr>
        <w:rFonts w:hint="eastAsia" w:eastAsia="宋体"/>
      </w:rPr>
      <w:tab/>
    </w:r>
    <w:r>
      <w:rPr>
        <w:rFonts w:hint="eastAsia" w:hAnsi="宋体" w:eastAsia="宋体"/>
        <w:lang w:val="en-US" w:eastAsia="zh-CN"/>
      </w:rPr>
      <w:t xml:space="preserve">   </w:t>
    </w:r>
    <w:r>
      <w:rPr>
        <w:rFonts w:hint="eastAsia" w:hAnsi="宋体" w:eastAsia="宋体"/>
      </w:rPr>
      <w:tab/>
    </w:r>
    <w:r>
      <w:rPr>
        <w:rFonts w:hint="eastAsia" w:hAnsi="宋体" w:eastAsia="宋体"/>
        <w:lang w:eastAsia="zh-CN"/>
      </w:rPr>
      <w:t xml:space="preserve">JSZC-320500-CXJT-G2026-0007</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ind w:right="90"/>
      <w:jc w:val="center"/>
      <w:rPr>
        <w:rFonts w:ascii="宋体" w:hAnsi="宋体" w:eastAsia="宋体" w:cs="宋体"/>
        <w:u w:val="single"/>
      </w:rPr>
    </w:pPr>
    <w:r>
      <w:rPr>
        <w:rFonts w:hint="eastAsia" w:ascii="宋体" w:hAnsi="宋体" w:eastAsia="宋体" w:cs="宋体"/>
        <w:u w:val="single"/>
      </w:rPr>
      <w:t xml:space="preserve">政府采购公开招标文件                                        招标编号：</w:t>
    </w:r>
    <w:r>
      <w:rPr>
        <w:rFonts w:hint="eastAsia" w:ascii="宋体" w:hAnsi="宋体" w:eastAsia="宋体" w:cs="宋体"/>
        <w:u w:val="single"/>
        <w:lang w:eastAsia="zh-CN"/>
      </w:rPr>
      <w:t xml:space="preserve">JSZC-320500-CXJT-G2026-0007</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ind w:right="90"/>
      <w:jc w:val="center"/>
      <w:rPr>
        <w:rFonts w:hint="eastAsia" w:ascii="宋体" w:hAnsi="宋体" w:eastAsia="宋体" w:cs="宋体"/>
        <w:u w:val="single"/>
      </w:rPr>
    </w:pPr>
    <w:r>
      <w:rPr>
        <w:rFonts w:hint="eastAsia" w:ascii="宋体" w:hAnsi="宋体" w:eastAsia="宋体" w:cs="宋体"/>
        <w:u w:val="single"/>
      </w:rPr>
      <w:t xml:space="preserve">政府采购公开招标文件                                      招标编号：</w:t>
    </w:r>
    <w:r>
      <w:rPr>
        <w:rFonts w:hint="eastAsia" w:ascii="宋体" w:hAnsi="宋体" w:eastAsia="宋体" w:cs="宋体"/>
        <w:u w:val="single"/>
        <w:lang w:eastAsia="zh-CN"/>
      </w:rPr>
      <w:t xml:space="preserve">JSZC-320500-CXJT-G2026-0007</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857"/>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852"/>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1、"/>
      <w:lvlJc w:val="left"/>
      <w:pPr>
        <w:ind w:left="840" w:hanging="42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9">
    <w:multiLevelType w:val="hybridMultilevel"/>
    <w:lvl w:ilvl="0">
      <w:start w:val="1"/>
      <w:numFmt w:val="bullet"/>
      <w:pStyle w:val="862"/>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2"/>
  </w:num>
  <w:num w:numId="3">
    <w:abstractNumId w:val="9"/>
  </w:num>
  <w:num w:numId="4">
    <w:abstractNumId w:val="1"/>
  </w:num>
  <w:num w:numId="5">
    <w:abstractNumId w:val="10"/>
  </w:num>
  <w:num w:numId="6">
    <w:abstractNumId w:val="5"/>
  </w:num>
  <w:num w:numId="7">
    <w:abstractNumId w:val="3"/>
  </w:num>
  <w:num w:numId="8">
    <w:abstractNumId w:val="4"/>
  </w:num>
  <w:num w:numId="9">
    <w:abstractNumId w:val="8"/>
  </w:num>
  <w:num w:numId="10">
    <w:abstractNumId w:val="6"/>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6" w:default="1">
    <w:name w:val="Normal"/>
    <w:next w:val="848"/>
    <w:uiPriority w:val="0"/>
    <w:qFormat/>
    <w:pPr>
      <w:jc w:val="both"/>
      <w:widowControl w:val="off"/>
    </w:pPr>
    <w:rPr>
      <w:rFonts w:hint="default" w:ascii="Times New Roman" w:hAnsi="Times New Roman" w:eastAsia="楷体_GB2312" w:cs="Times New Roman"/>
      <w:sz w:val="26"/>
      <w:lang w:val="en-US" w:eastAsia="zh-CN" w:bidi="ar-SA"/>
    </w:rPr>
  </w:style>
  <w:style w:type="paragraph" w:styleId="837">
    <w:name w:val="Heading 1"/>
    <w:basedOn w:val="836"/>
    <w:next w:val="836"/>
    <w:uiPriority w:val="9"/>
    <w:qFormat/>
    <w:pPr>
      <w:keepLines/>
      <w:keepNext/>
      <w:spacing w:before="340" w:after="330" w:line="578" w:lineRule="auto"/>
      <w:outlineLvl w:val="0"/>
    </w:pPr>
    <w:rPr>
      <w:b/>
      <w:sz w:val="44"/>
    </w:rPr>
  </w:style>
  <w:style w:type="paragraph" w:styleId="838">
    <w:name w:val="Heading 2"/>
    <w:basedOn w:val="836"/>
    <w:next w:val="836"/>
    <w:link w:val="1056"/>
    <w:uiPriority w:val="9"/>
    <w:qFormat/>
    <w:pPr>
      <w:keepLines/>
      <w:keepNext/>
      <w:spacing w:before="260" w:after="260" w:line="416" w:lineRule="auto"/>
      <w:outlineLvl w:val="1"/>
    </w:pPr>
    <w:rPr>
      <w:rFonts w:ascii="Cambria" w:hAnsi="Cambria" w:eastAsia="宋体"/>
      <w:b/>
      <w:bCs/>
      <w:sz w:val="32"/>
      <w:szCs w:val="32"/>
    </w:rPr>
  </w:style>
  <w:style w:type="paragraph" w:styleId="839">
    <w:name w:val="Heading 3"/>
    <w:basedOn w:val="836"/>
    <w:next w:val="836"/>
    <w:link w:val="1057"/>
    <w:uiPriority w:val="0"/>
    <w:qFormat/>
    <w:pPr>
      <w:keepLines/>
      <w:keepNext/>
      <w:spacing w:before="260" w:after="260" w:line="416" w:lineRule="auto"/>
      <w:outlineLvl w:val="2"/>
    </w:pPr>
    <w:rPr>
      <w:b/>
      <w:bCs/>
      <w:sz w:val="32"/>
      <w:szCs w:val="32"/>
    </w:rPr>
  </w:style>
  <w:style w:type="paragraph" w:styleId="840">
    <w:name w:val="Heading 4"/>
    <w:basedOn w:val="836"/>
    <w:next w:val="836"/>
    <w:link w:val="908"/>
    <w:uiPriority w:val="9"/>
    <w:unhideWhenUsed/>
    <w:qFormat/>
    <w:pPr>
      <w:keepLines/>
      <w:keepNext/>
      <w:spacing w:before="320" w:after="200"/>
      <w:outlineLvl w:val="3"/>
    </w:pPr>
    <w:rPr>
      <w:rFonts w:ascii="Arial" w:hAnsi="Arial" w:eastAsia="Arial" w:cs="Arial"/>
      <w:b/>
      <w:bCs/>
      <w:sz w:val="26"/>
      <w:szCs w:val="26"/>
    </w:rPr>
  </w:style>
  <w:style w:type="paragraph" w:styleId="841">
    <w:name w:val="Heading 5"/>
    <w:basedOn w:val="836"/>
    <w:next w:val="836"/>
    <w:link w:val="909"/>
    <w:uiPriority w:val="9"/>
    <w:unhideWhenUsed/>
    <w:qFormat/>
    <w:pPr>
      <w:keepLines/>
      <w:keepNext/>
      <w:spacing w:before="320" w:after="200"/>
      <w:outlineLvl w:val="4"/>
    </w:pPr>
    <w:rPr>
      <w:rFonts w:ascii="Arial" w:hAnsi="Arial" w:eastAsia="Arial" w:cs="Arial"/>
      <w:b/>
      <w:bCs/>
      <w:sz w:val="24"/>
      <w:szCs w:val="24"/>
    </w:rPr>
  </w:style>
  <w:style w:type="paragraph" w:styleId="842">
    <w:name w:val="Heading 6"/>
    <w:basedOn w:val="836"/>
    <w:next w:val="836"/>
    <w:link w:val="910"/>
    <w:uiPriority w:val="9"/>
    <w:unhideWhenUsed/>
    <w:qFormat/>
    <w:pPr>
      <w:keepLines/>
      <w:keepNext/>
      <w:spacing w:before="320" w:after="200"/>
      <w:outlineLvl w:val="5"/>
    </w:pPr>
    <w:rPr>
      <w:rFonts w:ascii="Arial" w:hAnsi="Arial" w:eastAsia="Arial" w:cs="Arial"/>
      <w:b/>
      <w:bCs/>
      <w:sz w:val="22"/>
      <w:szCs w:val="22"/>
    </w:rPr>
  </w:style>
  <w:style w:type="paragraph" w:styleId="843">
    <w:name w:val="Heading 7"/>
    <w:basedOn w:val="836"/>
    <w:next w:val="836"/>
    <w:link w:val="911"/>
    <w:uiPriority w:val="9"/>
    <w:unhideWhenUsed/>
    <w:qFormat/>
    <w:pPr>
      <w:keepLines/>
      <w:keepNext/>
      <w:spacing w:before="320" w:after="200"/>
      <w:outlineLvl w:val="6"/>
    </w:pPr>
    <w:rPr>
      <w:rFonts w:ascii="Arial" w:hAnsi="Arial" w:eastAsia="Arial" w:cs="Arial"/>
      <w:b/>
      <w:bCs/>
      <w:i/>
      <w:iCs/>
      <w:sz w:val="22"/>
      <w:szCs w:val="22"/>
    </w:rPr>
  </w:style>
  <w:style w:type="paragraph" w:styleId="844">
    <w:name w:val="Heading 8"/>
    <w:basedOn w:val="836"/>
    <w:next w:val="836"/>
    <w:link w:val="912"/>
    <w:uiPriority w:val="9"/>
    <w:unhideWhenUsed/>
    <w:qFormat/>
    <w:pPr>
      <w:keepLines/>
      <w:keepNext/>
      <w:spacing w:before="320" w:after="200"/>
      <w:outlineLvl w:val="7"/>
    </w:pPr>
    <w:rPr>
      <w:rFonts w:ascii="Arial" w:hAnsi="Arial" w:eastAsia="Arial" w:cs="Arial"/>
      <w:i/>
      <w:iCs/>
      <w:sz w:val="22"/>
      <w:szCs w:val="22"/>
    </w:rPr>
  </w:style>
  <w:style w:type="paragraph" w:styleId="845">
    <w:name w:val="Heading 9"/>
    <w:basedOn w:val="836"/>
    <w:next w:val="836"/>
    <w:link w:val="913"/>
    <w:uiPriority w:val="9"/>
    <w:unhideWhenUsed/>
    <w:qFormat/>
    <w:pPr>
      <w:keepLines/>
      <w:keepNext/>
      <w:spacing w:before="320" w:after="200"/>
      <w:outlineLvl w:val="8"/>
    </w:pPr>
    <w:rPr>
      <w:rFonts w:ascii="Arial" w:hAnsi="Arial" w:eastAsia="Arial" w:cs="Arial"/>
      <w:i/>
      <w:iCs/>
      <w:sz w:val="21"/>
      <w:szCs w:val="21"/>
    </w:rPr>
  </w:style>
  <w:style w:type="character" w:styleId="846" w:default="1">
    <w:name w:val="Default Paragraph Font"/>
    <w:uiPriority w:val="1"/>
    <w:semiHidden/>
    <w:unhideWhenUsed/>
    <w:qFormat/>
  </w:style>
  <w:style w:type="table" w:styleId="847" w:default="1">
    <w:name w:val="Normal Table"/>
    <w:uiPriority w:val="99"/>
    <w:semiHidden/>
    <w:unhideWhenUsed/>
    <w:qFormat/>
    <w:tblPr>
      <w:tblCellMar>
        <w:left w:w="108" w:type="dxa"/>
        <w:top w:w="0" w:type="dxa"/>
        <w:right w:w="108" w:type="dxa"/>
        <w:bottom w:w="0" w:type="dxa"/>
      </w:tblCellMar>
    </w:tblPr>
  </w:style>
  <w:style w:type="paragraph" w:styleId="848">
    <w:name w:val="Body Text Indent"/>
    <w:basedOn w:val="836"/>
    <w:next w:val="836"/>
    <w:link w:val="1061"/>
    <w:uiPriority w:val="99"/>
    <w:unhideWhenUsed/>
    <w:qFormat/>
    <w:pPr>
      <w:ind w:firstLine="570"/>
    </w:pPr>
    <w:rPr>
      <w:rFonts w:ascii="宋体" w:eastAsia="宋体"/>
      <w:sz w:val="28"/>
    </w:rPr>
  </w:style>
  <w:style w:type="paragraph" w:styleId="849">
    <w:name w:val="toc 7"/>
    <w:next w:val="836"/>
    <w:uiPriority w:val="0"/>
    <w:qFormat/>
    <w:pPr>
      <w:ind w:left="2125"/>
      <w:jc w:val="both"/>
    </w:pPr>
    <w:rPr>
      <w:rFonts w:hint="default" w:ascii="Times New Roman" w:hAnsi="Times New Roman" w:eastAsia="宋体" w:cs="Times New Roman"/>
      <w:sz w:val="21"/>
      <w:lang w:val="en-US" w:eastAsia="zh-CN" w:bidi="ar-SA"/>
    </w:rPr>
  </w:style>
  <w:style w:type="paragraph" w:styleId="850">
    <w:name w:val="Normal Indent"/>
    <w:basedOn w:val="836"/>
    <w:next w:val="836"/>
    <w:link w:val="1058"/>
    <w:uiPriority w:val="0"/>
    <w:unhideWhenUsed/>
    <w:qFormat/>
    <w:pPr>
      <w:ind w:firstLine="420"/>
      <w:jc w:val="left"/>
    </w:pPr>
    <w:rPr>
      <w:sz w:val="24"/>
    </w:rPr>
  </w:style>
  <w:style w:type="paragraph" w:styleId="851">
    <w:name w:val="Caption"/>
    <w:basedOn w:val="836"/>
    <w:next w:val="83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52">
    <w:name w:val="List Bullet"/>
    <w:basedOn w:val="837"/>
    <w:next w:val="836"/>
    <w:uiPriority w:val="99"/>
    <w:unhideWhenUsed/>
    <w:qFormat/>
    <w:pPr>
      <w:numPr>
        <w:ilvl w:val="0"/>
        <w:numId w:val="1"/>
      </w:numPr>
    </w:pPr>
  </w:style>
  <w:style w:type="paragraph" w:styleId="853">
    <w:name w:val="Document Map"/>
    <w:basedOn w:val="836"/>
    <w:link w:val="1059"/>
    <w:uiPriority w:val="99"/>
    <w:unhideWhenUsed/>
    <w:qFormat/>
    <w:rPr>
      <w:rFonts w:ascii="宋体" w:eastAsia="宋体"/>
      <w:sz w:val="18"/>
      <w:szCs w:val="18"/>
    </w:rPr>
  </w:style>
  <w:style w:type="paragraph" w:styleId="854">
    <w:name w:val="annotation text"/>
    <w:basedOn w:val="837"/>
    <w:next w:val="836"/>
    <w:link w:val="1060"/>
    <w:uiPriority w:val="0"/>
    <w:qFormat/>
    <w:pPr>
      <w:jc w:val="left"/>
    </w:pPr>
    <w:rPr>
      <w:rFonts w:eastAsia="宋体"/>
      <w:sz w:val="24"/>
    </w:rPr>
  </w:style>
  <w:style w:type="paragraph" w:styleId="855">
    <w:name w:val="Body Text 3"/>
    <w:basedOn w:val="836"/>
    <w:uiPriority w:val="99"/>
    <w:unhideWhenUsed/>
    <w:qFormat/>
    <w:pPr>
      <w:jc w:val="center"/>
    </w:pPr>
    <w:rPr>
      <w:rFonts w:ascii="宋体" w:hAnsi="宋体"/>
    </w:rPr>
  </w:style>
  <w:style w:type="paragraph" w:styleId="856">
    <w:name w:val="Body Text"/>
    <w:basedOn w:val="836"/>
    <w:next w:val="850"/>
    <w:uiPriority w:val="99"/>
    <w:unhideWhenUsed/>
    <w:qFormat/>
    <w:rPr>
      <w:rFonts w:ascii="楷体_GB2312"/>
      <w:b/>
      <w:bCs/>
      <w:sz w:val="28"/>
    </w:rPr>
  </w:style>
  <w:style w:type="paragraph" w:styleId="857">
    <w:name w:val="List Number 3"/>
    <w:basedOn w:val="837"/>
    <w:next w:val="836"/>
    <w:uiPriority w:val="99"/>
    <w:unhideWhenUsed/>
    <w:qFormat/>
    <w:pPr>
      <w:numPr>
        <w:ilvl w:val="0"/>
        <w:numId w:val="2"/>
      </w:numPr>
    </w:pPr>
  </w:style>
  <w:style w:type="paragraph" w:styleId="858">
    <w:name w:val="Block Text"/>
    <w:basedOn w:val="836"/>
    <w:uiPriority w:val="0"/>
    <w:qFormat/>
    <w:pPr>
      <w:ind w:left="630" w:right="-609" w:firstLine="420"/>
      <w:spacing w:line="360" w:lineRule="auto"/>
    </w:pPr>
    <w:rPr>
      <w:rFonts w:hint="eastAsia" w:ascii="仿宋_GB2312" w:eastAsia="仿宋_GB2312"/>
      <w:szCs w:val="20"/>
    </w:rPr>
  </w:style>
  <w:style w:type="paragraph" w:styleId="859">
    <w:name w:val="toc 5"/>
    <w:basedOn w:val="836"/>
    <w:next w:val="836"/>
    <w:uiPriority w:val="39"/>
    <w:unhideWhenUsed/>
    <w:qFormat/>
    <w:pPr>
      <w:ind w:left="1134" w:right="0" w:firstLine="0"/>
      <w:spacing w:after="57"/>
    </w:pPr>
  </w:style>
  <w:style w:type="paragraph" w:styleId="860">
    <w:name w:val="toc 3"/>
    <w:basedOn w:val="836"/>
    <w:next w:val="836"/>
    <w:uiPriority w:val="39"/>
    <w:unhideWhenUsed/>
    <w:qFormat/>
    <w:pPr>
      <w:ind w:left="840"/>
    </w:pPr>
  </w:style>
  <w:style w:type="paragraph" w:styleId="861">
    <w:name w:val="Plain Text"/>
    <w:basedOn w:val="836"/>
    <w:link w:val="1062"/>
    <w:uiPriority w:val="0"/>
    <w:unhideWhenUsed/>
    <w:qFormat/>
    <w:rPr>
      <w:rFonts w:ascii="宋体" w:hAnsi="Courier New"/>
    </w:rPr>
  </w:style>
  <w:style w:type="paragraph" w:styleId="862">
    <w:name w:val="List Bullet 5"/>
    <w:basedOn w:val="837"/>
    <w:next w:val="863"/>
    <w:uiPriority w:val="99"/>
    <w:unhideWhenUsed/>
    <w:qFormat/>
    <w:pPr>
      <w:numPr>
        <w:ilvl w:val="0"/>
        <w:numId w:val="3"/>
      </w:numPr>
    </w:pPr>
  </w:style>
  <w:style w:type="paragraph" w:styleId="863" w:customStyle="1">
    <w:name w:val="正文首行缩进1"/>
    <w:next w:val="857"/>
    <w:uiPriority w:val="0"/>
    <w:qFormat/>
    <w:pPr>
      <w:ind w:left="420" w:firstLine="2724"/>
      <w:spacing w:after="120" w:line="360" w:lineRule="auto"/>
    </w:pPr>
    <w:rPr>
      <w:rFonts w:hint="default" w:ascii="Calibri" w:hAnsi="Calibri" w:eastAsia="宋体" w:cs="宋体"/>
      <w:sz w:val="21"/>
      <w:szCs w:val="22"/>
      <w:lang w:val="en-US" w:eastAsia="zh-CN" w:bidi="ar-SA"/>
    </w:rPr>
  </w:style>
  <w:style w:type="paragraph" w:styleId="864">
    <w:name w:val="toc 8"/>
    <w:basedOn w:val="836"/>
    <w:next w:val="836"/>
    <w:uiPriority w:val="39"/>
    <w:unhideWhenUsed/>
    <w:qFormat/>
    <w:pPr>
      <w:ind w:left="1984" w:right="0" w:firstLine="0"/>
      <w:spacing w:after="57"/>
    </w:pPr>
  </w:style>
  <w:style w:type="paragraph" w:styleId="865">
    <w:name w:val="Date"/>
    <w:basedOn w:val="836"/>
    <w:next w:val="836"/>
    <w:uiPriority w:val="99"/>
    <w:unhideWhenUsed/>
    <w:qFormat/>
    <w:rPr>
      <w:rFonts w:ascii="宋体" w:hAnsi="宋体"/>
      <w:sz w:val="24"/>
    </w:rPr>
  </w:style>
  <w:style w:type="paragraph" w:styleId="866">
    <w:name w:val="Body Text Indent 2"/>
    <w:basedOn w:val="836"/>
    <w:link w:val="1063"/>
    <w:uiPriority w:val="99"/>
    <w:unhideWhenUsed/>
    <w:qFormat/>
    <w:pPr>
      <w:ind w:left="420"/>
      <w:spacing w:after="120" w:line="480" w:lineRule="auto"/>
    </w:pPr>
  </w:style>
  <w:style w:type="paragraph" w:styleId="867">
    <w:name w:val="endnote text"/>
    <w:basedOn w:val="836"/>
    <w:link w:val="1050"/>
    <w:uiPriority w:val="99"/>
    <w:semiHidden/>
    <w:unhideWhenUsed/>
    <w:qFormat/>
    <w:pPr>
      <w:spacing w:after="0" w:line="240" w:lineRule="auto"/>
    </w:pPr>
    <w:rPr>
      <w:sz w:val="20"/>
    </w:rPr>
  </w:style>
  <w:style w:type="paragraph" w:styleId="868">
    <w:name w:val="Balloon Text"/>
    <w:basedOn w:val="836"/>
    <w:next w:val="869"/>
    <w:link w:val="1064"/>
    <w:uiPriority w:val="0"/>
    <w:qFormat/>
    <w:rPr>
      <w:sz w:val="18"/>
      <w:szCs w:val="18"/>
    </w:rPr>
  </w:style>
  <w:style w:type="paragraph" w:styleId="869" w:customStyle="1">
    <w:name w:val="正文缩进1"/>
    <w:next w:val="836"/>
    <w:uiPriority w:val="0"/>
    <w:qFormat/>
    <w:pPr>
      <w:ind w:left="3400"/>
      <w:jc w:val="both"/>
    </w:pPr>
    <w:rPr>
      <w:rFonts w:hint="default" w:ascii="Times New Roman" w:hAnsi="Times New Roman" w:eastAsia="宋体" w:cs="Times New Roman"/>
      <w:sz w:val="21"/>
      <w:lang w:val="en-US" w:eastAsia="zh-CN" w:bidi="ar-SA"/>
    </w:rPr>
  </w:style>
  <w:style w:type="paragraph" w:styleId="870">
    <w:name w:val="Footer"/>
    <w:basedOn w:val="836"/>
    <w:link w:val="1065"/>
    <w:uiPriority w:val="99"/>
    <w:unhideWhenUsed/>
    <w:qFormat/>
    <w:pPr>
      <w:jc w:val="left"/>
      <w:tabs>
        <w:tab w:val="center" w:pos="4153" w:leader="none"/>
        <w:tab w:val="right" w:pos="8306" w:leader="none"/>
      </w:tabs>
    </w:pPr>
    <w:rPr>
      <w:sz w:val="18"/>
    </w:rPr>
  </w:style>
  <w:style w:type="paragraph" w:styleId="871">
    <w:name w:val="envelope return"/>
    <w:basedOn w:val="836"/>
    <w:uiPriority w:val="0"/>
    <w:qFormat/>
    <w:rPr>
      <w:rFonts w:ascii="Arial" w:hAnsi="Arial"/>
    </w:rPr>
  </w:style>
  <w:style w:type="paragraph" w:styleId="872">
    <w:name w:val="Header"/>
    <w:basedOn w:val="836"/>
    <w:link w:val="1066"/>
    <w:uiPriority w:val="99"/>
    <w:unhideWhenUsed/>
    <w:qFormat/>
    <w:pPr>
      <w:jc w:val="center"/>
      <w:tabs>
        <w:tab w:val="center" w:pos="4153" w:leader="none"/>
        <w:tab w:val="right" w:pos="8306" w:leader="none"/>
      </w:tabs>
      <w:pBdr>
        <w:bottom w:val="none" w:color="auto" w:sz="0" w:space="1"/>
      </w:pBdr>
    </w:pPr>
    <w:rPr>
      <w:sz w:val="18"/>
    </w:rPr>
  </w:style>
  <w:style w:type="paragraph" w:styleId="873">
    <w:name w:val="toc 1"/>
    <w:basedOn w:val="836"/>
    <w:next w:val="836"/>
    <w:uiPriority w:val="39"/>
    <w:unhideWhenUsed/>
    <w:qFormat/>
    <w:pPr>
      <w:jc w:val="left"/>
    </w:pPr>
    <w:rPr>
      <w:sz w:val="24"/>
    </w:rPr>
  </w:style>
  <w:style w:type="paragraph" w:styleId="874">
    <w:name w:val="toc 4"/>
    <w:basedOn w:val="836"/>
    <w:next w:val="836"/>
    <w:uiPriority w:val="39"/>
    <w:unhideWhenUsed/>
    <w:qFormat/>
    <w:pPr>
      <w:ind w:left="850" w:right="0" w:firstLine="0"/>
      <w:spacing w:after="57"/>
    </w:pPr>
  </w:style>
  <w:style w:type="paragraph" w:styleId="875">
    <w:name w:val="Subtitle"/>
    <w:basedOn w:val="836"/>
    <w:link w:val="1067"/>
    <w:uiPriority w:val="0"/>
    <w:qFormat/>
    <w:pPr>
      <w:jc w:val="center"/>
      <w:spacing w:before="240" w:after="60" w:line="312" w:lineRule="auto"/>
      <w:outlineLvl w:val="1"/>
    </w:pPr>
    <w:rPr>
      <w:rFonts w:ascii="Arial" w:hAnsi="Arial" w:eastAsia="宋体"/>
      <w:b/>
      <w:bCs/>
      <w:sz w:val="32"/>
      <w:szCs w:val="32"/>
    </w:rPr>
  </w:style>
  <w:style w:type="paragraph" w:styleId="876">
    <w:name w:val="footnote text"/>
    <w:basedOn w:val="836"/>
    <w:link w:val="1049"/>
    <w:uiPriority w:val="99"/>
    <w:semiHidden/>
    <w:unhideWhenUsed/>
    <w:qFormat/>
    <w:pPr>
      <w:spacing w:after="40" w:line="240" w:lineRule="auto"/>
    </w:pPr>
    <w:rPr>
      <w:sz w:val="18"/>
    </w:rPr>
  </w:style>
  <w:style w:type="paragraph" w:styleId="877">
    <w:name w:val="toc 6"/>
    <w:basedOn w:val="836"/>
    <w:next w:val="836"/>
    <w:uiPriority w:val="39"/>
    <w:unhideWhenUsed/>
    <w:qFormat/>
    <w:pPr>
      <w:ind w:left="1417" w:right="0" w:firstLine="0"/>
      <w:spacing w:after="57"/>
    </w:pPr>
  </w:style>
  <w:style w:type="paragraph" w:styleId="878">
    <w:name w:val="Body Text Indent 3"/>
    <w:basedOn w:val="836"/>
    <w:uiPriority w:val="99"/>
    <w:unhideWhenUsed/>
    <w:qFormat/>
    <w:pPr>
      <w:ind w:left="420"/>
      <w:jc w:val="left"/>
      <w:spacing w:after="120"/>
      <w:widowControl/>
    </w:pPr>
    <w:rPr>
      <w:rFonts w:eastAsia="宋体"/>
      <w:sz w:val="16"/>
      <w:szCs w:val="16"/>
    </w:rPr>
  </w:style>
  <w:style w:type="paragraph" w:styleId="879">
    <w:name w:val="table of figures"/>
    <w:basedOn w:val="836"/>
    <w:next w:val="836"/>
    <w:uiPriority w:val="99"/>
    <w:unhideWhenUsed/>
    <w:qFormat/>
    <w:pPr>
      <w:spacing w:after="0" w:afterAutospacing="0"/>
    </w:pPr>
  </w:style>
  <w:style w:type="paragraph" w:styleId="880">
    <w:name w:val="toc 2"/>
    <w:basedOn w:val="836"/>
    <w:next w:val="836"/>
    <w:uiPriority w:val="39"/>
    <w:unhideWhenUsed/>
    <w:qFormat/>
    <w:pPr>
      <w:ind w:left="420"/>
    </w:pPr>
  </w:style>
  <w:style w:type="paragraph" w:styleId="881">
    <w:name w:val="toc 9"/>
    <w:basedOn w:val="836"/>
    <w:next w:val="836"/>
    <w:uiPriority w:val="0"/>
    <w:semiHidden/>
    <w:qFormat/>
    <w:pPr>
      <w:ind w:left="3360"/>
    </w:pPr>
  </w:style>
  <w:style w:type="paragraph" w:styleId="882">
    <w:name w:val="Body Text 2"/>
    <w:basedOn w:val="836"/>
    <w:uiPriority w:val="0"/>
    <w:qFormat/>
    <w:pPr>
      <w:ind w:firstLine="1024"/>
      <w:spacing w:before="0" w:after="120" w:line="480" w:lineRule="auto"/>
    </w:pPr>
  </w:style>
  <w:style w:type="paragraph" w:styleId="883">
    <w:name w:val="Normal (Web)"/>
    <w:basedOn w:val="836"/>
    <w:uiPriority w:val="0"/>
    <w:unhideWhenUsed/>
    <w:qFormat/>
    <w:pPr>
      <w:jc w:val="left"/>
      <w:spacing w:before="100" w:beforeAutospacing="1" w:after="100" w:afterAutospacing="1"/>
      <w:widowControl/>
    </w:pPr>
    <w:rPr>
      <w:rFonts w:ascii="宋体" w:hAnsi="宋体" w:cs="宋体"/>
      <w:sz w:val="24"/>
    </w:rPr>
  </w:style>
  <w:style w:type="paragraph" w:styleId="884">
    <w:name w:val="index 1"/>
    <w:basedOn w:val="836"/>
    <w:next w:val="836"/>
    <w:uiPriority w:val="0"/>
    <w:semiHidden/>
    <w:qFormat/>
  </w:style>
  <w:style w:type="paragraph" w:styleId="885">
    <w:name w:val="Title"/>
    <w:basedOn w:val="836"/>
    <w:next w:val="836"/>
    <w:link w:val="915"/>
    <w:uiPriority w:val="10"/>
    <w:qFormat/>
    <w:pPr>
      <w:contextualSpacing/>
      <w:spacing w:before="300" w:after="200"/>
    </w:pPr>
    <w:rPr>
      <w:sz w:val="48"/>
      <w:szCs w:val="48"/>
    </w:rPr>
  </w:style>
  <w:style w:type="paragraph" w:styleId="886">
    <w:name w:val="annotation subject"/>
    <w:basedOn w:val="854"/>
    <w:next w:val="854"/>
    <w:uiPriority w:val="0"/>
    <w:semiHidden/>
    <w:qFormat/>
    <w:rPr>
      <w:bCs/>
    </w:rPr>
  </w:style>
  <w:style w:type="paragraph" w:styleId="887">
    <w:name w:val="Body Text First Indent"/>
    <w:basedOn w:val="856"/>
    <w:next w:val="836"/>
    <w:uiPriority w:val="99"/>
    <w:unhideWhenUsed/>
    <w:qFormat/>
    <w:pPr>
      <w:ind w:firstLine="420"/>
    </w:pPr>
  </w:style>
  <w:style w:type="paragraph" w:styleId="888">
    <w:name w:val="Body Text First Indent 2"/>
    <w:basedOn w:val="848"/>
    <w:link w:val="1068"/>
    <w:uiPriority w:val="99"/>
    <w:unhideWhenUsed/>
    <w:qFormat/>
    <w:pPr>
      <w:ind w:left="420" w:firstLine="420"/>
      <w:spacing w:after="120"/>
    </w:pPr>
  </w:style>
  <w:style w:type="table" w:styleId="889">
    <w:name w:val="Table Grid"/>
    <w:basedOn w:val="847"/>
    <w:uiPriority w:val="0"/>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0">
    <w:name w:val="Strong"/>
    <w:uiPriority w:val="22"/>
    <w:qFormat/>
    <w:rPr>
      <w:b/>
      <w:bCs/>
    </w:rPr>
  </w:style>
  <w:style w:type="character" w:styleId="891">
    <w:name w:val="endnote reference"/>
    <w:basedOn w:val="846"/>
    <w:uiPriority w:val="99"/>
    <w:semiHidden/>
    <w:unhideWhenUsed/>
    <w:qFormat/>
    <w:rPr>
      <w:vertAlign w:val="superscript"/>
    </w:rPr>
  </w:style>
  <w:style w:type="character" w:styleId="892">
    <w:name w:val="page number"/>
    <w:uiPriority w:val="0"/>
    <w:unhideWhenUsed/>
    <w:qFormat/>
  </w:style>
  <w:style w:type="character" w:styleId="893">
    <w:name w:val="FollowedHyperlink"/>
    <w:uiPriority w:val="99"/>
    <w:unhideWhenUsed/>
    <w:qFormat/>
    <w:rPr>
      <w:color w:val="07519a"/>
      <w:u w:val="none"/>
    </w:rPr>
  </w:style>
  <w:style w:type="character" w:styleId="894">
    <w:name w:val="Emphasis"/>
    <w:uiPriority w:val="20"/>
    <w:qFormat/>
  </w:style>
  <w:style w:type="character" w:styleId="895">
    <w:name w:val="HTML Definition"/>
    <w:uiPriority w:val="99"/>
    <w:unhideWhenUsed/>
    <w:qFormat/>
  </w:style>
  <w:style w:type="character" w:styleId="896">
    <w:name w:val="HTML Variable"/>
    <w:uiPriority w:val="99"/>
    <w:unhideWhenUsed/>
    <w:qFormat/>
    <w:rPr>
      <w:color w:val="666666"/>
      <w:sz w:val="18"/>
      <w:szCs w:val="18"/>
      <w:shd w:val="clear" w:color="auto" w:fill="ffffff"/>
    </w:rPr>
  </w:style>
  <w:style w:type="character" w:styleId="897">
    <w:name w:val="Hyperlink"/>
    <w:uiPriority w:val="99"/>
    <w:unhideWhenUsed/>
    <w:qFormat/>
    <w:rPr>
      <w:color w:val="07519a"/>
      <w:u w:val="none"/>
    </w:rPr>
  </w:style>
  <w:style w:type="character" w:styleId="898">
    <w:name w:val="HTML Code"/>
    <w:uiPriority w:val="99"/>
    <w:unhideWhenUsed/>
    <w:qFormat/>
    <w:rPr>
      <w:rFonts w:hint="default" w:ascii="serif" w:hAnsi="serif" w:eastAsia="serif" w:cs="serif"/>
      <w:sz w:val="21"/>
      <w:szCs w:val="21"/>
    </w:rPr>
  </w:style>
  <w:style w:type="character" w:styleId="899">
    <w:name w:val="annotation reference"/>
    <w:uiPriority w:val="0"/>
    <w:qFormat/>
    <w:rPr>
      <w:sz w:val="21"/>
      <w:szCs w:val="21"/>
    </w:rPr>
  </w:style>
  <w:style w:type="character" w:styleId="900">
    <w:name w:val="HTML Cite"/>
    <w:uiPriority w:val="99"/>
    <w:unhideWhenUsed/>
    <w:qFormat/>
  </w:style>
  <w:style w:type="character" w:styleId="901">
    <w:name w:val="footnote reference"/>
    <w:basedOn w:val="846"/>
    <w:uiPriority w:val="99"/>
    <w:unhideWhenUsed/>
    <w:qFormat/>
    <w:rPr>
      <w:vertAlign w:val="superscript"/>
    </w:rPr>
  </w:style>
  <w:style w:type="character" w:styleId="902">
    <w:name w:val="HTML Keyboard"/>
    <w:uiPriority w:val="99"/>
    <w:unhideWhenUsed/>
    <w:qFormat/>
    <w:rPr>
      <w:rFonts w:ascii="serif" w:hAnsi="serif" w:eastAsia="serif" w:cs="serif"/>
      <w:sz w:val="21"/>
      <w:szCs w:val="21"/>
    </w:rPr>
  </w:style>
  <w:style w:type="character" w:styleId="903">
    <w:name w:val="HTML Sample"/>
    <w:uiPriority w:val="99"/>
    <w:unhideWhenUsed/>
    <w:qFormat/>
    <w:rPr>
      <w:rFonts w:hint="default" w:ascii="serif" w:hAnsi="serif" w:eastAsia="serif" w:cs="serif"/>
      <w:sz w:val="21"/>
      <w:szCs w:val="21"/>
    </w:rPr>
  </w:style>
  <w:style w:type="paragraph" w:styleId="904" w:customStyle="1">
    <w:name w:val="正文文本缩进1"/>
    <w:basedOn w:val="836"/>
    <w:next w:val="836"/>
    <w:uiPriority w:val="0"/>
    <w:qFormat/>
    <w:pPr>
      <w:ind w:firstLine="570"/>
    </w:pPr>
    <w:rPr>
      <w:rFonts w:ascii="宋体" w:eastAsia="宋体"/>
      <w:sz w:val="28"/>
    </w:rPr>
  </w:style>
  <w:style w:type="character" w:styleId="905" w:customStyle="1">
    <w:name w:val="Heading 1 Char"/>
    <w:basedOn w:val="846"/>
    <w:uiPriority w:val="9"/>
    <w:qFormat/>
    <w:rPr>
      <w:rFonts w:ascii="Arial" w:hAnsi="Arial" w:eastAsia="Arial" w:cs="Arial"/>
      <w:sz w:val="40"/>
      <w:szCs w:val="40"/>
    </w:rPr>
  </w:style>
  <w:style w:type="character" w:styleId="906" w:customStyle="1">
    <w:name w:val="Heading 2 Char"/>
    <w:basedOn w:val="846"/>
    <w:uiPriority w:val="9"/>
    <w:qFormat/>
    <w:rPr>
      <w:rFonts w:ascii="Arial" w:hAnsi="Arial" w:eastAsia="Arial" w:cs="Arial"/>
      <w:sz w:val="34"/>
    </w:rPr>
  </w:style>
  <w:style w:type="character" w:styleId="907" w:customStyle="1">
    <w:name w:val="Heading 3 Char"/>
    <w:basedOn w:val="846"/>
    <w:uiPriority w:val="9"/>
    <w:qFormat/>
    <w:rPr>
      <w:rFonts w:ascii="Arial" w:hAnsi="Arial" w:eastAsia="Arial" w:cs="Arial"/>
      <w:sz w:val="30"/>
      <w:szCs w:val="30"/>
    </w:rPr>
  </w:style>
  <w:style w:type="character" w:styleId="908" w:customStyle="1">
    <w:name w:val="Heading 4 Char"/>
    <w:basedOn w:val="846"/>
    <w:link w:val="840"/>
    <w:uiPriority w:val="9"/>
    <w:qFormat/>
    <w:rPr>
      <w:rFonts w:ascii="Arial" w:hAnsi="Arial" w:eastAsia="Arial" w:cs="Arial"/>
      <w:b/>
      <w:bCs/>
      <w:sz w:val="26"/>
      <w:szCs w:val="26"/>
    </w:rPr>
  </w:style>
  <w:style w:type="character" w:styleId="909" w:customStyle="1">
    <w:name w:val="Heading 5 Char"/>
    <w:basedOn w:val="846"/>
    <w:link w:val="841"/>
    <w:uiPriority w:val="9"/>
    <w:qFormat/>
    <w:rPr>
      <w:rFonts w:ascii="Arial" w:hAnsi="Arial" w:eastAsia="Arial" w:cs="Arial"/>
      <w:b/>
      <w:bCs/>
      <w:sz w:val="24"/>
      <w:szCs w:val="24"/>
    </w:rPr>
  </w:style>
  <w:style w:type="character" w:styleId="910" w:customStyle="1">
    <w:name w:val="Heading 6 Char"/>
    <w:basedOn w:val="846"/>
    <w:link w:val="842"/>
    <w:uiPriority w:val="9"/>
    <w:qFormat/>
    <w:rPr>
      <w:rFonts w:ascii="Arial" w:hAnsi="Arial" w:eastAsia="Arial" w:cs="Arial"/>
      <w:b/>
      <w:bCs/>
      <w:sz w:val="22"/>
      <w:szCs w:val="22"/>
    </w:rPr>
  </w:style>
  <w:style w:type="character" w:styleId="911" w:customStyle="1">
    <w:name w:val="Heading 7 Char"/>
    <w:basedOn w:val="846"/>
    <w:link w:val="843"/>
    <w:uiPriority w:val="9"/>
    <w:qFormat/>
    <w:rPr>
      <w:rFonts w:ascii="Arial" w:hAnsi="Arial" w:eastAsia="Arial" w:cs="Arial"/>
      <w:b/>
      <w:bCs/>
      <w:i/>
      <w:iCs/>
      <w:sz w:val="22"/>
      <w:szCs w:val="22"/>
    </w:rPr>
  </w:style>
  <w:style w:type="character" w:styleId="912" w:customStyle="1">
    <w:name w:val="Heading 8 Char"/>
    <w:basedOn w:val="846"/>
    <w:link w:val="844"/>
    <w:uiPriority w:val="9"/>
    <w:qFormat/>
    <w:rPr>
      <w:rFonts w:ascii="Arial" w:hAnsi="Arial" w:eastAsia="Arial" w:cs="Arial"/>
      <w:i/>
      <w:iCs/>
      <w:sz w:val="22"/>
      <w:szCs w:val="22"/>
    </w:rPr>
  </w:style>
  <w:style w:type="character" w:styleId="913" w:customStyle="1">
    <w:name w:val="Heading 9 Char"/>
    <w:basedOn w:val="846"/>
    <w:link w:val="845"/>
    <w:uiPriority w:val="9"/>
    <w:qFormat/>
    <w:rPr>
      <w:rFonts w:ascii="Arial" w:hAnsi="Arial" w:eastAsia="Arial" w:cs="Arial"/>
      <w:i/>
      <w:iCs/>
      <w:sz w:val="21"/>
      <w:szCs w:val="21"/>
    </w:rPr>
  </w:style>
  <w:style w:type="paragraph" w:styleId="914">
    <w:name w:val="No Spacing"/>
    <w:uiPriority w:val="1"/>
    <w:qFormat/>
    <w:pPr>
      <w:spacing w:before="0" w:after="0" w:line="240" w:lineRule="auto"/>
    </w:pPr>
    <w:rPr>
      <w:rFonts w:hint="default" w:ascii="Times New Roman" w:hAnsi="Times New Roman" w:eastAsia="宋体" w:cs="Times New Roman"/>
    </w:rPr>
  </w:style>
  <w:style w:type="character" w:styleId="915" w:customStyle="1">
    <w:name w:val="Title Char"/>
    <w:basedOn w:val="846"/>
    <w:link w:val="885"/>
    <w:uiPriority w:val="10"/>
    <w:qFormat/>
    <w:rPr>
      <w:sz w:val="48"/>
      <w:szCs w:val="48"/>
    </w:rPr>
  </w:style>
  <w:style w:type="character" w:styleId="916" w:customStyle="1">
    <w:name w:val="Subtitle Char"/>
    <w:basedOn w:val="846"/>
    <w:uiPriority w:val="11"/>
    <w:qFormat/>
    <w:rPr>
      <w:sz w:val="24"/>
      <w:szCs w:val="24"/>
    </w:rPr>
  </w:style>
  <w:style w:type="paragraph" w:styleId="917">
    <w:name w:val="Quote"/>
    <w:basedOn w:val="836"/>
    <w:next w:val="836"/>
    <w:link w:val="918"/>
    <w:uiPriority w:val="29"/>
    <w:qFormat/>
    <w:pPr>
      <w:ind w:left="720" w:right="720"/>
    </w:pPr>
    <w:rPr>
      <w:i/>
    </w:rPr>
  </w:style>
  <w:style w:type="character" w:styleId="918" w:customStyle="1">
    <w:name w:val="Quote Char"/>
    <w:link w:val="917"/>
    <w:uiPriority w:val="29"/>
    <w:qFormat/>
    <w:rPr>
      <w:i/>
    </w:rPr>
  </w:style>
  <w:style w:type="paragraph" w:styleId="919">
    <w:name w:val="Intense Quote"/>
    <w:basedOn w:val="836"/>
    <w:next w:val="836"/>
    <w:link w:val="9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0" w:customStyle="1">
    <w:name w:val="Intense Quote Char"/>
    <w:link w:val="919"/>
    <w:uiPriority w:val="30"/>
    <w:qFormat/>
    <w:rPr>
      <w:i/>
    </w:rPr>
  </w:style>
  <w:style w:type="character" w:styleId="921" w:customStyle="1">
    <w:name w:val="Header Char"/>
    <w:basedOn w:val="846"/>
    <w:uiPriority w:val="99"/>
    <w:qFormat/>
  </w:style>
  <w:style w:type="character" w:styleId="922" w:customStyle="1">
    <w:name w:val="Footer Char"/>
    <w:basedOn w:val="846"/>
    <w:uiPriority w:val="99"/>
    <w:qFormat/>
  </w:style>
  <w:style w:type="character" w:styleId="923" w:customStyle="1">
    <w:name w:val="Caption Char"/>
    <w:uiPriority w:val="99"/>
    <w:qFormat/>
  </w:style>
  <w:style w:type="table" w:styleId="924" w:customStyle="1">
    <w:name w:val="Table Grid Light"/>
    <w:basedOn w:val="84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25" w:customStyle="1">
    <w:name w:val="Plain Table 1"/>
    <w:basedOn w:val="84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6" w:customStyle="1">
    <w:name w:val="Plain Table 2"/>
    <w:basedOn w:val="84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7" w:customStyle="1">
    <w:name w:val="Plain Table 3"/>
    <w:basedOn w:val="84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8" w:customStyle="1">
    <w:name w:val="Plain Table 4"/>
    <w:basedOn w:val="84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9" w:customStyle="1">
    <w:name w:val="Plain Table 5"/>
    <w:basedOn w:val="84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0" w:customStyle="1">
    <w:name w:val="Grid Table 1 Light"/>
    <w:basedOn w:val="84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1" w:customStyle="1">
    <w:name w:val="Grid Table 1 Light - Accent 1"/>
    <w:basedOn w:val="84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32" w:customStyle="1">
    <w:name w:val="Grid Table 1 Light - Accent 2"/>
    <w:basedOn w:val="84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33" w:customStyle="1">
    <w:name w:val="Grid Table 1 Light - Accent 3"/>
    <w:basedOn w:val="84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34" w:customStyle="1">
    <w:name w:val="Grid Table 1 Light - Accent 4"/>
    <w:basedOn w:val="84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35" w:customStyle="1">
    <w:name w:val="Grid Table 1 Light - Accent 5"/>
    <w:basedOn w:val="84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6" w:customStyle="1">
    <w:name w:val="Grid Table 1 Light - Accent 6"/>
    <w:basedOn w:val="84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7" w:customStyle="1">
    <w:name w:val="Grid Table 2"/>
    <w:basedOn w:val="84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8" w:customStyle="1">
    <w:name w:val="Grid Table 2 - Accent 1"/>
    <w:basedOn w:val="84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39" w:customStyle="1">
    <w:name w:val="Grid Table 2 - Accent 2"/>
    <w:basedOn w:val="84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40" w:customStyle="1">
    <w:name w:val="Grid Table 2 - Accent 3"/>
    <w:basedOn w:val="84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41" w:customStyle="1">
    <w:name w:val="Grid Table 2 - Accent 4"/>
    <w:basedOn w:val="84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42" w:customStyle="1">
    <w:name w:val="Grid Table 2 - Accent 5"/>
    <w:basedOn w:val="84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43" w:customStyle="1">
    <w:name w:val="Grid Table 2 - Accent 6"/>
    <w:basedOn w:val="84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44" w:customStyle="1">
    <w:name w:val="Grid Table 3"/>
    <w:basedOn w:val="84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Grid Table 3 - Accent 1"/>
    <w:basedOn w:val="84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6" w:customStyle="1">
    <w:name w:val="Grid Table 3 - Accent 2"/>
    <w:basedOn w:val="84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7" w:customStyle="1">
    <w:name w:val="Grid Table 3 - Accent 3"/>
    <w:basedOn w:val="84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8" w:customStyle="1">
    <w:name w:val="Grid Table 3 - Accent 4"/>
    <w:basedOn w:val="84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9" w:customStyle="1">
    <w:name w:val="Grid Table 3 - Accent 5"/>
    <w:basedOn w:val="84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0" w:customStyle="1">
    <w:name w:val="Grid Table 3 - Accent 6"/>
    <w:basedOn w:val="84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1" w:customStyle="1">
    <w:name w:val="Grid Table 4"/>
    <w:basedOn w:val="84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2" w:customStyle="1">
    <w:name w:val="Grid Table 4 - Accent 1"/>
    <w:basedOn w:val="847"/>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53" w:customStyle="1">
    <w:name w:val="Grid Table 4 - Accent 2"/>
    <w:basedOn w:val="847"/>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54" w:customStyle="1">
    <w:name w:val="Grid Table 4 - Accent 3"/>
    <w:basedOn w:val="847"/>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55" w:customStyle="1">
    <w:name w:val="Grid Table 4 - Accent 4"/>
    <w:basedOn w:val="847"/>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56" w:customStyle="1">
    <w:name w:val="Grid Table 4 - Accent 5"/>
    <w:basedOn w:val="847"/>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7" w:customStyle="1">
    <w:name w:val="Grid Table 4 - Accent 6"/>
    <w:basedOn w:val="847"/>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8" w:customStyle="1">
    <w:name w:val="Grid Table 5 Dark"/>
    <w:basedOn w:val="8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9" w:customStyle="1">
    <w:name w:val="Grid Table 5 Dark- Accent 1"/>
    <w:basedOn w:val="8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60" w:customStyle="1">
    <w:name w:val="Grid Table 5 Dark - Accent 2"/>
    <w:basedOn w:val="8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61" w:customStyle="1">
    <w:name w:val="Grid Table 5 Dark - Accent 3"/>
    <w:basedOn w:val="8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62" w:customStyle="1">
    <w:name w:val="Grid Table 5 Dark- Accent 4"/>
    <w:basedOn w:val="8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63" w:customStyle="1">
    <w:name w:val="Grid Table 5 Dark - Accent 5"/>
    <w:basedOn w:val="8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64" w:customStyle="1">
    <w:name w:val="Grid Table 5 Dark - Accent 6"/>
    <w:basedOn w:val="8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65" w:customStyle="1">
    <w:name w:val="Grid Table 6 Colorful"/>
    <w:basedOn w:val="84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6" w:customStyle="1">
    <w:name w:val="Grid Table 6 Colorful - Accent 1"/>
    <w:basedOn w:val="847"/>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67" w:customStyle="1">
    <w:name w:val="Grid Table 6 Colorful - Accent 2"/>
    <w:basedOn w:val="84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68" w:customStyle="1">
    <w:name w:val="Grid Table 6 Colorful - Accent 3"/>
    <w:basedOn w:val="847"/>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69" w:customStyle="1">
    <w:name w:val="Grid Table 6 Colorful - Accent 4"/>
    <w:basedOn w:val="84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70" w:customStyle="1">
    <w:name w:val="Grid Table 6 Colorful - Accent 5"/>
    <w:basedOn w:val="847"/>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1" w:customStyle="1">
    <w:name w:val="Grid Table 6 Colorful - Accent 6"/>
    <w:basedOn w:val="847"/>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2" w:customStyle="1">
    <w:name w:val="Grid Table 7 Colorful"/>
    <w:basedOn w:val="84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3" w:customStyle="1">
    <w:name w:val="Grid Table 7 Colorful - Accent 1"/>
    <w:basedOn w:val="847"/>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74" w:customStyle="1">
    <w:name w:val="Grid Table 7 Colorful - Accent 2"/>
    <w:basedOn w:val="847"/>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5" w:customStyle="1">
    <w:name w:val="Grid Table 7 Colorful - Accent 3"/>
    <w:basedOn w:val="847"/>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76" w:customStyle="1">
    <w:name w:val="Grid Table 7 Colorful - Accent 4"/>
    <w:basedOn w:val="847"/>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7" w:customStyle="1">
    <w:name w:val="Grid Table 7 Colorful - Accent 5"/>
    <w:basedOn w:val="847"/>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78" w:customStyle="1">
    <w:name w:val="Grid Table 7 Colorful - Accent 6"/>
    <w:basedOn w:val="847"/>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79" w:customStyle="1">
    <w:name w:val="List Table 1 Light"/>
    <w:basedOn w:val="84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0" w:customStyle="1">
    <w:name w:val="List Table 1 Light - Accent 1"/>
    <w:basedOn w:val="847"/>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81" w:customStyle="1">
    <w:name w:val="List Table 1 Light - Accent 2"/>
    <w:basedOn w:val="847"/>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82" w:customStyle="1">
    <w:name w:val="List Table 1 Light - Accent 3"/>
    <w:basedOn w:val="847"/>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83" w:customStyle="1">
    <w:name w:val="List Table 1 Light - Accent 4"/>
    <w:basedOn w:val="847"/>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84" w:customStyle="1">
    <w:name w:val="List Table 1 Light - Accent 5"/>
    <w:basedOn w:val="847"/>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85" w:customStyle="1">
    <w:name w:val="List Table 1 Light - Accent 6"/>
    <w:basedOn w:val="847"/>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86" w:customStyle="1">
    <w:name w:val="List Table 2"/>
    <w:basedOn w:val="84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7" w:customStyle="1">
    <w:name w:val="List Table 2 - Accent 1"/>
    <w:basedOn w:val="847"/>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88" w:customStyle="1">
    <w:name w:val="List Table 2 - Accent 2"/>
    <w:basedOn w:val="847"/>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89" w:customStyle="1">
    <w:name w:val="List Table 2 - Accent 3"/>
    <w:basedOn w:val="847"/>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90" w:customStyle="1">
    <w:name w:val="List Table 2 - Accent 4"/>
    <w:basedOn w:val="847"/>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91" w:customStyle="1">
    <w:name w:val="List Table 2 - Accent 5"/>
    <w:basedOn w:val="847"/>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92" w:customStyle="1">
    <w:name w:val="List Table 2 - Accent 6"/>
    <w:basedOn w:val="847"/>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93" w:customStyle="1">
    <w:name w:val="List Table 3"/>
    <w:basedOn w:val="84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4" w:customStyle="1">
    <w:name w:val="List Table 3 - Accent 1"/>
    <w:basedOn w:val="847"/>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5" w:customStyle="1">
    <w:name w:val="List Table 3 - Accent 2"/>
    <w:basedOn w:val="84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96" w:customStyle="1">
    <w:name w:val="List Table 3 - Accent 3"/>
    <w:basedOn w:val="847"/>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97" w:customStyle="1">
    <w:name w:val="List Table 3 - Accent 4"/>
    <w:basedOn w:val="84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98" w:customStyle="1">
    <w:name w:val="List Table 3 - Accent 5"/>
    <w:basedOn w:val="847"/>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99" w:customStyle="1">
    <w:name w:val="List Table 3 - Accent 6"/>
    <w:basedOn w:val="847"/>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00" w:customStyle="1">
    <w:name w:val="List Table 4"/>
    <w:basedOn w:val="84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1" w:customStyle="1">
    <w:name w:val="List Table 4 - Accent 1"/>
    <w:basedOn w:val="847"/>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2" w:customStyle="1">
    <w:name w:val="List Table 4 - Accent 2"/>
    <w:basedOn w:val="847"/>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03" w:customStyle="1">
    <w:name w:val="List Table 4 - Accent 3"/>
    <w:basedOn w:val="847"/>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04" w:customStyle="1">
    <w:name w:val="List Table 4 - Accent 4"/>
    <w:basedOn w:val="847"/>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05" w:customStyle="1">
    <w:name w:val="List Table 4 - Accent 5"/>
    <w:basedOn w:val="847"/>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06" w:customStyle="1">
    <w:name w:val="List Table 4 - Accent 6"/>
    <w:basedOn w:val="847"/>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07" w:customStyle="1">
    <w:name w:val="List Table 5 Dark"/>
    <w:basedOn w:val="84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8" w:customStyle="1">
    <w:name w:val="List Table 5 Dark - Accent 1"/>
    <w:basedOn w:val="847"/>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9" w:customStyle="1">
    <w:name w:val="List Table 5 Dark - Accent 2"/>
    <w:basedOn w:val="847"/>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0" w:customStyle="1">
    <w:name w:val="List Table 5 Dark - Accent 3"/>
    <w:basedOn w:val="847"/>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1" w:customStyle="1">
    <w:name w:val="List Table 5 Dark - Accent 4"/>
    <w:basedOn w:val="847"/>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2" w:customStyle="1">
    <w:name w:val="List Table 5 Dark - Accent 5"/>
    <w:basedOn w:val="847"/>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3" w:customStyle="1">
    <w:name w:val="List Table 5 Dark - Accent 6"/>
    <w:basedOn w:val="847"/>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4" w:customStyle="1">
    <w:name w:val="List Table 6 Colorful"/>
    <w:basedOn w:val="84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5" w:customStyle="1">
    <w:name w:val="List Table 6 Colorful - Accent 1"/>
    <w:basedOn w:val="847"/>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16" w:customStyle="1">
    <w:name w:val="List Table 6 Colorful - Accent 2"/>
    <w:basedOn w:val="847"/>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17" w:customStyle="1">
    <w:name w:val="List Table 6 Colorful - Accent 3"/>
    <w:basedOn w:val="847"/>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18" w:customStyle="1">
    <w:name w:val="List Table 6 Colorful - Accent 4"/>
    <w:basedOn w:val="847"/>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19" w:customStyle="1">
    <w:name w:val="List Table 6 Colorful - Accent 5"/>
    <w:basedOn w:val="847"/>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20" w:customStyle="1">
    <w:name w:val="List Table 6 Colorful - Accent 6"/>
    <w:basedOn w:val="847"/>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21" w:customStyle="1">
    <w:name w:val="List Table 7 Colorful"/>
    <w:basedOn w:val="84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2" w:customStyle="1">
    <w:name w:val="List Table 7 Colorful - Accent 1"/>
    <w:basedOn w:val="847"/>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23" w:customStyle="1">
    <w:name w:val="List Table 7 Colorful - Accent 2"/>
    <w:basedOn w:val="847"/>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4" w:customStyle="1">
    <w:name w:val="List Table 7 Colorful - Accent 3"/>
    <w:basedOn w:val="847"/>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25" w:customStyle="1">
    <w:name w:val="List Table 7 Colorful - Accent 4"/>
    <w:basedOn w:val="847"/>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6" w:customStyle="1">
    <w:name w:val="List Table 7 Colorful - Accent 5"/>
    <w:basedOn w:val="847"/>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7" w:customStyle="1">
    <w:name w:val="List Table 7 Colorful - Accent 6"/>
    <w:basedOn w:val="847"/>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28" w:customStyle="1">
    <w:name w:val="Lined - Accent"/>
    <w:basedOn w:val="8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9" w:customStyle="1">
    <w:name w:val="Lined - Accent 1"/>
    <w:basedOn w:val="8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0" w:customStyle="1">
    <w:name w:val="Lined - Accent 2"/>
    <w:basedOn w:val="8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1" w:customStyle="1">
    <w:name w:val="Lined - Accent 3"/>
    <w:basedOn w:val="8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2" w:customStyle="1">
    <w:name w:val="Lined - Accent 4"/>
    <w:basedOn w:val="8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3" w:customStyle="1">
    <w:name w:val="Lined - Accent 5"/>
    <w:basedOn w:val="8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4" w:customStyle="1">
    <w:name w:val="Lined - Accent 6"/>
    <w:basedOn w:val="8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5" w:customStyle="1">
    <w:name w:val="Bordered &amp; Lined - Accent"/>
    <w:basedOn w:val="84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6" w:customStyle="1">
    <w:name w:val="Bordered &amp; Lined - Accent 1"/>
    <w:basedOn w:val="847"/>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7" w:customStyle="1">
    <w:name w:val="Bordered &amp; Lined - Accent 2"/>
    <w:basedOn w:val="847"/>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8" w:customStyle="1">
    <w:name w:val="Bordered &amp; Lined - Accent 3"/>
    <w:basedOn w:val="847"/>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9" w:customStyle="1">
    <w:name w:val="Bordered &amp; Lined - Accent 4"/>
    <w:basedOn w:val="847"/>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0" w:customStyle="1">
    <w:name w:val="Bordered &amp; Lined - Accent 5"/>
    <w:basedOn w:val="847"/>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1" w:customStyle="1">
    <w:name w:val="Bordered &amp; Lined - Accent 6"/>
    <w:basedOn w:val="847"/>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2" w:customStyle="1">
    <w:name w:val="Bordered"/>
    <w:basedOn w:val="84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3" w:customStyle="1">
    <w:name w:val="Bordered - Accent 1"/>
    <w:basedOn w:val="84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44" w:customStyle="1">
    <w:name w:val="Bordered - Accent 2"/>
    <w:basedOn w:val="84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45" w:customStyle="1">
    <w:name w:val="Bordered - Accent 3"/>
    <w:basedOn w:val="84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46" w:customStyle="1">
    <w:name w:val="Bordered - Accent 4"/>
    <w:basedOn w:val="84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7" w:customStyle="1">
    <w:name w:val="Bordered - Accent 5"/>
    <w:basedOn w:val="84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48" w:customStyle="1">
    <w:name w:val="Bordered - Accent 6"/>
    <w:basedOn w:val="84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49" w:customStyle="1">
    <w:name w:val="Footnote Text Char"/>
    <w:link w:val="876"/>
    <w:uiPriority w:val="99"/>
    <w:qFormat/>
    <w:rPr>
      <w:sz w:val="18"/>
    </w:rPr>
  </w:style>
  <w:style w:type="character" w:styleId="1050" w:customStyle="1">
    <w:name w:val="Endnote Text Char"/>
    <w:link w:val="867"/>
    <w:uiPriority w:val="99"/>
    <w:qFormat/>
    <w:rPr>
      <w:sz w:val="20"/>
    </w:rPr>
  </w:style>
  <w:style w:type="paragraph" w:styleId="1051" w:customStyle="1">
    <w:name w:val="TOC Heading"/>
    <w:uiPriority w:val="39"/>
    <w:unhideWhenUsed/>
    <w:qFormat/>
    <w:rPr>
      <w:rFonts w:hint="default" w:ascii="Times New Roman" w:hAnsi="Times New Roman" w:eastAsia="宋体" w:cs="Times New Roman"/>
    </w:rPr>
  </w:style>
  <w:style w:type="paragraph" w:styleId="1052" w:customStyle="1">
    <w:name w:val="正文2"/>
    <w:basedOn w:val="836"/>
    <w:next w:val="836"/>
    <w:uiPriority w:val="0"/>
    <w:qFormat/>
    <w:pPr>
      <w:ind w:hanging="2155"/>
      <w:spacing w:line="360" w:lineRule="auto"/>
      <w:shd w:val="clear" w:color="auto" w:fill="ffffff"/>
    </w:pPr>
    <w:rPr>
      <w:rFonts w:ascii="宋体" w:hAnsi="宋体"/>
    </w:rPr>
  </w:style>
  <w:style w:type="paragraph" w:styleId="1053" w:customStyle="1">
    <w:name w:val="首行缩进"/>
    <w:basedOn w:val="836"/>
    <w:uiPriority w:val="0"/>
    <w:qFormat/>
    <w:pPr>
      <w:ind w:firstLine="480"/>
    </w:pPr>
    <w:rPr>
      <w:lang w:val="zh-CN"/>
    </w:rPr>
  </w:style>
  <w:style w:type="paragraph" w:styleId="1054" w:customStyle="1">
    <w:name w:val="列出段落1"/>
    <w:basedOn w:val="836"/>
    <w:uiPriority w:val="34"/>
    <w:qFormat/>
    <w:pPr>
      <w:ind w:firstLine="420"/>
    </w:pPr>
    <w:rPr>
      <w:rFonts w:ascii="Calibri" w:hAnsi="Calibri" w:eastAsia="宋体"/>
    </w:rPr>
  </w:style>
  <w:style w:type="paragraph" w:styleId="1055" w:customStyle="1">
    <w:name w:val="目录 51"/>
    <w:next w:val="836"/>
    <w:uiPriority w:val="0"/>
    <w:qFormat/>
    <w:pPr>
      <w:ind w:left="1275"/>
      <w:jc w:val="both"/>
    </w:pPr>
    <w:rPr>
      <w:rFonts w:hint="default" w:ascii="Times New Roman" w:hAnsi="Times New Roman" w:eastAsia="宋体" w:cs="Times New Roman"/>
      <w:sz w:val="21"/>
      <w:lang w:val="en-US" w:eastAsia="zh-CN" w:bidi="ar-SA"/>
    </w:rPr>
  </w:style>
  <w:style w:type="character" w:styleId="1056" w:customStyle="1">
    <w:name w:val="标题 2 Char"/>
    <w:link w:val="838"/>
    <w:uiPriority w:val="9"/>
    <w:qFormat/>
    <w:rPr>
      <w:rFonts w:ascii="Cambria" w:hAnsi="Cambria" w:eastAsia="宋体" w:cs="Times New Roman"/>
      <w:b/>
      <w:bCs/>
      <w:sz w:val="32"/>
      <w:szCs w:val="32"/>
    </w:rPr>
  </w:style>
  <w:style w:type="character" w:styleId="1057" w:customStyle="1">
    <w:name w:val="标题 3 Char"/>
    <w:link w:val="839"/>
    <w:uiPriority w:val="0"/>
    <w:qFormat/>
    <w:rPr>
      <w:rFonts w:eastAsia="楷体_GB2312"/>
      <w:b/>
      <w:bCs/>
      <w:sz w:val="32"/>
      <w:szCs w:val="32"/>
    </w:rPr>
  </w:style>
  <w:style w:type="character" w:styleId="1058" w:customStyle="1">
    <w:name w:val="正文缩进 Char"/>
    <w:link w:val="850"/>
    <w:uiPriority w:val="0"/>
    <w:qFormat/>
    <w:rPr>
      <w:rFonts w:eastAsia="楷体_GB2312"/>
      <w:sz w:val="24"/>
    </w:rPr>
  </w:style>
  <w:style w:type="character" w:styleId="1059" w:customStyle="1">
    <w:name w:val="文档结构图 Char"/>
    <w:link w:val="853"/>
    <w:uiPriority w:val="99"/>
    <w:semiHidden/>
    <w:qFormat/>
    <w:rPr>
      <w:rFonts w:ascii="宋体"/>
      <w:sz w:val="18"/>
      <w:szCs w:val="18"/>
    </w:rPr>
  </w:style>
  <w:style w:type="character" w:styleId="1060" w:customStyle="1">
    <w:name w:val="批注文字 Char"/>
    <w:link w:val="854"/>
    <w:uiPriority w:val="0"/>
    <w:semiHidden/>
    <w:qFormat/>
    <w:rPr>
      <w:rFonts w:eastAsia="宋体"/>
      <w:b/>
      <w:sz w:val="24"/>
    </w:rPr>
  </w:style>
  <w:style w:type="character" w:styleId="1061" w:customStyle="1">
    <w:name w:val="正文文本缩进 Char"/>
    <w:link w:val="848"/>
    <w:uiPriority w:val="99"/>
    <w:qFormat/>
    <w:rPr>
      <w:rFonts w:ascii="宋体"/>
      <w:sz w:val="28"/>
    </w:rPr>
  </w:style>
  <w:style w:type="character" w:styleId="1062" w:customStyle="1">
    <w:name w:val="纯文本 Char"/>
    <w:link w:val="861"/>
    <w:uiPriority w:val="0"/>
    <w:qFormat/>
    <w:rPr>
      <w:rFonts w:ascii="宋体" w:hAnsi="Courier New" w:eastAsia="楷体_GB2312"/>
      <w:sz w:val="26"/>
    </w:rPr>
  </w:style>
  <w:style w:type="character" w:styleId="1063" w:customStyle="1">
    <w:name w:val="正文文本缩进 2 Char"/>
    <w:link w:val="866"/>
    <w:uiPriority w:val="99"/>
    <w:semiHidden/>
    <w:qFormat/>
    <w:rPr>
      <w:rFonts w:eastAsia="楷体_GB2312"/>
      <w:sz w:val="26"/>
    </w:rPr>
  </w:style>
  <w:style w:type="character" w:styleId="1064" w:customStyle="1">
    <w:name w:val="批注框文本 Char"/>
    <w:link w:val="868"/>
    <w:uiPriority w:val="0"/>
    <w:qFormat/>
    <w:rPr>
      <w:rFonts w:eastAsia="楷体_GB2312"/>
      <w:sz w:val="18"/>
      <w:szCs w:val="18"/>
    </w:rPr>
  </w:style>
  <w:style w:type="character" w:styleId="1065" w:customStyle="1">
    <w:name w:val="页脚 Char"/>
    <w:link w:val="870"/>
    <w:uiPriority w:val="99"/>
    <w:qFormat/>
    <w:rPr>
      <w:rFonts w:eastAsia="楷体_GB2312"/>
      <w:sz w:val="18"/>
    </w:rPr>
  </w:style>
  <w:style w:type="character" w:styleId="1066" w:customStyle="1">
    <w:name w:val="页眉 Char"/>
    <w:link w:val="872"/>
    <w:uiPriority w:val="99"/>
    <w:qFormat/>
    <w:rPr>
      <w:rFonts w:eastAsia="楷体_GB2312"/>
      <w:sz w:val="18"/>
    </w:rPr>
  </w:style>
  <w:style w:type="character" w:styleId="1067" w:customStyle="1">
    <w:name w:val="副标题 Char"/>
    <w:link w:val="875"/>
    <w:uiPriority w:val="0"/>
    <w:qFormat/>
    <w:rPr>
      <w:rFonts w:ascii="Arial" w:hAnsi="Arial" w:cs="Arial"/>
      <w:b/>
      <w:bCs/>
      <w:sz w:val="32"/>
      <w:szCs w:val="32"/>
    </w:rPr>
  </w:style>
  <w:style w:type="character" w:styleId="1068" w:customStyle="1">
    <w:name w:val="正文首行缩进 2 Char"/>
    <w:link w:val="888"/>
    <w:uiPriority w:val="99"/>
    <w:qFormat/>
  </w:style>
  <w:style w:type="paragraph" w:styleId="1069" w:customStyle="1">
    <w:name w:val="正文文本1"/>
    <w:basedOn w:val="836"/>
    <w:uiPriority w:val="99"/>
    <w:unhideWhenUsed/>
    <w:qFormat/>
    <w:rPr>
      <w:rFonts w:ascii="楷体_GB2312"/>
      <w:b/>
      <w:bCs/>
      <w:sz w:val="28"/>
    </w:rPr>
  </w:style>
  <w:style w:type="paragraph" w:styleId="1070" w:customStyle="1">
    <w:name w:val="Char Char Char Char Char Char Char Char Char Char Char Char Char"/>
    <w:basedOn w:val="837"/>
    <w:next w:val="836"/>
    <w:uiPriority w:val="0"/>
    <w:qFormat/>
    <w:pPr>
      <w:ind w:firstLine="3584"/>
      <w:spacing w:before="0" w:after="160" w:line="240" w:lineRule="exact"/>
    </w:pPr>
  </w:style>
  <w:style w:type="character" w:styleId="1071" w:customStyle="1">
    <w:name w:val="font61"/>
    <w:uiPriority w:val="0"/>
    <w:qFormat/>
    <w:rPr>
      <w:rFonts w:hint="eastAsia" w:ascii="宋体" w:hAnsi="宋体" w:eastAsia="宋体" w:cs="宋体"/>
      <w:b/>
      <w:color w:val="000000"/>
      <w:sz w:val="20"/>
      <w:szCs w:val="20"/>
      <w:u w:val="none"/>
    </w:rPr>
  </w:style>
  <w:style w:type="character" w:styleId="1072" w:customStyle="1">
    <w:name w:val="bds_nopic2"/>
    <w:uiPriority w:val="0"/>
    <w:qFormat/>
  </w:style>
  <w:style w:type="character" w:styleId="1073" w:customStyle="1">
    <w:name w:val="font41"/>
    <w:basedOn w:val="846"/>
    <w:uiPriority w:val="0"/>
    <w:qFormat/>
    <w:rPr>
      <w:rFonts w:hint="eastAsia" w:ascii="宋体" w:hAnsi="宋体" w:eastAsia="宋体" w:cs="宋体"/>
      <w:b/>
      <w:color w:val="000000"/>
      <w:sz w:val="24"/>
      <w:szCs w:val="24"/>
      <w:u w:val="none"/>
    </w:rPr>
  </w:style>
  <w:style w:type="character" w:styleId="1074" w:customStyle="1">
    <w:name w:val="正文文本缩进 字符"/>
    <w:uiPriority w:val="99"/>
    <w:qFormat/>
    <w:rPr>
      <w:rFonts w:ascii="宋体"/>
      <w:sz w:val="28"/>
    </w:rPr>
  </w:style>
  <w:style w:type="character" w:styleId="1075" w:customStyle="1">
    <w:name w:val="bds_more"/>
    <w:uiPriority w:val="0"/>
    <w:qFormat/>
  </w:style>
  <w:style w:type="character" w:styleId="1076" w:customStyle="1">
    <w:name w:val="fontstrikethrough"/>
    <w:uiPriority w:val="0"/>
    <w:qFormat/>
    <w:rPr>
      <w:strike/>
    </w:rPr>
  </w:style>
  <w:style w:type="character" w:styleId="1077" w:customStyle="1">
    <w:name w:val="font01"/>
    <w:uiPriority w:val="0"/>
    <w:qFormat/>
    <w:rPr>
      <w:rFonts w:hint="eastAsia" w:ascii="宋体" w:hAnsi="宋体" w:eastAsia="宋体" w:cs="宋体"/>
      <w:color w:val="000000"/>
      <w:sz w:val="20"/>
      <w:szCs w:val="20"/>
      <w:u w:val="none"/>
    </w:rPr>
  </w:style>
  <w:style w:type="character" w:styleId="1078" w:customStyle="1">
    <w:name w:val="bds_more1"/>
    <w:uiPriority w:val="0"/>
    <w:qFormat/>
    <w:rPr>
      <w:rFonts w:hint="eastAsia" w:ascii="宋体" w:hAnsi="宋体" w:eastAsia="宋体" w:cs="宋体"/>
    </w:rPr>
  </w:style>
  <w:style w:type="character" w:styleId="1079" w:customStyle="1">
    <w:name w:val="font81"/>
    <w:basedOn w:val="846"/>
    <w:uiPriority w:val="0"/>
    <w:qFormat/>
    <w:rPr>
      <w:rFonts w:ascii="宋体" w:hAnsi="宋体" w:eastAsia="宋体" w:cs="宋体"/>
      <w:b/>
      <w:color w:val="000000"/>
      <w:sz w:val="24"/>
      <w:szCs w:val="24"/>
      <w:u w:val="none"/>
    </w:rPr>
  </w:style>
  <w:style w:type="character" w:styleId="1080" w:customStyle="1">
    <w:name w:val="font11"/>
    <w:uiPriority w:val="0"/>
    <w:qFormat/>
    <w:rPr>
      <w:rFonts w:hint="eastAsia" w:ascii="宋体" w:hAnsi="宋体" w:eastAsia="宋体" w:cs="宋体"/>
      <w:b/>
      <w:color w:val="000000"/>
      <w:sz w:val="20"/>
      <w:szCs w:val="20"/>
      <w:u w:val="none"/>
    </w:rPr>
  </w:style>
  <w:style w:type="character" w:styleId="1081" w:customStyle="1">
    <w:name w:val="font21"/>
    <w:uiPriority w:val="0"/>
    <w:qFormat/>
    <w:rPr>
      <w:rFonts w:hint="default" w:ascii="Arial" w:hAnsi="Arial" w:cs="Arial"/>
      <w:color w:val="000000"/>
      <w:sz w:val="20"/>
      <w:szCs w:val="20"/>
      <w:u w:val="none"/>
    </w:rPr>
  </w:style>
  <w:style w:type="character" w:styleId="1082" w:customStyle="1">
    <w:name w:val="Plain Text Char1"/>
    <w:link w:val="1083"/>
    <w:uiPriority w:val="0"/>
    <w:qFormat/>
    <w:rPr>
      <w:rFonts w:ascii="宋体" w:hAnsi="Courier New" w:eastAsia="楷体_GB2312"/>
      <w:sz w:val="26"/>
    </w:rPr>
  </w:style>
  <w:style w:type="paragraph" w:styleId="1083" w:customStyle="1">
    <w:name w:val="纯文本1"/>
    <w:basedOn w:val="836"/>
    <w:link w:val="1082"/>
    <w:uiPriority w:val="0"/>
    <w:qFormat/>
    <w:rPr>
      <w:rFonts w:ascii="宋体" w:hAnsi="Courier New"/>
    </w:rPr>
  </w:style>
  <w:style w:type="character" w:styleId="1084" w:customStyle="1">
    <w:name w:val="font71"/>
    <w:basedOn w:val="846"/>
    <w:uiPriority w:val="0"/>
    <w:qFormat/>
    <w:rPr>
      <w:rFonts w:ascii="宋体" w:hAnsi="宋体" w:eastAsia="宋体" w:cs="宋体"/>
      <w:b/>
      <w:color w:val="000000"/>
      <w:sz w:val="24"/>
      <w:szCs w:val="24"/>
      <w:u w:val="none"/>
    </w:rPr>
  </w:style>
  <w:style w:type="character" w:styleId="1085" w:customStyle="1">
    <w:name w:val="_正文段落 Char"/>
    <w:link w:val="1086"/>
    <w:uiPriority w:val="0"/>
    <w:qFormat/>
    <w:rPr>
      <w:rFonts w:ascii="宋体" w:hAnsi="宋体"/>
      <w:sz w:val="24"/>
      <w:szCs w:val="24"/>
    </w:rPr>
  </w:style>
  <w:style w:type="paragraph" w:styleId="1086" w:customStyle="1">
    <w:name w:val="_正文段落"/>
    <w:basedOn w:val="836"/>
    <w:link w:val="1085"/>
    <w:uiPriority w:val="0"/>
    <w:qFormat/>
    <w:pPr>
      <w:ind w:firstLine="480"/>
      <w:spacing w:line="360" w:lineRule="auto"/>
    </w:pPr>
    <w:rPr>
      <w:rFonts w:ascii="宋体" w:hAnsi="宋体" w:eastAsia="宋体"/>
      <w:sz w:val="24"/>
      <w:szCs w:val="24"/>
    </w:rPr>
  </w:style>
  <w:style w:type="character" w:styleId="1087" w:customStyle="1">
    <w:name w:val="fontborder"/>
    <w:uiPriority w:val="0"/>
    <w:qFormat/>
  </w:style>
  <w:style w:type="character" w:styleId="1088" w:customStyle="1">
    <w:name w:val="bds_nopic"/>
    <w:uiPriority w:val="0"/>
    <w:qFormat/>
  </w:style>
  <w:style w:type="character" w:styleId="1089" w:customStyle="1">
    <w:name w:val="bds_nopic1"/>
    <w:uiPriority w:val="0"/>
    <w:qFormat/>
  </w:style>
  <w:style w:type="character" w:styleId="1090" w:customStyle="1">
    <w:name w:val="Plain Text Char Char"/>
    <w:link w:val="1091"/>
    <w:uiPriority w:val="0"/>
    <w:qFormat/>
    <w:rPr>
      <w:rFonts w:ascii="宋体" w:hAnsi="Courier New" w:eastAsia="楷体_GB2312"/>
      <w:sz w:val="26"/>
      <w:lang w:val="en-US" w:eastAsia="zh-CN" w:bidi="ar-SA"/>
    </w:rPr>
  </w:style>
  <w:style w:type="paragraph" w:styleId="1091" w:customStyle="1">
    <w:name w:val="纯文本2"/>
    <w:basedOn w:val="836"/>
    <w:link w:val="1090"/>
    <w:uiPriority w:val="0"/>
    <w:qFormat/>
    <w:rPr>
      <w:rFonts w:ascii="宋体" w:hAnsi="Courier New"/>
    </w:rPr>
  </w:style>
  <w:style w:type="character" w:styleId="1092" w:customStyle="1">
    <w:name w:val="bds_more2"/>
    <w:uiPriority w:val="0"/>
    <w:qFormat/>
  </w:style>
  <w:style w:type="character" w:styleId="1093" w:customStyle="1">
    <w:name w:val="font12"/>
    <w:uiPriority w:val="0"/>
    <w:qFormat/>
    <w:rPr>
      <w:rFonts w:hint="eastAsia" w:ascii="宋体" w:hAnsi="宋体" w:eastAsia="宋体" w:cs="宋体"/>
      <w:b/>
      <w:color w:val="000000"/>
      <w:sz w:val="20"/>
      <w:szCs w:val="20"/>
      <w:u w:val="none"/>
    </w:rPr>
  </w:style>
  <w:style w:type="character" w:styleId="1094" w:customStyle="1">
    <w:name w:val="font51"/>
    <w:uiPriority w:val="0"/>
    <w:qFormat/>
    <w:rPr>
      <w:rFonts w:hint="eastAsia" w:ascii="宋体" w:hAnsi="宋体" w:eastAsia="宋体" w:cs="宋体"/>
      <w:b/>
      <w:color w:val="000000"/>
      <w:sz w:val="24"/>
      <w:szCs w:val="24"/>
      <w:u w:val="none"/>
    </w:rPr>
  </w:style>
  <w:style w:type="character" w:styleId="1095" w:customStyle="1">
    <w:name w:val="font112"/>
    <w:uiPriority w:val="0"/>
    <w:qFormat/>
    <w:rPr>
      <w:rFonts w:hint="eastAsia" w:ascii="宋体" w:hAnsi="宋体" w:eastAsia="宋体" w:cs="宋体"/>
      <w:color w:val="000000"/>
      <w:sz w:val="20"/>
      <w:szCs w:val="20"/>
      <w:u w:val="none"/>
    </w:rPr>
  </w:style>
  <w:style w:type="character" w:styleId="1096" w:customStyle="1">
    <w:name w:val="正文首行缩进 2 Char1"/>
    <w:uiPriority w:val="0"/>
    <w:qFormat/>
  </w:style>
  <w:style w:type="character" w:styleId="1097" w:customStyle="1">
    <w:name w:val="font111"/>
    <w:uiPriority w:val="0"/>
    <w:qFormat/>
    <w:rPr>
      <w:rFonts w:hint="eastAsia" w:ascii="宋体" w:hAnsi="宋体" w:eastAsia="宋体" w:cs="宋体"/>
      <w:color w:val="000000"/>
      <w:sz w:val="20"/>
      <w:szCs w:val="20"/>
      <w:u w:val="none"/>
    </w:rPr>
  </w:style>
  <w:style w:type="paragraph" w:styleId="1098" w:customStyle="1">
    <w:name w:val="p18"/>
    <w:basedOn w:val="836"/>
    <w:uiPriority w:val="0"/>
    <w:qFormat/>
    <w:pPr>
      <w:ind w:firstLine="420"/>
      <w:jc w:val="left"/>
      <w:widowControl/>
    </w:pPr>
    <w:rPr>
      <w:rFonts w:eastAsia="宋体"/>
      <w:sz w:val="24"/>
      <w:szCs w:val="24"/>
    </w:rPr>
  </w:style>
  <w:style w:type="paragraph" w:styleId="1099" w:customStyle="1">
    <w:name w:val="纯文本21"/>
    <w:basedOn w:val="836"/>
    <w:uiPriority w:val="0"/>
    <w:qFormat/>
    <w:rPr>
      <w:rFonts w:ascii="宋体" w:hAnsi="Courier New"/>
    </w:rPr>
  </w:style>
  <w:style w:type="paragraph" w:styleId="1100" w:customStyle="1">
    <w:name w:val="Andy_正文"/>
    <w:basedOn w:val="836"/>
    <w:next w:val="868"/>
    <w:uiPriority w:val="0"/>
    <w:qFormat/>
    <w:pPr>
      <w:ind w:firstLine="480"/>
      <w:spacing w:line="360" w:lineRule="auto"/>
    </w:pPr>
    <w:rPr>
      <w:rFonts w:ascii="Calibri"/>
      <w:sz w:val="24"/>
    </w:rPr>
  </w:style>
  <w:style w:type="paragraph" w:styleId="1101" w:customStyle="1">
    <w:name w:val="Char Char4"/>
    <w:basedOn w:val="836"/>
    <w:next w:val="836"/>
    <w:uiPriority w:val="0"/>
    <w:qFormat/>
    <w:pPr>
      <w:spacing w:line="360" w:lineRule="auto"/>
      <w:shd w:val="clear" w:color="auto" w:fill="000080"/>
    </w:pPr>
  </w:style>
  <w:style w:type="paragraph" w:styleId="1102" w:customStyle="1">
    <w:name w:val="TableOfAuthoring"/>
    <w:basedOn w:val="836"/>
    <w:next w:val="836"/>
    <w:uiPriority w:val="0"/>
    <w:qFormat/>
    <w:pPr>
      <w:ind w:left="420"/>
    </w:pPr>
    <w:rPr>
      <w:rFonts w:ascii="Calibri" w:hAnsi="Calibri"/>
      <w:szCs w:val="24"/>
    </w:rPr>
  </w:style>
  <w:style w:type="paragraph" w:styleId="1103" w:customStyle="1">
    <w:name w:val="正文缩进111"/>
    <w:basedOn w:val="836"/>
    <w:next w:val="836"/>
    <w:uiPriority w:val="0"/>
    <w:qFormat/>
    <w:pPr>
      <w:ind w:firstLine="420"/>
      <w:jc w:val="left"/>
    </w:pPr>
    <w:rPr>
      <w:sz w:val="24"/>
    </w:rPr>
  </w:style>
  <w:style w:type="paragraph" w:styleId="1104" w:customStyle="1">
    <w:name w:val="表格字体"/>
    <w:basedOn w:val="836"/>
    <w:uiPriority w:val="0"/>
    <w:qFormat/>
    <w:pPr>
      <w:spacing w:line="400" w:lineRule="exact"/>
      <w:widowControl/>
    </w:pPr>
    <w:rPr>
      <w:rFonts w:hint="eastAsia" w:cs="宋体"/>
      <w:bCs/>
      <w:color w:val="000000"/>
      <w:sz w:val="24"/>
      <w:szCs w:val="18"/>
    </w:rPr>
  </w:style>
  <w:style w:type="paragraph" w:styleId="1105" w:customStyle="1">
    <w:name w:val="正文_1"/>
    <w:uiPriority w:val="0"/>
    <w:qFormat/>
    <w:pPr>
      <w:jc w:val="both"/>
      <w:widowControl w:val="off"/>
    </w:pPr>
    <w:rPr>
      <w:rFonts w:hint="default" w:ascii="Calibri" w:hAnsi="Calibri" w:eastAsia="宋体" w:cs="Times New Roman"/>
      <w:sz w:val="21"/>
      <w:szCs w:val="22"/>
      <w:lang w:val="en-US" w:eastAsia="zh-CN" w:bidi="ar-SA"/>
    </w:rPr>
  </w:style>
  <w:style w:type="paragraph" w:styleId="1106" w:customStyle="1">
    <w:name w:val="Char"/>
    <w:basedOn w:val="836"/>
    <w:uiPriority w:val="0"/>
    <w:qFormat/>
    <w:rPr>
      <w:rFonts w:ascii="Tahoma" w:hAnsi="Tahoma" w:eastAsia="宋体"/>
      <w:sz w:val="24"/>
    </w:rPr>
  </w:style>
  <w:style w:type="paragraph" w:styleId="1107" w:customStyle="1">
    <w:name w:val="03 正文"/>
    <w:basedOn w:val="836"/>
    <w:uiPriority w:val="0"/>
    <w:qFormat/>
    <w:pPr>
      <w:ind w:firstLine="420"/>
      <w:spacing w:line="500" w:lineRule="atLeast"/>
      <w:widowControl/>
    </w:pPr>
    <w:rPr>
      <w:szCs w:val="22"/>
    </w:rPr>
  </w:style>
  <w:style w:type="paragraph" w:styleId="1108" w:customStyle="1">
    <w:name w:val="正文 A"/>
    <w:uiPriority w:val="0"/>
    <w:qFormat/>
    <w:pPr>
      <w:jc w:val="both"/>
      <w:widowControl w:val="off"/>
      <w:framePr w:wrap="around" w:vAnchor="margin" w:hAnchor="text" w:yAlign="top"/>
    </w:pPr>
    <w:rPr>
      <w:rFonts w:hint="default" w:ascii="Times New Roman" w:hAnsi="Arial Unicode MS" w:eastAsia="Arial Unicode MS" w:cs="Arial Unicode MS"/>
      <w:color w:val="000000"/>
      <w:sz w:val="21"/>
      <w:szCs w:val="21"/>
      <w:lang w:val="en-US" w:eastAsia="zh-CN" w:bidi="ar-SA"/>
    </w:rPr>
  </w:style>
  <w:style w:type="paragraph" w:styleId="1109" w:customStyle="1">
    <w:name w:val="列出段落11"/>
    <w:basedOn w:val="836"/>
    <w:uiPriority w:val="34"/>
    <w:qFormat/>
    <w:pPr>
      <w:ind w:firstLine="420"/>
    </w:pPr>
    <w:rPr>
      <w:rFonts w:ascii="Calibri" w:hAnsi="Calibri" w:eastAsia="宋体"/>
    </w:rPr>
  </w:style>
  <w:style w:type="paragraph" w:styleId="1110" w:customStyle="1">
    <w:name w:val="Style1"/>
    <w:basedOn w:val="836"/>
    <w:uiPriority w:val="0"/>
    <w:qFormat/>
    <w:pPr>
      <w:tabs>
        <w:tab w:val="left" w:pos="-720" w:leader="none"/>
      </w:tabs>
    </w:pPr>
    <w:rPr>
      <w:spacing w:val="-3"/>
      <w:sz w:val="24"/>
      <w:szCs w:val="24"/>
      <w:lang w:val="en-AU" w:eastAsia="en-US"/>
    </w:rPr>
  </w:style>
  <w:style w:type="paragraph" w:styleId="1111">
    <w:name w:val="List Paragraph"/>
    <w:basedOn w:val="836"/>
    <w:next w:val="1112"/>
    <w:uiPriority w:val="0"/>
    <w:qFormat/>
    <w:pPr>
      <w:ind w:firstLine="420"/>
    </w:pPr>
  </w:style>
  <w:style w:type="paragraph" w:styleId="1112" w:customStyle="1">
    <w:name w:val="xl91"/>
    <w:basedOn w:val="837"/>
    <w:next w:val="1113"/>
    <w:uiPriority w:val="0"/>
    <w:qFormat/>
    <w:pPr>
      <w:ind w:firstLine="3584"/>
      <w:spacing w:before="280" w:after="280" w:line="240" w:lineRule="auto"/>
    </w:pPr>
  </w:style>
  <w:style w:type="paragraph" w:styleId="1113" w:customStyle="1">
    <w:name w:val="xl76"/>
    <w:basedOn w:val="837"/>
    <w:next w:val="882"/>
    <w:uiPriority w:val="0"/>
    <w:qFormat/>
    <w:pPr>
      <w:ind w:firstLine="3584"/>
      <w:jc w:val="center"/>
      <w:spacing w:before="280" w:after="280" w:line="240" w:lineRule="auto"/>
    </w:pPr>
  </w:style>
  <w:style w:type="paragraph" w:styleId="1114" w:customStyle="1">
    <w:name w:val="目录 21"/>
    <w:next w:val="836"/>
    <w:uiPriority w:val="0"/>
    <w:qFormat/>
    <w:pPr>
      <w:jc w:val="both"/>
    </w:pPr>
    <w:rPr>
      <w:rFonts w:hint="default" w:ascii="Times New Roman" w:hAnsi="Times New Roman" w:eastAsia="宋体" w:cs="Times New Roman"/>
      <w:sz w:val="21"/>
      <w:lang w:val="en-US" w:eastAsia="zh-CN" w:bidi="ar-SA"/>
    </w:rPr>
  </w:style>
  <w:style w:type="paragraph" w:styleId="1115" w:customStyle="1">
    <w:name w:val="正文1"/>
    <w:basedOn w:val="836"/>
    <w:next w:val="836"/>
    <w:uiPriority w:val="0"/>
    <w:qFormat/>
    <w:pPr>
      <w:ind w:left="420" w:firstLine="527"/>
      <w:spacing w:before="120" w:line="360" w:lineRule="auto"/>
    </w:pPr>
    <w:rPr>
      <w:rFonts w:ascii="宋体" w:hAnsi="宋体"/>
    </w:rPr>
  </w:style>
  <w:style w:type="paragraph" w:styleId="1116" w:customStyle="1">
    <w:name w:val="_Style 11"/>
    <w:basedOn w:val="848"/>
    <w:next w:val="887"/>
    <w:uiPriority w:val="0"/>
    <w:unhideWhenUsed/>
    <w:qFormat/>
    <w:pPr>
      <w:ind w:firstLine="420"/>
      <w:spacing w:line="360" w:lineRule="exact"/>
    </w:pPr>
    <w:rPr>
      <w:rFonts w:ascii="Times New Roman"/>
    </w:rPr>
  </w:style>
  <w:style w:type="paragraph" w:styleId="1117" w:customStyle="1">
    <w:name w:val="正文首行缩进两字符"/>
    <w:basedOn w:val="836"/>
    <w:uiPriority w:val="0"/>
    <w:qFormat/>
    <w:pPr>
      <w:ind w:firstLine="200"/>
      <w:spacing w:line="360" w:lineRule="auto"/>
    </w:pPr>
    <w:rPr>
      <w:rFonts w:eastAsia="宋体"/>
      <w:sz w:val="21"/>
      <w:szCs w:val="24"/>
    </w:rPr>
  </w:style>
  <w:style w:type="paragraph" w:styleId="1118" w:customStyle="1">
    <w:name w:val="_Style 1"/>
    <w:basedOn w:val="836"/>
    <w:uiPriority w:val="34"/>
    <w:qFormat/>
    <w:pPr>
      <w:ind w:firstLine="420"/>
    </w:pPr>
  </w:style>
  <w:style w:type="paragraph" w:styleId="1119" w:customStyle="1">
    <w:name w:val="Plain Text1"/>
    <w:basedOn w:val="836"/>
    <w:uiPriority w:val="0"/>
    <w:qFormat/>
    <w:rPr>
      <w:rFonts w:hint="eastAsia" w:ascii="宋体" w:hAnsi="Courier New"/>
    </w:rPr>
  </w:style>
  <w:style w:type="paragraph" w:styleId="1120" w:customStyle="1">
    <w:name w:val="Default"/>
    <w:uiPriority w:val="99"/>
    <w:qFormat/>
    <w:pPr>
      <w:ind w:firstLine="5120"/>
      <w:widowControl w:val="off"/>
    </w:pPr>
    <w:rPr>
      <w:rFonts w:hint="default" w:ascii="Calibri" w:hAnsi="Calibri" w:eastAsia="宋体" w:cs="宋体"/>
      <w:sz w:val="21"/>
      <w:szCs w:val="22"/>
      <w:lang w:val="en-US" w:eastAsia="zh-CN" w:bidi="ar-SA"/>
    </w:rPr>
  </w:style>
  <w:style w:type="paragraph" w:styleId="1121" w:customStyle="1">
    <w:name w:val="段"/>
    <w:next w:val="836"/>
    <w:uiPriority w:val="0"/>
    <w:qFormat/>
    <w:pPr>
      <w:ind w:firstLine="200"/>
      <w:jc w:val="both"/>
    </w:pPr>
    <w:rPr>
      <w:rFonts w:hint="default" w:ascii="宋体" w:hAnsi="Times New Roman" w:eastAsia="宋体" w:cs="Times New Roman"/>
      <w:sz w:val="21"/>
      <w:lang w:val="en-US" w:eastAsia="zh-CN" w:bidi="ar-SA"/>
    </w:rPr>
  </w:style>
  <w:style w:type="paragraph" w:styleId="1122" w:customStyle="1">
    <w:name w:val="正文文本缩进11"/>
    <w:basedOn w:val="836"/>
    <w:next w:val="836"/>
    <w:uiPriority w:val="0"/>
    <w:qFormat/>
    <w:pPr>
      <w:ind w:firstLine="570"/>
    </w:pPr>
    <w:rPr>
      <w:rFonts w:ascii="宋体" w:eastAsia="宋体"/>
      <w:sz w:val="28"/>
    </w:rPr>
  </w:style>
  <w:style w:type="paragraph" w:styleId="1123" w:customStyle="1">
    <w:name w:val="font7"/>
    <w:basedOn w:val="836"/>
    <w:uiPriority w:val="0"/>
    <w:qFormat/>
    <w:pPr>
      <w:jc w:val="left"/>
      <w:spacing w:before="100" w:beforeAutospacing="1" w:after="100" w:afterAutospacing="1"/>
      <w:widowControl/>
    </w:pPr>
    <w:rPr>
      <w:rFonts w:eastAsia="宋体"/>
      <w:sz w:val="20"/>
    </w:rPr>
  </w:style>
  <w:style w:type="paragraph" w:styleId="1124" w:customStyle="1">
    <w:name w:val="_Style 27"/>
    <w:basedOn w:val="836"/>
    <w:next w:val="1111"/>
    <w:uiPriority w:val="34"/>
    <w:qFormat/>
    <w:pPr>
      <w:ind w:firstLine="420"/>
    </w:pPr>
    <w:rPr>
      <w:szCs w:val="22"/>
    </w:rPr>
  </w:style>
  <w:style w:type="paragraph" w:styleId="1125" w:customStyle="1">
    <w:name w:val="p0"/>
    <w:basedOn w:val="836"/>
    <w:uiPriority w:val="0"/>
    <w:qFormat/>
    <w:pPr>
      <w:jc w:val="left"/>
      <w:widowControl/>
    </w:pPr>
    <w:rPr>
      <w:rFonts w:eastAsia="宋体"/>
      <w:sz w:val="24"/>
      <w:szCs w:val="24"/>
    </w:rPr>
  </w:style>
  <w:style w:type="character" w:styleId="1126" w:customStyle="1">
    <w:name w:val="15"/>
    <w:uiPriority w:val="0"/>
    <w:qFormat/>
    <w:rPr>
      <w:rFonts w:hint="default" w:ascii="Times New Roman" w:hAnsi="Times New Roman" w:cs="Times New Roman"/>
      <w:b/>
    </w:rPr>
  </w:style>
  <w:style w:type="paragraph" w:styleId="1127" w:customStyle="1">
    <w:name w:val="列出段落3"/>
    <w:basedOn w:val="836"/>
    <w:next w:val="1128"/>
    <w:uiPriority w:val="34"/>
    <w:qFormat/>
    <w:pPr>
      <w:ind w:firstLine="420"/>
    </w:pPr>
  </w:style>
  <w:style w:type="paragraph" w:styleId="1128" w:customStyle="1">
    <w:name w:val="索引 11"/>
    <w:basedOn w:val="836"/>
    <w:next w:val="836"/>
    <w:uiPriority w:val="0"/>
    <w:qFormat/>
  </w:style>
  <w:style w:type="paragraph" w:styleId="1129" w:customStyle="1">
    <w:name w:val="TableOfAuthoring1"/>
    <w:basedOn w:val="836"/>
    <w:next w:val="836"/>
    <w:uiPriority w:val="0"/>
    <w:qFormat/>
    <w:pPr>
      <w:ind w:left="420"/>
    </w:pPr>
    <w:rPr>
      <w:rFonts w:ascii="Calibri" w:hAnsi="Calibri"/>
      <w:szCs w:val="24"/>
    </w:rPr>
  </w:style>
  <w:style w:type="character" w:styleId="1130" w:customStyle="1">
    <w:name w:val="font31"/>
    <w:basedOn w:val="846"/>
    <w:uiPriority w:val="0"/>
    <w:qFormat/>
    <w:rPr>
      <w:rFonts w:hint="default" w:ascii="Times New Roman" w:hAnsi="Times New Roman" w:cs="Times New Roman"/>
      <w:color w:val="000000"/>
      <w:sz w:val="24"/>
      <w:szCs w:val="24"/>
      <w:u w:val="none"/>
    </w:rPr>
  </w:style>
  <w:style w:type="paragraph" w:styleId="1131" w:customStyle="1">
    <w:name w:val="Plain Text"/>
    <w:basedOn w:val="836"/>
    <w:uiPriority w:val="0"/>
    <w:qFormat/>
    <w:rPr>
      <w:rFonts w:ascii="宋体" w:hAnsi="Courier New"/>
    </w:rPr>
  </w:style>
  <w:style w:type="paragraph" w:styleId="1132" w:customStyle="1">
    <w:name w:val="批注文字1"/>
    <w:basedOn w:val="836"/>
    <w:uiPriority w:val="0"/>
    <w:qFormat/>
    <w:pPr>
      <w:ind w:firstLine="627"/>
      <w:jc w:val="left"/>
      <w:spacing w:line="560" w:lineRule="exact"/>
      <w:shd w:val="clear" w:color="auto" w:fill="ffffff"/>
      <w:widowControl/>
    </w:pPr>
    <w:rPr>
      <w:rFonts w:ascii="仿宋_GB2312" w:hAnsi="仿宋_GB2312" w:eastAsia="宋体" w:cs="仿宋_GB2312"/>
      <w:color w:val="0f1115"/>
      <w:sz w:val="24"/>
      <w:szCs w:val="40"/>
      <w:shd w:val="clear" w:color="auto" w:fill="ffffff"/>
    </w:rPr>
  </w:style>
  <w:style w:type="numbering" w:styleId="161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http://schemas.openxmlformats.org/officeDocument/2006/bibliography" xmlns:b="http://schemas.openxmlformats.org/officeDocument/2006/bibliography" Version="6" SelectedStyle="\APASixthEditionOfficeOnline.xsl" StyleName="APA"/>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FC596526-FE97-4964-BEE6-0D1F2CCA4AE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政  府  采  购</dc:title>
  <dc:creator>wei</dc:creator>
  <cp:lastModifiedBy>徐珊珊</cp:lastModifiedBy>
  <cp:revision>5</cp:revision>
  <dcterms:created xsi:type="dcterms:W3CDTF">2025-09-02T19:15:00Z</dcterms:created>
  <dcterms:modified xsi:type="dcterms:W3CDTF">2026-04-15T05:29:40Z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5D79E7CCB0384279A91D506523FFA67C_13</vt:lpwstr>
  </property>
  <property fmtid="{D5CDD505-2E9C-101B-9397-08002B2CF9AE}" pid="4" name="KSOTemplateDocerSaveRecord">
    <vt:lpwstr>eyJoZGlkIjoiNjE0ZTgyMDUwYmUwZmM1YThiMmY2YzA4NmFkZDllZDIiLCJ1c2VySWQiOiI3MDgyNTg5NDUifQ==</vt:lpwstr>
  </property>
</Properties>
</file>