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905"/>
        <w:ind w:firstLine="300"/>
        <w:spacing w:line="360" w:lineRule="auto"/>
        <w:rPr>
          <w:color w:val="000000"/>
          <w:sz w:val="60"/>
          <w:szCs w:val="60"/>
        </w:rPr>
      </w:pPr>
      <w:r>
        <w:rPr>
          <w:color w:val="000000"/>
          <w:sz w:val="60"/>
          <w:szCs w:val="60"/>
        </w:rPr>
      </w:r>
      <w:r/>
    </w:p>
    <w:p>
      <w:pPr>
        <w:pStyle w:val="905"/>
        <w:ind w:firstLine="300"/>
        <w:spacing w:line="360" w:lineRule="auto"/>
        <w:rPr>
          <w:color w:val="000000"/>
          <w:sz w:val="60"/>
          <w:szCs w:val="60"/>
        </w:rPr>
      </w:pPr>
      <w:r>
        <w:rPr>
          <w:color w:val="000000"/>
          <w:sz w:val="60"/>
          <w:szCs w:val="60"/>
        </w:rPr>
      </w:r>
      <w:r/>
    </w:p>
    <w:p>
      <w:pPr>
        <w:pStyle w:val="905"/>
        <w:jc w:val="center"/>
        <w:rPr>
          <w:b/>
          <w:bCs/>
          <w:color w:val="000000"/>
          <w:sz w:val="60"/>
          <w:szCs w:val="60"/>
        </w:rPr>
      </w:pPr>
      <w:r>
        <w:rPr>
          <w:rFonts w:hint="eastAsia"/>
          <w:b/>
          <w:bCs/>
          <w:color w:val="000000"/>
          <w:sz w:val="60"/>
          <w:szCs w:val="60"/>
        </w:rPr>
        <w:t xml:space="preserve">竞争性磋商文件</w:t>
      </w:r>
      <w:r>
        <w:rPr>
          <w:b/>
          <w:bCs/>
          <w:color w:val="000000"/>
          <w:sz w:val="60"/>
          <w:szCs w:val="60"/>
        </w:rPr>
      </w:r>
      <w:r/>
    </w:p>
    <w:p>
      <w:pPr>
        <w:pStyle w:val="905"/>
        <w:jc w:val="center"/>
        <w:spacing w:line="360" w:lineRule="auto"/>
        <w:rPr>
          <w:rFonts w:ascii="宋体" w:hAnsi="宋体"/>
          <w:b/>
          <w:bCs/>
          <w:color w:val="000000"/>
          <w:sz w:val="60"/>
          <w:szCs w:val="60"/>
        </w:rPr>
      </w:pPr>
      <w:r>
        <w:rPr>
          <w:rFonts w:ascii="宋体" w:hAnsi="宋体"/>
          <w:b/>
          <w:bCs/>
          <w:color w:val="000000"/>
          <w:sz w:val="60"/>
          <w:szCs w:val="60"/>
        </w:rPr>
      </w:r>
      <w:r/>
    </w:p>
    <w:p>
      <w:pPr>
        <w:pStyle w:val="905"/>
        <w:jc w:val="center"/>
        <w:spacing w:line="360" w:lineRule="auto"/>
        <w:rPr>
          <w:rFonts w:ascii="宋体" w:hAnsi="宋体"/>
          <w:b/>
          <w:bCs/>
          <w:color w:val="000000"/>
          <w:sz w:val="60"/>
          <w:szCs w:val="60"/>
        </w:rPr>
      </w:pPr>
      <w:r>
        <w:rPr>
          <w:rFonts w:ascii="宋体" w:hAnsi="宋体"/>
          <w:b/>
          <w:bCs/>
          <w:color w:val="000000"/>
          <w:sz w:val="60"/>
          <w:szCs w:val="60"/>
        </w:rPr>
      </w:r>
      <w:r/>
    </w:p>
    <w:p>
      <w:pPr>
        <w:pStyle w:val="905"/>
        <w:ind w:firstLine="1280"/>
        <w:jc w:val="left"/>
        <w:spacing w:line="360" w:lineRule="auto"/>
        <w:tabs>
          <w:tab w:val="left" w:pos="3240" w:leader="none"/>
          <w:tab w:val="left" w:pos="3420" w:leader="none"/>
        </w:tabs>
        <w:rPr>
          <w:rFonts w:hint="eastAsia" w:ascii="Times New Roman" w:hAnsi="Times New Roman" w:eastAsia="宋体" w:cs="Times New Roman"/>
          <w:bCs/>
          <w:color w:val="000000"/>
          <w:sz w:val="32"/>
          <w:szCs w:val="32"/>
          <w:lang w:eastAsia="zh-CN"/>
        </w:rPr>
      </w:pPr>
      <w:r>
        <w:rPr>
          <w:bCs/>
          <w:color w:val="000000"/>
          <w:sz w:val="32"/>
          <w:szCs w:val="32"/>
        </w:rPr>
        <w:t xml:space="preserve">项目名称</w:t>
      </w:r>
      <w:r>
        <w:rPr>
          <w:rFonts w:hint="eastAsia" w:ascii="Times New Roman" w:hAnsi="Times New Roman" w:eastAsia="宋体" w:cs="Times New Roman"/>
          <w:bCs/>
          <w:color w:val="000000"/>
          <w:sz w:val="32"/>
          <w:szCs w:val="32"/>
        </w:rPr>
        <w:t xml:space="preserve">：</w:t>
      </w:r>
      <w:r>
        <w:rPr>
          <w:rFonts w:hint="eastAsia" w:ascii="Times New Roman" w:hAnsi="Times New Roman" w:eastAsia="宋体" w:cs="Times New Roman"/>
          <w:bCs/>
          <w:color w:val="000000"/>
          <w:sz w:val="32"/>
          <w:szCs w:val="32"/>
          <w:lang w:eastAsia="zh-CN"/>
        </w:rPr>
        <w:t xml:space="preserve">2026年常州市市场监督管理局</w:t>
      </w:r>
      <w:r>
        <w:rPr>
          <w:rFonts w:hint="eastAsia" w:ascii="Times New Roman" w:hAnsi="Times New Roman" w:eastAsia="宋体" w:cs="Times New Roman"/>
          <w:bCs/>
          <w:color w:val="000000"/>
          <w:sz w:val="32"/>
          <w:szCs w:val="32"/>
          <w:lang w:eastAsia="zh-CN"/>
        </w:rPr>
      </w:r>
      <w:r/>
    </w:p>
    <w:p>
      <w:pPr>
        <w:pStyle w:val="905"/>
        <w:ind w:firstLine="2880"/>
        <w:jc w:val="left"/>
        <w:spacing w:line="360" w:lineRule="auto"/>
        <w:tabs>
          <w:tab w:val="left" w:pos="3240" w:leader="none"/>
          <w:tab w:val="left" w:pos="3420" w:leader="none"/>
        </w:tabs>
        <w:rPr>
          <w:bCs/>
          <w:color w:val="000000"/>
          <w:sz w:val="32"/>
          <w:szCs w:val="32"/>
        </w:rPr>
      </w:pPr>
      <w:r>
        <w:rPr>
          <w:rFonts w:hint="eastAsia" w:ascii="Times New Roman" w:hAnsi="Times New Roman" w:eastAsia="宋体" w:cs="Times New Roman"/>
          <w:bCs/>
          <w:color w:val="000000"/>
          <w:sz w:val="32"/>
          <w:szCs w:val="32"/>
          <w:lang w:eastAsia="zh-CN"/>
        </w:rPr>
        <w:t xml:space="preserve">食品检测技术服务项目</w:t>
      </w:r>
      <w:r>
        <w:rPr>
          <w:rFonts w:hint="eastAsia" w:ascii="Times New Roman" w:hAnsi="Times New Roman" w:eastAsia="宋体" w:cs="Times New Roman"/>
          <w:bCs/>
          <w:color w:val="000000"/>
          <w:sz w:val="32"/>
          <w:szCs w:val="32"/>
        </w:rPr>
        <w:t xml:space="preserve"> </w:t>
      </w:r>
      <w:r>
        <w:rPr>
          <w:bCs/>
          <w:color w:val="000000"/>
          <w:sz w:val="32"/>
          <w:szCs w:val="32"/>
        </w:rPr>
      </w:r>
      <w:r/>
    </w:p>
    <w:p>
      <w:pPr>
        <w:pStyle w:val="905"/>
        <w:ind w:firstLine="1280"/>
        <w:spacing w:line="360" w:lineRule="auto"/>
        <w:rPr>
          <w:rFonts w:hint="eastAsia" w:ascii="宋体" w:hAnsi="宋体" w:eastAsia="宋体" w:cs="宋体"/>
          <w:color w:val="000000"/>
          <w:sz w:val="32"/>
          <w:szCs w:val="32"/>
          <w:lang w:eastAsia="zh-CN"/>
        </w:rPr>
      </w:pPr>
      <w:r>
        <w:rPr>
          <w:rFonts w:hint="eastAsia" w:ascii="宋体" w:hAnsi="宋体" w:cs="宋体"/>
          <w:color w:val="000000"/>
          <w:sz w:val="32"/>
          <w:szCs w:val="32"/>
        </w:rPr>
        <w:t xml:space="preserve">项目编号：</w:t>
      </w:r>
      <w:r>
        <w:rPr>
          <w:rFonts w:hint="eastAsia" w:ascii="Times New Roman" w:hAnsi="Times New Roman" w:eastAsia="宋体" w:cs="Times New Roman"/>
          <w:bCs/>
          <w:color w:val="000000"/>
          <w:sz w:val="32"/>
          <w:szCs w:val="32"/>
          <w:lang w:eastAsia="zh-CN"/>
        </w:rPr>
        <w:t xml:space="preserve">JSZC-320400-CZZH-C2026-0029</w:t>
      </w:r>
      <w:r>
        <w:rPr>
          <w:rFonts w:hint="eastAsia" w:ascii="宋体" w:hAnsi="宋体" w:eastAsia="宋体" w:cs="宋体"/>
          <w:color w:val="000000"/>
          <w:sz w:val="32"/>
          <w:szCs w:val="32"/>
          <w:lang w:eastAsia="zh-CN"/>
        </w:rPr>
      </w:r>
      <w:r/>
    </w:p>
    <w:p>
      <w:pPr>
        <w:pStyle w:val="905"/>
        <w:ind w:firstLine="1280"/>
        <w:spacing w:line="360" w:lineRule="auto"/>
        <w:rPr>
          <w:rFonts w:eastAsia="宋体"/>
          <w:bCs/>
          <w:color w:val="000000"/>
          <w:sz w:val="32"/>
          <w:szCs w:val="32"/>
          <w:lang w:val="en-US" w:eastAsia="zh-CN"/>
        </w:rPr>
      </w:pPr>
      <w:r>
        <w:rPr>
          <w:bCs/>
          <w:color w:val="000000"/>
          <w:sz w:val="32"/>
          <w:szCs w:val="32"/>
        </w:rPr>
        <w:t xml:space="preserve">采 购 人：</w:t>
      </w:r>
      <w:r>
        <w:rPr>
          <w:rFonts w:hint="eastAsia" w:ascii="宋体" w:hAnsi="宋体" w:cs="宋体"/>
          <w:color w:val="000000"/>
          <w:sz w:val="32"/>
          <w:szCs w:val="32"/>
          <w:lang w:val="en-US" w:eastAsia="zh-CN"/>
        </w:rPr>
        <w:t xml:space="preserve">常州市市场监督管理局</w:t>
      </w:r>
      <w:r>
        <w:rPr>
          <w:rFonts w:eastAsia="宋体"/>
          <w:bCs/>
          <w:color w:val="000000"/>
          <w:sz w:val="32"/>
          <w:szCs w:val="32"/>
          <w:lang w:val="en-US" w:eastAsia="zh-CN"/>
        </w:rPr>
      </w:r>
      <w:r/>
    </w:p>
    <w:p>
      <w:pPr>
        <w:pStyle w:val="905"/>
        <w:ind w:firstLine="1280"/>
        <w:spacing w:line="360" w:lineRule="auto"/>
        <w:rPr>
          <w:rFonts w:ascii="宋体" w:hAnsi="宋体" w:cs="宋体"/>
          <w:bCs/>
          <w:color w:val="000000"/>
          <w:sz w:val="32"/>
          <w:szCs w:val="32"/>
        </w:rPr>
      </w:pPr>
      <w:r>
        <w:rPr>
          <w:rFonts w:hint="eastAsia"/>
          <w:bCs/>
          <w:color w:val="000000"/>
          <w:sz w:val="32"/>
          <w:szCs w:val="32"/>
        </w:rPr>
        <w:t xml:space="preserve">采购</w:t>
      </w:r>
      <w:r>
        <w:rPr>
          <w:bCs/>
          <w:color w:val="000000"/>
          <w:sz w:val="32"/>
          <w:szCs w:val="32"/>
        </w:rPr>
        <w:t xml:space="preserve">代理机构</w:t>
      </w:r>
      <w:r>
        <w:rPr>
          <w:rFonts w:hint="eastAsia"/>
          <w:bCs/>
          <w:color w:val="000000"/>
          <w:sz w:val="32"/>
          <w:szCs w:val="32"/>
        </w:rPr>
        <w:t xml:space="preserve">：</w:t>
      </w:r>
      <w:r>
        <w:rPr>
          <w:rFonts w:hint="eastAsia" w:ascii="宋体" w:hAnsi="宋体" w:cs="宋体"/>
          <w:bCs/>
          <w:color w:val="000000"/>
          <w:sz w:val="32"/>
          <w:szCs w:val="32"/>
        </w:rPr>
        <w:t xml:space="preserve">常州正衡招投标有限公司</w:t>
      </w:r>
      <w:r>
        <w:rPr>
          <w:rFonts w:ascii="宋体" w:hAnsi="宋体" w:cs="宋体"/>
          <w:bCs/>
          <w:color w:val="000000"/>
          <w:sz w:val="32"/>
          <w:szCs w:val="32"/>
        </w:rPr>
      </w:r>
      <w:r/>
    </w:p>
    <w:p>
      <w:pPr>
        <w:pStyle w:val="905"/>
        <w:ind w:firstLine="1280"/>
        <w:spacing w:line="360" w:lineRule="auto"/>
        <w:rPr>
          <w:rFonts w:ascii="宋体" w:hAnsi="宋体" w:cs="宋体"/>
          <w:bCs/>
          <w:color w:val="000000"/>
          <w:sz w:val="32"/>
          <w:szCs w:val="32"/>
        </w:rPr>
      </w:pPr>
      <w:r>
        <w:rPr>
          <w:rFonts w:ascii="宋体" w:hAnsi="宋体" w:cs="宋体"/>
          <w:bCs/>
          <w:color w:val="000000"/>
          <w:sz w:val="32"/>
          <w:szCs w:val="32"/>
        </w:rPr>
      </w:r>
      <w:r/>
    </w:p>
    <w:p>
      <w:pPr>
        <w:pStyle w:val="905"/>
        <w:ind w:firstLine="3200"/>
        <w:spacing w:line="360" w:lineRule="auto"/>
        <w:rPr>
          <w:rFonts w:ascii="宋体" w:hAnsi="宋体" w:cs="宋体"/>
          <w:bCs/>
          <w:color w:val="000000"/>
          <w:sz w:val="32"/>
          <w:szCs w:val="32"/>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color w:val="000000"/>
          <w:sz w:val="32"/>
          <w:szCs w:val="32"/>
        </w:rPr>
        <w:t xml:space="preserve">二零二</w:t>
      </w:r>
      <w:r>
        <w:rPr>
          <w:rFonts w:hint="eastAsia" w:ascii="宋体" w:hAnsi="宋体" w:cs="宋体"/>
          <w:bCs/>
          <w:color w:val="000000"/>
          <w:sz w:val="32"/>
          <w:szCs w:val="32"/>
          <w:lang w:val="en-US" w:eastAsia="zh-CN"/>
        </w:rPr>
        <w:t xml:space="preserve">六</w:t>
      </w:r>
      <w:r>
        <w:rPr>
          <w:rFonts w:hint="eastAsia" w:ascii="宋体" w:hAnsi="宋体" w:cs="宋体"/>
          <w:bCs/>
          <w:color w:val="000000"/>
          <w:sz w:val="32"/>
          <w:szCs w:val="32"/>
        </w:rPr>
        <w:t xml:space="preserve">年</w:t>
      </w:r>
      <w:r>
        <w:rPr>
          <w:rFonts w:hint="eastAsia" w:ascii="宋体" w:hAnsi="宋体" w:cs="宋体"/>
          <w:bCs/>
          <w:color w:val="000000"/>
          <w:sz w:val="32"/>
          <w:szCs w:val="32"/>
          <w:lang w:val="en-US" w:eastAsia="zh-CN"/>
        </w:rPr>
        <w:t xml:space="preserve">四</w:t>
      </w:r>
      <w:r>
        <w:rPr>
          <w:rFonts w:hint="eastAsia" w:ascii="宋体" w:hAnsi="宋体" w:cs="宋体"/>
          <w:bCs/>
          <w:color w:val="000000"/>
          <w:sz w:val="32"/>
          <w:szCs w:val="32"/>
        </w:rPr>
        <w:t xml:space="preserve">月</w:t>
      </w:r>
      <w:r>
        <w:rPr>
          <w:rFonts w:ascii="宋体" w:hAnsi="宋体" w:cs="宋体"/>
          <w:bCs/>
          <w:color w:val="000000"/>
          <w:sz w:val="32"/>
          <w:szCs w:val="32"/>
        </w:rPr>
      </w:r>
      <w:r/>
    </w:p>
    <w:p>
      <w:pPr>
        <w:pStyle w:val="988"/>
        <w:ind w:firstLine="480"/>
        <w:rPr>
          <w:color w:val="000000"/>
        </w:rPr>
      </w:pPr>
      <w:r>
        <w:rPr>
          <w:color w:val="000000"/>
        </w:rPr>
      </w:r>
      <w:r/>
    </w:p>
    <w:p>
      <w:pPr>
        <w:pStyle w:val="989"/>
        <w:spacing w:line="360" w:lineRule="auto"/>
        <w:rPr>
          <w:rFonts w:ascii="Times New Roman" w:hAnsi="Times New Roman" w:cs="Times New Roman"/>
          <w:color w:val="000000"/>
        </w:rPr>
      </w:pPr>
      <w:r>
        <w:rPr>
          <w:rFonts w:ascii="Times New Roman" w:hAnsi="Times New Roman" w:cs="Times New Roman"/>
          <w:color w:val="000000"/>
        </w:rPr>
      </w:r>
      <w:r/>
    </w:p>
    <w:p>
      <w:pPr>
        <w:pStyle w:val="905"/>
        <w:jc w:val="center"/>
        <w:spacing w:line="360" w:lineRule="auto"/>
        <w:rPr>
          <w:b/>
          <w:color w:val="000000"/>
          <w:sz w:val="36"/>
          <w:szCs w:val="36"/>
        </w:rPr>
        <w:outlineLvl w:val="0"/>
      </w:pPr>
      <w:r/>
      <w:bookmarkStart w:id="0" w:name="_Toc31599"/>
      <w:r/>
      <w:bookmarkStart w:id="1" w:name="_Toc104818924"/>
      <w:r/>
      <w:bookmarkStart w:id="2" w:name="_Toc7787"/>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bookmarkEnd w:id="1"/>
      <w:r/>
      <w:bookmarkEnd w:id="2"/>
      <w:r>
        <w:rPr>
          <w:b/>
          <w:color w:val="000000"/>
          <w:sz w:val="36"/>
          <w:szCs w:val="36"/>
        </w:rPr>
      </w:r>
      <w:r/>
    </w:p>
    <w:p>
      <w:pPr>
        <w:pStyle w:val="905"/>
        <w:rPr>
          <w:color w:val="000000"/>
        </w:rPr>
      </w:pPr>
      <w:r>
        <w:rPr>
          <w:color w:val="000000"/>
        </w:rPr>
      </w:r>
      <w:r/>
    </w:p>
    <w:p>
      <w:pPr>
        <w:pStyle w:val="905"/>
        <w:rPr>
          <w:color w:val="000000"/>
        </w:rPr>
      </w:pPr>
      <w:r>
        <w:rPr>
          <w:color w:val="000000"/>
        </w:rPr>
      </w:r>
      <w:r/>
    </w:p>
    <w:p>
      <w:pPr>
        <w:pStyle w:val="905"/>
        <w:rPr>
          <w:color w:val="000000"/>
        </w:rPr>
      </w:pPr>
      <w:r>
        <w:rPr>
          <w:color w:val="000000"/>
        </w:rPr>
      </w:r>
      <w:r/>
    </w:p>
    <w:p>
      <w:pPr>
        <w:pStyle w:val="905"/>
        <w:rPr>
          <w:color w:val="000000"/>
        </w:rPr>
      </w:pPr>
      <w:r>
        <w:rPr>
          <w:color w:val="000000"/>
        </w:rPr>
      </w:r>
      <w:r/>
    </w:p>
    <w:p>
      <w:pPr>
        <w:pStyle w:val="959"/>
        <w:tabs>
          <w:tab w:val="right" w:pos="9072" w:leader="dot"/>
        </w:tabs>
        <w:rPr>
          <w:color w:val="000000"/>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Times New Roman" w:hAnsi="Times New Roman"/>
          <w:color w:val="000000"/>
        </w:rPr>
        <w:fldChar w:fldCharType="begin"/>
      </w:r>
      <w:r>
        <w:rPr>
          <w:rFonts w:ascii="Times New Roman" w:hAnsi="Times New Roman"/>
          <w:color w:val="000000"/>
        </w:rPr>
        <w:instrText xml:space="preserve"> HYPERLINK \l _Toc7787 </w:instrText>
      </w:r>
      <w:r>
        <w:rPr>
          <w:rFonts w:ascii="Times New Roman" w:hAnsi="Times New Roman"/>
          <w:color w:val="000000"/>
        </w:rPr>
        <w:fldChar w:fldCharType="separate"/>
      </w:r>
      <w:r>
        <w:rPr>
          <w:rFonts w:hint="eastAsia"/>
          <w:color w:val="000000"/>
          <w:szCs w:val="36"/>
        </w:rPr>
        <w:t xml:space="preserve">目</w:t>
      </w:r>
      <w:r>
        <w:rPr>
          <w:color w:val="000000"/>
          <w:szCs w:val="36"/>
        </w:rPr>
        <w:t xml:space="preserve">      </w:t>
      </w:r>
      <w:r>
        <w:rPr>
          <w:rFonts w:hint="eastAsia"/>
          <w:color w:val="000000"/>
          <w:szCs w:val="36"/>
        </w:rPr>
        <w:t xml:space="preserve"> 录</w:t>
      </w:r>
      <w:r>
        <w:rPr>
          <w:color w:val="000000"/>
        </w:rPr>
        <w:tab/>
      </w:r>
      <w:r>
        <w:rPr>
          <w:color w:val="000000"/>
        </w:rPr>
        <w:fldChar w:fldCharType="begin"/>
      </w:r>
      <w:r>
        <w:rPr>
          <w:color w:val="000000"/>
        </w:rPr>
        <w:instrText xml:space="preserve"> PAGEREF _Toc7787 \h </w:instrText>
      </w:r>
      <w:r>
        <w:rPr>
          <w:color w:val="000000"/>
        </w:rPr>
        <w:fldChar w:fldCharType="separate"/>
      </w:r>
      <w:r>
        <w:rPr>
          <w:color w:val="000000"/>
        </w:rPr>
        <w:t xml:space="preserve">1</w:t>
      </w:r>
      <w:r>
        <w:rPr>
          <w:color w:val="000000"/>
        </w:rPr>
        <w:fldChar w:fldCharType="end"/>
      </w:r>
      <w:r>
        <w:rPr>
          <w:rFonts w:ascii="Times New Roman" w:hAnsi="Times New Roman"/>
          <w:color w:val="000000"/>
        </w:rPr>
        <w:fldChar w:fldCharType="end"/>
      </w:r>
      <w:r>
        <w:rPr>
          <w:color w:val="000000"/>
        </w:rPr>
      </w:r>
      <w:r/>
    </w:p>
    <w:p>
      <w:pPr>
        <w:pStyle w:val="959"/>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_Toc8395 </w:instrText>
      </w:r>
      <w:r>
        <w:rPr>
          <w:rFonts w:ascii="Times New Roman" w:hAnsi="Times New Roman"/>
          <w:color w:val="000000"/>
        </w:rPr>
        <w:fldChar w:fldCharType="separate"/>
      </w:r>
      <w:r>
        <w:rPr>
          <w:color w:val="000000"/>
          <w:szCs w:val="36"/>
        </w:rPr>
        <w:t xml:space="preserve">第一章  </w:t>
      </w:r>
      <w:r>
        <w:rPr>
          <w:rFonts w:hint="eastAsia"/>
          <w:color w:val="000000"/>
          <w:szCs w:val="36"/>
        </w:rPr>
        <w:t xml:space="preserve"> 竞争性磋商公告</w:t>
      </w:r>
      <w:r>
        <w:rPr>
          <w:color w:val="000000"/>
        </w:rPr>
        <w:tab/>
      </w:r>
      <w:r>
        <w:rPr>
          <w:rFonts w:hint="eastAsia"/>
          <w:color w:val="000000"/>
        </w:rPr>
        <w:t xml:space="preserve">2</w:t>
      </w:r>
      <w:r>
        <w:rPr>
          <w:rFonts w:ascii="Times New Roman" w:hAnsi="Times New Roman"/>
          <w:color w:val="000000"/>
        </w:rPr>
        <w:fldChar w:fldCharType="end"/>
      </w:r>
      <w:r>
        <w:rPr>
          <w:color w:val="000000"/>
        </w:rPr>
      </w:r>
      <w:r/>
    </w:p>
    <w:p>
      <w:pPr>
        <w:pStyle w:val="959"/>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_Toc6690 </w:instrText>
      </w:r>
      <w:r>
        <w:rPr>
          <w:rFonts w:ascii="Times New Roman" w:hAnsi="Times New Roman"/>
          <w:color w:val="000000"/>
        </w:rPr>
        <w:fldChar w:fldCharType="separate"/>
      </w:r>
      <w:r>
        <w:rPr>
          <w:color w:val="000000"/>
          <w:szCs w:val="36"/>
        </w:rPr>
        <w:t xml:space="preserve">第二章   供应商须知</w:t>
      </w:r>
      <w:r>
        <w:rPr>
          <w:color w:val="000000"/>
        </w:rPr>
        <w:tab/>
      </w:r>
      <w:r>
        <w:rPr>
          <w:rFonts w:hint="eastAsia"/>
          <w:color w:val="000000"/>
        </w:rPr>
        <w:t xml:space="preserve">5</w:t>
      </w:r>
      <w:r>
        <w:rPr>
          <w:rFonts w:ascii="Times New Roman" w:hAnsi="Times New Roman"/>
          <w:color w:val="000000"/>
        </w:rPr>
        <w:fldChar w:fldCharType="end"/>
      </w:r>
      <w:r>
        <w:rPr>
          <w:color w:val="000000"/>
        </w:rPr>
      </w:r>
      <w:r/>
    </w:p>
    <w:p>
      <w:pPr>
        <w:pStyle w:val="959"/>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_Toc20589 </w:instrText>
      </w:r>
      <w:r>
        <w:rPr>
          <w:rFonts w:ascii="Times New Roman" w:hAnsi="Times New Roman"/>
          <w:color w:val="000000"/>
        </w:rPr>
        <w:fldChar w:fldCharType="separate"/>
      </w:r>
      <w:r>
        <w:rPr>
          <w:color w:val="000000"/>
          <w:szCs w:val="36"/>
        </w:rPr>
        <w:t xml:space="preserve">第三章   评审</w:t>
      </w:r>
      <w:r>
        <w:rPr>
          <w:rFonts w:hint="eastAsia"/>
          <w:color w:val="000000"/>
          <w:szCs w:val="36"/>
        </w:rPr>
        <w:t xml:space="preserve">程序、评审</w:t>
      </w:r>
      <w:r>
        <w:rPr>
          <w:color w:val="000000"/>
          <w:szCs w:val="36"/>
        </w:rPr>
        <w:t xml:space="preserve">方法和评审标准</w:t>
      </w:r>
      <w:r>
        <w:rPr>
          <w:color w:val="000000"/>
        </w:rPr>
        <w:tab/>
      </w:r>
      <w:r>
        <w:rPr>
          <w:color w:val="000000"/>
        </w:rPr>
        <w:fldChar w:fldCharType="begin"/>
      </w:r>
      <w:r>
        <w:rPr>
          <w:color w:val="000000"/>
        </w:rPr>
        <w:instrText xml:space="preserve"> PAGEREF _Toc20589 \h </w:instrText>
      </w:r>
      <w:r>
        <w:rPr>
          <w:color w:val="000000"/>
        </w:rPr>
        <w:fldChar w:fldCharType="separate"/>
      </w:r>
      <w:r>
        <w:rPr>
          <w:color w:val="000000"/>
        </w:rPr>
        <w:t xml:space="preserve">21</w:t>
      </w:r>
      <w:r>
        <w:rPr>
          <w:color w:val="000000"/>
        </w:rPr>
        <w:fldChar w:fldCharType="end"/>
      </w:r>
      <w:r>
        <w:rPr>
          <w:rFonts w:ascii="Times New Roman" w:hAnsi="Times New Roman"/>
          <w:color w:val="000000"/>
        </w:rPr>
        <w:fldChar w:fldCharType="end"/>
      </w:r>
      <w:r>
        <w:rPr>
          <w:color w:val="000000"/>
        </w:rPr>
      </w:r>
      <w:r/>
    </w:p>
    <w:p>
      <w:pPr>
        <w:pStyle w:val="959"/>
        <w:tabs>
          <w:tab w:val="right" w:pos="9072" w:leader="dot"/>
        </w:tabs>
        <w:rPr>
          <w:rFonts w:hint="eastAsia"/>
          <w:color w:val="000000"/>
        </w:rPr>
      </w:pPr>
      <w:r>
        <w:rPr>
          <w:rFonts w:ascii="Times New Roman" w:hAnsi="Times New Roman"/>
          <w:color w:val="000000"/>
        </w:rPr>
        <w:fldChar w:fldCharType="begin"/>
      </w:r>
      <w:r>
        <w:rPr>
          <w:rFonts w:ascii="Times New Roman" w:hAnsi="Times New Roman"/>
          <w:color w:val="000000"/>
        </w:rPr>
        <w:instrText xml:space="preserve"> HYPERLINK \l _Toc7049 </w:instrText>
      </w:r>
      <w:r>
        <w:rPr>
          <w:rFonts w:ascii="Times New Roman" w:hAnsi="Times New Roman"/>
          <w:color w:val="000000"/>
        </w:rPr>
        <w:fldChar w:fldCharType="separate"/>
      </w:r>
      <w:r>
        <w:rPr>
          <w:rFonts w:hint="eastAsia"/>
          <w:color w:val="000000"/>
          <w:szCs w:val="36"/>
        </w:rPr>
        <w:t xml:space="preserve">第四章 </w:t>
      </w:r>
      <w:r>
        <w:rPr>
          <w:color w:val="000000"/>
          <w:szCs w:val="36"/>
        </w:rPr>
        <w:t xml:space="preserve">  采购需求</w:t>
      </w:r>
      <w:r>
        <w:rPr>
          <w:color w:val="000000"/>
        </w:rPr>
        <w:tab/>
      </w:r>
      <w:r>
        <w:rPr>
          <w:rFonts w:hint="eastAsia"/>
          <w:color w:val="000000"/>
        </w:rPr>
        <w:t xml:space="preserve">3</w:t>
      </w:r>
      <w:r>
        <w:rPr>
          <w:rFonts w:ascii="Times New Roman" w:hAnsi="Times New Roman"/>
          <w:color w:val="000000"/>
        </w:rPr>
        <w:fldChar w:fldCharType="end"/>
      </w:r>
      <w:r>
        <w:rPr>
          <w:rFonts w:hint="eastAsia" w:ascii="Times New Roman" w:hAnsi="Times New Roman"/>
          <w:color w:val="000000"/>
        </w:rPr>
        <w:t xml:space="preserve">0</w:t>
      </w:r>
      <w:r>
        <w:rPr>
          <w:rFonts w:hint="eastAsia"/>
          <w:color w:val="000000"/>
        </w:rPr>
      </w:r>
      <w:r/>
    </w:p>
    <w:p>
      <w:pPr>
        <w:pStyle w:val="959"/>
        <w:tabs>
          <w:tab w:val="right" w:pos="9072"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_Toc12649 </w:instrText>
      </w:r>
      <w:r>
        <w:rPr>
          <w:rFonts w:ascii="Times New Roman" w:hAnsi="Times New Roman"/>
          <w:color w:val="000000"/>
        </w:rPr>
        <w:fldChar w:fldCharType="separate"/>
      </w:r>
      <w:r>
        <w:rPr>
          <w:color w:val="000000"/>
          <w:szCs w:val="36"/>
        </w:rPr>
        <w:t xml:space="preserve">第五章   合同</w:t>
      </w:r>
      <w:r>
        <w:rPr>
          <w:rFonts w:hint="eastAsia"/>
          <w:color w:val="000000"/>
          <w:szCs w:val="36"/>
        </w:rPr>
        <w:t xml:space="preserve">主要</w:t>
      </w:r>
      <w:r>
        <w:rPr>
          <w:color w:val="000000"/>
          <w:szCs w:val="36"/>
        </w:rPr>
        <w:t xml:space="preserve">条款</w:t>
      </w:r>
      <w:r>
        <w:rPr>
          <w:color w:val="000000"/>
        </w:rPr>
        <w:tab/>
      </w:r>
      <w:r>
        <w:rPr>
          <w:color w:val="000000"/>
        </w:rPr>
        <w:fldChar w:fldCharType="begin"/>
      </w:r>
      <w:r>
        <w:rPr>
          <w:color w:val="000000"/>
        </w:rPr>
        <w:instrText xml:space="preserve"> PAGEREF _Toc12649 \h </w:instrText>
      </w:r>
      <w:r>
        <w:rPr>
          <w:color w:val="000000"/>
        </w:rPr>
        <w:fldChar w:fldCharType="separate"/>
      </w:r>
      <w:r>
        <w:rPr>
          <w:color w:val="000000"/>
        </w:rPr>
        <w:t xml:space="preserve">30</w:t>
      </w:r>
      <w:r>
        <w:rPr>
          <w:color w:val="000000"/>
        </w:rPr>
        <w:fldChar w:fldCharType="end"/>
      </w:r>
      <w:r>
        <w:rPr>
          <w:rFonts w:ascii="Times New Roman" w:hAnsi="Times New Roman"/>
          <w:color w:val="000000"/>
        </w:rPr>
        <w:fldChar w:fldCharType="end"/>
      </w:r>
      <w:r>
        <w:rPr>
          <w:color w:val="000000"/>
        </w:rPr>
      </w:r>
      <w:r/>
    </w:p>
    <w:p>
      <w:pPr>
        <w:pStyle w:val="959"/>
        <w:tabs>
          <w:tab w:val="right" w:pos="9072" w:leader="dot"/>
        </w:tabs>
        <w:rPr>
          <w:rFonts w:hint="eastAsia"/>
          <w:color w:val="000000"/>
        </w:rPr>
      </w:pPr>
      <w:r>
        <w:rPr>
          <w:rFonts w:ascii="Times New Roman" w:hAnsi="Times New Roman"/>
          <w:color w:val="000000"/>
        </w:rPr>
        <w:fldChar w:fldCharType="begin"/>
      </w:r>
      <w:r>
        <w:rPr>
          <w:rFonts w:ascii="Times New Roman" w:hAnsi="Times New Roman"/>
          <w:color w:val="000000"/>
        </w:rPr>
        <w:instrText xml:space="preserve"> HYPERLINK \l _Toc1692 </w:instrText>
      </w:r>
      <w:r>
        <w:rPr>
          <w:rFonts w:ascii="Times New Roman" w:hAnsi="Times New Roman"/>
          <w:color w:val="000000"/>
        </w:rPr>
        <w:fldChar w:fldCharType="separate"/>
      </w:r>
      <w:r>
        <w:rPr>
          <w:color w:val="000000"/>
          <w:szCs w:val="36"/>
        </w:rPr>
        <w:t xml:space="preserve">第六章   响应文件格式</w:t>
      </w:r>
      <w:r>
        <w:rPr>
          <w:color w:val="000000"/>
        </w:rPr>
        <w:tab/>
      </w:r>
      <w:r>
        <w:rPr>
          <w:rFonts w:hint="eastAsia"/>
          <w:color w:val="000000"/>
        </w:rPr>
        <w:t xml:space="preserve">3</w:t>
      </w:r>
      <w:r>
        <w:rPr>
          <w:rFonts w:ascii="Times New Roman" w:hAnsi="Times New Roman"/>
          <w:color w:val="000000"/>
        </w:rPr>
        <w:fldChar w:fldCharType="end"/>
      </w:r>
      <w:r>
        <w:rPr>
          <w:rFonts w:hint="eastAsia" w:ascii="Times New Roman" w:hAnsi="Times New Roman"/>
          <w:color w:val="000000"/>
        </w:rPr>
        <w:t xml:space="preserve">5</w:t>
      </w:r>
      <w:r>
        <w:rPr>
          <w:rFonts w:hint="eastAsia"/>
          <w:color w:val="000000"/>
        </w:rPr>
      </w:r>
      <w:r/>
    </w:p>
    <w:p>
      <w:pPr>
        <w:pStyle w:val="959"/>
        <w:spacing w:line="360" w:lineRule="auto"/>
        <w:tabs>
          <w:tab w:val="left" w:pos="1050" w:leader="none"/>
          <w:tab w:val="right" w:pos="8937" w:leader="dot"/>
        </w:tabs>
        <w:rPr>
          <w:rFonts w:ascii="Times New Roman" w:hAnsi="Times New Roman"/>
          <w:b w:val="0"/>
          <w:color w:val="000000"/>
        </w:rPr>
      </w:pPr>
      <w:r>
        <w:rPr>
          <w:rFonts w:ascii="Times New Roman" w:hAnsi="Times New Roman"/>
          <w:color w:val="000000"/>
        </w:rPr>
        <w:fldChar w:fldCharType="end"/>
      </w:r>
      <w:r>
        <w:rPr>
          <w:rFonts w:ascii="Times New Roman" w:hAnsi="Times New Roman"/>
          <w:b w:val="0"/>
          <w:color w:val="000000"/>
        </w:rPr>
      </w:r>
      <w:r/>
    </w:p>
    <w:p>
      <w:pPr>
        <w:pStyle w:val="959"/>
        <w:spacing w:line="360" w:lineRule="auto"/>
        <w:tabs>
          <w:tab w:val="left" w:pos="1050" w:leader="none"/>
          <w:tab w:val="right" w:pos="8937" w:leader="dot"/>
        </w:tabs>
        <w:rPr>
          <w:b w:val="0"/>
          <w:color w:val="000000"/>
          <w:sz w:val="36"/>
          <w:szCs w:val="36"/>
        </w:rPr>
      </w:pPr>
      <w:r>
        <w:rPr>
          <w:b w:val="0"/>
          <w:color w:val="000000"/>
          <w:sz w:val="36"/>
          <w:szCs w:val="36"/>
        </w:rPr>
      </w:r>
      <w:r/>
    </w:p>
    <w:p>
      <w:pPr>
        <w:pStyle w:val="905"/>
        <w:jc w:val="center"/>
        <w:spacing w:line="360" w:lineRule="auto"/>
        <w:rPr>
          <w:b/>
          <w:color w:val="000000"/>
          <w:sz w:val="36"/>
          <w:szCs w:val="36"/>
        </w:rPr>
        <w:sectPr>
          <w:headerReference w:type="default" r:id="rId11"/>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rPr>
      </w:r>
      <w:r/>
    </w:p>
    <w:p>
      <w:pPr>
        <w:pStyle w:val="905"/>
        <w:ind w:firstLine="480"/>
        <w:spacing w:line="360" w:lineRule="auto"/>
        <w:rPr>
          <w:color w:val="000000"/>
          <w:sz w:val="24"/>
        </w:rPr>
      </w:pPr>
      <w:r/>
      <w:bookmarkStart w:id="3" w:name="_Toc28359079"/>
      <w:r/>
      <w:bookmarkStart w:id="4" w:name="_Toc35393621"/>
      <w:r/>
      <w:bookmarkStart w:id="5" w:name="_Toc28359002"/>
      <w:r/>
      <w:bookmarkStart w:id="6" w:name="_Toc35393790"/>
      <w:r/>
      <w:bookmarkStart w:id="7" w:name="_Hlk24379207"/>
      <w:r>
        <w:rPr>
          <w:color w:val="000000"/>
          <w:sz w:val="24"/>
        </w:rPr>
      </w:r>
      <w:r/>
    </w:p>
    <w:p>
      <w:pPr>
        <w:pStyle w:val="905"/>
        <w:jc w:val="center"/>
        <w:spacing w:line="360" w:lineRule="auto"/>
        <w:rPr>
          <w:color w:val="000000"/>
          <w:sz w:val="24"/>
        </w:rPr>
        <w:outlineLvl w:val="0"/>
      </w:pPr>
      <w:r/>
      <w:bookmarkEnd w:id="3"/>
      <w:r/>
      <w:bookmarkEnd w:id="4"/>
      <w:r/>
      <w:bookmarkEnd w:id="5"/>
      <w:r/>
      <w:bookmarkEnd w:id="6"/>
      <w:r/>
      <w:bookmarkEnd w:id="7"/>
      <w:r/>
      <w:bookmarkStart w:id="8" w:name="_Toc104818925"/>
      <w:r/>
      <w:bookmarkStart w:id="9" w:name="_Toc8395"/>
      <w:r/>
      <w:bookmarkStart w:id="10" w:name="_Toc28359081"/>
      <w:r/>
      <w:bookmarkStart w:id="11" w:name="_Toc28359004"/>
      <w:r>
        <w:rPr>
          <w:b/>
          <w:color w:val="000000"/>
          <w:sz w:val="36"/>
          <w:szCs w:val="36"/>
        </w:rPr>
        <w:t xml:space="preserve">第一章  </w:t>
      </w:r>
      <w:bookmarkEnd w:id="8"/>
      <w:r>
        <w:rPr>
          <w:rFonts w:hint="eastAsia"/>
          <w:b/>
          <w:color w:val="000000"/>
          <w:sz w:val="36"/>
          <w:szCs w:val="36"/>
        </w:rPr>
        <w:t xml:space="preserve">竞争性磋商公告</w:t>
      </w:r>
      <w:bookmarkEnd w:id="9"/>
      <w:r>
        <w:rPr>
          <w:color w:val="000000"/>
          <w:sz w:val="24"/>
        </w:rPr>
      </w:r>
      <w:r/>
    </w:p>
    <w:p>
      <w:pPr>
        <w:pStyle w:val="905"/>
        <w:spacing w:line="360" w:lineRule="auto"/>
        <w:rPr>
          <w:rFonts w:hint="eastAsia" w:ascii="宋体" w:hAnsi="宋体" w:eastAsia="宋体" w:cs="宋体"/>
          <w:color w:val="000000"/>
          <w:sz w:val="24"/>
          <w:szCs w:val="24"/>
        </w:rPr>
      </w:pPr>
      <w:r>
        <w:rPr>
          <w:rFonts w:hint="eastAsia" w:ascii="宋体" w:hAnsi="宋体" w:cs="宋体"/>
          <w:color w:val="000000"/>
        </w:rPr>
        <w:tab/>
      </w:r>
      <w:r>
        <w:rPr>
          <w:rFonts w:hint="eastAsia" w:ascii="宋体" w:hAnsi="宋体" w:eastAsia="宋体" w:cs="宋体"/>
          <w:color w:val="000000"/>
          <w:sz w:val="24"/>
          <w:szCs w:val="24"/>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905"/>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项目概况</w:t>
            </w:r>
            <w:r>
              <w:rPr>
                <w:rFonts w:hint="eastAsia" w:ascii="宋体" w:hAnsi="宋体" w:eastAsia="宋体" w:cs="宋体"/>
                <w:b/>
                <w:bCs/>
                <w:color w:val="000000"/>
                <w:sz w:val="24"/>
                <w:szCs w:val="24"/>
              </w:rPr>
            </w:r>
            <w:r/>
          </w:p>
          <w:p>
            <w:pPr>
              <w:pStyle w:val="905"/>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CN"/>
              </w:rPr>
              <w:t xml:space="preserve">2026年常州市市场监督管理局食品检测技术服务项目</w:t>
            </w:r>
            <w:r>
              <w:rPr>
                <w:rFonts w:hint="eastAsia" w:ascii="宋体" w:hAnsi="宋体" w:eastAsia="宋体" w:cs="宋体"/>
                <w:color w:val="000000"/>
                <w:sz w:val="24"/>
                <w:szCs w:val="24"/>
              </w:rPr>
              <w:t xml:space="preserve">的潜在供应商应在</w:t>
            </w:r>
            <w:r>
              <w:rPr>
                <w:rFonts w:hint="eastAsia" w:ascii="宋体" w:hAnsi="宋体" w:eastAsia="宋体" w:cs="宋体"/>
                <w:b/>
                <w:bCs/>
                <w:color w:val="000000"/>
                <w:sz w:val="24"/>
                <w:szCs w:val="24"/>
              </w:rPr>
              <w:t xml:space="preserve">“苏采云”政府采购一体化平台</w:t>
            </w:r>
            <w:r>
              <w:rPr>
                <w:rFonts w:hint="eastAsia" w:ascii="宋体" w:hAnsi="宋体" w:eastAsia="宋体" w:cs="宋体"/>
                <w:color w:val="000000"/>
                <w:sz w:val="24"/>
                <w:szCs w:val="24"/>
              </w:rPr>
              <w:t xml:space="preserve">获取</w:t>
            </w:r>
            <w:r>
              <w:rPr>
                <w:rFonts w:hint="eastAsia" w:ascii="宋体" w:hAnsi="宋体" w:eastAsia="宋体" w:cs="宋体"/>
                <w:color w:val="000000"/>
                <w:sz w:val="24"/>
                <w:szCs w:val="24"/>
              </w:rPr>
              <w:t xml:space="preserve">磋商文件</w:t>
            </w:r>
            <w:r>
              <w:rPr>
                <w:rFonts w:hint="eastAsia" w:ascii="宋体" w:hAnsi="宋体" w:eastAsia="宋体" w:cs="宋体"/>
                <w:color w:val="000000"/>
                <w:sz w:val="24"/>
                <w:szCs w:val="24"/>
              </w:rPr>
              <w:t xml:space="preserve">，并于</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5月7</w:t>
            </w:r>
            <w:r>
              <w:rPr>
                <w:rFonts w:hint="eastAsia" w:ascii="宋体" w:hAnsi="宋体" w:eastAsia="宋体" w:cs="宋体"/>
                <w:b/>
                <w:color w:val="000000"/>
                <w:sz w:val="24"/>
                <w:szCs w:val="24"/>
              </w:rPr>
              <w:t xml:space="preserve">日9:</w:t>
            </w:r>
            <w:r>
              <w:rPr>
                <w:rFonts w:hint="eastAsia" w:ascii="宋体" w:hAnsi="宋体" w:eastAsia="宋体" w:cs="宋体"/>
                <w:b/>
                <w:color w:val="000000"/>
                <w:sz w:val="24"/>
                <w:szCs w:val="24"/>
                <w:lang w:val="en-US" w:eastAsia="zh-CN"/>
              </w:rPr>
              <w:t xml:space="preserve">0</w:t>
            </w:r>
            <w:r>
              <w:rPr>
                <w:rFonts w:hint="eastAsia" w:ascii="宋体" w:hAnsi="宋体" w:eastAsia="宋体" w:cs="宋体"/>
                <w:b/>
                <w:color w:val="000000"/>
                <w:sz w:val="24"/>
                <w:szCs w:val="24"/>
              </w:rPr>
              <w:t xml:space="preserve">0</w:t>
            </w:r>
            <w:r>
              <w:rPr>
                <w:rFonts w:hint="eastAsia" w:ascii="宋体" w:hAnsi="宋体" w:eastAsia="宋体" w:cs="宋体"/>
                <w:color w:val="000000"/>
                <w:sz w:val="24"/>
                <w:szCs w:val="24"/>
              </w:rPr>
              <w:t xml:space="preserve">（北京时间）前提交投标文件。</w:t>
            </w:r>
            <w:r>
              <w:rPr>
                <w:rFonts w:hint="eastAsia" w:ascii="宋体" w:hAnsi="宋体" w:eastAsia="宋体" w:cs="宋体"/>
                <w:color w:val="000000"/>
                <w:sz w:val="24"/>
                <w:szCs w:val="24"/>
              </w:rPr>
            </w:r>
            <w:r/>
          </w:p>
        </w:tc>
      </w:tr>
    </w:tbl>
    <w:p>
      <w:pPr>
        <w:pStyle w:val="905"/>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  </w:t>
      </w:r>
      <w:r>
        <w:rPr>
          <w:rFonts w:hint="eastAsia" w:ascii="宋体" w:hAnsi="宋体" w:eastAsia="宋体" w:cs="宋体"/>
          <w:b/>
          <w:bCs/>
          <w:color w:val="000000"/>
          <w:sz w:val="24"/>
          <w:szCs w:val="24"/>
        </w:rPr>
      </w:r>
      <w:r/>
    </w:p>
    <w:p>
      <w:pPr>
        <w:pStyle w:val="905"/>
        <w:ind w:firstLine="482"/>
        <w:spacing w:line="360" w:lineRule="auto"/>
        <w:rPr>
          <w:rFonts w:hint="eastAsia" w:ascii="宋体" w:hAnsi="宋体" w:eastAsia="宋体" w:cs="宋体"/>
          <w:color w:val="000000"/>
          <w:sz w:val="24"/>
          <w:szCs w:val="24"/>
          <w:lang w:eastAsia="zh-CN"/>
        </w:rPr>
      </w:pPr>
      <w:r>
        <w:rPr>
          <w:rFonts w:hint="eastAsia" w:ascii="宋体" w:hAnsi="宋体" w:eastAsia="宋体" w:cs="宋体"/>
          <w:b/>
          <w:color w:val="000000"/>
          <w:sz w:val="24"/>
          <w:szCs w:val="24"/>
        </w:rPr>
        <w:t xml:space="preserve">项目编号：</w:t>
      </w:r>
      <w:r>
        <w:rPr>
          <w:rFonts w:hint="eastAsia" w:ascii="宋体" w:hAnsi="宋体" w:eastAsia="宋体" w:cs="宋体"/>
          <w:color w:val="000000"/>
          <w:sz w:val="24"/>
          <w:szCs w:val="24"/>
          <w:lang w:eastAsia="zh-CN"/>
        </w:rPr>
        <w:t xml:space="preserve">JSZC-320400-CZZH-C2026-0029</w:t>
      </w:r>
      <w:r>
        <w:rPr>
          <w:rFonts w:hint="eastAsia" w:ascii="宋体" w:hAnsi="宋体" w:eastAsia="宋体" w:cs="宋体"/>
          <w:color w:val="000000"/>
          <w:sz w:val="24"/>
          <w:szCs w:val="24"/>
          <w:lang w:eastAsia="zh-CN"/>
        </w:rPr>
      </w:r>
      <w:r/>
    </w:p>
    <w:p>
      <w:pPr>
        <w:pStyle w:val="905"/>
        <w:ind w:firstLine="482"/>
        <w:spacing w:line="360" w:lineRule="auto"/>
        <w:rPr>
          <w:rFonts w:hint="eastAsia" w:ascii="宋体" w:hAnsi="宋体" w:eastAsia="宋体" w:cs="宋体"/>
          <w:color w:val="000000"/>
          <w:sz w:val="24"/>
          <w:szCs w:val="24"/>
          <w:lang w:eastAsia="zh-CN"/>
        </w:rPr>
      </w:pPr>
      <w:r>
        <w:rPr>
          <w:rFonts w:hint="eastAsia" w:ascii="宋体" w:hAnsi="宋体" w:eastAsia="宋体" w:cs="宋体"/>
          <w:b/>
          <w:color w:val="000000"/>
          <w:sz w:val="24"/>
          <w:szCs w:val="24"/>
        </w:rPr>
        <w:t xml:space="preserve">项目名称：</w:t>
      </w:r>
      <w:r>
        <w:rPr>
          <w:rFonts w:hint="eastAsia" w:ascii="宋体" w:hAnsi="宋体" w:eastAsia="宋体" w:cs="宋体"/>
          <w:color w:val="000000"/>
          <w:sz w:val="24"/>
          <w:szCs w:val="24"/>
          <w:lang w:eastAsia="zh-CN"/>
        </w:rPr>
        <w:t xml:space="preserve">2026年常州市市场监督管理局食品检测技术服务项目</w:t>
      </w:r>
      <w:r>
        <w:rPr>
          <w:rFonts w:hint="eastAsia" w:ascii="宋体" w:hAnsi="宋体" w:eastAsia="宋体" w:cs="宋体"/>
          <w:color w:val="000000"/>
          <w:sz w:val="24"/>
          <w:szCs w:val="24"/>
          <w:lang w:eastAsia="zh-CN"/>
        </w:rPr>
      </w:r>
      <w:r/>
    </w:p>
    <w:p>
      <w:pPr>
        <w:pStyle w:val="905"/>
        <w:ind w:firstLine="490"/>
        <w:spacing w:line="360" w:lineRule="auto"/>
        <w:rPr>
          <w:rFonts w:hint="eastAsia" w:ascii="宋体" w:hAnsi="宋体" w:eastAsia="宋体" w:cs="宋体"/>
          <w:b/>
          <w:color w:val="000000"/>
          <w:spacing w:val="2"/>
          <w:sz w:val="24"/>
          <w:szCs w:val="24"/>
        </w:rPr>
      </w:pPr>
      <w:r>
        <w:rPr>
          <w:rFonts w:hint="eastAsia" w:ascii="宋体" w:hAnsi="宋体" w:eastAsia="宋体" w:cs="宋体"/>
          <w:b/>
          <w:color w:val="000000"/>
          <w:spacing w:val="2"/>
          <w:sz w:val="24"/>
          <w:szCs w:val="24"/>
        </w:rPr>
        <w:t xml:space="preserve">采购方式：</w:t>
      </w:r>
      <w:r>
        <w:rPr>
          <w:rFonts w:hint="eastAsia" w:ascii="宋体" w:hAnsi="宋体" w:eastAsia="宋体" w:cs="宋体"/>
          <w:color w:val="000000"/>
          <w:spacing w:val="2"/>
          <w:sz w:val="24"/>
          <w:szCs w:val="24"/>
        </w:rPr>
        <w:t xml:space="preserve">竞争性磋商</w:t>
      </w:r>
      <w:r>
        <w:rPr>
          <w:rFonts w:hint="eastAsia" w:ascii="宋体" w:hAnsi="宋体" w:eastAsia="宋体" w:cs="宋体"/>
          <w:b/>
          <w:color w:val="000000"/>
          <w:spacing w:val="2"/>
          <w:sz w:val="24"/>
          <w:szCs w:val="24"/>
        </w:rPr>
      </w:r>
      <w:r/>
    </w:p>
    <w:p>
      <w:pPr>
        <w:pStyle w:val="905"/>
        <w:ind w:firstLine="490"/>
        <w:keepLines w:val="0"/>
        <w:keepNext w:val="0"/>
        <w:pageBreakBefore w:val="0"/>
        <w:spacing w:line="360" w:lineRule="auto"/>
        <w:rPr>
          <w:rFonts w:hint="eastAsia" w:ascii="宋体" w:hAnsi="宋体" w:eastAsia="宋体" w:cs="宋体"/>
          <w:i w:val="0"/>
          <w:iCs w:val="0"/>
          <w:caps w:val="0"/>
          <w:color w:val="000000"/>
          <w:spacing w:val="0"/>
          <w:sz w:val="24"/>
          <w:szCs w:val="24"/>
          <w:highlight w:val="none"/>
          <w:shd w:val="clear" w:color="auto" w:fill="ffffff"/>
          <w:lang w:val="en-US"/>
        </w:rPr>
      </w:pPr>
      <w:r>
        <w:rPr>
          <w:rFonts w:hint="eastAsia" w:ascii="宋体" w:hAnsi="宋体" w:eastAsia="宋体" w:cs="宋体"/>
          <w:b/>
          <w:color w:val="000000"/>
          <w:spacing w:val="2"/>
          <w:sz w:val="24"/>
          <w:szCs w:val="24"/>
          <w:highlight w:val="none"/>
        </w:rPr>
        <w:t xml:space="preserve">预算金额:</w:t>
      </w:r>
      <w:r>
        <w:rPr>
          <w:rFonts w:hint="eastAsia" w:ascii="宋体" w:hAnsi="宋体" w:eastAsia="宋体" w:cs="宋体"/>
          <w:b w:val="0"/>
          <w:bCs/>
          <w:color w:val="000000"/>
          <w:spacing w:val="2"/>
          <w:sz w:val="24"/>
          <w:szCs w:val="24"/>
          <w:highlight w:val="none"/>
          <w:lang w:val="en-US" w:eastAsia="zh-CN"/>
        </w:rPr>
        <w:t xml:space="preserve">285万元，其中采购包1：40.74万元，采购包2:40.71万元，采购包3:40.71万元，采购包4:40.71万元，采购包5:40.71万元，采购包6:40.71万元，采购包7:40.71万元。</w:t>
      </w:r>
      <w:r>
        <w:rPr>
          <w:rFonts w:hint="eastAsia" w:ascii="宋体" w:hAnsi="宋体" w:eastAsia="宋体" w:cs="宋体"/>
          <w:i w:val="0"/>
          <w:iCs w:val="0"/>
          <w:caps w:val="0"/>
          <w:color w:val="000000"/>
          <w:spacing w:val="0"/>
          <w:sz w:val="24"/>
          <w:szCs w:val="24"/>
          <w:highlight w:val="none"/>
          <w:shd w:val="clear" w:color="auto" w:fill="ffffff"/>
          <w:lang w:val="en-US"/>
        </w:rPr>
      </w:r>
      <w:r/>
    </w:p>
    <w:p>
      <w:pPr>
        <w:pStyle w:val="905"/>
        <w:ind w:firstLine="490"/>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color w:val="000000"/>
          <w:spacing w:val="2"/>
          <w:sz w:val="24"/>
          <w:szCs w:val="24"/>
          <w:highlight w:val="none"/>
        </w:rPr>
        <w:t xml:space="preserve">最高限价</w:t>
      </w:r>
      <w:r>
        <w:rPr>
          <w:rFonts w:hint="eastAsia" w:ascii="宋体" w:hAnsi="宋体" w:eastAsia="宋体" w:cs="宋体"/>
          <w:b/>
          <w:color w:val="000000"/>
          <w:spacing w:val="2"/>
          <w:sz w:val="24"/>
          <w:szCs w:val="24"/>
          <w:highlight w:val="none"/>
          <w:lang w:eastAsia="zh-CN"/>
        </w:rPr>
        <w:t xml:space="preserve">：</w:t>
      </w:r>
      <w:r>
        <w:rPr>
          <w:rFonts w:hint="eastAsia" w:ascii="宋体" w:hAnsi="宋体" w:eastAsia="宋体" w:cs="宋体"/>
          <w:b w:val="0"/>
          <w:bCs/>
          <w:color w:val="000000"/>
          <w:spacing w:val="2"/>
          <w:sz w:val="24"/>
          <w:szCs w:val="24"/>
          <w:highlight w:val="none"/>
          <w:lang w:val="en-US" w:eastAsia="zh-CN"/>
        </w:rPr>
        <w:t xml:space="preserve">《市场监管部门食品安全抽检监测项目检验费用参考表》的100%</w:t>
      </w:r>
      <w:r>
        <w:rPr>
          <w:rFonts w:hint="eastAsia" w:ascii="宋体" w:hAnsi="宋体" w:eastAsia="宋体" w:cs="宋体"/>
          <w:b w:val="0"/>
          <w:bCs/>
          <w:color w:val="000000"/>
          <w:spacing w:val="2"/>
          <w:sz w:val="24"/>
          <w:szCs w:val="24"/>
          <w:highlight w:val="none"/>
          <w:lang w:val="en-US" w:eastAsia="zh-CN"/>
        </w:rPr>
      </w:r>
      <w:r/>
    </w:p>
    <w:p>
      <w:pPr>
        <w:pStyle w:val="905"/>
        <w:ind w:firstLine="49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pacing w:val="2"/>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本项目共分为7个采购包，</w:t>
      </w:r>
      <w:r>
        <w:rPr>
          <w:rFonts w:hint="eastAsia" w:ascii="宋体" w:hAnsi="宋体" w:eastAsia="宋体" w:cs="宋体"/>
          <w:color w:val="000000"/>
          <w:sz w:val="24"/>
          <w:szCs w:val="24"/>
          <w:highlight w:val="none"/>
          <w:lang w:eastAsia="zh-CN"/>
        </w:rPr>
        <w:t xml:space="preserve">供应商可对本次采购的单个</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或全部</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进行响应，在磋商响应文件中注明所投</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eastAsia="zh-CN"/>
        </w:rPr>
        <w:t xml:space="preserve">并响应该</w:t>
      </w:r>
      <w:r>
        <w:rPr>
          <w:rFonts w:hint="eastAsia" w:ascii="宋体" w:hAnsi="宋体" w:eastAsia="宋体" w:cs="宋体"/>
          <w:color w:val="000000"/>
          <w:sz w:val="24"/>
          <w:szCs w:val="24"/>
          <w:highlight w:val="none"/>
          <w:lang w:val="en-US" w:eastAsia="zh-CN"/>
        </w:rPr>
        <w:t xml:space="preserve">采购包的</w:t>
      </w:r>
      <w:r>
        <w:rPr>
          <w:rFonts w:hint="eastAsia" w:ascii="宋体" w:hAnsi="宋体" w:eastAsia="宋体" w:cs="宋体"/>
          <w:color w:val="000000"/>
          <w:sz w:val="24"/>
          <w:szCs w:val="24"/>
          <w:highlight w:val="none"/>
          <w:lang w:eastAsia="zh-CN"/>
        </w:rPr>
        <w:t xml:space="preserve">全部内容。每个供应商仅限成交</w:t>
      </w:r>
      <w:r>
        <w:rPr>
          <w:rFonts w:hint="eastAsia" w:ascii="宋体" w:hAnsi="宋体" w:eastAsia="宋体" w:cs="宋体"/>
          <w:color w:val="000000"/>
          <w:sz w:val="24"/>
          <w:szCs w:val="24"/>
          <w:highlight w:val="none"/>
          <w:lang w:val="en-US" w:eastAsia="zh-CN"/>
        </w:rPr>
        <w:t xml:space="preserve">1个采购包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评审时，</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val="en-US" w:eastAsia="zh-CN"/>
        </w:rPr>
        <w:t xml:space="preserve">采购包1—7</w:t>
      </w:r>
      <w:r>
        <w:rPr>
          <w:rFonts w:hint="eastAsia" w:ascii="宋体" w:hAnsi="宋体" w:eastAsia="宋体" w:cs="宋体"/>
          <w:color w:val="000000"/>
          <w:sz w:val="24"/>
          <w:szCs w:val="24"/>
          <w:highlight w:val="none"/>
          <w:lang w:eastAsia="zh-CN"/>
        </w:rPr>
        <w:t xml:space="preserve">的顺序依次确定成交</w:t>
      </w:r>
      <w:r>
        <w:rPr>
          <w:rFonts w:hint="eastAsia" w:ascii="宋体" w:hAnsi="宋体" w:eastAsia="宋体" w:cs="宋体"/>
          <w:color w:val="000000"/>
          <w:sz w:val="24"/>
          <w:szCs w:val="24"/>
          <w:highlight w:val="none"/>
          <w:lang w:val="en-US" w:eastAsia="zh-CN"/>
        </w:rPr>
        <w:t xml:space="preserve">候选人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如供应商已确定为采购包1的</w:t>
      </w:r>
      <w:r>
        <w:rPr>
          <w:rFonts w:hint="eastAsia" w:ascii="宋体" w:hAnsi="宋体" w:eastAsia="宋体" w:cs="宋体"/>
          <w:color w:val="000000"/>
          <w:sz w:val="24"/>
          <w:szCs w:val="24"/>
          <w:highlight w:val="none"/>
          <w:lang w:eastAsia="zh-CN"/>
        </w:rPr>
        <w:t xml:space="preserve">成交第一候选人，</w:t>
      </w:r>
      <w:r>
        <w:rPr>
          <w:rFonts w:hint="eastAsia" w:ascii="宋体" w:hAnsi="宋体" w:eastAsia="宋体" w:cs="宋体"/>
          <w:color w:val="000000"/>
          <w:sz w:val="24"/>
          <w:szCs w:val="24"/>
          <w:highlight w:val="none"/>
          <w:lang w:val="en-US" w:eastAsia="zh-CN"/>
        </w:rPr>
        <w:t xml:space="preserve">将自动放弃后续分包的排名资格，以此类推。</w:t>
      </w:r>
      <w:r>
        <w:rPr>
          <w:rFonts w:hint="eastAsia" w:ascii="宋体" w:hAnsi="宋体" w:eastAsia="宋体" w:cs="宋体"/>
          <w:color w:val="000000"/>
          <w:sz w:val="24"/>
          <w:szCs w:val="24"/>
          <w:highlight w:val="none"/>
          <w:lang w:eastAsia="zh-CN"/>
        </w:rPr>
      </w:r>
      <w:r/>
    </w:p>
    <w:tbl>
      <w:tblPr>
        <w:tblW w:w="490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00"/>
        <w:gridCol w:w="3417"/>
        <w:gridCol w:w="907"/>
        <w:gridCol w:w="1074"/>
        <w:gridCol w:w="1577"/>
        <w:gridCol w:w="1362"/>
      </w:tblGrid>
      <w:tr>
        <w:trPr>
          <w:trHeight w:val="669"/>
          <w:tblHeader/>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包号</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采购内容</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地区</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批次数</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任务详情</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采购金额（万元）</w:t>
            </w:r>
            <w:r>
              <w:rPr>
                <w:rFonts w:hint="eastAsia" w:ascii="宋体" w:hAnsi="宋体" w:eastAsia="宋体" w:cs="宋体"/>
                <w:b w:val="0"/>
                <w:bCs/>
                <w:color w:val="000000"/>
                <w:spacing w:val="2"/>
                <w:sz w:val="24"/>
                <w:szCs w:val="24"/>
                <w:highlight w:val="none"/>
                <w:lang w:val="en-US" w:eastAsia="zh-CN"/>
              </w:rPr>
            </w:r>
            <w:r/>
          </w:p>
        </w:tc>
      </w:tr>
      <w:tr>
        <w:trPr>
          <w:trHeight w:val="448"/>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01</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2026年常州市市场监督管理局食品检测技术服务</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溧阳</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400</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77" w:type="dxa"/>
            <w:vAlign w:val="center"/>
            <w:vMerge w:val="restart"/>
            <w:textDirection w:val="lrTb"/>
            <w:noWrap/>
          </w:tcPr>
          <w:p>
            <w:pPr>
              <w:pStyle w:val="905"/>
              <w:numPr>
                <w:ilvl w:val="0"/>
                <w:numId w:val="0"/>
              </w:numPr>
              <w:jc w:val="both"/>
              <w:keepLines w:val="0"/>
              <w:keepNext w:val="0"/>
              <w:pageBreakBefore w:val="0"/>
              <w:spacing w:line="560" w:lineRule="exact"/>
              <w:widowControl w:val="off"/>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任务类型为监督抽检，任务时间为自本合同签订之日起至2027年3月31日前完成（以“国抽系统”录入时间为准）。</w:t>
            </w:r>
            <w:r>
              <w:rPr>
                <w:rFonts w:hint="eastAsia" w:ascii="宋体" w:hAnsi="宋体" w:eastAsia="宋体" w:cs="宋体"/>
                <w:b w:val="0"/>
                <w:bCs/>
                <w:color w:val="000000"/>
                <w:spacing w:val="2"/>
                <w:sz w:val="24"/>
                <w:szCs w:val="24"/>
                <w:highlight w:val="none"/>
                <w:lang w:val="en-US" w:eastAsia="zh-CN"/>
              </w:rPr>
            </w:r>
            <w:r/>
          </w:p>
          <w:p>
            <w:pPr>
              <w:pStyle w:val="905"/>
              <w:numPr>
                <w:ilvl w:val="0"/>
                <w:numId w:val="0"/>
              </w:numPr>
              <w:jc w:val="both"/>
              <w:keepLines w:val="0"/>
              <w:keepNext w:val="0"/>
              <w:pageBreakBefore w:val="0"/>
              <w:spacing w:line="560" w:lineRule="exact"/>
              <w:widowControl w:val="off"/>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所抽取的样品包含生产环节和经营环节，最终结算金额不超过1017元/批次。</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40.74</w:t>
            </w:r>
            <w:r>
              <w:rPr>
                <w:rFonts w:hint="eastAsia" w:ascii="宋体" w:hAnsi="宋体" w:eastAsia="宋体" w:cs="宋体"/>
                <w:b w:val="0"/>
                <w:bCs/>
                <w:color w:val="000000"/>
                <w:spacing w:val="2"/>
                <w:sz w:val="24"/>
                <w:szCs w:val="24"/>
                <w:highlight w:val="none"/>
                <w:lang w:val="en-US" w:eastAsia="zh-CN"/>
              </w:rPr>
            </w:r>
            <w:r/>
          </w:p>
        </w:tc>
      </w:tr>
      <w:tr>
        <w:trPr>
          <w:trHeight w:val="448"/>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02</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2026年常州市市场监督管理局食品检测技术服务</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金坛</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400</w:t>
            </w:r>
            <w:r>
              <w:rPr>
                <w:rFonts w:hint="eastAsia" w:ascii="宋体" w:hAnsi="宋体" w:eastAsia="宋体" w:cs="宋体"/>
                <w:b w:val="0"/>
                <w:bCs/>
                <w:color w:val="000000"/>
                <w:spacing w:val="2"/>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577" w:type="dxa"/>
            <w:vAlign w:val="center"/>
            <w:vMerge w:val="continue"/>
            <w:textDirection w:val="lrTb"/>
            <w:noWrap/>
          </w:tcPr>
          <w:p>
            <w:pPr>
              <w:pStyle w:val="905"/>
              <w:ind w:firstLine="488"/>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40.71</w:t>
            </w:r>
            <w:r>
              <w:rPr>
                <w:rFonts w:hint="eastAsia" w:ascii="宋体" w:hAnsi="宋体" w:eastAsia="宋体" w:cs="宋体"/>
                <w:b w:val="0"/>
                <w:bCs/>
                <w:color w:val="000000"/>
                <w:spacing w:val="2"/>
                <w:sz w:val="24"/>
                <w:szCs w:val="24"/>
                <w:highlight w:val="none"/>
                <w:lang w:val="en-US" w:eastAsia="zh-CN"/>
              </w:rPr>
            </w:r>
            <w:r/>
          </w:p>
        </w:tc>
      </w:tr>
      <w:tr>
        <w:trPr>
          <w:trHeight w:val="448"/>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03</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2026年常州市市场监督管理局食品检测技术服务</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武进</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400</w:t>
            </w:r>
            <w:r>
              <w:rPr>
                <w:rFonts w:hint="eastAsia" w:ascii="宋体" w:hAnsi="宋体" w:eastAsia="宋体" w:cs="宋体"/>
                <w:b w:val="0"/>
                <w:bCs/>
                <w:color w:val="000000"/>
                <w:spacing w:val="2"/>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577" w:type="dxa"/>
            <w:vAlign w:val="center"/>
            <w:vMerge w:val="continue"/>
            <w:textDirection w:val="lrTb"/>
            <w:noWrap/>
          </w:tcPr>
          <w:p>
            <w:pPr>
              <w:pStyle w:val="905"/>
              <w:ind w:firstLine="488"/>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40.71</w:t>
            </w:r>
            <w:r>
              <w:rPr>
                <w:rFonts w:hint="eastAsia" w:ascii="宋体" w:hAnsi="宋体" w:eastAsia="宋体" w:cs="宋体"/>
                <w:b w:val="0"/>
                <w:bCs/>
                <w:color w:val="000000"/>
                <w:spacing w:val="2"/>
                <w:sz w:val="24"/>
                <w:szCs w:val="24"/>
                <w:highlight w:val="none"/>
                <w:lang w:val="en-US" w:eastAsia="zh-CN"/>
              </w:rPr>
            </w:r>
            <w:r/>
          </w:p>
        </w:tc>
      </w:tr>
      <w:tr>
        <w:trPr>
          <w:trHeight w:val="448"/>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04</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2026年常州市市场监督管理局食品检测技术服务</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新北</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400</w:t>
            </w:r>
            <w:r>
              <w:rPr>
                <w:rFonts w:hint="eastAsia" w:ascii="宋体" w:hAnsi="宋体" w:eastAsia="宋体" w:cs="宋体"/>
                <w:b w:val="0"/>
                <w:bCs/>
                <w:color w:val="000000"/>
                <w:spacing w:val="2"/>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577" w:type="dxa"/>
            <w:vAlign w:val="center"/>
            <w:vMerge w:val="continue"/>
            <w:textDirection w:val="lrTb"/>
            <w:noWrap/>
          </w:tcPr>
          <w:p>
            <w:pPr>
              <w:pStyle w:val="905"/>
              <w:ind w:firstLine="488"/>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40.71</w:t>
            </w:r>
            <w:r>
              <w:rPr>
                <w:rFonts w:hint="eastAsia" w:ascii="宋体" w:hAnsi="宋体" w:eastAsia="宋体" w:cs="宋体"/>
                <w:b w:val="0"/>
                <w:bCs/>
                <w:color w:val="000000"/>
                <w:spacing w:val="2"/>
                <w:sz w:val="24"/>
                <w:szCs w:val="24"/>
                <w:highlight w:val="none"/>
                <w:lang w:val="en-US" w:eastAsia="zh-CN"/>
              </w:rPr>
            </w:r>
            <w:r/>
          </w:p>
        </w:tc>
      </w:tr>
      <w:tr>
        <w:trPr>
          <w:trHeight w:val="448"/>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05</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2026年常州市市场监督管理局食品检测技术服务</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天宁</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400</w:t>
            </w:r>
            <w:r>
              <w:rPr>
                <w:rFonts w:hint="eastAsia" w:ascii="宋体" w:hAnsi="宋体" w:eastAsia="宋体" w:cs="宋体"/>
                <w:b w:val="0"/>
                <w:bCs/>
                <w:color w:val="000000"/>
                <w:spacing w:val="2"/>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577" w:type="dxa"/>
            <w:vAlign w:val="center"/>
            <w:vMerge w:val="continue"/>
            <w:textDirection w:val="lrTb"/>
            <w:noWrap/>
          </w:tcPr>
          <w:p>
            <w:pPr>
              <w:pStyle w:val="905"/>
              <w:ind w:firstLine="488"/>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40.71</w:t>
            </w:r>
            <w:r>
              <w:rPr>
                <w:rFonts w:hint="eastAsia" w:ascii="宋体" w:hAnsi="宋体" w:eastAsia="宋体" w:cs="宋体"/>
                <w:b w:val="0"/>
                <w:bCs/>
                <w:color w:val="000000"/>
                <w:spacing w:val="2"/>
                <w:sz w:val="24"/>
                <w:szCs w:val="24"/>
                <w:highlight w:val="none"/>
                <w:lang w:val="en-US" w:eastAsia="zh-CN"/>
              </w:rPr>
            </w:r>
            <w:r/>
          </w:p>
        </w:tc>
      </w:tr>
      <w:tr>
        <w:trPr>
          <w:trHeight w:val="1034"/>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06</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2026年常州市市场监督管理局食品检测技术服务</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钟楼</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400</w:t>
            </w:r>
            <w:r>
              <w:rPr>
                <w:rFonts w:hint="eastAsia" w:ascii="宋体" w:hAnsi="宋体" w:eastAsia="宋体" w:cs="宋体"/>
                <w:b w:val="0"/>
                <w:bCs/>
                <w:color w:val="000000"/>
                <w:spacing w:val="2"/>
                <w:sz w:val="24"/>
                <w:szCs w:val="24"/>
                <w:highlight w:val="none"/>
                <w:lang w:val="en-US" w:eastAsia="zh-CN"/>
              </w:rPr>
            </w:r>
            <w:r/>
          </w:p>
        </w:tc>
        <w:tc>
          <w:tcPr>
            <w:tcBorders>
              <w:top w:val="none" w:color="000000" w:sz="0" w:space="0"/>
              <w:left w:val="single" w:color="000000" w:sz="4" w:space="0"/>
              <w:bottom w:val="none" w:color="000000" w:sz="0" w:space="0"/>
              <w:right w:val="single" w:color="000000" w:sz="4" w:space="0"/>
            </w:tcBorders>
            <w:tcW w:w="1577" w:type="dxa"/>
            <w:vAlign w:val="center"/>
            <w:vMerge w:val="continue"/>
            <w:textDirection w:val="lrTb"/>
            <w:noWrap/>
          </w:tcPr>
          <w:p>
            <w:pPr>
              <w:pStyle w:val="905"/>
              <w:ind w:firstLine="488"/>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40.71</w:t>
            </w:r>
            <w:r>
              <w:rPr>
                <w:rFonts w:hint="eastAsia" w:ascii="宋体" w:hAnsi="宋体" w:eastAsia="宋体" w:cs="宋体"/>
                <w:b w:val="0"/>
                <w:bCs/>
                <w:color w:val="000000"/>
                <w:spacing w:val="2"/>
                <w:sz w:val="24"/>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07</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41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2026年常州市市场监督管理局食品检测技术服务</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经开</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400</w:t>
            </w: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77" w:type="dxa"/>
            <w:vAlign w:val="center"/>
            <w:vMerge w:val="continue"/>
            <w:textDirection w:val="lrTb"/>
            <w:noWrap/>
          </w:tcPr>
          <w:p>
            <w:pPr>
              <w:pStyle w:val="905"/>
              <w:ind w:firstLine="488"/>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905"/>
              <w:jc w:val="center"/>
              <w:keepLines w:val="0"/>
              <w:keepNext w:val="0"/>
              <w:pageBreakBefore w:val="0"/>
              <w:spacing w:line="360" w:lineRule="auto"/>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40.71</w:t>
            </w:r>
            <w:r>
              <w:rPr>
                <w:rFonts w:hint="eastAsia" w:ascii="宋体" w:hAnsi="宋体" w:eastAsia="宋体" w:cs="宋体"/>
                <w:b w:val="0"/>
                <w:bCs/>
                <w:color w:val="000000"/>
                <w:spacing w:val="2"/>
                <w:sz w:val="24"/>
                <w:szCs w:val="24"/>
                <w:highlight w:val="none"/>
                <w:lang w:val="en-US" w:eastAsia="zh-CN"/>
              </w:rPr>
            </w:r>
            <w:r/>
          </w:p>
        </w:tc>
      </w:tr>
    </w:tbl>
    <w:p>
      <w:pPr>
        <w:pStyle w:val="905"/>
        <w:ind w:firstLine="488"/>
        <w:jc w:val="left"/>
        <w:keepLines w:val="0"/>
        <w:keepNext w:val="0"/>
        <w:pageBreakBefore w:val="0"/>
        <w:spacing w:line="360" w:lineRule="auto"/>
        <w:widowControl/>
        <w:rPr>
          <w:rFonts w:hint="eastAsia" w:ascii="宋体" w:hAnsi="宋体" w:eastAsia="宋体" w:cs="宋体"/>
          <w:b w:val="0"/>
          <w:bCs/>
          <w:color w:val="000000"/>
          <w:spacing w:val="2"/>
          <w:sz w:val="24"/>
          <w:szCs w:val="24"/>
          <w:highlight w:val="none"/>
          <w:lang w:val="en-US" w:eastAsia="zh-CN"/>
        </w:rPr>
        <w:suppressLineNumbers w:val="0"/>
      </w:pPr>
      <w:r>
        <w:rPr>
          <w:rFonts w:hint="eastAsia" w:ascii="宋体" w:hAnsi="宋体" w:eastAsia="宋体" w:cs="宋体"/>
          <w:b w:val="0"/>
          <w:bCs/>
          <w:color w:val="000000"/>
          <w:spacing w:val="2"/>
          <w:sz w:val="24"/>
          <w:szCs w:val="24"/>
          <w:highlight w:val="none"/>
          <w:lang w:val="en-US" w:eastAsia="zh-CN"/>
        </w:rPr>
        <w:t xml:space="preserve">详见采购需求。</w:t>
      </w:r>
      <w:r>
        <w:rPr>
          <w:rFonts w:hint="eastAsia" w:ascii="宋体" w:hAnsi="宋体" w:eastAsia="宋体" w:cs="宋体"/>
          <w:b w:val="0"/>
          <w:bCs/>
          <w:color w:val="000000"/>
          <w:spacing w:val="2"/>
          <w:sz w:val="24"/>
          <w:szCs w:val="24"/>
          <w:highlight w:val="none"/>
          <w:lang w:val="en-US" w:eastAsia="zh-CN"/>
        </w:rPr>
      </w:r>
      <w:r/>
    </w:p>
    <w:p>
      <w:pPr>
        <w:pStyle w:val="905"/>
        <w:ind w:firstLine="490"/>
        <w:jc w:val="left"/>
        <w:keepLines w:val="0"/>
        <w:keepNext w:val="0"/>
        <w:pageBreakBefore w:val="0"/>
        <w:spacing w:line="360" w:lineRule="auto"/>
        <w:widowControl/>
        <w:rPr>
          <w:rFonts w:hint="eastAsia" w:ascii="宋体" w:hAnsi="宋体" w:eastAsia="宋体" w:cs="宋体"/>
          <w:color w:val="000000"/>
          <w:spacing w:val="2"/>
          <w:sz w:val="24"/>
          <w:szCs w:val="24"/>
          <w:highlight w:val="none"/>
          <w:lang w:val="en-US" w:eastAsia="zh-CN"/>
        </w:rPr>
        <w:suppressLineNumbers w:val="0"/>
      </w:pPr>
      <w:r>
        <w:rPr>
          <w:rFonts w:hint="eastAsia" w:ascii="宋体" w:hAnsi="宋体" w:eastAsia="宋体" w:cs="宋体"/>
          <w:b/>
          <w:color w:val="000000"/>
          <w:spacing w:val="2"/>
          <w:sz w:val="24"/>
          <w:szCs w:val="24"/>
          <w:highlight w:val="none"/>
        </w:rPr>
        <w:t xml:space="preserve">合同履行期限：</w:t>
      </w:r>
      <w:r>
        <w:rPr>
          <w:rFonts w:hint="eastAsia" w:ascii="宋体" w:hAnsi="宋体" w:eastAsia="宋体" w:cs="宋体"/>
          <w:b w:val="0"/>
          <w:bCs/>
          <w:color w:val="000000"/>
          <w:spacing w:val="2"/>
          <w:sz w:val="24"/>
          <w:szCs w:val="24"/>
          <w:highlight w:val="none"/>
          <w:lang w:val="en-US" w:eastAsia="zh-CN"/>
        </w:rPr>
        <w:t xml:space="preserve">自本合同签订之日起至2027年3月31日前完成（以“国抽系统”录入时间为准）。</w:t>
      </w:r>
      <w:r>
        <w:rPr>
          <w:rFonts w:hint="eastAsia" w:ascii="宋体" w:hAnsi="宋体" w:eastAsia="宋体" w:cs="宋体"/>
          <w:color w:val="000000"/>
          <w:spacing w:val="2"/>
          <w:sz w:val="24"/>
          <w:szCs w:val="24"/>
          <w:highlight w:val="none"/>
          <w:lang w:val="en-US" w:eastAsia="zh-CN"/>
        </w:rPr>
      </w:r>
      <w:r/>
    </w:p>
    <w:p>
      <w:pPr>
        <w:pStyle w:val="905"/>
        <w:ind w:firstLine="490"/>
        <w:keepLines w:val="0"/>
        <w:keepNext w:val="0"/>
        <w:pageBreakBefore w:val="0"/>
        <w:spacing w:line="360" w:lineRule="auto"/>
        <w:rPr>
          <w:rFonts w:hint="eastAsia" w:ascii="宋体" w:hAnsi="宋体" w:eastAsia="宋体" w:cs="宋体"/>
          <w:bCs/>
          <w:color w:val="000000"/>
          <w:spacing w:val="2"/>
          <w:sz w:val="24"/>
          <w:szCs w:val="24"/>
        </w:rPr>
      </w:pPr>
      <w:r/>
      <w:bookmarkStart w:id="12" w:name="_Toc35393622"/>
      <w:r/>
      <w:bookmarkStart w:id="13" w:name="_Toc28359003"/>
      <w:r/>
      <w:bookmarkStart w:id="14" w:name="_Toc35393791"/>
      <w:r/>
      <w:bookmarkStart w:id="15" w:name="_Toc28359080"/>
      <w:r>
        <w:rPr>
          <w:rFonts w:hint="eastAsia" w:ascii="宋体" w:hAnsi="宋体" w:eastAsia="宋体" w:cs="宋体"/>
          <w:b/>
          <w:color w:val="000000"/>
          <w:spacing w:val="2"/>
          <w:sz w:val="24"/>
          <w:szCs w:val="24"/>
        </w:rPr>
        <w:t xml:space="preserve">二、申请人的资格要求：</w:t>
      </w:r>
      <w:bookmarkEnd w:id="12"/>
      <w:r/>
      <w:bookmarkEnd w:id="13"/>
      <w:r/>
      <w:bookmarkEnd w:id="14"/>
      <w:r/>
      <w:bookmarkEnd w:id="15"/>
      <w:r>
        <w:rPr>
          <w:rFonts w:hint="eastAsia" w:ascii="宋体" w:hAnsi="宋体" w:eastAsia="宋体" w:cs="宋体"/>
          <w:bCs/>
          <w:color w:val="000000"/>
          <w:spacing w:val="2"/>
          <w:sz w:val="24"/>
          <w:szCs w:val="24"/>
        </w:rPr>
      </w:r>
      <w:r/>
    </w:p>
    <w:p>
      <w:pPr>
        <w:pStyle w:val="905"/>
        <w:ind w:firstLine="488"/>
        <w:keepLines w:val="0"/>
        <w:keepNext w:val="0"/>
        <w:pageBreakBefore w:val="0"/>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1.满足《中华人民共和国政府采购法》第二十二条规定</w:t>
      </w:r>
      <w:r>
        <w:rPr>
          <w:rFonts w:hint="eastAsia" w:ascii="宋体" w:hAnsi="宋体" w:eastAsia="宋体" w:cs="宋体"/>
          <w:bCs/>
          <w:color w:val="000000"/>
          <w:spacing w:val="2"/>
          <w:sz w:val="24"/>
          <w:szCs w:val="24"/>
        </w:rPr>
      </w:r>
      <w:r/>
    </w:p>
    <w:p>
      <w:pPr>
        <w:pStyle w:val="905"/>
        <w:ind w:firstLine="490"/>
        <w:keepLines w:val="0"/>
        <w:keepNext w:val="0"/>
        <w:pageBreakBefore w:val="0"/>
        <w:spacing w:line="360" w:lineRule="auto"/>
        <w:rPr>
          <w:rFonts w:hint="eastAsia" w:ascii="宋体" w:hAnsi="宋体" w:eastAsia="宋体" w:cs="宋体"/>
          <w:bCs/>
          <w:color w:val="000000"/>
          <w:spacing w:val="2"/>
          <w:sz w:val="24"/>
          <w:szCs w:val="24"/>
        </w:rPr>
      </w:pPr>
      <w:r>
        <w:rPr>
          <w:rFonts w:hint="eastAsia" w:ascii="宋体" w:hAnsi="宋体" w:eastAsia="宋体" w:cs="宋体"/>
          <w:b/>
          <w:color w:val="000000"/>
          <w:spacing w:val="2"/>
          <w:sz w:val="24"/>
          <w:szCs w:val="24"/>
        </w:rPr>
        <w:t xml:space="preserve">2.落实政府采购政策需满足的资格要求</w:t>
      </w:r>
      <w:r>
        <w:rPr>
          <w:rFonts w:hint="eastAsia" w:ascii="宋体" w:hAnsi="宋体" w:eastAsia="宋体" w:cs="宋体"/>
          <w:bCs/>
          <w:color w:val="000000"/>
          <w:spacing w:val="2"/>
          <w:sz w:val="24"/>
          <w:szCs w:val="24"/>
        </w:rPr>
        <w:t xml:space="preserve">：</w:t>
      </w:r>
      <w:r>
        <w:rPr>
          <w:rFonts w:hint="eastAsia" w:ascii="宋体" w:hAnsi="宋体" w:eastAsia="宋体" w:cs="宋体"/>
          <w:bCs/>
          <w:color w:val="000000"/>
          <w:spacing w:val="2"/>
          <w:sz w:val="24"/>
          <w:szCs w:val="24"/>
        </w:rPr>
      </w:r>
      <w:r/>
    </w:p>
    <w:p>
      <w:pPr>
        <w:pStyle w:val="905"/>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2.1 中小企业政策</w:t>
      </w:r>
      <w:r>
        <w:rPr>
          <w:rFonts w:hint="eastAsia" w:ascii="宋体" w:hAnsi="宋体" w:eastAsia="宋体" w:cs="宋体"/>
          <w:bCs/>
          <w:color w:val="000000"/>
          <w:spacing w:val="2"/>
          <w:sz w:val="24"/>
          <w:szCs w:val="24"/>
        </w:rPr>
      </w:r>
      <w:r/>
    </w:p>
    <w:p>
      <w:pPr>
        <w:pStyle w:val="905"/>
        <w:ind w:firstLine="488"/>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本项目</w:t>
      </w:r>
      <w:r>
        <w:rPr>
          <w:rFonts w:hint="eastAsia" w:ascii="宋体" w:hAnsi="宋体" w:eastAsia="宋体" w:cs="宋体"/>
          <w:bCs/>
          <w:color w:val="000000"/>
          <w:spacing w:val="2"/>
          <w:sz w:val="24"/>
          <w:szCs w:val="24"/>
          <w:highlight w:val="none"/>
          <w:lang w:val="en-US" w:eastAsia="zh-CN"/>
        </w:rPr>
        <w:t xml:space="preserve">不</w:t>
      </w:r>
      <w:r>
        <w:rPr>
          <w:rFonts w:hint="eastAsia" w:ascii="宋体" w:hAnsi="宋体" w:eastAsia="宋体" w:cs="宋体"/>
          <w:bCs/>
          <w:color w:val="000000"/>
          <w:spacing w:val="2"/>
          <w:sz w:val="24"/>
          <w:szCs w:val="24"/>
          <w:highlight w:val="none"/>
        </w:rPr>
        <w:t xml:space="preserve">专门面向中小企业采购</w:t>
      </w:r>
      <w:r>
        <w:rPr>
          <w:rFonts w:hint="eastAsia" w:ascii="宋体" w:hAnsi="宋体" w:eastAsia="宋体" w:cs="宋体"/>
          <w:bCs/>
          <w:color w:val="000000"/>
          <w:spacing w:val="2"/>
          <w:sz w:val="24"/>
          <w:szCs w:val="24"/>
          <w:highlight w:val="none"/>
        </w:rPr>
      </w:r>
      <w:r/>
    </w:p>
    <w:p>
      <w:pPr>
        <w:pStyle w:val="905"/>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2.2 其它落实政府采购政策的资格要求（如有）：无。</w:t>
      </w:r>
      <w:r>
        <w:rPr>
          <w:rFonts w:hint="eastAsia" w:ascii="宋体" w:hAnsi="宋体" w:eastAsia="宋体" w:cs="宋体"/>
          <w:bCs/>
          <w:color w:val="000000"/>
          <w:spacing w:val="2"/>
          <w:sz w:val="24"/>
          <w:szCs w:val="24"/>
        </w:rPr>
      </w:r>
      <w:r/>
    </w:p>
    <w:p>
      <w:pPr>
        <w:pStyle w:val="905"/>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3.本项目的特定资格要求：</w:t>
      </w:r>
      <w:r>
        <w:rPr>
          <w:rFonts w:hint="eastAsia" w:ascii="宋体" w:hAnsi="宋体" w:eastAsia="宋体" w:cs="宋体"/>
          <w:bCs/>
          <w:color w:val="000000"/>
          <w:spacing w:val="2"/>
          <w:sz w:val="24"/>
          <w:szCs w:val="24"/>
        </w:rPr>
      </w:r>
      <w:r/>
    </w:p>
    <w:p>
      <w:pPr>
        <w:pStyle w:val="905"/>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3.1未被“信用中国”网站（WWW.creditchina.gov.cn）或“中国政府采购网”网站（www.ccgp.gov.cn）列入失信被执行人、重大税收违法失信主体、政府采购严重失信行为记录名单。</w:t>
      </w:r>
      <w:r>
        <w:rPr>
          <w:rFonts w:hint="eastAsia" w:ascii="宋体" w:hAnsi="宋体" w:eastAsia="宋体" w:cs="宋体"/>
          <w:bCs/>
          <w:color w:val="000000"/>
          <w:spacing w:val="2"/>
          <w:sz w:val="24"/>
          <w:szCs w:val="24"/>
        </w:rPr>
      </w:r>
      <w:r/>
    </w:p>
    <w:p>
      <w:pPr>
        <w:pStyle w:val="905"/>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eastAsia="宋体" w:cs="宋体"/>
          <w:bCs/>
          <w:color w:val="000000"/>
          <w:spacing w:val="2"/>
          <w:sz w:val="24"/>
          <w:szCs w:val="24"/>
        </w:rPr>
      </w:r>
      <w:r/>
    </w:p>
    <w:p>
      <w:pPr>
        <w:pStyle w:val="905"/>
        <w:ind w:firstLine="488"/>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rPr>
        <w:t xml:space="preserve">3.3</w:t>
      </w:r>
      <w:r>
        <w:rPr>
          <w:rFonts w:hint="eastAsia" w:ascii="宋体" w:hAnsi="宋体" w:eastAsia="宋体" w:cs="宋体"/>
          <w:bCs/>
          <w:color w:val="000000"/>
          <w:spacing w:val="2"/>
          <w:sz w:val="24"/>
          <w:szCs w:val="24"/>
          <w:highlight w:val="none"/>
          <w:lang w:val="en-US" w:eastAsia="zh-CN"/>
        </w:rPr>
        <w:t xml:space="preserve">本项目是否接受联合体:否</w:t>
      </w:r>
      <w:r>
        <w:rPr>
          <w:rFonts w:hint="eastAsia" w:ascii="宋体" w:hAnsi="宋体" w:eastAsia="宋体" w:cs="宋体"/>
          <w:bCs/>
          <w:color w:val="000000"/>
          <w:spacing w:val="2"/>
          <w:sz w:val="24"/>
          <w:szCs w:val="24"/>
          <w:highlight w:val="none"/>
          <w:lang w:val="en-US" w:eastAsia="zh-CN"/>
        </w:rPr>
      </w:r>
      <w:r/>
    </w:p>
    <w:p>
      <w:pPr>
        <w:pStyle w:val="905"/>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3.4本项目是否接受分支机构参与响应：否</w:t>
      </w:r>
      <w:r>
        <w:rPr>
          <w:rFonts w:hint="eastAsia" w:ascii="宋体" w:hAnsi="宋体" w:eastAsia="宋体" w:cs="宋体"/>
          <w:bCs/>
          <w:color w:val="000000"/>
          <w:spacing w:val="2"/>
          <w:sz w:val="24"/>
          <w:szCs w:val="24"/>
        </w:rPr>
      </w:r>
      <w:r/>
    </w:p>
    <w:p>
      <w:pPr>
        <w:pStyle w:val="905"/>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3.5本项目是否属于政府购买服务：</w:t>
      </w:r>
      <w:r>
        <w:rPr>
          <w:rFonts w:hint="eastAsia" w:ascii="宋体" w:hAnsi="宋体" w:eastAsia="宋体" w:cs="宋体"/>
          <w:bCs/>
          <w:color w:val="000000"/>
          <w:spacing w:val="2"/>
          <w:sz w:val="24"/>
          <w:szCs w:val="24"/>
          <w:lang w:val="en-US" w:eastAsia="zh-CN"/>
        </w:rPr>
        <w:t xml:space="preserve">是，公益一类事业单位、使用事业编制且由财政拨款保障的群团组织，不得作为承接主体</w:t>
      </w:r>
      <w:r>
        <w:rPr>
          <w:rFonts w:hint="eastAsia" w:ascii="宋体" w:hAnsi="宋体" w:eastAsia="宋体" w:cs="宋体"/>
          <w:bCs/>
          <w:color w:val="000000"/>
          <w:spacing w:val="2"/>
          <w:sz w:val="24"/>
          <w:szCs w:val="24"/>
        </w:rPr>
      </w:r>
      <w:r/>
    </w:p>
    <w:p>
      <w:pPr>
        <w:pStyle w:val="905"/>
        <w:ind w:firstLine="488"/>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3.6本项目是否接受进口产品：否</w:t>
      </w:r>
      <w:r>
        <w:rPr>
          <w:rFonts w:hint="eastAsia" w:ascii="宋体" w:hAnsi="宋体" w:eastAsia="宋体" w:cs="宋体"/>
          <w:bCs/>
          <w:color w:val="000000"/>
          <w:spacing w:val="2"/>
          <w:sz w:val="24"/>
          <w:szCs w:val="24"/>
          <w:highlight w:val="none"/>
          <w:lang w:val="en-US" w:eastAsia="zh-CN"/>
        </w:rPr>
      </w:r>
      <w:r/>
    </w:p>
    <w:p>
      <w:pPr>
        <w:pStyle w:val="905"/>
        <w:ind w:firstLine="488"/>
        <w:spacing w:line="360" w:lineRule="auto"/>
        <w:rPr>
          <w:rFonts w:hint="eastAsia" w:ascii="宋体" w:hAnsi="宋体" w:eastAsia="宋体" w:cs="宋体"/>
          <w:bCs/>
          <w:color w:val="000000"/>
          <w:spacing w:val="2"/>
          <w:sz w:val="24"/>
          <w:szCs w:val="24"/>
        </w:rPr>
      </w:pPr>
      <w:r>
        <w:rPr>
          <w:rFonts w:hint="eastAsia" w:ascii="宋体" w:hAnsi="宋体" w:eastAsia="宋体" w:cs="宋体"/>
          <w:bCs/>
          <w:color w:val="000000"/>
          <w:spacing w:val="2"/>
          <w:sz w:val="24"/>
          <w:szCs w:val="24"/>
        </w:rPr>
        <w:t xml:space="preserve">3.</w:t>
      </w:r>
      <w:r>
        <w:rPr>
          <w:rFonts w:hint="eastAsia" w:ascii="宋体" w:hAnsi="宋体" w:eastAsia="宋体" w:cs="宋体"/>
          <w:bCs/>
          <w:color w:val="000000"/>
          <w:spacing w:val="2"/>
          <w:sz w:val="24"/>
          <w:szCs w:val="24"/>
          <w:lang w:val="en-US" w:eastAsia="zh-CN"/>
        </w:rPr>
        <w:t xml:space="preserve">7</w:t>
      </w:r>
      <w:r>
        <w:rPr>
          <w:rFonts w:hint="eastAsia" w:ascii="宋体" w:hAnsi="宋体" w:eastAsia="宋体" w:cs="宋体"/>
          <w:bCs/>
          <w:color w:val="000000"/>
          <w:spacing w:val="2"/>
          <w:sz w:val="24"/>
          <w:szCs w:val="24"/>
        </w:rPr>
        <w:t xml:space="preserve">其他特定资格要求：</w:t>
      </w:r>
      <w:r>
        <w:rPr>
          <w:rFonts w:hint="eastAsia" w:ascii="宋体" w:hAnsi="宋体" w:eastAsia="宋体" w:cs="宋体"/>
          <w:bCs/>
          <w:color w:val="000000"/>
          <w:spacing w:val="2"/>
          <w:sz w:val="24"/>
          <w:szCs w:val="24"/>
        </w:rPr>
      </w:r>
      <w:r/>
    </w:p>
    <w:p>
      <w:pPr>
        <w:pStyle w:val="905"/>
        <w:ind w:firstLine="488"/>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3.7.1供应商必须具有有效的食品检验机构资质认定证书及附表，证书资质范围须包含本项目所涉食品的全部必检项目 </w:t>
      </w:r>
      <w:r>
        <w:rPr>
          <w:rFonts w:hint="eastAsia" w:ascii="宋体" w:hAnsi="宋体" w:eastAsia="宋体" w:cs="宋体"/>
          <w:bCs/>
          <w:color w:val="000000"/>
          <w:spacing w:val="2"/>
          <w:sz w:val="24"/>
          <w:szCs w:val="24"/>
          <w:highlight w:val="none"/>
          <w:lang w:val="en-US" w:eastAsia="zh-CN"/>
        </w:rPr>
      </w:r>
      <w:r/>
    </w:p>
    <w:p>
      <w:pPr>
        <w:pStyle w:val="905"/>
        <w:ind w:firstLine="488"/>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3.7.2供应商应具备有效期内的农产品质量安全检测机构资质证书（CATL）</w:t>
      </w:r>
      <w:r>
        <w:rPr>
          <w:rFonts w:hint="eastAsia" w:ascii="宋体" w:hAnsi="宋体" w:eastAsia="宋体" w:cs="宋体"/>
          <w:bCs/>
          <w:color w:val="000000"/>
          <w:spacing w:val="2"/>
          <w:sz w:val="24"/>
          <w:szCs w:val="24"/>
          <w:highlight w:val="none"/>
          <w:lang w:val="en-US" w:eastAsia="zh-CN"/>
        </w:rPr>
      </w:r>
      <w:r/>
    </w:p>
    <w:p>
      <w:pPr>
        <w:pStyle w:val="907"/>
        <w:ind w:firstLine="482"/>
        <w:jc w:val="left"/>
        <w:spacing w:before="0" w:line="360" w:lineRule="auto"/>
        <w:widowControl/>
        <w:rPr>
          <w:rFonts w:hint="eastAsia" w:ascii="宋体" w:hAnsi="宋体" w:eastAsia="宋体" w:cs="宋体"/>
          <w:bCs/>
          <w:color w:val="000000"/>
          <w:sz w:val="24"/>
          <w:szCs w:val="24"/>
        </w:rPr>
      </w:pPr>
      <w:r/>
      <w:bookmarkEnd w:id="10"/>
      <w:r/>
      <w:bookmarkEnd w:id="11"/>
      <w:r/>
      <w:bookmarkStart w:id="16" w:name="_Toc35393792"/>
      <w:r/>
      <w:bookmarkStart w:id="17" w:name="_Toc35393623"/>
      <w:r>
        <w:rPr>
          <w:rFonts w:hint="eastAsia" w:ascii="宋体" w:hAnsi="宋体" w:eastAsia="宋体" w:cs="宋体"/>
          <w:bCs/>
          <w:color w:val="000000"/>
          <w:sz w:val="24"/>
          <w:szCs w:val="24"/>
        </w:rPr>
        <w:t xml:space="preserve">三、获取采购文件</w:t>
      </w:r>
      <w:bookmarkEnd w:id="16"/>
      <w:r/>
      <w:bookmarkEnd w:id="17"/>
      <w:r>
        <w:rPr>
          <w:rFonts w:hint="eastAsia" w:ascii="宋体" w:hAnsi="宋体" w:eastAsia="宋体" w:cs="宋体"/>
          <w:bCs/>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 </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2.地点：“苏采云”政府采购一体化平台</w:t>
      </w:r>
      <w:r>
        <w:rPr>
          <w:rFonts w:hint="eastAsia" w:ascii="宋体" w:hAnsi="宋体" w:eastAsia="宋体" w:cs="宋体"/>
          <w:color w:val="000000"/>
          <w:sz w:val="24"/>
          <w:szCs w:val="24"/>
        </w:rPr>
      </w:r>
      <w:r/>
    </w:p>
    <w:p>
      <w:pPr>
        <w:pStyle w:val="905"/>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3.方式：供应商持CA数字认证证书登录“苏采云”政府采购一体化平台（http://jszfcg.jsczt.cn/）获取电子版磋商文件。</w:t>
      </w:r>
      <w:r>
        <w:rPr>
          <w:rFonts w:hint="eastAsia" w:ascii="宋体" w:hAnsi="宋体" w:eastAsia="宋体" w:cs="宋体"/>
          <w:color w:val="000000"/>
          <w:sz w:val="24"/>
          <w:szCs w:val="24"/>
        </w:rPr>
      </w:r>
      <w:r/>
    </w:p>
    <w:p>
      <w:pPr>
        <w:pStyle w:val="905"/>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4.售价：0元。</w:t>
      </w:r>
      <w:r>
        <w:rPr>
          <w:rFonts w:hint="eastAsia" w:ascii="宋体" w:hAnsi="宋体" w:eastAsia="宋体" w:cs="宋体"/>
          <w:color w:val="000000"/>
          <w:sz w:val="24"/>
          <w:szCs w:val="24"/>
        </w:rPr>
      </w:r>
      <w:r/>
    </w:p>
    <w:p>
      <w:pPr>
        <w:pStyle w:val="905"/>
        <w:spacing w:line="360" w:lineRule="auto"/>
        <w:rPr>
          <w:rFonts w:hint="eastAsia" w:ascii="宋体" w:hAnsi="宋体" w:eastAsia="宋体" w:cs="宋体"/>
          <w:b/>
          <w:bCs/>
          <w:color w:val="000000"/>
          <w:sz w:val="24"/>
          <w:szCs w:val="24"/>
        </w:rPr>
      </w:pPr>
      <w:r/>
      <w:bookmarkStart w:id="18" w:name="_Toc35393793"/>
      <w:r>
        <w:rPr>
          <w:rFonts w:hint="eastAsia" w:ascii="宋体" w:hAnsi="宋体" w:eastAsia="宋体" w:cs="宋体"/>
          <w:b/>
          <w:bCs/>
          <w:color w:val="000000"/>
          <w:sz w:val="24"/>
          <w:szCs w:val="24"/>
        </w:rPr>
        <w:t xml:space="preserve">四、响应文件提交</w:t>
      </w:r>
      <w:r>
        <w:rPr>
          <w:rFonts w:hint="eastAsia" w:ascii="宋体" w:hAnsi="宋体" w:eastAsia="宋体" w:cs="宋体"/>
          <w:b/>
          <w:bCs/>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截止时间：</w:t>
      </w:r>
      <w:bookmarkEnd w:id="18"/>
      <w:r/>
      <w:bookmarkStart w:id="19" w:name="XMTBJSR_1"/>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日9：</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0（北京时间）</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地点：本项目采用不见面交易方式，无需到现场提交，供应商登录“苏采云”政府采购一体化平台供应商端，通过系统在线提交电子响应文件</w:t>
      </w:r>
      <w:r>
        <w:rPr>
          <w:rFonts w:hint="eastAsia" w:ascii="宋体" w:hAnsi="宋体" w:eastAsia="宋体" w:cs="宋体"/>
          <w:color w:val="000000"/>
          <w:sz w:val="24"/>
          <w:szCs w:val="24"/>
        </w:rPr>
      </w:r>
      <w:r/>
    </w:p>
    <w:p>
      <w:pPr>
        <w:pStyle w:val="905"/>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五、开启</w:t>
      </w:r>
      <w:r>
        <w:rPr>
          <w:rFonts w:hint="eastAsia" w:ascii="宋体" w:hAnsi="宋体" w:eastAsia="宋体" w:cs="宋体"/>
          <w:b/>
          <w:bCs/>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w:t>
      </w:r>
      <w:bookmarkEnd w:id="19"/>
      <w:r/>
      <w:bookmarkStart w:id="20" w:name="XMTBJSR_2"/>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日9：</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0（北京时间）</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地点：本项目采用不见面交易方式，无需到现场提交，供应商登录“苏采云”政府采购交易系统网上开标大厅，通过系统在线解密电子响应文件</w:t>
      </w:r>
      <w:bookmarkEnd w:id="20"/>
      <w:r>
        <w:rPr>
          <w:rFonts w:hint="eastAsia" w:ascii="宋体" w:hAnsi="宋体" w:eastAsia="宋体" w:cs="宋体"/>
          <w:color w:val="000000"/>
          <w:sz w:val="24"/>
          <w:szCs w:val="24"/>
        </w:rPr>
      </w:r>
      <w:r/>
    </w:p>
    <w:p>
      <w:pPr>
        <w:pStyle w:val="907"/>
        <w:jc w:val="left"/>
        <w:spacing w:before="0" w:line="360" w:lineRule="auto"/>
        <w:rPr>
          <w:rFonts w:hint="eastAsia" w:ascii="宋体" w:hAnsi="宋体" w:eastAsia="宋体" w:cs="宋体"/>
          <w:bCs/>
          <w:color w:val="000000"/>
          <w:sz w:val="24"/>
          <w:szCs w:val="24"/>
        </w:rPr>
      </w:pPr>
      <w:r/>
      <w:bookmarkStart w:id="21" w:name="_Toc28359007"/>
      <w:r/>
      <w:bookmarkStart w:id="22" w:name="_Toc35393794"/>
      <w:r/>
      <w:bookmarkStart w:id="23" w:name="_Toc28359084"/>
      <w:r/>
      <w:bookmarkStart w:id="24" w:name="_Toc35393625"/>
      <w:r>
        <w:rPr>
          <w:rFonts w:hint="eastAsia" w:ascii="宋体" w:hAnsi="宋体" w:eastAsia="宋体" w:cs="宋体"/>
          <w:bCs/>
          <w:color w:val="000000"/>
          <w:sz w:val="24"/>
          <w:szCs w:val="24"/>
        </w:rPr>
        <w:t xml:space="preserve">六、公告期限</w:t>
      </w:r>
      <w:bookmarkEnd w:id="21"/>
      <w:r/>
      <w:bookmarkEnd w:id="22"/>
      <w:r/>
      <w:bookmarkEnd w:id="23"/>
      <w:r/>
      <w:bookmarkEnd w:id="24"/>
      <w:r>
        <w:rPr>
          <w:rFonts w:hint="eastAsia" w:ascii="宋体" w:hAnsi="宋体" w:eastAsia="宋体" w:cs="宋体"/>
          <w:bCs/>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rPr>
          <w:rFonts w:hint="eastAsia" w:ascii="宋体" w:hAnsi="宋体" w:eastAsia="宋体" w:cs="宋体"/>
          <w:color w:val="000000"/>
          <w:sz w:val="24"/>
          <w:szCs w:val="24"/>
        </w:rPr>
      </w:r>
      <w:r/>
    </w:p>
    <w:p>
      <w:pPr>
        <w:pStyle w:val="905"/>
        <w:spacing w:line="360" w:lineRule="auto"/>
        <w:rPr>
          <w:rFonts w:hint="eastAsia" w:ascii="宋体" w:hAnsi="宋体" w:eastAsia="宋体" w:cs="宋体"/>
          <w:color w:val="000000"/>
          <w:sz w:val="24"/>
          <w:szCs w:val="24"/>
        </w:rPr>
      </w:pPr>
      <w:r>
        <w:rPr>
          <w:rFonts w:hint="eastAsia" w:ascii="宋体" w:hAnsi="宋体" w:eastAsia="宋体" w:cs="宋体"/>
          <w:b/>
          <w:color w:val="000000"/>
          <w:spacing w:val="2"/>
          <w:sz w:val="24"/>
          <w:szCs w:val="24"/>
        </w:rPr>
        <w:t xml:space="preserve">七、其他补充事宜</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技术支持服务热线:0519-85588210</w:t>
      </w:r>
      <w:r>
        <w:rPr>
          <w:rFonts w:hint="eastAsia" w:ascii="宋体" w:hAnsi="宋体" w:eastAsia="宋体" w:cs="宋体"/>
          <w:color w:val="000000"/>
          <w:sz w:val="24"/>
          <w:szCs w:val="24"/>
        </w:rPr>
      </w:r>
      <w:r/>
    </w:p>
    <w:p>
      <w:pPr>
        <w:pStyle w:val="989"/>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CA认证证书办理联系电话   0519-85588120</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2.关于常州市中小企业政府采购信用融资：</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szCs w:val="24"/>
        </w:rPr>
      </w:r>
      <w:r/>
    </w:p>
    <w:p>
      <w:pPr>
        <w:pStyle w:val="905"/>
        <w:ind w:firstLine="490"/>
        <w:spacing w:line="360" w:lineRule="auto"/>
        <w:rPr>
          <w:rFonts w:hint="eastAsia" w:ascii="宋体" w:hAnsi="宋体" w:eastAsia="宋体" w:cs="宋体"/>
          <w:b/>
          <w:color w:val="000000"/>
          <w:spacing w:val="2"/>
          <w:sz w:val="24"/>
          <w:szCs w:val="24"/>
        </w:rPr>
      </w:pPr>
      <w:r>
        <w:rPr>
          <w:rFonts w:hint="eastAsia" w:ascii="宋体" w:hAnsi="宋体" w:eastAsia="宋体" w:cs="宋体"/>
          <w:b/>
          <w:color w:val="000000"/>
          <w:spacing w:val="2"/>
          <w:sz w:val="24"/>
          <w:szCs w:val="24"/>
        </w:rPr>
        <w:t xml:space="preserve">八、凡对本次采购提出询问，请按以下方式联系：</w:t>
      </w:r>
      <w:r>
        <w:rPr>
          <w:rFonts w:hint="eastAsia" w:ascii="宋体" w:hAnsi="宋体" w:eastAsia="宋体" w:cs="宋体"/>
          <w:b/>
          <w:color w:val="000000"/>
          <w:spacing w:val="2"/>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1.采购人信息</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常州市市场监督管理局</w:t>
      </w:r>
      <w:r>
        <w:rPr>
          <w:rFonts w:hint="eastAsia" w:ascii="宋体" w:hAnsi="宋体" w:eastAsia="宋体" w:cs="宋体"/>
          <w:color w:val="000000"/>
          <w:sz w:val="24"/>
          <w:szCs w:val="24"/>
          <w:lang w:eastAsia="zh-CN"/>
        </w:rPr>
      </w:r>
      <w:r/>
    </w:p>
    <w:p>
      <w:pPr>
        <w:pStyle w:val="905"/>
        <w:ind w:firstLine="480"/>
        <w:spacing w:line="360" w:lineRule="auto"/>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lang w:val="en-US" w:eastAsia="zh-CN"/>
        </w:rPr>
        <w:t xml:space="preserve">常州市新北区太湖东路105号 </w:t>
      </w:r>
      <w:r>
        <w:rPr>
          <w:rFonts w:hint="eastAsia" w:ascii="宋体" w:hAnsi="宋体" w:eastAsia="宋体" w:cs="宋体"/>
          <w:color w:val="000000"/>
          <w:sz w:val="24"/>
          <w:szCs w:val="24"/>
          <w:highlight w:val="yellow"/>
        </w:rPr>
      </w:r>
      <w:r/>
    </w:p>
    <w:p>
      <w:pPr>
        <w:pStyle w:val="905"/>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联系人：</w:t>
      </w:r>
      <w:r>
        <w:rPr>
          <w:rFonts w:hint="eastAsia" w:ascii="宋体" w:hAnsi="宋体" w:eastAsia="宋体" w:cs="宋体"/>
          <w:color w:val="000000"/>
          <w:sz w:val="24"/>
          <w:szCs w:val="24"/>
          <w:lang w:val="en-US" w:eastAsia="zh-CN"/>
        </w:rPr>
        <w:t xml:space="preserve">邵先生</w:t>
      </w:r>
      <w:r>
        <w:rPr>
          <w:rFonts w:hint="eastAsia" w:ascii="宋体" w:hAnsi="宋体" w:eastAsia="宋体" w:cs="宋体"/>
          <w:color w:val="000000"/>
          <w:sz w:val="24"/>
          <w:szCs w:val="24"/>
          <w:lang w:val="en-US" w:eastAsia="zh-CN"/>
        </w:rPr>
      </w:r>
      <w:r/>
    </w:p>
    <w:p>
      <w:pPr>
        <w:pStyle w:val="905"/>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电话： </w:t>
      </w:r>
      <w:r>
        <w:rPr>
          <w:rFonts w:hint="eastAsia" w:ascii="宋体" w:hAnsi="宋体" w:eastAsia="宋体" w:cs="宋体"/>
          <w:color w:val="000000"/>
          <w:sz w:val="24"/>
          <w:szCs w:val="24"/>
          <w:lang w:val="en-US" w:eastAsia="zh-CN"/>
        </w:rPr>
        <w:t xml:space="preserve">0519-88588171</w:t>
      </w:r>
      <w:r>
        <w:rPr>
          <w:rFonts w:hint="eastAsia" w:ascii="宋体" w:hAnsi="宋体" w:eastAsia="宋体" w:cs="宋体"/>
          <w:color w:val="000000"/>
          <w:sz w:val="24"/>
          <w:szCs w:val="24"/>
          <w:lang w:val="en-US" w:eastAsia="zh-CN"/>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称：常州正衡招投标有限公司 </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址：常州市新北区新城府翰苑6栋9楼</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项目联系人：刘欢</w:t>
      </w:r>
      <w:r>
        <w:rPr>
          <w:rFonts w:hint="eastAsia" w:ascii="宋体" w:hAnsi="宋体" w:eastAsia="宋体" w:cs="宋体"/>
          <w:color w:val="000000"/>
          <w:sz w:val="24"/>
          <w:szCs w:val="24"/>
        </w:rPr>
      </w:r>
      <w:r/>
    </w:p>
    <w:p>
      <w:pPr>
        <w:pStyle w:val="90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话：0519-85510566</w:t>
      </w:r>
      <w:r>
        <w:rPr>
          <w:rFonts w:hint="eastAsia" w:ascii="宋体" w:hAnsi="宋体" w:eastAsia="宋体" w:cs="宋体"/>
          <w:color w:val="000000"/>
          <w:sz w:val="24"/>
          <w:szCs w:val="24"/>
        </w:rPr>
      </w:r>
      <w:r/>
    </w:p>
    <w:p>
      <w:pPr>
        <w:pStyle w:val="905"/>
        <w:ind w:firstLine="482"/>
        <w:spacing w:line="360" w:lineRule="auto"/>
        <w:rPr>
          <w:b/>
          <w:color w:val="000000"/>
          <w:sz w:val="36"/>
          <w:szCs w:val="36"/>
        </w:rPr>
      </w:pPr>
      <w:r/>
      <w:bookmarkStart w:id="25" w:name="_Toc305158928"/>
      <w:r/>
      <w:bookmarkStart w:id="26" w:name="_Toc127151777"/>
      <w:r/>
      <w:bookmarkStart w:id="27" w:name="_Toc353873938"/>
      <w:r/>
      <w:bookmarkStart w:id="28" w:name="_Toc512937850"/>
      <w:r/>
      <w:bookmarkStart w:id="29" w:name="_Toc353825548"/>
      <w:r/>
      <w:bookmarkStart w:id="30" w:name="_Toc127161488"/>
      <w:r/>
      <w:bookmarkStart w:id="31" w:name="_Toc150774783"/>
      <w:r/>
      <w:bookmarkStart w:id="32" w:name="_Toc195842950"/>
      <w:r/>
      <w:bookmarkStart w:id="33" w:name="_Toc6690"/>
      <w:r/>
      <w:bookmarkStart w:id="34" w:name="_Toc265228423"/>
      <w:r/>
      <w:bookmarkStart w:id="35" w:name="_Toc104818926"/>
      <w:r/>
      <w:bookmarkStart w:id="36" w:name="_Toc226965856"/>
      <w:r/>
      <w:bookmarkStart w:id="37" w:name="_Toc305158854"/>
      <w:r/>
      <w:bookmarkStart w:id="38" w:name="_Toc264969275"/>
      <w:r/>
      <w:bookmarkStart w:id="39" w:name="_Toc150480757"/>
      <w:r/>
      <w:bookmarkStart w:id="40" w:name="_Toc195842884"/>
      <w:r/>
      <w:bookmarkStart w:id="41" w:name="_Toc127151720"/>
      <w:r/>
      <w:bookmarkStart w:id="42" w:name="_Toc150774619"/>
      <w:r/>
      <w:bookmarkStart w:id="43" w:name="_Toc127161433"/>
      <w:r/>
      <w:bookmarkStart w:id="44" w:name="_Toc520356144"/>
      <w:r/>
      <w:bookmarkStart w:id="45" w:name="_Toc151193617"/>
      <w:r/>
      <w:bookmarkStart w:id="46" w:name="_Toc127151519"/>
      <w:r/>
      <w:bookmarkStart w:id="47" w:name="_Toc151193761"/>
      <w:r/>
      <w:bookmarkStart w:id="48" w:name="_Toc151193689"/>
      <w:r/>
      <w:bookmarkStart w:id="49" w:name="_Toc226337215"/>
      <w:r/>
      <w:bookmarkStart w:id="50" w:name="_Toc150509270"/>
      <w:r/>
      <w:bookmarkStart w:id="51" w:name="_Toc151193833"/>
      <w:r/>
      <w:bookmarkStart w:id="52" w:name="_Toc164351613"/>
      <w:r/>
      <w:bookmarkStart w:id="53" w:name="_Toc151193907"/>
      <w:r/>
      <w:bookmarkStart w:id="54" w:name="_Toc164229360"/>
      <w:r/>
      <w:bookmarkStart w:id="55" w:name="_Toc226965709"/>
      <w:r/>
      <w:bookmarkStart w:id="56" w:name="_Toc164229214"/>
      <w:r/>
      <w:bookmarkStart w:id="57" w:name="_Toc149720812"/>
      <w:r/>
      <w:bookmarkStart w:id="58" w:name="_Toc226965792"/>
      <w:r/>
      <w:bookmarkStart w:id="59" w:name="_Toc164608788"/>
      <w:r/>
      <w:bookmarkStart w:id="60" w:name="_Toc226309763"/>
      <w:r/>
      <w:bookmarkStart w:id="61" w:name="_Toc151190146"/>
      <w:r/>
      <w:bookmarkStart w:id="62" w:name="_Toc150774724"/>
      <w:r/>
      <w:bookmarkStart w:id="63" w:name="_Toc142311021"/>
      <w:r/>
      <w:bookmarkStart w:id="64" w:name="_Toc164608633"/>
      <w:r>
        <w:rPr>
          <w:rFonts w:hint="eastAsia" w:ascii="宋体" w:hAnsi="宋体" w:eastAsia="宋体" w:cs="宋体"/>
          <w:b/>
          <w:color w:val="000000"/>
          <w:sz w:val="24"/>
          <w:szCs w:val="24"/>
        </w:rPr>
        <w:br w:type="page" w:clear="all"/>
      </w:r>
      <w:r>
        <w:rPr>
          <w:b/>
          <w:color w:val="000000"/>
          <w:sz w:val="36"/>
          <w:szCs w:val="36"/>
        </w:rPr>
      </w:r>
      <w:r/>
    </w:p>
    <w:p>
      <w:pPr>
        <w:pStyle w:val="905"/>
        <w:jc w:val="center"/>
        <w:spacing w:line="360" w:lineRule="auto"/>
        <w:rPr>
          <w:b/>
          <w:color w:val="000000"/>
          <w:sz w:val="32"/>
          <w:szCs w:val="32"/>
        </w:rPr>
        <w:outlineLvl w:val="0"/>
      </w:pPr>
      <w:r>
        <w:rPr>
          <w:b/>
          <w:color w:val="000000"/>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b/>
          <w:color w:val="000000"/>
          <w:sz w:val="32"/>
          <w:szCs w:val="32"/>
        </w:rPr>
      </w:r>
      <w:r/>
    </w:p>
    <w:p>
      <w:pPr>
        <w:pStyle w:val="907"/>
        <w:spacing w:before="0" w:line="360" w:lineRule="auto"/>
        <w:tabs>
          <w:tab w:val="center" w:pos="4592" w:leader="none"/>
          <w:tab w:val="left" w:pos="7860" w:leader="none"/>
        </w:tabs>
        <w:rPr>
          <w:rFonts w:ascii="Times New Roman" w:hAnsi="Times New Roman" w:eastAsia="宋体"/>
          <w:b w:val="0"/>
          <w:color w:val="000000"/>
          <w:sz w:val="28"/>
        </w:rPr>
      </w:pPr>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905"/>
        <w:jc w:val="center"/>
        <w:rPr>
          <w:b/>
          <w:color w:val="000000"/>
          <w:sz w:val="28"/>
          <w:szCs w:val="28"/>
        </w:rPr>
      </w:pPr>
      <w:r>
        <w:rPr>
          <w:b/>
          <w:color w:val="000000"/>
          <w:sz w:val="28"/>
          <w:szCs w:val="28"/>
        </w:rPr>
      </w:r>
      <w:r/>
    </w:p>
    <w:p>
      <w:pPr>
        <w:pStyle w:val="905"/>
        <w:jc w:val="left"/>
        <w:rPr>
          <w:rFonts w:hint="eastAsia" w:ascii="宋体" w:hAnsi="宋体" w:cs="宋体"/>
          <w:color w:val="000000"/>
          <w:sz w:val="24"/>
          <w:szCs w:val="24"/>
        </w:rPr>
      </w:pPr>
      <w:r>
        <w:rPr>
          <w:rFonts w:hint="eastAsia" w:ascii="宋体" w:hAnsi="宋体" w:cs="宋体"/>
          <w:color w:val="000000"/>
          <w:sz w:val="24"/>
          <w:szCs w:val="24"/>
        </w:rPr>
        <w:t xml:space="preserve">本表是对供应商须知的具体补充和修改，如有矛盾，均以本资料表为准。标记“</w:t>
      </w:r>
      <w:r>
        <w:rPr>
          <w:rFonts w:ascii="Wingdings 2" w:hAnsi="Wingdings 2" w:eastAsia="Wingdings 2" w:cs="Wingdings 2"/>
          <w:color w:val="000000"/>
          <w:sz w:val="24"/>
          <w:szCs w:val="24"/>
        </w:rPr>
        <w:t xml:space="preserve">R</w:t>
      </w:r>
      <w:r>
        <w:rPr>
          <w:rFonts w:hint="eastAsia" w:ascii="宋体" w:hAnsi="宋体" w:cs="宋体"/>
          <w:color w:val="000000"/>
          <w:sz w:val="24"/>
          <w:szCs w:val="24"/>
        </w:rPr>
        <w:t xml:space="preserve">”的选项意为适用于本项目，标记“□”的选项意为不适用于本项目。</w:t>
      </w:r>
      <w:r>
        <w:rPr>
          <w:rFonts w:hint="eastAsia" w:ascii="宋体" w:hAnsi="宋体" w:cs="宋体"/>
          <w:color w:val="000000"/>
          <w:sz w:val="24"/>
          <w:szCs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05"/>
              <w:jc w:val="center"/>
              <w:rPr>
                <w:b/>
                <w:bCs/>
                <w:color w:val="000000"/>
                <w:sz w:val="24"/>
                <w:szCs w:val="24"/>
              </w:rPr>
            </w:pPr>
            <w:r>
              <w:rPr>
                <w:b/>
                <w:color w:val="000000"/>
                <w:sz w:val="24"/>
                <w:szCs w:val="24"/>
              </w:rPr>
              <w:t xml:space="preserve">条款号</w:t>
            </w:r>
            <w:r>
              <w:rPr>
                <w:b/>
                <w:bCs/>
                <w:color w:val="000000"/>
                <w:sz w:val="24"/>
                <w:szCs w:val="24"/>
              </w:rPr>
            </w:r>
            <w:r/>
          </w:p>
        </w:tc>
        <w:tc>
          <w:tcPr>
            <w:tcW w:w="1701" w:type="dxa"/>
            <w:vAlign w:val="center"/>
            <w:textDirection w:val="lrTb"/>
            <w:noWrap w:val="false"/>
          </w:tcPr>
          <w:p>
            <w:pPr>
              <w:pStyle w:val="905"/>
              <w:jc w:val="center"/>
              <w:rPr>
                <w:b/>
                <w:bCs/>
                <w:color w:val="000000"/>
                <w:sz w:val="24"/>
                <w:szCs w:val="24"/>
              </w:rPr>
            </w:pPr>
            <w:r>
              <w:rPr>
                <w:b/>
                <w:bCs/>
                <w:color w:val="000000"/>
                <w:sz w:val="24"/>
                <w:szCs w:val="24"/>
              </w:rPr>
              <w:t xml:space="preserve">条目</w:t>
            </w:r>
            <w:r>
              <w:rPr>
                <w:b/>
                <w:bCs/>
                <w:color w:val="000000"/>
                <w:sz w:val="24"/>
                <w:szCs w:val="24"/>
              </w:rPr>
            </w:r>
            <w:r/>
          </w:p>
        </w:tc>
        <w:tc>
          <w:tcPr>
            <w:tcW w:w="7253" w:type="dxa"/>
            <w:vAlign w:val="center"/>
            <w:textDirection w:val="lrTb"/>
            <w:noWrap w:val="false"/>
          </w:tcPr>
          <w:p>
            <w:pPr>
              <w:pStyle w:val="905"/>
              <w:jc w:val="center"/>
              <w:rPr>
                <w:b/>
                <w:bCs/>
                <w:color w:val="000000"/>
                <w:sz w:val="24"/>
                <w:szCs w:val="24"/>
              </w:rPr>
            </w:pPr>
            <w:r>
              <w:rPr>
                <w:b/>
                <w:bCs/>
                <w:color w:val="000000"/>
                <w:sz w:val="24"/>
                <w:szCs w:val="24"/>
              </w:rPr>
              <w:t xml:space="preserve">内容</w:t>
            </w:r>
            <w:r>
              <w:rPr>
                <w:b/>
                <w:bCs/>
                <w:color w:val="000000"/>
                <w:sz w:val="24"/>
                <w:szCs w:val="24"/>
              </w:rPr>
            </w:r>
            <w:r/>
          </w:p>
        </w:tc>
      </w:tr>
      <w:tr>
        <w:trPr>
          <w:trHeight w:val="20"/>
        </w:trPr>
        <w:tc>
          <w:tcPr>
            <w:tcW w:w="988" w:type="dxa"/>
            <w:vAlign w:val="center"/>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项目属性</w:t>
            </w:r>
            <w:r>
              <w:rPr>
                <w:rFonts w:ascii="宋体" w:hAnsi="宋体" w:cs="宋体"/>
                <w:color w:val="000000"/>
                <w:sz w:val="24"/>
                <w:szCs w:val="24"/>
              </w:rPr>
            </w:r>
            <w:r/>
          </w:p>
        </w:tc>
        <w:tc>
          <w:tcPr>
            <w:tcW w:w="7253" w:type="dxa"/>
            <w:vAlign w:val="center"/>
            <w:textDirection w:val="lrTb"/>
            <w:noWrap w:val="false"/>
          </w:tcPr>
          <w:p>
            <w:pPr>
              <w:pStyle w:val="905"/>
              <w:jc w:val="left"/>
              <w:rPr>
                <w:rFonts w:ascii="宋体" w:hAnsi="宋体" w:cs="宋体"/>
                <w:color w:val="000000"/>
                <w:sz w:val="24"/>
                <w:szCs w:val="24"/>
              </w:rPr>
            </w:pPr>
            <w:r>
              <w:rPr>
                <w:rFonts w:hint="eastAsia" w:ascii="宋体" w:hAnsi="宋体" w:cs="宋体"/>
                <w:color w:val="000000"/>
                <w:sz w:val="24"/>
                <w:szCs w:val="24"/>
              </w:rPr>
              <w:t xml:space="preserve">项目属性：</w:t>
            </w:r>
            <w:r>
              <w:rPr>
                <w:rFonts w:ascii="宋体" w:hAnsi="宋体" w:cs="宋体"/>
                <w:color w:val="000000"/>
                <w:sz w:val="24"/>
                <w:szCs w:val="24"/>
              </w:rPr>
            </w:r>
            <w:r/>
          </w:p>
          <w:p>
            <w:pPr>
              <w:pStyle w:val="905"/>
              <w:jc w:val="left"/>
              <w:rPr>
                <w:rFonts w:ascii="宋体" w:hAnsi="宋体" w:eastAsia="宋体" w:cs="宋体"/>
                <w:color w:val="000000"/>
                <w:sz w:val="24"/>
                <w:szCs w:val="24"/>
                <w:u w:val="single"/>
                <w:lang w:val="en-US" w:eastAsia="zh-CN"/>
              </w:rPr>
            </w:pPr>
            <w:r>
              <w:rPr>
                <w:rFonts w:hint="eastAsia" w:ascii="宋体" w:hAnsi="宋体" w:cs="宋体"/>
                <w:color w:val="000000"/>
                <w:sz w:val="24"/>
                <w:szCs w:val="24"/>
                <w:u w:val="single"/>
                <w:lang w:val="en-US" w:eastAsia="zh-CN"/>
              </w:rPr>
              <w:t xml:space="preserve">服务</w:t>
            </w:r>
            <w:r>
              <w:rPr>
                <w:rFonts w:ascii="宋体" w:hAnsi="宋体" w:eastAsia="宋体" w:cs="宋体"/>
                <w:color w:val="000000"/>
                <w:sz w:val="24"/>
                <w:szCs w:val="24"/>
                <w:u w:val="single"/>
                <w:lang w:val="en-US" w:eastAsia="zh-CN"/>
              </w:rPr>
            </w:r>
            <w:r/>
          </w:p>
        </w:tc>
      </w:tr>
      <w:tr>
        <w:trPr>
          <w:trHeight w:val="20"/>
        </w:trPr>
        <w:tc>
          <w:tcPr>
            <w:tcW w:w="988" w:type="dxa"/>
            <w:vAlign w:val="center"/>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科研仪器设备</w:t>
            </w:r>
            <w:r>
              <w:rPr>
                <w:rFonts w:ascii="宋体" w:hAnsi="宋体" w:cs="宋体"/>
                <w:color w:val="000000"/>
                <w:sz w:val="24"/>
                <w:szCs w:val="24"/>
              </w:rPr>
            </w:r>
            <w:r/>
          </w:p>
        </w:tc>
        <w:tc>
          <w:tcPr>
            <w:tcW w:w="7253" w:type="dxa"/>
            <w:vAlign w:val="center"/>
            <w:textDirection w:val="lrTb"/>
            <w:noWrap w:val="false"/>
          </w:tcPr>
          <w:p>
            <w:pPr>
              <w:pStyle w:val="905"/>
              <w:jc w:val="left"/>
              <w:rPr>
                <w:rFonts w:ascii="宋体" w:hAnsi="宋体" w:cs="宋体"/>
                <w:color w:val="000000"/>
                <w:sz w:val="24"/>
                <w:szCs w:val="24"/>
              </w:rPr>
            </w:pPr>
            <w:r>
              <w:rPr>
                <w:rFonts w:hint="eastAsia" w:ascii="宋体" w:hAnsi="宋体" w:cs="宋体"/>
                <w:color w:val="000000"/>
                <w:sz w:val="24"/>
                <w:szCs w:val="24"/>
              </w:rPr>
              <w:t xml:space="preserve">是否属于科研仪器设备采购项目：</w:t>
            </w:r>
            <w:r>
              <w:rPr>
                <w:rFonts w:ascii="宋体" w:hAnsi="宋体" w:cs="宋体"/>
                <w:color w:val="000000"/>
                <w:sz w:val="24"/>
                <w:szCs w:val="24"/>
              </w:rPr>
            </w:r>
            <w:r/>
          </w:p>
          <w:p>
            <w:pPr>
              <w:pStyle w:val="905"/>
              <w:jc w:val="left"/>
              <w:rPr>
                <w:rFonts w:ascii="宋体" w:hAnsi="宋体" w:cs="宋体"/>
                <w:color w:val="000000"/>
                <w:sz w:val="24"/>
                <w:szCs w:val="24"/>
              </w:rPr>
            </w:pPr>
            <w:r>
              <w:rPr>
                <w:rFonts w:hint="eastAsia" w:ascii="宋体" w:hAnsi="宋体" w:cs="宋体"/>
                <w:color w:val="000000"/>
                <w:sz w:val="24"/>
                <w:szCs w:val="24"/>
              </w:rPr>
              <w:t xml:space="preserve">□是</w:t>
            </w:r>
            <w:r>
              <w:rPr>
                <w:rFonts w:ascii="宋体" w:hAnsi="宋体" w:cs="宋体"/>
                <w:color w:val="000000"/>
                <w:sz w:val="24"/>
                <w:szCs w:val="24"/>
              </w:rPr>
            </w:r>
            <w:r/>
          </w:p>
          <w:p>
            <w:pPr>
              <w:pStyle w:val="905"/>
              <w:jc w:val="left"/>
              <w:rPr>
                <w:rFonts w:ascii="宋体" w:hAnsi="宋体" w:cs="宋体"/>
                <w:color w:val="000000"/>
                <w:sz w:val="24"/>
                <w:szCs w:val="24"/>
              </w:rPr>
            </w:pPr>
            <w:r>
              <w:rPr>
                <w:rFonts w:hint="eastAsia" w:ascii="宋体" w:hAnsi="宋体" w:cs="宋体"/>
                <w:color w:val="000000"/>
                <w:sz w:val="24"/>
                <w:szCs w:val="24"/>
              </w:rPr>
              <w:t xml:space="preserve">☑否</w:t>
            </w:r>
            <w:r>
              <w:rPr>
                <w:rFonts w:ascii="宋体" w:hAnsi="宋体" w:cs="宋体"/>
                <w:color w:val="000000"/>
                <w:sz w:val="24"/>
                <w:szCs w:val="24"/>
              </w:rPr>
            </w:r>
            <w:r/>
          </w:p>
        </w:tc>
      </w:tr>
      <w:tr>
        <w:trPr>
          <w:trHeight w:val="20"/>
        </w:trPr>
        <w:tc>
          <w:tcPr>
            <w:tcW w:w="988" w:type="dxa"/>
            <w:vAlign w:val="center"/>
            <w:vMerge w:val="restart"/>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现场考察</w:t>
            </w:r>
            <w:r>
              <w:rPr>
                <w:rFonts w:ascii="宋体" w:hAnsi="宋体" w:cs="宋体"/>
                <w:color w:val="000000"/>
                <w:sz w:val="24"/>
                <w:szCs w:val="24"/>
              </w:rPr>
            </w:r>
            <w:r/>
          </w:p>
        </w:tc>
        <w:tc>
          <w:tcPr>
            <w:tcW w:w="7253" w:type="dxa"/>
            <w:vAlign w:val="center"/>
            <w:textDirection w:val="lrTb"/>
            <w:noWrap w:val="false"/>
          </w:tcPr>
          <w:p>
            <w:pPr>
              <w:pStyle w:val="905"/>
              <w:jc w:val="left"/>
              <w:rPr>
                <w:rFonts w:ascii="宋体" w:hAnsi="宋体" w:cs="宋体"/>
                <w:color w:val="000000"/>
                <w:sz w:val="24"/>
                <w:szCs w:val="24"/>
              </w:rPr>
            </w:pPr>
            <w:r>
              <w:rPr>
                <w:rFonts w:hint="eastAsia" w:ascii="宋体" w:hAnsi="宋体" w:cs="宋体"/>
                <w:color w:val="000000"/>
                <w:sz w:val="24"/>
                <w:szCs w:val="24"/>
              </w:rPr>
              <w:t xml:space="preserve">☑不组织</w:t>
            </w:r>
            <w:r>
              <w:rPr>
                <w:rFonts w:ascii="宋体" w:hAnsi="宋体" w:cs="宋体"/>
                <w:color w:val="000000"/>
                <w:sz w:val="24"/>
                <w:szCs w:val="24"/>
              </w:rPr>
            </w:r>
            <w:r/>
          </w:p>
          <w:p>
            <w:pPr>
              <w:pStyle w:val="905"/>
              <w:jc w:val="left"/>
              <w:rPr>
                <w:rFonts w:ascii="宋体" w:hAnsi="宋体" w:cs="宋体"/>
                <w:bCs/>
                <w:color w:val="000000"/>
                <w:sz w:val="24"/>
                <w:szCs w:val="24"/>
              </w:rPr>
            </w:pPr>
            <w:r>
              <w:rPr>
                <w:rFonts w:hint="eastAsia" w:ascii="宋体" w:hAnsi="宋体" w:cs="宋体"/>
                <w:color w:val="000000"/>
                <w:sz w:val="24"/>
                <w:szCs w:val="24"/>
              </w:rPr>
              <w:t xml:space="preserve">□组织，考察时间：___</w:t>
            </w:r>
            <w:r>
              <w:rPr>
                <w:rFonts w:hint="eastAsia" w:ascii="宋体" w:hAnsi="宋体" w:cs="宋体"/>
                <w:color w:val="000000"/>
                <w:sz w:val="24"/>
                <w:szCs w:val="24"/>
                <w:lang w:bidi="ar"/>
              </w:rPr>
              <w:t xml:space="preserve">年</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日</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点</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分</w:t>
            </w:r>
            <w:r>
              <w:rPr>
                <w:rFonts w:ascii="宋体" w:hAnsi="宋体" w:cs="宋体"/>
                <w:bCs/>
                <w:color w:val="000000"/>
                <w:sz w:val="24"/>
                <w:szCs w:val="24"/>
              </w:rPr>
            </w:r>
            <w:r/>
          </w:p>
          <w:p>
            <w:pPr>
              <w:pStyle w:val="945"/>
              <w:rPr>
                <w:rFonts w:hAnsi="宋体" w:cs="宋体"/>
                <w:color w:val="000000"/>
                <w:sz w:val="24"/>
                <w:szCs w:val="24"/>
              </w:rPr>
            </w:pPr>
            <w:r>
              <w:rPr>
                <w:rFonts w:hAnsi="宋体" w:cs="宋体"/>
                <w:color w:val="000000"/>
                <w:sz w:val="24"/>
                <w:szCs w:val="24"/>
              </w:rPr>
              <w:t xml:space="preserve">考察地点：___________。</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945"/>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磋商前答疑会</w:t>
            </w:r>
            <w:r>
              <w:rPr>
                <w:rFonts w:ascii="宋体" w:hAnsi="宋体" w:cs="宋体"/>
                <w:color w:val="000000"/>
                <w:sz w:val="24"/>
                <w:szCs w:val="24"/>
              </w:rPr>
            </w:r>
            <w:r/>
          </w:p>
        </w:tc>
        <w:tc>
          <w:tcPr>
            <w:tcW w:w="7253" w:type="dxa"/>
            <w:vAlign w:val="center"/>
            <w:textDirection w:val="lrTb"/>
            <w:noWrap w:val="false"/>
          </w:tcPr>
          <w:p>
            <w:pPr>
              <w:pStyle w:val="905"/>
              <w:jc w:val="left"/>
              <w:rPr>
                <w:rFonts w:ascii="宋体" w:hAnsi="宋体" w:cs="宋体"/>
                <w:color w:val="000000"/>
                <w:sz w:val="24"/>
                <w:szCs w:val="24"/>
              </w:rPr>
            </w:pPr>
            <w:r>
              <w:rPr>
                <w:rFonts w:hint="eastAsia" w:ascii="宋体" w:hAnsi="宋体" w:cs="宋体"/>
                <w:color w:val="000000"/>
                <w:sz w:val="24"/>
                <w:szCs w:val="24"/>
              </w:rPr>
              <w:t xml:space="preserve">☑不召开</w:t>
            </w:r>
            <w:r>
              <w:rPr>
                <w:rFonts w:ascii="宋体" w:hAnsi="宋体" w:cs="宋体"/>
                <w:color w:val="000000"/>
                <w:sz w:val="24"/>
                <w:szCs w:val="24"/>
              </w:rPr>
            </w:r>
            <w:r/>
          </w:p>
          <w:p>
            <w:pPr>
              <w:pStyle w:val="905"/>
              <w:jc w:val="left"/>
              <w:rPr>
                <w:rFonts w:ascii="宋体" w:hAnsi="宋体" w:cs="宋体"/>
                <w:color w:val="000000"/>
                <w:sz w:val="24"/>
                <w:szCs w:val="24"/>
              </w:rPr>
            </w:pPr>
            <w:r>
              <w:rPr>
                <w:rFonts w:hint="eastAsia" w:ascii="宋体" w:hAnsi="宋体" w:cs="宋体"/>
                <w:color w:val="000000"/>
                <w:sz w:val="24"/>
                <w:szCs w:val="24"/>
              </w:rPr>
              <w:t xml:space="preserve">□召开，召开时间：___</w:t>
            </w:r>
            <w:r>
              <w:rPr>
                <w:rFonts w:hint="eastAsia" w:ascii="宋体" w:hAnsi="宋体" w:cs="宋体"/>
                <w:color w:val="000000"/>
                <w:sz w:val="24"/>
                <w:szCs w:val="24"/>
                <w:lang w:bidi="ar"/>
              </w:rPr>
              <w:t xml:space="preserve">年</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日</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点</w:t>
            </w:r>
            <w:r>
              <w:rPr>
                <w:rFonts w:hint="eastAsia" w:ascii="宋体" w:hAnsi="宋体" w:cs="宋体"/>
                <w:color w:val="000000"/>
                <w:sz w:val="24"/>
                <w:szCs w:val="24"/>
              </w:rPr>
              <w:t xml:space="preserve">___</w:t>
            </w:r>
            <w:r>
              <w:rPr>
                <w:rFonts w:hint="eastAsia" w:ascii="宋体" w:hAnsi="宋体" w:cs="宋体"/>
                <w:color w:val="000000"/>
                <w:sz w:val="24"/>
                <w:szCs w:val="24"/>
                <w:lang w:bidi="ar"/>
              </w:rPr>
              <w:t xml:space="preserve">分</w:t>
            </w:r>
            <w:r>
              <w:rPr>
                <w:rFonts w:ascii="宋体" w:hAnsi="宋体" w:cs="宋体"/>
                <w:color w:val="000000"/>
                <w:sz w:val="24"/>
                <w:szCs w:val="24"/>
              </w:rPr>
            </w:r>
            <w:r/>
          </w:p>
          <w:p>
            <w:pPr>
              <w:pStyle w:val="905"/>
              <w:jc w:val="left"/>
              <w:rPr>
                <w:rFonts w:ascii="宋体" w:hAnsi="宋体" w:cs="宋体"/>
                <w:color w:val="000000"/>
                <w:sz w:val="24"/>
                <w:szCs w:val="24"/>
              </w:rPr>
            </w:pPr>
            <w:r>
              <w:rPr>
                <w:rFonts w:hint="eastAsia" w:ascii="宋体" w:hAnsi="宋体" w:cs="宋体"/>
                <w:color w:val="000000"/>
                <w:sz w:val="24"/>
                <w:szCs w:val="24"/>
              </w:rPr>
              <w:t xml:space="preserve">召开地点：___________。</w:t>
            </w:r>
            <w:r>
              <w:rPr>
                <w:rFonts w:ascii="宋体" w:hAnsi="宋体" w:cs="宋体"/>
                <w:color w:val="000000"/>
                <w:sz w:val="24"/>
                <w:szCs w:val="24"/>
              </w:rPr>
            </w:r>
            <w:r/>
          </w:p>
        </w:tc>
      </w:tr>
      <w:tr>
        <w:trPr>
          <w:trHeight w:val="538"/>
        </w:trPr>
        <w:tc>
          <w:tcPr>
            <w:tcW w:w="988" w:type="dxa"/>
            <w:vAlign w:val="center"/>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4.2.5</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标的所属行业</w:t>
            </w:r>
            <w:r>
              <w:rPr>
                <w:rFonts w:ascii="宋体" w:hAnsi="宋体" w:cs="宋体"/>
                <w:color w:val="000000"/>
                <w:sz w:val="24"/>
                <w:szCs w:val="24"/>
              </w:rPr>
            </w:r>
            <w:r/>
          </w:p>
        </w:tc>
        <w:tc>
          <w:tcPr>
            <w:tcW w:w="7253" w:type="dxa"/>
            <w:vAlign w:val="center"/>
            <w:textDirection w:val="lrTb"/>
            <w:noWrap w:val="false"/>
          </w:tcPr>
          <w:p>
            <w:pPr>
              <w:pStyle w:val="905"/>
              <w:jc w:val="left"/>
              <w:keepLines w:val="0"/>
              <w:keepNext w:val="0"/>
              <w:widowControl/>
              <w:rPr>
                <w:rFonts w:hint="eastAsia"/>
                <w:color w:val="000000"/>
                <w:sz w:val="24"/>
                <w:szCs w:val="24"/>
                <w:lang w:eastAsia="zh-CN"/>
              </w:rPr>
              <w:suppressLineNumbers w:val="0"/>
            </w:pPr>
            <w:r>
              <w:rPr>
                <w:rFonts w:hint="eastAsia" w:ascii="宋体" w:hAnsi="宋体" w:cs="宋体"/>
                <w:color w:val="000000"/>
                <w:sz w:val="24"/>
                <w:szCs w:val="24"/>
              </w:rPr>
              <w:t xml:space="preserve">本项目采购标的对应的中小企业划分标准所属行业：</w:t>
            </w:r>
            <w:r>
              <w:rPr>
                <w:rFonts w:ascii="宋体" w:hAnsi="宋体" w:eastAsia="宋体" w:cs="宋体"/>
                <w:color w:val="000000"/>
                <w:sz w:val="24"/>
                <w:szCs w:val="24"/>
                <w:lang w:val="en-US" w:eastAsia="zh-CN"/>
              </w:rPr>
              <w:t xml:space="preserve">其他未列明行业</w:t>
            </w:r>
            <w:r>
              <w:rPr>
                <w:rFonts w:hint="eastAsia"/>
                <w:color w:val="000000"/>
                <w:sz w:val="24"/>
                <w:szCs w:val="24"/>
                <w:lang w:eastAsia="zh-CN"/>
              </w:rPr>
            </w:r>
            <w:r/>
          </w:p>
        </w:tc>
      </w:tr>
      <w:tr>
        <w:trPr>
          <w:trHeight w:val="890"/>
        </w:trPr>
        <w:tc>
          <w:tcPr>
            <w:tcW w:w="988" w:type="dxa"/>
            <w:vAlign w:val="center"/>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10.2</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报价</w:t>
            </w:r>
            <w:r>
              <w:rPr>
                <w:rFonts w:ascii="宋体" w:hAnsi="宋体" w:cs="宋体"/>
                <w:color w:val="000000"/>
                <w:sz w:val="24"/>
                <w:szCs w:val="24"/>
              </w:rPr>
            </w:r>
            <w:r/>
          </w:p>
        </w:tc>
        <w:tc>
          <w:tcPr>
            <w:tcW w:w="7253" w:type="dxa"/>
            <w:vAlign w:val="center"/>
            <w:textDirection w:val="lrTb"/>
            <w:noWrap w:val="false"/>
          </w:tcPr>
          <w:p>
            <w:pPr>
              <w:pStyle w:val="905"/>
              <w:jc w:val="left"/>
              <w:rPr>
                <w:rFonts w:ascii="宋体" w:hAnsi="宋体" w:cs="宋体"/>
                <w:color w:val="000000"/>
                <w:sz w:val="24"/>
                <w:szCs w:val="24"/>
              </w:rPr>
            </w:pPr>
            <w:r>
              <w:rPr>
                <w:rFonts w:hint="eastAsia" w:ascii="宋体" w:hAnsi="宋体" w:cs="宋体"/>
                <w:color w:val="000000"/>
                <w:sz w:val="24"/>
                <w:szCs w:val="24"/>
              </w:rPr>
              <w:t xml:space="preserve">报价的特殊规定：</w:t>
            </w:r>
            <w:r>
              <w:rPr>
                <w:rFonts w:ascii="宋体" w:hAnsi="宋体" w:cs="宋体"/>
                <w:color w:val="000000"/>
                <w:sz w:val="24"/>
                <w:szCs w:val="24"/>
              </w:rPr>
            </w:r>
            <w:r/>
          </w:p>
          <w:p>
            <w:pPr>
              <w:pStyle w:val="905"/>
              <w:jc w:val="left"/>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无</w:t>
            </w:r>
            <w:r>
              <w:rPr>
                <w:rFonts w:ascii="宋体" w:hAnsi="宋体" w:cs="宋体"/>
                <w:color w:val="000000"/>
                <w:sz w:val="24"/>
                <w:szCs w:val="24"/>
              </w:rPr>
            </w:r>
            <w:r/>
          </w:p>
          <w:p>
            <w:pPr>
              <w:pStyle w:val="905"/>
              <w:jc w:val="left"/>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有，具体情形：</w:t>
            </w:r>
            <w:r>
              <w:rPr>
                <w:rFonts w:hint="eastAsia" w:ascii="宋体" w:hAnsi="宋体" w:cs="宋体"/>
                <w:b/>
                <w:bCs/>
                <w:color w:val="000000"/>
                <w:sz w:val="24"/>
                <w:szCs w:val="24"/>
                <w:lang w:val="en-US" w:eastAsia="zh-CN"/>
              </w:rPr>
              <w:t xml:space="preserve">本项目报价方式为：优惠率。详见《采购需求》-“</w:t>
            </w:r>
            <w:r>
              <w:rPr>
                <w:rFonts w:hint="eastAsia" w:ascii="宋体" w:hAnsi="宋体" w:eastAsia="宋体" w:cs="宋体"/>
                <w:b/>
                <w:bCs/>
                <w:color w:val="000000"/>
                <w:sz w:val="24"/>
                <w:szCs w:val="24"/>
                <w:highlight w:val="none"/>
                <w:lang w:val="en-US" w:eastAsia="zh-CN" w:bidi="ar"/>
              </w:rPr>
              <w:t xml:space="preserve">合同款结算及支付”</w:t>
            </w:r>
            <w:r>
              <w:rPr>
                <w:rFonts w:hint="eastAsia" w:ascii="宋体" w:hAnsi="宋体" w:cs="宋体"/>
                <w:b/>
                <w:bCs/>
                <w:color w:val="000000"/>
                <w:sz w:val="24"/>
                <w:szCs w:val="24"/>
              </w:rPr>
              <w:t xml:space="preserve">。</w:t>
            </w:r>
            <w:r>
              <w:rPr>
                <w:rFonts w:ascii="宋体" w:hAnsi="宋体" w:cs="宋体"/>
                <w:color w:val="000000"/>
                <w:sz w:val="24"/>
                <w:szCs w:val="24"/>
              </w:rPr>
            </w:r>
            <w:r/>
          </w:p>
        </w:tc>
      </w:tr>
      <w:tr>
        <w:trPr>
          <w:trHeight w:val="680"/>
        </w:trPr>
        <w:tc>
          <w:tcPr>
            <w:tcW w:w="988" w:type="dxa"/>
            <w:vAlign w:val="center"/>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11.1</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磋商保证金</w:t>
            </w:r>
            <w:r>
              <w:rPr>
                <w:rFonts w:ascii="宋体" w:hAnsi="宋体" w:cs="宋体"/>
                <w:color w:val="000000"/>
                <w:sz w:val="24"/>
                <w:szCs w:val="24"/>
              </w:rPr>
            </w:r>
            <w:r/>
          </w:p>
        </w:tc>
        <w:tc>
          <w:tcPr>
            <w:tcW w:w="7253" w:type="dxa"/>
            <w:vAlign w:val="center"/>
            <w:textDirection w:val="lrTb"/>
            <w:noWrap w:val="false"/>
          </w:tcPr>
          <w:p>
            <w:pPr>
              <w:pStyle w:val="905"/>
              <w:jc w:val="left"/>
              <w:rPr>
                <w:rFonts w:ascii="宋体" w:hAnsi="宋体" w:cs="宋体"/>
                <w:color w:val="000000"/>
                <w:sz w:val="24"/>
                <w:szCs w:val="24"/>
              </w:rPr>
            </w:pPr>
            <w:r>
              <w:rPr>
                <w:rFonts w:hint="eastAsia" w:ascii="宋体" w:hAnsi="宋体" w:cs="宋体"/>
                <w:color w:val="000000"/>
                <w:sz w:val="24"/>
                <w:szCs w:val="24"/>
              </w:rPr>
              <w:t xml:space="preserve">免收</w:t>
            </w:r>
            <w:r>
              <w:rPr>
                <w:rFonts w:ascii="宋体" w:hAnsi="宋体" w:cs="宋体"/>
                <w:color w:val="000000"/>
                <w:sz w:val="24"/>
                <w:szCs w:val="24"/>
              </w:rPr>
            </w:r>
            <w:r/>
          </w:p>
        </w:tc>
      </w:tr>
      <w:tr>
        <w:trPr>
          <w:trHeight w:val="680"/>
        </w:trPr>
        <w:tc>
          <w:tcPr>
            <w:tcW w:w="988" w:type="dxa"/>
            <w:vAlign w:val="center"/>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12.1</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响应有效期</w:t>
            </w:r>
            <w:r>
              <w:rPr>
                <w:rFonts w:ascii="宋体" w:hAnsi="宋体" w:cs="宋体"/>
                <w:color w:val="000000"/>
                <w:sz w:val="24"/>
                <w:szCs w:val="24"/>
              </w:rPr>
            </w:r>
            <w:r/>
          </w:p>
        </w:tc>
        <w:tc>
          <w:tcPr>
            <w:tcW w:w="7253" w:type="dxa"/>
            <w:vAlign w:val="center"/>
            <w:textDirection w:val="lrTb"/>
            <w:noWrap w:val="false"/>
          </w:tcPr>
          <w:p>
            <w:pPr>
              <w:pStyle w:val="905"/>
              <w:jc w:val="left"/>
              <w:rPr>
                <w:rFonts w:ascii="宋体" w:hAnsi="宋体" w:cs="宋体"/>
                <w:color w:val="000000"/>
                <w:sz w:val="24"/>
                <w:szCs w:val="24"/>
              </w:rPr>
            </w:pPr>
            <w:r>
              <w:rPr>
                <w:rFonts w:hint="eastAsia" w:ascii="宋体" w:hAnsi="宋体" w:cs="宋体"/>
                <w:color w:val="000000"/>
                <w:sz w:val="24"/>
                <w:szCs w:val="24"/>
              </w:rPr>
              <w:t xml:space="preserve">自提交响应文件的截止之日起算</w:t>
            </w:r>
            <w:r>
              <w:rPr>
                <w:rFonts w:hint="eastAsia" w:ascii="宋体" w:hAnsi="宋体" w:cs="宋体"/>
                <w:color w:val="000000"/>
                <w:sz w:val="24"/>
                <w:szCs w:val="24"/>
                <w:u w:val="single"/>
              </w:rPr>
              <w:t xml:space="preserve">60</w:t>
            </w:r>
            <w:r>
              <w:rPr>
                <w:rFonts w:hint="eastAsia" w:ascii="宋体" w:hAnsi="宋体" w:cs="宋体"/>
                <w:color w:val="000000"/>
                <w:sz w:val="24"/>
                <w:szCs w:val="24"/>
              </w:rPr>
              <w:t xml:space="preserve">日历天。</w:t>
            </w:r>
            <w:r>
              <w:rPr>
                <w:rFonts w:ascii="宋体" w:hAnsi="宋体" w:cs="宋体"/>
                <w:color w:val="000000"/>
                <w:sz w:val="24"/>
                <w:szCs w:val="24"/>
              </w:rPr>
            </w:r>
            <w:r/>
          </w:p>
        </w:tc>
      </w:tr>
      <w:tr>
        <w:trPr>
          <w:trHeight w:val="20"/>
        </w:trPr>
        <w:tc>
          <w:tcPr>
            <w:tcW w:w="988" w:type="dxa"/>
            <w:vAlign w:val="center"/>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23.5</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分包</w:t>
            </w:r>
            <w:r>
              <w:rPr>
                <w:rFonts w:ascii="宋体" w:hAnsi="宋体" w:cs="宋体"/>
                <w:color w:val="000000"/>
                <w:sz w:val="24"/>
                <w:szCs w:val="24"/>
              </w:rPr>
            </w:r>
            <w:r/>
          </w:p>
        </w:tc>
        <w:tc>
          <w:tcPr>
            <w:tcW w:w="7253" w:type="dxa"/>
            <w:vAlign w:val="center"/>
            <w:textDirection w:val="lrTb"/>
            <w:noWrap w:val="false"/>
          </w:tcPr>
          <w:p>
            <w:pPr>
              <w:pStyle w:val="905"/>
              <w:jc w:val="left"/>
              <w:rPr>
                <w:rFonts w:ascii="宋体" w:hAnsi="宋体" w:cs="宋体"/>
                <w:color w:val="000000"/>
                <w:sz w:val="24"/>
                <w:szCs w:val="24"/>
              </w:rPr>
            </w:pPr>
            <w:r>
              <w:rPr>
                <w:rFonts w:hint="eastAsia" w:ascii="宋体" w:hAnsi="宋体" w:cs="宋体"/>
                <w:color w:val="000000"/>
                <w:sz w:val="24"/>
                <w:szCs w:val="24"/>
              </w:rPr>
              <w:t xml:space="preserve">本项目是否允许分包： </w:t>
            </w:r>
            <w:r>
              <w:rPr>
                <w:rFonts w:ascii="宋体" w:hAnsi="宋体" w:cs="宋体"/>
                <w:color w:val="000000"/>
                <w:sz w:val="24"/>
                <w:szCs w:val="24"/>
              </w:rPr>
            </w:r>
            <w:r/>
          </w:p>
          <w:p>
            <w:pPr>
              <w:pStyle w:val="905"/>
              <w:jc w:val="left"/>
              <w:rPr>
                <w:rFonts w:ascii="宋体" w:hAnsi="宋体" w:cs="宋体"/>
                <w:color w:val="000000"/>
                <w:sz w:val="24"/>
                <w:szCs w:val="24"/>
              </w:rPr>
            </w:pPr>
            <w:r>
              <w:rPr>
                <w:rFonts w:hint="eastAsia" w:ascii="宋体" w:hAnsi="宋体" w:cs="宋体"/>
                <w:color w:val="000000"/>
                <w:sz w:val="24"/>
                <w:szCs w:val="24"/>
              </w:rPr>
              <w:t xml:space="preserve">☑不允许</w:t>
            </w:r>
            <w:r>
              <w:rPr>
                <w:rFonts w:ascii="宋体" w:hAnsi="宋体" w:cs="宋体"/>
                <w:color w:val="000000"/>
                <w:sz w:val="24"/>
                <w:szCs w:val="24"/>
              </w:rPr>
            </w:r>
            <w:r/>
          </w:p>
          <w:p>
            <w:pPr>
              <w:pStyle w:val="905"/>
              <w:jc w:val="left"/>
              <w:rPr>
                <w:rFonts w:ascii="宋体" w:hAnsi="宋体" w:cs="宋体"/>
                <w:color w:val="000000"/>
                <w:sz w:val="24"/>
                <w:szCs w:val="24"/>
                <w:u w:val="single"/>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允许。</w:t>
            </w:r>
            <w:r>
              <w:rPr>
                <w:rFonts w:ascii="宋体" w:hAnsi="宋体" w:cs="宋体"/>
                <w:color w:val="000000"/>
                <w:sz w:val="24"/>
                <w:szCs w:val="24"/>
                <w:u w:val="single"/>
              </w:rPr>
            </w:r>
            <w:r/>
          </w:p>
        </w:tc>
      </w:tr>
      <w:tr>
        <w:trPr>
          <w:trHeight w:val="680"/>
        </w:trPr>
        <w:tc>
          <w:tcPr>
            <w:tcW w:w="988" w:type="dxa"/>
            <w:vAlign w:val="center"/>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24.1.1</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询问</w:t>
            </w:r>
            <w:r>
              <w:rPr>
                <w:rFonts w:ascii="宋体" w:hAnsi="宋体" w:cs="宋体"/>
                <w:color w:val="000000"/>
                <w:sz w:val="24"/>
                <w:szCs w:val="24"/>
              </w:rPr>
            </w:r>
            <w:r/>
          </w:p>
        </w:tc>
        <w:tc>
          <w:tcPr>
            <w:tcW w:w="7253" w:type="dxa"/>
            <w:vAlign w:val="center"/>
            <w:textDirection w:val="lrTb"/>
            <w:noWrap w:val="false"/>
          </w:tcPr>
          <w:p>
            <w:pPr>
              <w:pStyle w:val="905"/>
              <w:jc w:val="left"/>
              <w:rPr>
                <w:rFonts w:ascii="宋体" w:hAnsi="宋体" w:cs="宋体"/>
                <w:color w:val="000000"/>
                <w:sz w:val="24"/>
                <w:szCs w:val="24"/>
              </w:rPr>
            </w:pPr>
            <w:r>
              <w:rPr>
                <w:rFonts w:hint="eastAsia" w:ascii="宋体" w:hAnsi="宋体" w:cs="宋体"/>
                <w:color w:val="000000"/>
                <w:sz w:val="24"/>
                <w:szCs w:val="24"/>
              </w:rPr>
              <w:t xml:space="preserve">询问送达形式：</w:t>
            </w:r>
            <w:r>
              <w:rPr>
                <w:rFonts w:hint="eastAsia" w:ascii="宋体" w:hAnsi="宋体" w:cs="宋体"/>
                <w:color w:val="000000"/>
                <w:sz w:val="24"/>
                <w:szCs w:val="24"/>
                <w:u w:val="single"/>
              </w:rPr>
              <w:t xml:space="preserve">书面</w:t>
            </w:r>
            <w:r>
              <w:rPr>
                <w:rFonts w:ascii="宋体" w:hAnsi="宋体" w:cs="宋体"/>
                <w:color w:val="000000"/>
                <w:sz w:val="24"/>
                <w:szCs w:val="24"/>
              </w:rPr>
            </w:r>
            <w:r/>
          </w:p>
        </w:tc>
      </w:tr>
      <w:tr>
        <w:trPr>
          <w:trHeight w:val="20"/>
        </w:trPr>
        <w:tc>
          <w:tcPr>
            <w:tcW w:w="988" w:type="dxa"/>
            <w:vAlign w:val="center"/>
            <w:textDirection w:val="lrTb"/>
            <w:noWrap w:val="false"/>
          </w:tcPr>
          <w:p>
            <w:pPr>
              <w:pStyle w:val="945"/>
              <w:jc w:val="center"/>
              <w:rPr>
                <w:rFonts w:hAnsi="宋体" w:cs="宋体"/>
                <w:color w:val="000000"/>
                <w:sz w:val="24"/>
                <w:szCs w:val="24"/>
              </w:rPr>
            </w:pPr>
            <w:r>
              <w:rPr>
                <w:rFonts w:hAnsi="宋体" w:cs="宋体"/>
                <w:color w:val="000000"/>
                <w:sz w:val="24"/>
                <w:szCs w:val="24"/>
              </w:rPr>
              <w:t xml:space="preserve">24.3</w:t>
            </w:r>
            <w:r>
              <w:rPr>
                <w:rFonts w:hAnsi="宋体" w:cs="宋体"/>
                <w:color w:val="000000"/>
                <w:sz w:val="24"/>
                <w:szCs w:val="24"/>
              </w:rPr>
            </w:r>
            <w:r/>
          </w:p>
        </w:tc>
        <w:tc>
          <w:tcPr>
            <w:tcW w:w="1701" w:type="dxa"/>
            <w:vAlign w:val="center"/>
            <w:textDirection w:val="lrTb"/>
            <w:noWrap w:val="false"/>
          </w:tcPr>
          <w:p>
            <w:pPr>
              <w:pStyle w:val="905"/>
              <w:jc w:val="center"/>
              <w:rPr>
                <w:rFonts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r>
            <w:r/>
          </w:p>
        </w:tc>
        <w:tc>
          <w:tcPr>
            <w:tcW w:w="7253" w:type="dxa"/>
            <w:vAlign w:val="center"/>
            <w:textDirection w:val="lrTb"/>
            <w:noWrap w:val="false"/>
          </w:tcPr>
          <w:p>
            <w:pPr>
              <w:pStyle w:val="905"/>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接收询问和质疑的联系方式</w:t>
            </w:r>
            <w:r>
              <w:rPr>
                <w:rFonts w:hint="eastAsia" w:ascii="宋体" w:hAnsi="宋体" w:eastAsia="宋体" w:cs="宋体"/>
                <w:color w:val="000000"/>
                <w:sz w:val="24"/>
                <w:szCs w:val="24"/>
              </w:rPr>
            </w:r>
            <w:r/>
          </w:p>
          <w:p>
            <w:pPr>
              <w:pStyle w:val="905"/>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名 称：常州市市场监督管理局</w:t>
            </w:r>
            <w:r>
              <w:rPr>
                <w:rFonts w:hint="eastAsia" w:ascii="宋体" w:hAnsi="宋体" w:eastAsia="宋体" w:cs="宋体"/>
                <w:color w:val="000000"/>
                <w:sz w:val="24"/>
                <w:szCs w:val="24"/>
                <w:lang w:eastAsia="zh-CN"/>
              </w:rPr>
            </w:r>
            <w:r/>
          </w:p>
          <w:p>
            <w:pPr>
              <w:pStyle w:val="905"/>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地 址：</w:t>
            </w:r>
            <w:r>
              <w:rPr>
                <w:rFonts w:hint="eastAsia" w:ascii="宋体" w:hAnsi="宋体" w:eastAsia="宋体" w:cs="宋体"/>
                <w:color w:val="000000"/>
                <w:sz w:val="24"/>
                <w:szCs w:val="24"/>
                <w:lang w:val="en-US" w:eastAsia="zh-CN"/>
              </w:rPr>
              <w:t xml:space="preserve">常州市新北区太湖东路105号 </w:t>
            </w:r>
            <w:r>
              <w:rPr>
                <w:rFonts w:hint="eastAsia" w:ascii="宋体" w:hAnsi="宋体" w:eastAsia="宋体" w:cs="宋体"/>
                <w:color w:val="000000"/>
                <w:sz w:val="24"/>
                <w:szCs w:val="24"/>
                <w:lang w:eastAsia="zh-CN"/>
              </w:rPr>
            </w:r>
            <w:r/>
          </w:p>
          <w:p>
            <w:pPr>
              <w:pStyle w:val="905"/>
              <w:jc w:val="left"/>
              <w:rPr>
                <w:rFonts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联系人：</w:t>
            </w:r>
            <w:r>
              <w:rPr>
                <w:rFonts w:hint="eastAsia" w:ascii="宋体" w:hAnsi="宋体" w:eastAsia="宋体" w:cs="宋体"/>
                <w:color w:val="000000"/>
                <w:sz w:val="24"/>
                <w:szCs w:val="24"/>
                <w:lang w:val="en-US" w:eastAsia="zh-CN"/>
              </w:rPr>
              <w:t xml:space="preserve">邵先生</w:t>
            </w:r>
            <w:r>
              <w:rPr>
                <w:rFonts w:ascii="宋体" w:hAnsi="宋体" w:eastAsia="宋体" w:cs="宋体"/>
                <w:color w:val="000000"/>
                <w:sz w:val="24"/>
                <w:szCs w:val="24"/>
                <w:lang w:val="en-US" w:eastAsia="zh-CN"/>
              </w:rPr>
            </w:r>
            <w:r/>
          </w:p>
          <w:p>
            <w:pPr>
              <w:pStyle w:val="905"/>
              <w:jc w:val="left"/>
              <w:rPr>
                <w:rFonts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电话： </w:t>
            </w:r>
            <w:r>
              <w:rPr>
                <w:rFonts w:hint="eastAsia" w:ascii="宋体" w:hAnsi="宋体" w:eastAsia="宋体" w:cs="宋体"/>
                <w:color w:val="000000"/>
                <w:sz w:val="24"/>
                <w:szCs w:val="24"/>
                <w:lang w:val="en-US" w:eastAsia="zh-CN"/>
              </w:rPr>
              <w:t xml:space="preserve">0519-88588171</w:t>
            </w:r>
            <w:r>
              <w:rPr>
                <w:rFonts w:ascii="宋体" w:hAnsi="宋体" w:eastAsia="宋体" w:cs="宋体"/>
                <w:color w:val="000000"/>
                <w:sz w:val="24"/>
                <w:szCs w:val="24"/>
                <w:lang w:val="en-US" w:eastAsia="zh-CN"/>
              </w:rPr>
            </w:r>
            <w:r/>
          </w:p>
          <w:p>
            <w:pPr>
              <w:pStyle w:val="905"/>
              <w:jc w:val="left"/>
              <w:rPr>
                <w:rFonts w:hint="eastAsia" w:ascii="宋体" w:hAnsi="宋体" w:cs="宋体"/>
                <w:color w:val="000000"/>
                <w:sz w:val="24"/>
                <w:szCs w:val="24"/>
              </w:rPr>
            </w:pPr>
            <w:r>
              <w:rPr>
                <w:rFonts w:hint="eastAsia" w:ascii="宋体" w:hAnsi="宋体" w:eastAsia="宋体" w:cs="宋体"/>
                <w:color w:val="000000"/>
                <w:sz w:val="24"/>
                <w:szCs w:val="24"/>
                <w:lang w:eastAsia="zh-CN"/>
              </w:rPr>
              <w:t xml:space="preserve">代理机构：常州正衡招投标有限公</w:t>
            </w:r>
            <w:r>
              <w:rPr>
                <w:rFonts w:hint="eastAsia" w:ascii="宋体" w:hAnsi="宋体" w:cs="宋体"/>
                <w:color w:val="000000"/>
                <w:sz w:val="24"/>
                <w:szCs w:val="24"/>
              </w:rPr>
              <w:t xml:space="preserve">司</w:t>
            </w:r>
            <w:r>
              <w:rPr>
                <w:rFonts w:hint="eastAsia" w:ascii="宋体" w:hAnsi="宋体" w:cs="宋体"/>
                <w:color w:val="000000"/>
                <w:sz w:val="24"/>
                <w:szCs w:val="24"/>
              </w:rPr>
            </w:r>
            <w:r/>
          </w:p>
          <w:p>
            <w:pPr>
              <w:pStyle w:val="905"/>
              <w:jc w:val="left"/>
              <w:rPr>
                <w:rFonts w:ascii="宋体" w:hAnsi="宋体" w:cs="宋体"/>
                <w:color w:val="000000"/>
                <w:sz w:val="24"/>
                <w:szCs w:val="24"/>
              </w:rPr>
            </w:pPr>
            <w:r>
              <w:rPr>
                <w:rFonts w:hint="eastAsia" w:ascii="宋体" w:hAnsi="宋体" w:cs="宋体"/>
                <w:color w:val="000000"/>
                <w:sz w:val="24"/>
                <w:szCs w:val="24"/>
              </w:rPr>
              <w:t xml:space="preserve">地  址：常州市新北区府翰苑6栋9楼</w:t>
            </w:r>
            <w:r>
              <w:rPr>
                <w:rFonts w:ascii="宋体" w:hAnsi="宋体" w:cs="宋体"/>
                <w:color w:val="000000"/>
                <w:sz w:val="24"/>
                <w:szCs w:val="24"/>
              </w:rPr>
            </w:r>
            <w:r/>
          </w:p>
          <w:p>
            <w:pPr>
              <w:pStyle w:val="905"/>
              <w:jc w:val="left"/>
              <w:rPr>
                <w:rFonts w:ascii="宋体" w:hAnsi="宋体" w:cs="宋体"/>
                <w:color w:val="000000"/>
                <w:sz w:val="24"/>
                <w:szCs w:val="24"/>
              </w:rPr>
            </w:pPr>
            <w:r>
              <w:rPr>
                <w:rFonts w:hint="eastAsia" w:ascii="宋体" w:hAnsi="宋体" w:cs="宋体"/>
                <w:color w:val="000000"/>
                <w:sz w:val="24"/>
                <w:szCs w:val="24"/>
              </w:rPr>
              <w:t xml:space="preserve">电  话：0519-85510566</w:t>
            </w:r>
            <w:r>
              <w:rPr>
                <w:rFonts w:ascii="宋体" w:hAnsi="宋体" w:cs="宋体"/>
                <w:color w:val="000000"/>
                <w:sz w:val="24"/>
                <w:szCs w:val="24"/>
              </w:rPr>
            </w:r>
            <w:r/>
          </w:p>
        </w:tc>
      </w:tr>
      <w:tr>
        <w:trPr>
          <w:trHeight w:val="20"/>
        </w:trPr>
        <w:tc>
          <w:tcPr>
            <w:tcW w:w="988" w:type="dxa"/>
            <w:vAlign w:val="center"/>
            <w:textDirection w:val="lrTb"/>
            <w:noWrap w:val="false"/>
          </w:tcPr>
          <w:p>
            <w:pPr>
              <w:pStyle w:val="945"/>
              <w:jc w:val="center"/>
              <w:rPr>
                <w:rFonts w:ascii="Times New Roman" w:hAnsi="Times New Roman"/>
                <w:color w:val="000000"/>
                <w:sz w:val="24"/>
                <w:szCs w:val="24"/>
              </w:rPr>
            </w:pPr>
            <w:r>
              <w:rPr>
                <w:rFonts w:ascii="Times New Roman" w:hAnsi="Times New Roman"/>
                <w:color w:val="000000"/>
                <w:sz w:val="24"/>
                <w:szCs w:val="24"/>
              </w:rPr>
              <w:t xml:space="preserve">25</w:t>
            </w:r>
            <w:r>
              <w:rPr>
                <w:rFonts w:ascii="Times New Roman" w:hAnsi="Times New Roman"/>
                <w:color w:val="000000"/>
                <w:sz w:val="24"/>
                <w:szCs w:val="24"/>
              </w:rPr>
            </w:r>
            <w:r/>
          </w:p>
        </w:tc>
        <w:tc>
          <w:tcPr>
            <w:tcW w:w="1701" w:type="dxa"/>
            <w:vAlign w:val="center"/>
            <w:textDirection w:val="lrTb"/>
            <w:noWrap w:val="false"/>
          </w:tcPr>
          <w:p>
            <w:pPr>
              <w:pStyle w:val="905"/>
              <w:jc w:val="center"/>
              <w:rPr>
                <w:color w:val="000000"/>
                <w:sz w:val="24"/>
                <w:szCs w:val="24"/>
              </w:rPr>
            </w:pPr>
            <w:r>
              <w:rPr>
                <w:rFonts w:hint="eastAsia" w:ascii="宋体" w:hAnsi="宋体" w:eastAsia="宋体" w:cs="宋体"/>
                <w:color w:val="000000"/>
                <w:sz w:val="24"/>
                <w:szCs w:val="24"/>
              </w:rPr>
              <w:t xml:space="preserve">代理费</w:t>
            </w:r>
            <w:r>
              <w:rPr>
                <w:color w:val="000000"/>
                <w:sz w:val="24"/>
                <w:szCs w:val="24"/>
              </w:rPr>
            </w:r>
            <w:r/>
          </w:p>
        </w:tc>
        <w:tc>
          <w:tcPr>
            <w:tcW w:w="7253" w:type="dxa"/>
            <w:vAlign w:val="center"/>
            <w:textDirection w:val="lrTb"/>
            <w:noWrap w:val="false"/>
          </w:tcPr>
          <w:p>
            <w:pPr>
              <w:pStyle w:val="905"/>
              <w:spacing w:line="360" w:lineRule="auto"/>
              <w:rPr>
                <w:rFonts w:ascii="宋体" w:hAnsi="宋体" w:cs="宋体"/>
                <w:bCs/>
                <w:color w:val="000000"/>
                <w:spacing w:val="2"/>
                <w:sz w:val="24"/>
                <w:szCs w:val="24"/>
              </w:rPr>
            </w:pPr>
            <w:r>
              <w:rPr>
                <w:rFonts w:hint="eastAsia" w:ascii="宋体" w:hAnsi="宋体" w:cs="宋体"/>
                <w:bCs/>
                <w:color w:val="000000"/>
                <w:spacing w:val="2"/>
                <w:sz w:val="24"/>
                <w:szCs w:val="24"/>
              </w:rPr>
              <w:t xml:space="preserve">收费对象：成交供应商</w:t>
            </w:r>
            <w:r>
              <w:rPr>
                <w:rFonts w:ascii="宋体" w:hAnsi="宋体" w:cs="宋体"/>
                <w:bCs/>
                <w:color w:val="000000"/>
                <w:spacing w:val="2"/>
                <w:sz w:val="24"/>
                <w:szCs w:val="24"/>
              </w:rPr>
            </w:r>
            <w:r/>
          </w:p>
          <w:p>
            <w:pPr>
              <w:pStyle w:val="905"/>
              <w:spacing w:line="360" w:lineRule="auto"/>
              <w:rPr>
                <w:rFonts w:ascii="宋体" w:hAnsi="宋体" w:cs="宋体"/>
                <w:bCs/>
                <w:color w:val="000000"/>
                <w:spacing w:val="2"/>
                <w:sz w:val="24"/>
                <w:szCs w:val="24"/>
              </w:rPr>
            </w:pPr>
            <w:r>
              <w:rPr>
                <w:rFonts w:hint="eastAsia" w:ascii="宋体" w:hAnsi="宋体" w:cs="宋体"/>
                <w:bCs/>
                <w:color w:val="000000"/>
                <w:spacing w:val="2"/>
                <w:sz w:val="24"/>
                <w:szCs w:val="24"/>
              </w:rPr>
              <w:t xml:space="preserve">收费标准：</w:t>
            </w:r>
            <w:r>
              <w:rPr>
                <w:rFonts w:ascii="宋体" w:hAnsi="宋体" w:cs="宋体"/>
                <w:bCs/>
                <w:color w:val="000000"/>
                <w:spacing w:val="2"/>
                <w:sz w:val="24"/>
                <w:szCs w:val="24"/>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pStyle w:val="905"/>
                    <w:ind w:left="0" w:right="0" w:firstLine="1560"/>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-5079</wp:posOffset>
                            </wp:positionV>
                            <wp:extent cx="1321435" cy="104330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27.0pt,-0.4pt" to="131.1pt,81.8pt" filled="f" strokecolor="#000000"/>
                        </w:pict>
                      </mc:Fallback>
                    </mc:AlternateContent>
                  </w:r>
                  <w:r>
                    <w:rPr>
                      <w:rFonts w:hint="eastAsia" w:ascii="宋体" w:hAnsi="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cs="宋体"/>
                      <w:bCs/>
                      <w:color w:val="000000"/>
                      <w:sz w:val="24"/>
                      <w:szCs w:val="24"/>
                    </w:rPr>
                    <w:t xml:space="preserve">项目类型</w:t>
                  </w:r>
                  <w:r>
                    <w:rPr>
                      <w:rFonts w:hint="eastAsia" w:ascii="宋体" w:hAnsi="宋体" w:cs="宋体"/>
                      <w:bCs/>
                      <w:color w:val="000000"/>
                      <w:sz w:val="24"/>
                      <w:szCs w:val="24"/>
                    </w:rPr>
                  </w:r>
                  <w:r/>
                </w:p>
                <w:p>
                  <w:pPr>
                    <w:pStyle w:val="905"/>
                    <w:ind w:left="0" w:right="0" w:firstLine="1560"/>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pStyle w:val="905"/>
                    <w:ind w:left="0" w:right="0" w:firstLine="720"/>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56515</wp:posOffset>
                            </wp:positionV>
                            <wp:extent cx="1725295" cy="63563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8pt,4.5pt" to="131.1pt,54.5pt" filled="f" strokecolor="#000000"/>
                        </w:pict>
                      </mc:Fallback>
                    </mc:AlternateContent>
                  </w:r>
                  <w:r>
                    <w:rPr>
                      <w:rFonts w:hint="eastAsia" w:ascii="宋体" w:hAnsi="宋体" w:cs="宋体"/>
                      <w:bCs/>
                      <w:color w:val="000000"/>
                      <w:sz w:val="24"/>
                      <w:szCs w:val="24"/>
                    </w:rPr>
                    <w:t xml:space="preserve">费率</w:t>
                  </w:r>
                  <w:r>
                    <w:rPr>
                      <w:rFonts w:hint="eastAsia" w:ascii="宋体" w:hAnsi="宋体" w:cs="宋体"/>
                      <w:bCs/>
                      <w:color w:val="000000"/>
                      <w:sz w:val="24"/>
                      <w:szCs w:val="24"/>
                    </w:rPr>
                  </w:r>
                  <w:r/>
                </w:p>
                <w:p>
                  <w:pPr>
                    <w:pStyle w:val="905"/>
                    <w:ind w:left="0" w:right="0" w:firstLine="1560"/>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pStyle w:val="905"/>
                    <w:ind w:left="0" w:right="0" w:firstLine="1560"/>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pStyle w:val="905"/>
                    <w:ind w:left="0" w:right="0"/>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lang w:val="en-US" w:eastAsia="zh-CN"/>
                    </w:rPr>
                    <w:t xml:space="preserve">中标</w:t>
                  </w:r>
                  <w:r>
                    <w:rPr>
                      <w:rFonts w:hint="eastAsia" w:ascii="宋体" w:hAnsi="宋体" w:cs="宋体"/>
                      <w:bCs/>
                      <w:color w:val="000000"/>
                      <w:sz w:val="24"/>
                      <w:szCs w:val="24"/>
                    </w:rPr>
                    <w:t xml:space="preserve">金额（万元）</w:t>
                  </w:r>
                  <w:r>
                    <w:rPr>
                      <w:rFonts w:hint="eastAsia" w:ascii="宋体" w:hAnsi="宋体" w:cs="宋体"/>
                      <w:bCs/>
                      <w:color w:val="000000"/>
                      <w:sz w:val="24"/>
                      <w:szCs w:val="24"/>
                    </w:rPr>
                  </w:r>
                  <w:r/>
                </w:p>
              </w:tc>
              <w:tc>
                <w:tcPr>
                  <w:tcW w:w="1883" w:type="dxa"/>
                  <w:vAlign w:val="center"/>
                  <w:textDirection w:val="lrTb"/>
                  <w:noWrap w:val="false"/>
                </w:tcPr>
                <w:p>
                  <w:pPr>
                    <w:pStyle w:val="905"/>
                    <w:ind w:left="0" w:right="0"/>
                    <w:jc w:val="center"/>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服务类</w:t>
                  </w:r>
                  <w:r>
                    <w:rPr>
                      <w:rFonts w:hint="eastAsia" w:ascii="宋体" w:hAnsi="宋体" w:cs="宋体"/>
                      <w:bCs/>
                      <w:color w:val="000000"/>
                      <w:sz w:val="24"/>
                      <w:szCs w:val="24"/>
                    </w:rPr>
                  </w:r>
                  <w:r/>
                </w:p>
              </w:tc>
            </w:tr>
            <w:tr>
              <w:trPr/>
              <w:tc>
                <w:tcPr>
                  <w:tcW w:w="2744" w:type="dxa"/>
                  <w:vAlign w:val="top"/>
                  <w:textDirection w:val="lrTb"/>
                  <w:noWrap w:val="false"/>
                </w:tcPr>
                <w:p>
                  <w:pPr>
                    <w:pStyle w:val="905"/>
                    <w:ind w:left="0" w:right="0"/>
                    <w:jc w:val="center"/>
                    <w:keepLines w:val="0"/>
                    <w:keepNext w:val="0"/>
                    <w:spacing w:before="0" w:beforeAutospacing="0" w:after="0" w:afterAutospacing="0"/>
                    <w:rPr>
                      <w:rFonts w:ascii="宋体" w:hAnsi="宋体" w:cs="宋体"/>
                      <w:color w:val="000000"/>
                      <w:sz w:val="24"/>
                      <w:szCs w:val="24"/>
                    </w:rPr>
                    <w:suppressLineNumbers w:val="0"/>
                  </w:pPr>
                  <w:r>
                    <w:rPr>
                      <w:rFonts w:hint="eastAsia" w:ascii="宋体" w:hAnsi="宋体" w:cs="宋体"/>
                      <w:color w:val="000000"/>
                      <w:sz w:val="24"/>
                      <w:szCs w:val="24"/>
                    </w:rPr>
                    <w:t xml:space="preserve">100（含，下同）以下</w:t>
                  </w:r>
                  <w:r>
                    <w:rPr>
                      <w:rFonts w:ascii="宋体" w:hAnsi="宋体" w:cs="宋体"/>
                      <w:color w:val="000000"/>
                      <w:sz w:val="24"/>
                      <w:szCs w:val="24"/>
                    </w:rPr>
                  </w:r>
                  <w:r/>
                </w:p>
              </w:tc>
              <w:tc>
                <w:tcPr>
                  <w:tcW w:w="1883" w:type="dxa"/>
                  <w:vAlign w:val="top"/>
                  <w:textDirection w:val="lrTb"/>
                  <w:noWrap w:val="false"/>
                </w:tcPr>
                <w:p>
                  <w:pPr>
                    <w:pStyle w:val="905"/>
                    <w:ind w:left="0" w:right="0"/>
                    <w:jc w:val="center"/>
                    <w:keepLines w:val="0"/>
                    <w:keepNext w:val="0"/>
                    <w:spacing w:before="0" w:beforeAutospacing="0" w:after="0" w:afterAutospacing="0"/>
                    <w:rPr>
                      <w:rFonts w:ascii="宋体" w:hAnsi="宋体" w:cs="宋体"/>
                      <w:color w:val="000000"/>
                      <w:sz w:val="24"/>
                      <w:szCs w:val="24"/>
                    </w:rPr>
                    <w:suppressLineNumbers w:val="0"/>
                  </w:pPr>
                  <w:r>
                    <w:rPr>
                      <w:rFonts w:hint="eastAsia" w:ascii="宋体" w:hAnsi="宋体" w:cs="宋体"/>
                      <w:color w:val="000000"/>
                      <w:sz w:val="24"/>
                      <w:szCs w:val="24"/>
                    </w:rPr>
                    <w:t xml:space="preserve">1.5%</w:t>
                  </w:r>
                  <w:r>
                    <w:rPr>
                      <w:rFonts w:ascii="宋体" w:hAnsi="宋体" w:cs="宋体"/>
                      <w:color w:val="000000"/>
                      <w:sz w:val="24"/>
                      <w:szCs w:val="24"/>
                    </w:rPr>
                  </w:r>
                  <w:r/>
                </w:p>
              </w:tc>
            </w:tr>
            <w:tr>
              <w:trPr/>
              <w:tc>
                <w:tcPr>
                  <w:tcW w:w="2744" w:type="dxa"/>
                  <w:vAlign w:val="top"/>
                  <w:textDirection w:val="lrTb"/>
                  <w:noWrap w:val="false"/>
                </w:tcPr>
                <w:p>
                  <w:pPr>
                    <w:pStyle w:val="905"/>
                    <w:ind w:left="0" w:right="0"/>
                    <w:jc w:val="center"/>
                    <w:keepLines w:val="0"/>
                    <w:keepNext w:val="0"/>
                    <w:spacing w:before="0" w:beforeAutospacing="0" w:after="0" w:afterAutospacing="0"/>
                    <w:rPr>
                      <w:rFonts w:ascii="宋体" w:hAnsi="宋体" w:cs="宋体"/>
                      <w:color w:val="000000"/>
                      <w:sz w:val="24"/>
                      <w:szCs w:val="24"/>
                    </w:rPr>
                    <w:suppressLineNumbers w:val="0"/>
                  </w:pPr>
                  <w:r>
                    <w:rPr>
                      <w:rFonts w:hint="eastAsia" w:ascii="宋体" w:hAnsi="宋体" w:cs="宋体"/>
                      <w:color w:val="000000"/>
                      <w:sz w:val="24"/>
                      <w:szCs w:val="24"/>
                    </w:rPr>
                    <w:t xml:space="preserve">100-500</w:t>
                  </w:r>
                  <w:r>
                    <w:rPr>
                      <w:rFonts w:ascii="宋体" w:hAnsi="宋体" w:cs="宋体"/>
                      <w:color w:val="000000"/>
                      <w:sz w:val="24"/>
                      <w:szCs w:val="24"/>
                    </w:rPr>
                  </w:r>
                  <w:r/>
                </w:p>
              </w:tc>
              <w:tc>
                <w:tcPr>
                  <w:tcW w:w="1883" w:type="dxa"/>
                  <w:vAlign w:val="top"/>
                  <w:textDirection w:val="lrTb"/>
                  <w:noWrap w:val="false"/>
                </w:tcPr>
                <w:p>
                  <w:pPr>
                    <w:pStyle w:val="905"/>
                    <w:ind w:left="0" w:right="0"/>
                    <w:jc w:val="center"/>
                    <w:keepLines w:val="0"/>
                    <w:keepNext w:val="0"/>
                    <w:spacing w:before="0" w:beforeAutospacing="0" w:after="0" w:afterAutospacing="0"/>
                    <w:rPr>
                      <w:rFonts w:ascii="宋体" w:hAnsi="宋体" w:cs="宋体"/>
                      <w:color w:val="000000"/>
                      <w:sz w:val="24"/>
                      <w:szCs w:val="24"/>
                    </w:rPr>
                    <w:suppressLineNumbers w:val="0"/>
                  </w:pPr>
                  <w:r>
                    <w:rPr>
                      <w:rFonts w:hint="eastAsia" w:ascii="宋体" w:hAnsi="宋体" w:cs="宋体"/>
                      <w:color w:val="000000"/>
                      <w:sz w:val="24"/>
                      <w:szCs w:val="24"/>
                    </w:rPr>
                    <w:t xml:space="preserve">0.8%</w:t>
                  </w:r>
                  <w:r>
                    <w:rPr>
                      <w:rFonts w:ascii="宋体" w:hAnsi="宋体" w:cs="宋体"/>
                      <w:color w:val="000000"/>
                      <w:sz w:val="24"/>
                      <w:szCs w:val="24"/>
                    </w:rPr>
                  </w:r>
                  <w:r/>
                </w:p>
              </w:tc>
            </w:tr>
            <w:tr>
              <w:trPr/>
              <w:tc>
                <w:tcPr>
                  <w:tcW w:w="2744" w:type="dxa"/>
                  <w:vAlign w:val="center"/>
                  <w:textDirection w:val="lrTb"/>
                  <w:noWrap w:val="false"/>
                </w:tcPr>
                <w:p>
                  <w:pPr>
                    <w:pStyle w:val="905"/>
                    <w:ind w:left="0" w:right="0"/>
                    <w:jc w:val="center"/>
                    <w:keepLines w:val="0"/>
                    <w:keepNext w:val="0"/>
                    <w:spacing w:before="0" w:beforeAutospacing="0" w:after="0" w:afterAutospacing="0"/>
                    <w:rPr>
                      <w:rFonts w:ascii="宋体" w:hAnsi="宋体" w:cs="宋体"/>
                      <w:color w:val="000000"/>
                      <w:sz w:val="24"/>
                      <w:szCs w:val="24"/>
                    </w:rPr>
                    <w:suppressLineNumbers w:val="0"/>
                  </w:pPr>
                  <w:r>
                    <w:rPr>
                      <w:rFonts w:hint="eastAsia" w:ascii="宋体" w:hAnsi="宋体" w:cs="Times New Roman"/>
                      <w:color w:val="000000"/>
                      <w:sz w:val="24"/>
                      <w:szCs w:val="24"/>
                    </w:rPr>
                    <w:t xml:space="preserve">500—1000</w:t>
                  </w:r>
                  <w:r>
                    <w:rPr>
                      <w:rFonts w:ascii="宋体" w:hAnsi="宋体" w:cs="宋体"/>
                      <w:color w:val="000000"/>
                      <w:sz w:val="24"/>
                      <w:szCs w:val="24"/>
                    </w:rPr>
                  </w:r>
                  <w:r/>
                </w:p>
              </w:tc>
              <w:tc>
                <w:tcPr>
                  <w:tcW w:w="1883" w:type="dxa"/>
                  <w:vAlign w:val="center"/>
                  <w:textDirection w:val="lrTb"/>
                  <w:noWrap w:val="false"/>
                </w:tcPr>
                <w:p>
                  <w:pPr>
                    <w:pStyle w:val="905"/>
                    <w:ind w:left="0" w:right="0"/>
                    <w:jc w:val="center"/>
                    <w:keepLines w:val="0"/>
                    <w:keepNext w:val="0"/>
                    <w:spacing w:before="0" w:beforeAutospacing="0" w:after="0" w:afterAutospacing="0"/>
                    <w:rPr>
                      <w:rFonts w:ascii="宋体" w:hAnsi="宋体" w:cs="宋体"/>
                      <w:color w:val="000000"/>
                      <w:sz w:val="24"/>
                      <w:szCs w:val="24"/>
                    </w:rPr>
                    <w:suppressLineNumbers w:val="0"/>
                  </w:pPr>
                  <w:r>
                    <w:rPr>
                      <w:rFonts w:hint="eastAsia" w:ascii="宋体" w:hAnsi="宋体" w:cs="Times New Roman"/>
                      <w:color w:val="000000"/>
                      <w:sz w:val="24"/>
                      <w:szCs w:val="24"/>
                    </w:rPr>
                    <w:t xml:space="preserve">0.45</w:t>
                  </w:r>
                  <w:r>
                    <w:rPr>
                      <w:rFonts w:hint="eastAsia" w:ascii="宋体" w:hAnsi="宋体" w:cs="宋体"/>
                      <w:color w:val="000000"/>
                      <w:sz w:val="24"/>
                      <w:szCs w:val="24"/>
                    </w:rPr>
                    <w:t xml:space="preserve">%</w:t>
                  </w:r>
                  <w:r>
                    <w:rPr>
                      <w:rFonts w:ascii="宋体" w:hAnsi="宋体" w:cs="宋体"/>
                      <w:color w:val="000000"/>
                      <w:sz w:val="24"/>
                      <w:szCs w:val="24"/>
                    </w:rPr>
                  </w:r>
                  <w:r/>
                </w:p>
              </w:tc>
            </w:tr>
            <w:tr>
              <w:trPr/>
              <w:tc>
                <w:tcPr>
                  <w:tcW w:w="2744" w:type="dxa"/>
                  <w:vAlign w:val="center"/>
                  <w:textDirection w:val="lrTb"/>
                  <w:noWrap w:val="false"/>
                </w:tcPr>
                <w:p>
                  <w:pPr>
                    <w:pStyle w:val="905"/>
                    <w:ind w:left="0" w:right="0"/>
                    <w:jc w:val="center"/>
                    <w:keepLines w:val="0"/>
                    <w:keepNext w:val="0"/>
                    <w:spacing w:before="0" w:beforeAutospacing="0" w:after="0" w:afterAutospacing="0"/>
                    <w:rPr>
                      <w:rFonts w:ascii="宋体" w:hAnsi="宋体" w:cs="Times New Roman"/>
                      <w:color w:val="000000"/>
                      <w:sz w:val="24"/>
                      <w:szCs w:val="24"/>
                    </w:rPr>
                    <w:suppressLineNumbers w:val="0"/>
                  </w:pPr>
                  <w:r>
                    <w:rPr>
                      <w:rFonts w:hint="eastAsia" w:ascii="宋体" w:hAnsi="宋体" w:cs="Times New Roman"/>
                      <w:color w:val="000000"/>
                      <w:sz w:val="24"/>
                      <w:szCs w:val="24"/>
                    </w:rPr>
                    <w:t xml:space="preserve">1000-5000</w:t>
                  </w:r>
                  <w:r>
                    <w:rPr>
                      <w:rFonts w:ascii="宋体" w:hAnsi="宋体" w:cs="Times New Roman"/>
                      <w:color w:val="000000"/>
                      <w:sz w:val="24"/>
                      <w:szCs w:val="24"/>
                    </w:rPr>
                  </w:r>
                  <w:r/>
                </w:p>
              </w:tc>
              <w:tc>
                <w:tcPr>
                  <w:tcW w:w="1883" w:type="dxa"/>
                  <w:vAlign w:val="center"/>
                  <w:textDirection w:val="lrTb"/>
                  <w:noWrap w:val="false"/>
                </w:tcPr>
                <w:p>
                  <w:pPr>
                    <w:pStyle w:val="905"/>
                    <w:ind w:left="0" w:right="0"/>
                    <w:jc w:val="center"/>
                    <w:keepLines w:val="0"/>
                    <w:keepNext w:val="0"/>
                    <w:spacing w:before="0" w:beforeAutospacing="0" w:after="0" w:afterAutospacing="0"/>
                    <w:rPr>
                      <w:rFonts w:ascii="宋体" w:hAnsi="宋体" w:cs="Times New Roman"/>
                      <w:color w:val="000000"/>
                      <w:sz w:val="24"/>
                      <w:szCs w:val="24"/>
                    </w:rPr>
                    <w:suppressLineNumbers w:val="0"/>
                  </w:pPr>
                  <w:r>
                    <w:rPr>
                      <w:rFonts w:hint="eastAsia" w:ascii="宋体" w:hAnsi="宋体" w:cs="Times New Roman"/>
                      <w:color w:val="000000"/>
                      <w:sz w:val="24"/>
                      <w:szCs w:val="24"/>
                    </w:rPr>
                    <w:t xml:space="preserve">0.25%</w:t>
                  </w:r>
                  <w:r>
                    <w:rPr>
                      <w:rFonts w:ascii="宋体" w:hAnsi="宋体" w:cs="Times New Roman"/>
                      <w:color w:val="000000"/>
                      <w:sz w:val="24"/>
                      <w:szCs w:val="24"/>
                    </w:rPr>
                  </w:r>
                  <w:r/>
                </w:p>
              </w:tc>
            </w:tr>
            <w:tr>
              <w:trPr/>
              <w:tc>
                <w:tcPr>
                  <w:tcW w:w="2744" w:type="dxa"/>
                  <w:vAlign w:val="top"/>
                  <w:textDirection w:val="lrTb"/>
                  <w:noWrap w:val="false"/>
                </w:tcPr>
                <w:p>
                  <w:pPr>
                    <w:pStyle w:val="905"/>
                    <w:ind w:left="0" w:right="0"/>
                    <w:jc w:val="center"/>
                    <w:keepLines w:val="0"/>
                    <w:keepNext w:val="0"/>
                    <w:spacing w:before="0" w:beforeAutospacing="0" w:after="0" w:afterAutospacing="0" w:line="440" w:lineRule="exact"/>
                    <w:rPr>
                      <w:rFonts w:ascii="宋体" w:hAnsi="宋体" w:cs="宋体"/>
                      <w:color w:val="000000"/>
                      <w:sz w:val="24"/>
                      <w:szCs w:val="24"/>
                    </w:rPr>
                    <w:suppressLineNumbers w:val="0"/>
                  </w:pPr>
                  <w:r>
                    <w:rPr>
                      <w:rFonts w:hint="eastAsia" w:ascii="宋体" w:hAnsi="宋体" w:cs="宋体"/>
                      <w:color w:val="000000"/>
                      <w:sz w:val="24"/>
                      <w:szCs w:val="24"/>
                    </w:rPr>
                    <w:t xml:space="preserve">……</w:t>
                  </w:r>
                  <w:r>
                    <w:rPr>
                      <w:rFonts w:ascii="宋体" w:hAnsi="宋体" w:cs="宋体"/>
                      <w:color w:val="000000"/>
                      <w:sz w:val="24"/>
                      <w:szCs w:val="24"/>
                    </w:rPr>
                  </w:r>
                  <w:r/>
                </w:p>
              </w:tc>
              <w:tc>
                <w:tcPr>
                  <w:tcW w:w="1883" w:type="dxa"/>
                  <w:vAlign w:val="top"/>
                  <w:textDirection w:val="lrTb"/>
                  <w:noWrap w:val="false"/>
                </w:tcPr>
                <w:p>
                  <w:pPr>
                    <w:pStyle w:val="905"/>
                    <w:ind w:left="0" w:right="0"/>
                    <w:jc w:val="center"/>
                    <w:keepLines w:val="0"/>
                    <w:keepNext w:val="0"/>
                    <w:spacing w:before="0" w:beforeAutospacing="0" w:after="0" w:afterAutospacing="0" w:line="440" w:lineRule="exact"/>
                    <w:rPr>
                      <w:rFonts w:ascii="宋体" w:hAnsi="宋体" w:cs="宋体"/>
                      <w:color w:val="000000"/>
                      <w:sz w:val="24"/>
                      <w:szCs w:val="24"/>
                    </w:rPr>
                    <w:suppressLineNumbers w:val="0"/>
                  </w:pPr>
                  <w:r>
                    <w:rPr>
                      <w:rFonts w:hint="eastAsia" w:ascii="宋体" w:hAnsi="宋体" w:cs="宋体"/>
                      <w:color w:val="000000"/>
                      <w:sz w:val="24"/>
                      <w:szCs w:val="24"/>
                    </w:rPr>
                    <w:t xml:space="preserve">……</w:t>
                  </w:r>
                  <w:r>
                    <w:rPr>
                      <w:rFonts w:ascii="宋体" w:hAnsi="宋体" w:cs="宋体"/>
                      <w:color w:val="000000"/>
                      <w:sz w:val="24"/>
                      <w:szCs w:val="24"/>
                    </w:rPr>
                  </w:r>
                  <w:r/>
                </w:p>
              </w:tc>
            </w:tr>
          </w:tbl>
          <w:p>
            <w:pPr>
              <w:pStyle w:val="905"/>
              <w:spacing w:line="360" w:lineRule="auto"/>
              <w:rPr>
                <w:rFonts w:ascii="宋体" w:hAnsi="宋体" w:cs="宋体"/>
                <w:bCs/>
                <w:color w:val="000000"/>
                <w:spacing w:val="2"/>
                <w:sz w:val="24"/>
                <w:szCs w:val="24"/>
              </w:rPr>
            </w:pPr>
            <w:r>
              <w:rPr>
                <w:rFonts w:hint="eastAsia" w:ascii="宋体" w:hAnsi="宋体" w:cs="宋体"/>
                <w:bCs/>
                <w:color w:val="000000"/>
                <w:spacing w:val="2"/>
                <w:sz w:val="24"/>
                <w:szCs w:val="24"/>
              </w:rPr>
              <w:t xml:space="preserve">1、代理服务收费按差额定率累进法计算。  </w:t>
            </w:r>
            <w:r>
              <w:rPr>
                <w:rFonts w:ascii="宋体" w:hAnsi="宋体" w:cs="宋体"/>
                <w:bCs/>
                <w:color w:val="000000"/>
                <w:spacing w:val="2"/>
                <w:sz w:val="24"/>
                <w:szCs w:val="24"/>
              </w:rPr>
            </w:r>
            <w:r/>
          </w:p>
          <w:p>
            <w:pPr>
              <w:pStyle w:val="905"/>
              <w:spacing w:line="360" w:lineRule="auto"/>
              <w:rPr>
                <w:rFonts w:ascii="宋体" w:hAnsi="宋体" w:cs="宋体"/>
                <w:bCs/>
                <w:color w:val="000000"/>
                <w:spacing w:val="2"/>
                <w:sz w:val="24"/>
                <w:szCs w:val="24"/>
              </w:rPr>
            </w:pPr>
            <w:r>
              <w:rPr>
                <w:rFonts w:hint="eastAsia" w:ascii="宋体" w:hAnsi="宋体" w:cs="宋体"/>
                <w:bCs/>
                <w:color w:val="000000"/>
                <w:spacing w:val="2"/>
                <w:sz w:val="24"/>
                <w:szCs w:val="24"/>
              </w:rPr>
              <w:t xml:space="preserve">2、服务收费按上述计算方法不足人民币3000元的，按人民币3000元收取。 </w:t>
            </w:r>
            <w:r>
              <w:rPr>
                <w:rFonts w:ascii="宋体" w:hAnsi="宋体" w:cs="宋体"/>
                <w:bCs/>
                <w:color w:val="000000"/>
                <w:spacing w:val="2"/>
                <w:sz w:val="24"/>
                <w:szCs w:val="24"/>
              </w:rPr>
            </w:r>
            <w:r/>
          </w:p>
          <w:p>
            <w:pPr>
              <w:pStyle w:val="905"/>
              <w:spacing w:line="360" w:lineRule="auto"/>
              <w:rPr>
                <w:rFonts w:ascii="宋体" w:hAnsi="宋体" w:cs="宋体"/>
                <w:bCs/>
                <w:color w:val="000000"/>
                <w:spacing w:val="2"/>
                <w:sz w:val="24"/>
                <w:szCs w:val="24"/>
              </w:rPr>
            </w:pPr>
            <w:r>
              <w:rPr>
                <w:rFonts w:hint="eastAsia" w:ascii="宋体" w:hAnsi="宋体" w:cs="宋体"/>
                <w:bCs/>
                <w:color w:val="000000"/>
                <w:spacing w:val="2"/>
                <w:sz w:val="24"/>
                <w:szCs w:val="24"/>
              </w:rPr>
              <w:t xml:space="preserve">3、缴纳时间：领取成交通知书时缴纳。</w:t>
            </w:r>
            <w:r>
              <w:rPr>
                <w:rFonts w:ascii="宋体" w:hAnsi="宋体" w:cs="宋体"/>
                <w:bCs/>
                <w:color w:val="000000"/>
                <w:spacing w:val="2"/>
                <w:sz w:val="24"/>
                <w:szCs w:val="24"/>
              </w:rPr>
            </w:r>
            <w:r/>
          </w:p>
          <w:p>
            <w:pPr>
              <w:pStyle w:val="905"/>
              <w:spacing w:line="360" w:lineRule="auto"/>
              <w:rPr>
                <w:rFonts w:ascii="宋体" w:hAnsi="宋体" w:cs="宋体"/>
                <w:bCs/>
                <w:color w:val="000000"/>
                <w:spacing w:val="2"/>
                <w:sz w:val="24"/>
                <w:szCs w:val="24"/>
              </w:rPr>
            </w:pPr>
            <w:r>
              <w:rPr>
                <w:rFonts w:hint="eastAsia" w:ascii="宋体" w:hAnsi="宋体" w:cs="宋体"/>
                <w:bCs/>
                <w:color w:val="000000"/>
                <w:spacing w:val="2"/>
                <w:sz w:val="24"/>
                <w:szCs w:val="24"/>
              </w:rPr>
              <w:t xml:space="preserve">4、缴纳方式：</w:t>
            </w:r>
            <w:r>
              <w:rPr>
                <w:rFonts w:ascii="宋体" w:hAnsi="宋体" w:cs="宋体"/>
                <w:bCs/>
                <w:color w:val="000000"/>
                <w:spacing w:val="2"/>
                <w:sz w:val="24"/>
                <w:szCs w:val="24"/>
              </w:rPr>
            </w:r>
            <w:r/>
          </w:p>
          <w:p>
            <w:pPr>
              <w:pStyle w:val="905"/>
              <w:spacing w:line="360" w:lineRule="auto"/>
              <w:rPr>
                <w:rFonts w:ascii="宋体" w:hAnsi="宋体" w:cs="宋体"/>
                <w:bCs/>
                <w:color w:val="000000"/>
                <w:spacing w:val="2"/>
                <w:sz w:val="24"/>
                <w:szCs w:val="24"/>
              </w:rPr>
            </w:pPr>
            <w:r>
              <w:rPr>
                <w:rFonts w:hint="eastAsia" w:ascii="宋体" w:hAnsi="宋体" w:cs="宋体"/>
                <w:bCs/>
                <w:color w:val="000000"/>
                <w:spacing w:val="2"/>
                <w:sz w:val="24"/>
                <w:szCs w:val="24"/>
              </w:rPr>
              <w:t xml:space="preserve">收款人名称：常州正衡招投标有限公司</w:t>
            </w:r>
            <w:r>
              <w:rPr>
                <w:rFonts w:ascii="宋体" w:hAnsi="宋体" w:cs="宋体"/>
                <w:bCs/>
                <w:color w:val="000000"/>
                <w:spacing w:val="2"/>
                <w:sz w:val="24"/>
                <w:szCs w:val="24"/>
              </w:rPr>
            </w:r>
            <w:r/>
          </w:p>
          <w:p>
            <w:pPr>
              <w:pStyle w:val="905"/>
              <w:spacing w:line="360" w:lineRule="auto"/>
              <w:rPr>
                <w:rFonts w:ascii="宋体" w:hAnsi="宋体" w:cs="宋体"/>
                <w:bCs/>
                <w:color w:val="000000"/>
                <w:spacing w:val="2"/>
                <w:sz w:val="24"/>
                <w:szCs w:val="24"/>
              </w:rPr>
            </w:pPr>
            <w:r>
              <w:rPr>
                <w:rFonts w:hint="eastAsia" w:ascii="宋体" w:hAnsi="宋体" w:cs="宋体"/>
                <w:bCs/>
                <w:color w:val="000000"/>
                <w:spacing w:val="2"/>
                <w:sz w:val="24"/>
                <w:szCs w:val="24"/>
              </w:rPr>
              <w:t xml:space="preserve">开户行名称：招商银行常州北大街支行</w:t>
            </w:r>
            <w:r>
              <w:rPr>
                <w:rFonts w:ascii="宋体" w:hAnsi="宋体" w:cs="宋体"/>
                <w:bCs/>
                <w:color w:val="000000"/>
                <w:spacing w:val="2"/>
                <w:sz w:val="24"/>
                <w:szCs w:val="24"/>
              </w:rPr>
            </w:r>
            <w:r/>
          </w:p>
          <w:p>
            <w:pPr>
              <w:pStyle w:val="905"/>
              <w:spacing w:line="360" w:lineRule="auto"/>
              <w:rPr>
                <w:rFonts w:ascii="宋体" w:hAnsi="宋体" w:cs="宋体"/>
                <w:bCs/>
                <w:color w:val="000000"/>
                <w:spacing w:val="2"/>
                <w:sz w:val="24"/>
                <w:szCs w:val="24"/>
              </w:rPr>
            </w:pPr>
            <w:r>
              <w:rPr>
                <w:rFonts w:hint="eastAsia" w:ascii="宋体" w:hAnsi="宋体" w:cs="宋体"/>
                <w:bCs/>
                <w:color w:val="000000"/>
                <w:spacing w:val="2"/>
                <w:sz w:val="24"/>
                <w:szCs w:val="24"/>
              </w:rPr>
              <w:t xml:space="preserve">银行账号：519902981310901</w:t>
            </w:r>
            <w:r>
              <w:rPr>
                <w:rFonts w:ascii="宋体" w:hAnsi="宋体" w:cs="宋体"/>
                <w:bCs/>
                <w:color w:val="000000"/>
                <w:spacing w:val="2"/>
                <w:sz w:val="24"/>
                <w:szCs w:val="24"/>
              </w:rPr>
            </w:r>
            <w:r/>
          </w:p>
          <w:p>
            <w:pPr>
              <w:pStyle w:val="905"/>
              <w:jc w:val="left"/>
              <w:rPr>
                <w:rFonts w:ascii="宋体" w:hAnsi="宋体" w:cs="宋体"/>
                <w:bCs/>
                <w:color w:val="000000"/>
                <w:spacing w:val="2"/>
                <w:sz w:val="24"/>
                <w:szCs w:val="24"/>
              </w:rPr>
            </w:pPr>
            <w:r>
              <w:rPr>
                <w:rFonts w:hint="eastAsia" w:ascii="宋体" w:hAnsi="宋体" w:cs="宋体"/>
                <w:bCs/>
                <w:color w:val="000000"/>
                <w:spacing w:val="2"/>
                <w:sz w:val="24"/>
                <w:szCs w:val="24"/>
              </w:rPr>
              <w:t xml:space="preserve">支付宝账号：3415909493@qq.com（备注单位名称及项目名称）</w:t>
            </w:r>
            <w:r>
              <w:rPr>
                <w:rFonts w:ascii="宋体" w:hAnsi="宋体" w:cs="宋体"/>
                <w:bCs/>
                <w:color w:val="000000"/>
                <w:spacing w:val="2"/>
                <w:sz w:val="24"/>
                <w:szCs w:val="24"/>
              </w:rPr>
            </w:r>
            <w:r/>
          </w:p>
        </w:tc>
      </w:tr>
    </w:tbl>
    <w:p>
      <w:pPr>
        <w:pStyle w:val="905"/>
        <w:jc w:val="center"/>
        <w:spacing w:before="240" w:after="240"/>
        <w:rPr>
          <w:b/>
          <w:color w:val="000000"/>
          <w:sz w:val="28"/>
          <w:szCs w:val="28"/>
        </w:rPr>
      </w:pPr>
      <w:r>
        <w:rPr>
          <w:b/>
          <w:color w:val="000000"/>
          <w:sz w:val="28"/>
          <w:szCs w:val="28"/>
        </w:rPr>
        <w:br w:type="page" w:clear="all"/>
      </w:r>
      <w:r>
        <w:rPr>
          <w:b/>
          <w:color w:val="000000"/>
          <w:sz w:val="28"/>
          <w:szCs w:val="28"/>
        </w:rPr>
        <w:t xml:space="preserve">供应商须知</w:t>
      </w:r>
      <w:r>
        <w:rPr>
          <w:b/>
          <w:color w:val="000000"/>
          <w:sz w:val="28"/>
          <w:szCs w:val="28"/>
        </w:rPr>
      </w:r>
      <w:r/>
    </w:p>
    <w:p>
      <w:pPr>
        <w:pStyle w:val="907"/>
        <w:jc w:val="left"/>
        <w:spacing w:before="0" w:line="360" w:lineRule="auto"/>
        <w:tabs>
          <w:tab w:val="center" w:pos="4592" w:leader="none"/>
          <w:tab w:val="left" w:pos="7860" w:leader="none"/>
        </w:tabs>
        <w:rPr>
          <w:rFonts w:ascii="Times New Roman" w:hAnsi="Times New Roman" w:eastAsia="宋体"/>
          <w:color w:val="000000"/>
          <w:sz w:val="28"/>
        </w:rPr>
      </w:pPr>
      <w:r/>
      <w:bookmarkStart w:id="65" w:name="_Toc127151518"/>
      <w:r/>
      <w:bookmarkStart w:id="66" w:name="_Toc520356143"/>
      <w:r>
        <w:rPr>
          <w:rFonts w:ascii="Times New Roman" w:hAnsi="Times New Roman" w:eastAsia="宋体"/>
          <w:color w:val="000000"/>
          <w:sz w:val="28"/>
        </w:rPr>
        <w:tab/>
      </w:r>
      <w:bookmarkStart w:id="67" w:name="_Toc305158786"/>
      <w:r/>
      <w:bookmarkStart w:id="68" w:name="_Toc151193906"/>
      <w:r/>
      <w:bookmarkStart w:id="69" w:name="_Toc150774618"/>
      <w:r/>
      <w:bookmarkStart w:id="70" w:name="_Toc151190145"/>
      <w:r/>
      <w:bookmarkStart w:id="71" w:name="_Toc265228356"/>
      <w:r/>
      <w:bookmarkStart w:id="72" w:name="_Toc226309762"/>
      <w:r/>
      <w:bookmarkStart w:id="73" w:name="_Toc151193832"/>
      <w:r/>
      <w:bookmarkStart w:id="74" w:name="_Toc226965791"/>
      <w:r/>
      <w:bookmarkStart w:id="75" w:name="_Toc305158860"/>
      <w:r/>
      <w:bookmarkStart w:id="76" w:name="_Toc226965708"/>
      <w:r/>
      <w:bookmarkStart w:id="77" w:name="_Toc150509269"/>
      <w:r/>
      <w:bookmarkStart w:id="78" w:name="_Toc151193616"/>
      <w:r/>
      <w:bookmarkStart w:id="79" w:name="_Toc264969208"/>
      <w:r/>
      <w:bookmarkStart w:id="80" w:name="_Toc226337214"/>
      <w:r/>
      <w:bookmarkStart w:id="81" w:name="_Toc151193760"/>
      <w:r/>
      <w:bookmarkStart w:id="82" w:name="_Toc142311020"/>
      <w:r/>
      <w:bookmarkStart w:id="83" w:name="_Toc150774723"/>
      <w:r/>
      <w:bookmarkStart w:id="84" w:name="_Toc151193688"/>
      <w:r/>
      <w:bookmarkStart w:id="85" w:name="_Toc150480756"/>
      <w:r/>
      <w:bookmarkStart w:id="86" w:name="_Toc195842883"/>
      <w:r>
        <w:rPr>
          <w:rFonts w:ascii="Times New Roman" w:hAnsi="Times New Roman" w:eastAsia="宋体"/>
          <w:color w:val="000000"/>
          <w:sz w:val="28"/>
        </w:rPr>
        <w:t xml:space="preserve">一   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Times New Roman" w:hAnsi="Times New Roman" w:eastAsia="宋体"/>
          <w:color w:val="000000"/>
          <w:sz w:val="28"/>
        </w:rPr>
        <w:tab/>
      </w:r>
      <w:r>
        <w:rPr>
          <w:rFonts w:ascii="Times New Roman" w:hAnsi="Times New Roman" w:eastAsia="宋体"/>
          <w:color w:val="000000"/>
          <w:sz w:val="28"/>
        </w:rPr>
      </w:r>
      <w:r/>
    </w:p>
    <w:p>
      <w:pPr>
        <w:pStyle w:val="905"/>
        <w:numPr>
          <w:ilvl w:val="0"/>
          <w:numId w:val="8"/>
        </w:numPr>
        <w:ind w:left="357" w:hanging="357"/>
        <w:spacing w:line="360" w:lineRule="auto"/>
        <w:tabs>
          <w:tab w:val="left" w:pos="360" w:leader="none"/>
        </w:tabs>
        <w:rPr>
          <w:color w:val="000000"/>
          <w:sz w:val="24"/>
        </w:rPr>
        <w:outlineLvl w:val="1"/>
      </w:pPr>
      <w:r/>
      <w:bookmarkStart w:id="87" w:name="_Toc265228357"/>
      <w:r/>
      <w:bookmarkStart w:id="88" w:name="_Toc305158861"/>
      <w:r/>
      <w:bookmarkStart w:id="89" w:name="_Toc305158787"/>
      <w:r/>
      <w:bookmarkStart w:id="90" w:name="_Toc264969209"/>
      <w:r>
        <w:rPr>
          <w:color w:val="000000"/>
          <w:sz w:val="24"/>
        </w:rPr>
        <w:t xml:space="preserve">采购人、采购代理机构、供应商</w:t>
      </w:r>
      <w:bookmarkEnd w:id="87"/>
      <w:r/>
      <w:bookmarkEnd w:id="88"/>
      <w:r/>
      <w:bookmarkEnd w:id="89"/>
      <w:r/>
      <w:bookmarkEnd w:id="90"/>
      <w:r>
        <w:rPr>
          <w:color w:val="000000"/>
          <w:sz w:val="24"/>
        </w:rPr>
        <w:t xml:space="preserve">、联合体</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采购人、采购代理机构：指依法进行政府采购的国家机关、事业单位、团体组织，及其委托的采购代理机构。本项目采购人、采购代理机构见第一章《采购邀请》。</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供应商（也称“申请人”）：指向采购人提供货物、工程或者服务的法人、其他组织或者自然人。</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联合体：指两个以上的自然人、法人或者其他组织组成一个联合体，以一个供应商的身份共同参加政府采购。</w:t>
      </w:r>
      <w:r>
        <w:rPr>
          <w:color w:val="000000"/>
          <w:sz w:val="24"/>
        </w:rPr>
      </w:r>
      <w:r/>
    </w:p>
    <w:p>
      <w:pPr>
        <w:pStyle w:val="905"/>
        <w:numPr>
          <w:ilvl w:val="0"/>
          <w:numId w:val="8"/>
        </w:numPr>
        <w:ind w:left="357" w:hanging="357"/>
        <w:spacing w:line="360" w:lineRule="auto"/>
        <w:tabs>
          <w:tab w:val="left" w:pos="360" w:leader="none"/>
        </w:tabs>
        <w:rPr>
          <w:color w:val="000000"/>
          <w:sz w:val="24"/>
        </w:rPr>
        <w:outlineLvl w:val="1"/>
      </w:pPr>
      <w:r/>
      <w:bookmarkStart w:id="91" w:name="_Toc151193834"/>
      <w:r/>
      <w:bookmarkStart w:id="92" w:name="_Toc164229215"/>
      <w:r/>
      <w:bookmarkStart w:id="93" w:name="_Toc265228358"/>
      <w:r/>
      <w:bookmarkStart w:id="94" w:name="_Toc142311022"/>
      <w:r/>
      <w:bookmarkStart w:id="95" w:name="_Toc164229361"/>
      <w:r/>
      <w:bookmarkStart w:id="96" w:name="_Toc127151721"/>
      <w:r/>
      <w:bookmarkStart w:id="97" w:name="_Toc305158788"/>
      <w:r/>
      <w:bookmarkStart w:id="98" w:name="_Toc305158862"/>
      <w:r/>
      <w:bookmarkStart w:id="99" w:name="_Toc149720813"/>
      <w:r/>
      <w:bookmarkStart w:id="100" w:name="_Toc151190147"/>
      <w:r/>
      <w:bookmarkStart w:id="101" w:name="_Toc151193618"/>
      <w:r/>
      <w:bookmarkStart w:id="102" w:name="_Toc226965710"/>
      <w:r/>
      <w:bookmarkStart w:id="103" w:name="_Toc164608789"/>
      <w:r/>
      <w:bookmarkStart w:id="104" w:name="_Toc226309764"/>
      <w:r/>
      <w:bookmarkStart w:id="105" w:name="_Toc127151520"/>
      <w:r/>
      <w:bookmarkStart w:id="106" w:name="_Toc151193908"/>
      <w:r/>
      <w:bookmarkStart w:id="107" w:name="_Toc226337216"/>
      <w:r/>
      <w:bookmarkStart w:id="108" w:name="_Toc226965793"/>
      <w:r/>
      <w:bookmarkStart w:id="109" w:name="_Toc164608634"/>
      <w:r/>
      <w:bookmarkStart w:id="110" w:name="_Toc150480758"/>
      <w:r/>
      <w:bookmarkStart w:id="111" w:name="_Toc264969210"/>
      <w:r/>
      <w:bookmarkStart w:id="112" w:name="_Toc150774725"/>
      <w:r/>
      <w:bookmarkStart w:id="113" w:name="_Toc150774620"/>
      <w:r/>
      <w:bookmarkStart w:id="114" w:name="_Toc151193762"/>
      <w:r/>
      <w:bookmarkStart w:id="115" w:name="_Toc195842885"/>
      <w:r/>
      <w:bookmarkStart w:id="116" w:name="_Toc127161434"/>
      <w:r/>
      <w:bookmarkStart w:id="117" w:name="_Toc150509271"/>
      <w:r/>
      <w:bookmarkStart w:id="118" w:name="_Toc164351614"/>
      <w:r/>
      <w:bookmarkStart w:id="119" w:name="_Toc151193690"/>
      <w:r>
        <w:rPr>
          <w:color w:val="000000"/>
          <w:sz w:val="24"/>
        </w:rPr>
        <w:t xml:space="preserve">资金来源</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color w:val="000000"/>
          <w:sz w:val="24"/>
        </w:rPr>
        <w:t xml:space="preserve">、项目属性、科研仪器设备采购</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项目属性见《供应商须知资料表》。</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是否属于科研仪器设备采购见《供应商须知资料表》。</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现场考察、磋商前答疑会</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若《供应商须知资料表》中规定了组织现场考察、召开磋商前答疑会，则供应商应按要求在规定的时间和地点参加。</w:t>
      </w:r>
      <w:bookmarkStart w:id="120" w:name="_Toc150509273"/>
      <w:r/>
      <w:bookmarkStart w:id="121" w:name="_Toc151193620"/>
      <w:r/>
      <w:bookmarkStart w:id="122" w:name="_Toc142311024"/>
      <w:r/>
      <w:bookmarkStart w:id="123" w:name="_Toc226965795"/>
      <w:r/>
      <w:bookmarkStart w:id="124" w:name="_Toc305158790"/>
      <w:r/>
      <w:bookmarkStart w:id="125" w:name="_Toc264969212"/>
      <w:r/>
      <w:bookmarkStart w:id="126" w:name="_Toc151190149"/>
      <w:r/>
      <w:bookmarkStart w:id="127" w:name="_Toc520356146"/>
      <w:r/>
      <w:bookmarkStart w:id="128" w:name="_Toc151193692"/>
      <w:r/>
      <w:bookmarkStart w:id="129" w:name="_Toc127151522"/>
      <w:r/>
      <w:bookmarkStart w:id="130" w:name="_Toc150774622"/>
      <w:r/>
      <w:bookmarkStart w:id="131" w:name="_Toc195842887"/>
      <w:r/>
      <w:bookmarkStart w:id="132" w:name="_Toc265228360"/>
      <w:r/>
      <w:bookmarkStart w:id="133" w:name="_Toc226337218"/>
      <w:r/>
      <w:bookmarkStart w:id="134" w:name="_Toc150480760"/>
      <w:r/>
      <w:bookmarkStart w:id="135" w:name="_Toc305158864"/>
      <w:r/>
      <w:bookmarkStart w:id="136" w:name="_Toc151193836"/>
      <w:r/>
      <w:bookmarkStart w:id="137" w:name="_Toc226309766"/>
      <w:r/>
      <w:bookmarkStart w:id="138" w:name="_Toc151193910"/>
      <w:r/>
      <w:bookmarkStart w:id="139" w:name="_Toc150774727"/>
      <w:r/>
      <w:bookmarkStart w:id="140" w:name="_Toc151193764"/>
      <w:r/>
      <w:bookmarkStart w:id="141" w:name="_Toc226965712"/>
      <w:r>
        <w:rPr>
          <w:color w:val="000000"/>
          <w:sz w:val="28"/>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由于未参加现场考察或磋商前答疑会而导致对项目实际情况不了解，影响响应文件编制、报价准确性、综合因素响应不全面等问题的，由供应商自行承担不利评审后果。</w:t>
      </w:r>
      <w:r>
        <w:rPr>
          <w:color w:val="000000"/>
          <w:sz w:val="24"/>
        </w:rPr>
      </w:r>
      <w:r/>
    </w:p>
    <w:p>
      <w:pPr>
        <w:pStyle w:val="905"/>
        <w:numPr>
          <w:ilvl w:val="0"/>
          <w:numId w:val="8"/>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905"/>
        <w:numPr>
          <w:ilvl w:val="2"/>
          <w:numId w:val="8"/>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中小企业定义：</w:t>
      </w:r>
      <w:r>
        <w:rPr>
          <w:color w:val="000000"/>
          <w:sz w:val="24"/>
        </w:rPr>
      </w:r>
      <w:r/>
    </w:p>
    <w:p>
      <w:pPr>
        <w:pStyle w:val="100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6"/>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6"/>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905"/>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05"/>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05"/>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p>
    <w:p>
      <w:pPr>
        <w:pStyle w:val="100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06"/>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本项目是否专门面向中小企业预留采购份额见第一章《采购邀请》。</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采购标的对应的中小企业划分标准所属行业见《供应商须知资料表》。</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小微企业价格评审优惠的政策调整：见第三章《评审方法和评审标准》。</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如本项目采购产品属于实施政府强制采购品目清单范围的节能产品，则供应商所报产品必须获得国家确定的认证机构出具的、处于有效期之内的节能产品认证证书，</w:t>
      </w:r>
      <w:r>
        <w:rPr>
          <w:color w:val="000000"/>
          <w:sz w:val="24"/>
        </w:rPr>
        <w:t xml:space="preserve">否则</w:t>
      </w:r>
      <w:r>
        <w:rPr>
          <w:b/>
          <w:color w:val="000000"/>
          <w:sz w:val="24"/>
        </w:rPr>
        <w:t xml:space="preserve">响应无效</w:t>
      </w:r>
      <w:r>
        <w:rPr>
          <w:color w:val="000000"/>
          <w:sz w:val="24"/>
        </w:rPr>
        <w:t xml:space="preserve">；</w:t>
      </w:r>
      <w:r>
        <w:rPr>
          <w:color w:val="000000"/>
          <w:sz w:val="24"/>
        </w:rPr>
      </w:r>
      <w:r/>
    </w:p>
    <w:p>
      <w:pPr>
        <w:pStyle w:val="905"/>
        <w:numPr>
          <w:ilvl w:val="2"/>
          <w:numId w:val="8"/>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color w:val="000000"/>
          <w:sz w:val="24"/>
        </w:rPr>
      </w:r>
      <w:r/>
    </w:p>
    <w:p>
      <w:pPr>
        <w:pStyle w:val="905"/>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905"/>
        <w:numPr>
          <w:ilvl w:val="2"/>
          <w:numId w:val="8"/>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sz w:val="24"/>
        </w:rPr>
        <w:t xml:space="preserve">否则</w:t>
      </w:r>
      <w:r>
        <w:rPr>
          <w:b/>
          <w:color w:val="000000"/>
          <w:sz w:val="24"/>
        </w:rPr>
        <w:t xml:space="preserve">响应无效</w:t>
      </w:r>
      <w:r>
        <w:rPr>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政府采购创新产品政策</w:t>
      </w:r>
      <w:r>
        <w:rPr>
          <w:rFonts w:hint="eastAsia" w:ascii="宋体" w:hAnsi="宋体" w:cs="宋体"/>
          <w:color w:val="000000"/>
          <w:sz w:val="24"/>
        </w:rPr>
      </w:r>
      <w:r/>
    </w:p>
    <w:p>
      <w:pPr>
        <w:pStyle w:val="905"/>
        <w:numPr>
          <w:ilvl w:val="2"/>
          <w:numId w:val="8"/>
        </w:numPr>
        <w:spacing w:line="360" w:lineRule="auto"/>
        <w:tabs>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905"/>
        <w:ind w:left="36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   绿色采购政策</w:t>
      </w:r>
      <w:r>
        <w:rPr>
          <w:rFonts w:hint="eastAsia" w:ascii="宋体" w:hAnsi="宋体" w:cs="宋体"/>
          <w:color w:val="000000"/>
          <w:sz w:val="24"/>
        </w:rPr>
      </w:r>
      <w:r/>
    </w:p>
    <w:p>
      <w:pPr>
        <w:pStyle w:val="905"/>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4.7.1  绿色数据中心政策 </w:t>
      </w:r>
      <w:r>
        <w:rPr>
          <w:rFonts w:hint="eastAsia" w:ascii="宋体" w:hAnsi="宋体" w:cs="宋体"/>
          <w:color w:val="000000"/>
          <w:sz w:val="24"/>
        </w:rPr>
      </w:r>
      <w:r/>
    </w:p>
    <w:p>
      <w:pPr>
        <w:pStyle w:val="905"/>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依据《绿色数据中心政府采购需求标准（试行）》（财办库〔2023〕7 号）文件精神，采购</w:t>
      </w:r>
      <w:r>
        <w:rPr>
          <w:rFonts w:hint="eastAsia"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rPr>
      </w:r>
      <w:r/>
    </w:p>
    <w:p>
      <w:pPr>
        <w:pStyle w:val="905"/>
        <w:ind w:left="360" w:firstLine="48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4.7.2 推广应用绿色建材</w:t>
      </w:r>
      <w:r>
        <w:rPr>
          <w:rFonts w:hint="eastAsia" w:ascii="宋体" w:hAnsi="宋体" w:cs="宋体"/>
          <w:color w:val="000000"/>
          <w:sz w:val="24"/>
        </w:rPr>
      </w:r>
      <w:r/>
    </w:p>
    <w:p>
      <w:pPr>
        <w:pStyle w:val="905"/>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rPr>
      </w:r>
      <w:r/>
    </w:p>
    <w:p>
      <w:pPr>
        <w:pStyle w:val="905"/>
        <w:ind w:firstLine="1200"/>
        <w:spacing w:line="360" w:lineRule="auto"/>
        <w:tabs>
          <w:tab w:val="left" w:pos="1080" w:leader="none"/>
          <w:tab w:val="left" w:pos="2014" w:leader="none"/>
        </w:tabs>
        <w:rPr>
          <w:rFonts w:hint="eastAsia" w:ascii="宋体" w:hAnsi="宋体" w:cs="宋体"/>
          <w:color w:val="000000"/>
          <w:sz w:val="24"/>
        </w:rPr>
      </w:pPr>
      <w:r>
        <w:rPr>
          <w:rFonts w:hint="eastAsia" w:ascii="宋体" w:hAnsi="宋体" w:cs="宋体"/>
          <w:color w:val="000000"/>
          <w:sz w:val="24"/>
        </w:rPr>
        <w:t xml:space="preserve">4.7.3 优先使用低挥发性有机化合物产品</w:t>
      </w:r>
      <w:r>
        <w:rPr>
          <w:rFonts w:hint="eastAsia" w:ascii="宋体" w:hAnsi="宋体" w:cs="宋体"/>
          <w:color w:val="000000"/>
          <w:sz w:val="24"/>
        </w:rPr>
      </w:r>
      <w:r/>
    </w:p>
    <w:p>
      <w:pPr>
        <w:pStyle w:val="905"/>
        <w:ind w:left="1080"/>
        <w:spacing w:line="360" w:lineRule="auto"/>
        <w:tabs>
          <w:tab w:val="left" w:pos="2014" w:leader="none"/>
        </w:tabs>
        <w:rPr>
          <w:rFonts w:hint="eastAsia" w:ascii="宋体" w:hAnsi="宋体" w:cs="宋体"/>
          <w:color w:val="000000"/>
          <w:sz w:val="24"/>
        </w:rPr>
      </w:pPr>
      <w:r>
        <w:rPr>
          <w:rFonts w:hint="eastAsia" w:ascii="宋体" w:hAnsi="宋体" w:cs="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响应费用</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供应商应自行承担所有与准备和参加磋商有关的费用，无论磋商的结果如何，采购人或采购代理机构在任何情况下均无承担这些费用的义务和责任。</w:t>
      </w:r>
      <w:r>
        <w:rPr>
          <w:color w:val="000000"/>
          <w:sz w:val="24"/>
        </w:rPr>
      </w:r>
      <w:r/>
    </w:p>
    <w:p>
      <w:pPr>
        <w:pStyle w:val="905"/>
        <w:ind w:left="1080"/>
        <w:spacing w:line="360" w:lineRule="auto"/>
        <w:tabs>
          <w:tab w:val="left" w:pos="1080" w:leader="none"/>
        </w:tabs>
        <w:rPr>
          <w:color w:val="000000"/>
          <w:sz w:val="28"/>
        </w:rPr>
      </w:pPr>
      <w:r/>
      <w:bookmarkStart w:id="142" w:name="_1.8_计量单位"/>
      <w:r/>
      <w:bookmarkEnd w:id="142"/>
      <w:r>
        <w:rPr>
          <w:color w:val="000000"/>
          <w:sz w:val="28"/>
        </w:rPr>
      </w:r>
      <w:r/>
    </w:p>
    <w:p>
      <w:pPr>
        <w:pStyle w:val="907"/>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竞争性磋商文件</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color w:val="000000"/>
          <w:sz w:val="28"/>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143" w:name="_Toc195842888"/>
      <w:r/>
      <w:bookmarkStart w:id="144" w:name="_Toc127161437"/>
      <w:r/>
      <w:bookmarkStart w:id="145" w:name="_Toc226309767"/>
      <w:r/>
      <w:bookmarkStart w:id="146" w:name="_Toc305158791"/>
      <w:r/>
      <w:bookmarkStart w:id="147" w:name="_Toc164351617"/>
      <w:r/>
      <w:bookmarkStart w:id="148" w:name="_Toc265228361"/>
      <w:r/>
      <w:bookmarkStart w:id="149" w:name="_Toc164608792"/>
      <w:r/>
      <w:bookmarkStart w:id="150" w:name="_Toc151193693"/>
      <w:r/>
      <w:bookmarkStart w:id="151" w:name="_Toc150774623"/>
      <w:r/>
      <w:bookmarkStart w:id="152" w:name="_Toc151193837"/>
      <w:r/>
      <w:bookmarkStart w:id="153" w:name="_Toc226965796"/>
      <w:r/>
      <w:bookmarkStart w:id="154" w:name="_Toc151193621"/>
      <w:r/>
      <w:bookmarkStart w:id="155" w:name="_Toc226337219"/>
      <w:r/>
      <w:bookmarkStart w:id="156" w:name="_Toc226965713"/>
      <w:r/>
      <w:bookmarkStart w:id="157" w:name="_Toc127151523"/>
      <w:r/>
      <w:bookmarkStart w:id="158" w:name="_Toc149720816"/>
      <w:r/>
      <w:bookmarkStart w:id="159" w:name="_Toc150774728"/>
      <w:r/>
      <w:bookmarkStart w:id="160" w:name="_Toc150509274"/>
      <w:r/>
      <w:bookmarkStart w:id="161" w:name="_Toc150480761"/>
      <w:r/>
      <w:bookmarkStart w:id="162" w:name="_Toc520356147"/>
      <w:r/>
      <w:bookmarkStart w:id="163" w:name="_Toc164608637"/>
      <w:r/>
      <w:bookmarkStart w:id="164" w:name="_Toc127151724"/>
      <w:r/>
      <w:bookmarkStart w:id="165" w:name="_Toc151190150"/>
      <w:r/>
      <w:bookmarkStart w:id="166" w:name="_Toc164229364"/>
      <w:r/>
      <w:bookmarkStart w:id="167" w:name="_Toc164229218"/>
      <w:r/>
      <w:bookmarkStart w:id="168" w:name="_Toc151193911"/>
      <w:r/>
      <w:bookmarkStart w:id="169" w:name="_Toc151193765"/>
      <w:r/>
      <w:bookmarkStart w:id="170" w:name="_Toc305158865"/>
      <w:r/>
      <w:bookmarkStart w:id="171" w:name="_Toc264969213"/>
      <w:r/>
      <w:bookmarkStart w:id="172" w:name="_Toc142311025"/>
      <w:r>
        <w:rPr>
          <w:color w:val="000000"/>
          <w:sz w:val="24"/>
        </w:rPr>
        <w:t xml:space="preserve">竞争性磋商文件构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color w:val="000000"/>
          <w:sz w:val="24"/>
        </w:rPr>
        <w:t xml:space="preserve">成</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竞争性磋商文件包括以下部分：</w:t>
      </w:r>
      <w:r>
        <w:rPr>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color w:val="000000"/>
          <w:sz w:val="24"/>
        </w:rPr>
      </w:pPr>
      <w:r>
        <w:rPr>
          <w:rFonts w:hint="eastAsia"/>
          <w:color w:val="000000"/>
          <w:sz w:val="24"/>
        </w:rPr>
        <w:t xml:space="preserve">竞争性磋商公告</w:t>
      </w:r>
      <w:r>
        <w:rPr>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供应商须知</w:t>
      </w:r>
      <w:r>
        <w:rPr>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评审</w:t>
      </w:r>
      <w:r>
        <w:rPr>
          <w:rFonts w:hint="eastAsia"/>
          <w:color w:val="000000"/>
          <w:sz w:val="24"/>
        </w:rPr>
        <w:t xml:space="preserve">程序、评审</w:t>
      </w:r>
      <w:r>
        <w:rPr>
          <w:color w:val="000000"/>
          <w:sz w:val="24"/>
        </w:rPr>
        <w:t xml:space="preserve">方法和评审标准</w:t>
      </w:r>
      <w:r>
        <w:rPr>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合同草案条款</w:t>
      </w:r>
      <w:r>
        <w:rPr>
          <w:color w:val="000000"/>
          <w:sz w:val="24"/>
        </w:rPr>
      </w:r>
      <w:r/>
    </w:p>
    <w:p>
      <w:pPr>
        <w:pStyle w:val="905"/>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响应文件格式</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rPr>
        <w:t xml:space="preserve">响应无效</w:t>
      </w:r>
      <w:r>
        <w:rPr>
          <w:color w:val="000000"/>
          <w:sz w:val="24"/>
        </w:rPr>
        <w:t xml:space="preserve">。</w:t>
      </w:r>
      <w:r>
        <w:rPr>
          <w:color w:val="000000"/>
          <w:sz w:val="24"/>
        </w:rPr>
      </w:r>
      <w:r/>
    </w:p>
    <w:p>
      <w:pPr>
        <w:pStyle w:val="905"/>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对竞争性磋商文件的澄清或修改</w:t>
      </w:r>
      <w:r>
        <w:rPr>
          <w:color w:val="000000"/>
          <w:sz w:val="24"/>
        </w:rPr>
      </w:r>
      <w:r/>
    </w:p>
    <w:p>
      <w:pPr>
        <w:pStyle w:val="905"/>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采购人或采购代理机构对已发出的竞争性磋商文件进行必要澄清或者修改的，将在原公告发布媒体上以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w:t>
      </w:r>
      <w:r>
        <w:rPr>
          <w:rFonts w:hint="eastAsia"/>
          <w:color w:val="000000"/>
          <w:sz w:val="24"/>
        </w:rPr>
        <w:t xml:space="preserve">磋商文件</w:t>
      </w:r>
      <w:r>
        <w:rPr>
          <w:color w:val="000000"/>
          <w:sz w:val="24"/>
        </w:rPr>
        <w:t xml:space="preserve">的</w:t>
      </w:r>
      <w:r>
        <w:rPr>
          <w:rFonts w:hint="eastAsia"/>
          <w:color w:val="000000"/>
          <w:sz w:val="24"/>
        </w:rPr>
        <w:t xml:space="preserve">供应商。</w:t>
      </w:r>
      <w:r>
        <w:rPr>
          <w:color w:val="000000"/>
          <w:sz w:val="24"/>
        </w:rPr>
      </w:r>
      <w:r/>
    </w:p>
    <w:p>
      <w:pPr>
        <w:pStyle w:val="905"/>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rPr>
        <w:t xml:space="preserve">5</w:t>
      </w:r>
      <w:r>
        <w:rPr>
          <w:color w:val="000000"/>
          <w:sz w:val="24"/>
        </w:rPr>
        <w:t xml:space="preserve">日前</w:t>
      </w:r>
      <w:r>
        <w:rPr>
          <w:rFonts w:hint="eastAsia"/>
          <w:color w:val="000000"/>
          <w:sz w:val="24"/>
        </w:rPr>
        <w:t xml:space="preserve">，</w:t>
      </w:r>
      <w:r>
        <w:rPr>
          <w:color w:val="000000"/>
          <w:sz w:val="24"/>
        </w:rPr>
        <w:t xml:space="preserve">以更正公告形式通知所有获取</w:t>
      </w:r>
      <w:r>
        <w:rPr>
          <w:rFonts w:hint="eastAsia"/>
          <w:color w:val="000000"/>
          <w:sz w:val="24"/>
        </w:rPr>
        <w:t xml:space="preserve">磋商</w:t>
      </w:r>
      <w:r>
        <w:rPr>
          <w:color w:val="000000"/>
          <w:sz w:val="24"/>
        </w:rPr>
        <w:t xml:space="preserve">文件的潜在供应商；；不足上述时间的，将顺延提交响应文件的截止时间。</w:t>
      </w:r>
      <w:r>
        <w:rPr>
          <w:color w:val="000000"/>
          <w:sz w:val="24"/>
        </w:rPr>
      </w:r>
      <w:r/>
    </w:p>
    <w:p>
      <w:pPr>
        <w:pStyle w:val="905"/>
        <w:ind w:left="1080"/>
        <w:spacing w:line="360" w:lineRule="auto"/>
        <w:tabs>
          <w:tab w:val="left" w:pos="1080" w:leader="none"/>
          <w:tab w:val="left" w:pos="1561" w:leader="none"/>
        </w:tabs>
        <w:rPr>
          <w:color w:val="000000"/>
          <w:sz w:val="28"/>
        </w:rPr>
      </w:pPr>
      <w:r/>
      <w:bookmarkStart w:id="173" w:name="_Toc305158794"/>
      <w:r/>
      <w:bookmarkStart w:id="174" w:name="_Toc127151526"/>
      <w:r/>
      <w:bookmarkStart w:id="175" w:name="_Toc226337222"/>
      <w:r/>
      <w:bookmarkStart w:id="176" w:name="_Toc226965716"/>
      <w:r/>
      <w:bookmarkStart w:id="177" w:name="_Toc151193840"/>
      <w:r/>
      <w:bookmarkStart w:id="178" w:name="_Toc150480764"/>
      <w:r/>
      <w:bookmarkStart w:id="179" w:name="_Toc150774731"/>
      <w:r/>
      <w:bookmarkStart w:id="180" w:name="_Toc151190153"/>
      <w:r/>
      <w:bookmarkStart w:id="181" w:name="_Toc151193624"/>
      <w:r/>
      <w:bookmarkStart w:id="182" w:name="_Toc151193768"/>
      <w:r/>
      <w:bookmarkStart w:id="183" w:name="_Toc520356150"/>
      <w:r/>
      <w:bookmarkStart w:id="184" w:name="_Toc195842891"/>
      <w:r/>
      <w:bookmarkStart w:id="185" w:name="_Toc264969216"/>
      <w:r/>
      <w:bookmarkStart w:id="186" w:name="_Toc305158868"/>
      <w:r/>
      <w:bookmarkStart w:id="187" w:name="_Toc226309770"/>
      <w:r/>
      <w:bookmarkStart w:id="188" w:name="_Toc150509277"/>
      <w:r/>
      <w:bookmarkStart w:id="189" w:name="_Toc226965799"/>
      <w:r/>
      <w:bookmarkStart w:id="190" w:name="_Toc265228364"/>
      <w:r/>
      <w:bookmarkStart w:id="191" w:name="_Toc151193914"/>
      <w:r/>
      <w:bookmarkStart w:id="192" w:name="_Toc142311028"/>
      <w:r/>
      <w:bookmarkStart w:id="193" w:name="_Toc150774626"/>
      <w:r/>
      <w:bookmarkStart w:id="194" w:name="_Toc151193696"/>
      <w:r/>
      <w:bookmarkStart w:id="195" w:name="_Toc516367020"/>
      <w:r>
        <w:rPr>
          <w:color w:val="000000"/>
          <w:sz w:val="28"/>
        </w:rPr>
      </w:r>
      <w:r/>
    </w:p>
    <w:p>
      <w:pPr>
        <w:pStyle w:val="907"/>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响应文件</w:t>
      </w:r>
      <w:bookmarkEnd w:id="195"/>
      <w:r>
        <w:rPr>
          <w:rFonts w:ascii="Times New Roman" w:hAnsi="Times New Roman" w:eastAsia="宋体"/>
          <w:color w:val="000000"/>
          <w:sz w:val="28"/>
        </w:rPr>
        <w:t xml:space="preserve">的编制</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ascii="Times New Roman" w:hAnsi="Times New Roman" w:eastAsia="宋体"/>
          <w:color w:val="000000"/>
          <w:sz w:val="28"/>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196" w:name="_Toc195842892"/>
      <w:r/>
      <w:bookmarkStart w:id="197" w:name="_Toc226309771"/>
      <w:r/>
      <w:bookmarkStart w:id="198" w:name="_Toc265228365"/>
      <w:r/>
      <w:bookmarkStart w:id="199" w:name="_Toc305158869"/>
      <w:r/>
      <w:bookmarkStart w:id="200" w:name="_Toc164229368"/>
      <w:r/>
      <w:bookmarkStart w:id="201" w:name="_Toc151193697"/>
      <w:r/>
      <w:bookmarkStart w:id="202" w:name="_Toc150774627"/>
      <w:r/>
      <w:bookmarkStart w:id="203" w:name="_Toc516367021"/>
      <w:r/>
      <w:bookmarkStart w:id="204" w:name="_Toc127151527"/>
      <w:r/>
      <w:bookmarkStart w:id="205" w:name="_Toc151190154"/>
      <w:r/>
      <w:bookmarkStart w:id="206" w:name="_Toc151193915"/>
      <w:r/>
      <w:bookmarkStart w:id="207" w:name="_Toc150774732"/>
      <w:r/>
      <w:bookmarkStart w:id="208" w:name="_Toc142311029"/>
      <w:r/>
      <w:bookmarkStart w:id="209" w:name="_Toc150509278"/>
      <w:r/>
      <w:bookmarkStart w:id="210" w:name="_Toc127151728"/>
      <w:r/>
      <w:bookmarkStart w:id="211" w:name="_Toc305158795"/>
      <w:r/>
      <w:bookmarkStart w:id="212" w:name="_Toc164608796"/>
      <w:r/>
      <w:bookmarkStart w:id="213" w:name="_Toc151193625"/>
      <w:r/>
      <w:bookmarkStart w:id="214" w:name="_Toc226965717"/>
      <w:r/>
      <w:bookmarkStart w:id="215" w:name="_Toc164608641"/>
      <w:r/>
      <w:bookmarkStart w:id="216" w:name="_Toc151193769"/>
      <w:r/>
      <w:bookmarkStart w:id="217" w:name="_Toc151193841"/>
      <w:r/>
      <w:bookmarkStart w:id="218" w:name="_Toc226965800"/>
      <w:r/>
      <w:bookmarkStart w:id="219" w:name="_Toc164229222"/>
      <w:r/>
      <w:bookmarkStart w:id="220" w:name="_Toc149720820"/>
      <w:r/>
      <w:bookmarkStart w:id="221" w:name="_Toc264969217"/>
      <w:r/>
      <w:bookmarkStart w:id="222" w:name="_Toc150480765"/>
      <w:r/>
      <w:bookmarkStart w:id="223" w:name="_Toc520356151"/>
      <w:r/>
      <w:bookmarkStart w:id="224" w:name="_Toc226337223"/>
      <w:r/>
      <w:bookmarkStart w:id="225" w:name="_Toc127161441"/>
      <w:r/>
      <w:bookmarkStart w:id="226" w:name="_Toc164351621"/>
      <w:r>
        <w:rPr>
          <w:color w:val="000000"/>
          <w:sz w:val="24"/>
        </w:rPr>
        <w:t xml:space="preserve">响应范围、竞争性磋商文件中计量单位的使用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color w:val="000000"/>
          <w:sz w:val="24"/>
        </w:rPr>
        <w:t xml:space="preserve">及磋商语言</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rPr>
        <w:t xml:space="preserve">响应无效</w:t>
      </w:r>
      <w:r>
        <w:rPr>
          <w:color w:val="000000"/>
          <w:sz w:val="24"/>
        </w:rPr>
        <w:t xml:space="preserve">。</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除竞争性磋商文件有特殊要求外，本项目磋商所使用的计量单位，应采用中华人民共和国法定计量单位。</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227" w:name="_Toc164351622"/>
      <w:r/>
      <w:bookmarkStart w:id="228" w:name="_Toc150480766"/>
      <w:r/>
      <w:bookmarkStart w:id="229" w:name="_Toc151193698"/>
      <w:r/>
      <w:bookmarkStart w:id="230" w:name="_Toc164229223"/>
      <w:r/>
      <w:bookmarkStart w:id="231" w:name="_Toc164229369"/>
      <w:r/>
      <w:bookmarkStart w:id="232" w:name="_Toc195842893"/>
      <w:r/>
      <w:bookmarkStart w:id="233" w:name="_Toc265228366"/>
      <w:r/>
      <w:bookmarkStart w:id="234" w:name="_Toc520356152"/>
      <w:r/>
      <w:bookmarkStart w:id="235" w:name="_Toc226965801"/>
      <w:r/>
      <w:bookmarkStart w:id="236" w:name="_Toc127151729"/>
      <w:r/>
      <w:bookmarkStart w:id="237" w:name="_Toc264969218"/>
      <w:r/>
      <w:bookmarkStart w:id="238" w:name="_Toc164608642"/>
      <w:r/>
      <w:bookmarkStart w:id="239" w:name="_Toc151193916"/>
      <w:r/>
      <w:bookmarkStart w:id="240" w:name="_Toc516367022"/>
      <w:r/>
      <w:bookmarkStart w:id="241" w:name="_Ref467306195"/>
      <w:r/>
      <w:bookmarkStart w:id="242" w:name="_Toc149720821"/>
      <w:r/>
      <w:bookmarkStart w:id="243" w:name="_Ref467306676"/>
      <w:r/>
      <w:bookmarkStart w:id="244" w:name="_Toc150509279"/>
      <w:r/>
      <w:bookmarkStart w:id="245" w:name="_Toc164608797"/>
      <w:r/>
      <w:bookmarkStart w:id="246" w:name="_Toc151193770"/>
      <w:r/>
      <w:bookmarkStart w:id="247" w:name="_Toc305158796"/>
      <w:r/>
      <w:bookmarkStart w:id="248" w:name="_Toc150774628"/>
      <w:r/>
      <w:bookmarkStart w:id="249" w:name="_Toc151193842"/>
      <w:r/>
      <w:bookmarkStart w:id="250" w:name="_Toc226965718"/>
      <w:r/>
      <w:bookmarkStart w:id="251" w:name="_Toc226337224"/>
      <w:r/>
      <w:bookmarkStart w:id="252" w:name="_Toc150774733"/>
      <w:r/>
      <w:bookmarkStart w:id="253" w:name="_Toc151190155"/>
      <w:r/>
      <w:bookmarkStart w:id="254" w:name="_Toc226309772"/>
      <w:r/>
      <w:bookmarkStart w:id="255" w:name="_Toc127161442"/>
      <w:r/>
      <w:bookmarkStart w:id="256" w:name="_Toc127151528"/>
      <w:r/>
      <w:bookmarkStart w:id="257" w:name="_Toc142311030"/>
      <w:r/>
      <w:bookmarkStart w:id="258" w:name="_Toc305158870"/>
      <w:r/>
      <w:bookmarkStart w:id="259" w:name="_Toc151193626"/>
      <w:r>
        <w:rPr>
          <w:color w:val="000000"/>
          <w:sz w:val="24"/>
        </w:rPr>
        <w:t xml:space="preserve">响应文件</w:t>
      </w:r>
      <w:bookmarkEnd w:id="240"/>
      <w:r/>
      <w:bookmarkEnd w:id="241"/>
      <w:r/>
      <w:bookmarkEnd w:id="243"/>
      <w:r>
        <w:rPr>
          <w:color w:val="000000"/>
          <w:sz w:val="24"/>
        </w:rPr>
        <w:t xml:space="preserve">构成</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260" w:name="_Ref467052588"/>
      <w:r>
        <w:rPr>
          <w:color w:val="000000"/>
          <w:sz w:val="24"/>
        </w:rPr>
        <w:t xml:space="preserve">供应商应当按照竞争性磋商文件的要求编制响应文件，</w:t>
      </w:r>
      <w:r>
        <w:rPr>
          <w:color w:val="000000"/>
          <w:sz w:val="24"/>
        </w:rPr>
        <w:t xml:space="preserve">并对其提交的响应文件的真实性、合法性承担法律责任</w:t>
      </w:r>
      <w:r>
        <w:rPr>
          <w:color w:val="000000"/>
          <w:sz w:val="24"/>
        </w:rPr>
        <w:t xml:space="preserve">。响应文件的部分格式要求，见第六章《响应文件格式》。</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对于竞争性磋商文件中标记了“实质性格式”文件的，</w:t>
      </w:r>
      <w:r>
        <w:rPr>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第三章《评审方法和评审标准》中涉及的证明文件。</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供应商认为应附的其他材料。</w:t>
      </w:r>
      <w:bookmarkEnd w:id="260"/>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261" w:name="_Toc127151731"/>
      <w:r/>
      <w:bookmarkStart w:id="262" w:name="_Toc195842895"/>
      <w:r/>
      <w:bookmarkStart w:id="263" w:name="_Toc151193918"/>
      <w:r/>
      <w:bookmarkStart w:id="264" w:name="_Toc520356155"/>
      <w:r/>
      <w:bookmarkStart w:id="265" w:name="_Toc164608644"/>
      <w:r/>
      <w:bookmarkStart w:id="266" w:name="_Toc164608799"/>
      <w:r/>
      <w:bookmarkStart w:id="267" w:name="_Toc149720823"/>
      <w:r/>
      <w:bookmarkStart w:id="268" w:name="_Toc151193628"/>
      <w:r/>
      <w:bookmarkStart w:id="269" w:name="_Toc150509281"/>
      <w:r/>
      <w:bookmarkStart w:id="270" w:name="_Toc151193844"/>
      <w:r/>
      <w:bookmarkStart w:id="271" w:name="_Toc151190157"/>
      <w:r/>
      <w:bookmarkStart w:id="272" w:name="_Toc142311032"/>
      <w:r/>
      <w:bookmarkStart w:id="273" w:name="_Toc150774735"/>
      <w:r/>
      <w:bookmarkStart w:id="274" w:name="_Toc164351624"/>
      <w:r/>
      <w:bookmarkStart w:id="275" w:name="_Toc150774630"/>
      <w:r/>
      <w:bookmarkStart w:id="276" w:name="_Toc151193700"/>
      <w:r/>
      <w:bookmarkStart w:id="277" w:name="_Toc151193772"/>
      <w:r/>
      <w:bookmarkStart w:id="278" w:name="_Toc164229225"/>
      <w:r/>
      <w:bookmarkStart w:id="279" w:name="_Toc127161444"/>
      <w:r/>
      <w:bookmarkStart w:id="280" w:name="_Toc127151530"/>
      <w:r/>
      <w:bookmarkStart w:id="281" w:name="_Toc150480768"/>
      <w:r/>
      <w:bookmarkStart w:id="282" w:name="_Toc164229371"/>
      <w:r>
        <w:rPr>
          <w:color w:val="000000"/>
          <w:sz w:val="24"/>
        </w:rPr>
        <w:t xml:space="preserve">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所有响应均以人民币报价。</w:t>
      </w:r>
      <w:r>
        <w:rPr>
          <w:color w:val="000000"/>
          <w:sz w:val="24"/>
        </w:rPr>
      </w:r>
      <w:r/>
    </w:p>
    <w:p>
      <w:pPr>
        <w:pStyle w:val="905"/>
        <w:numPr>
          <w:ilvl w:val="1"/>
          <w:numId w:val="8"/>
        </w:numPr>
        <w:spacing w:line="360" w:lineRule="auto"/>
        <w:tabs>
          <w:tab w:val="left" w:pos="1080" w:leader="none"/>
          <w:tab w:val="left" w:pos="1589" w:leader="none"/>
        </w:tabs>
        <w:rPr>
          <w:color w:val="000000"/>
          <w:sz w:val="24"/>
        </w:rPr>
      </w:pPr>
      <w:r>
        <w:rPr>
          <w:color w:val="000000"/>
          <w:sz w:val="24"/>
        </w:rPr>
        <w:t xml:space="preserve">供应商的报价应包括为完成本项目所发生的一切费用和税费，采购人将不再支付报价以外的任何费用。</w:t>
      </w:r>
      <w:r>
        <w:rPr>
          <w:rFonts w:hint="eastAsia"/>
          <w:color w:val="000000"/>
          <w:sz w:val="24"/>
        </w:rPr>
        <w:t xml:space="preserve">供应商的报价应包括但不限于下列内容，《供应商须知资料表》中有特殊规定的，从其规定。</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按照竞争性磋商文件要求完成本项</w:t>
      </w:r>
      <w:r>
        <w:rPr>
          <w:rFonts w:hint="eastAsia"/>
          <w:color w:val="000000"/>
          <w:sz w:val="24"/>
        </w:rPr>
        <w:t xml:space="preserve">目的全部相关工程或服务费用。</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供应商不能提供任何有选择性或可调整的最终报价（</w:t>
      </w:r>
      <w:r>
        <w:rPr>
          <w:color w:val="000000"/>
          <w:sz w:val="24"/>
        </w:rPr>
        <w:t xml:space="preserve">竞争性磋商文件</w:t>
      </w:r>
      <w:r>
        <w:rPr>
          <w:color w:val="000000"/>
          <w:sz w:val="24"/>
        </w:rPr>
        <w:t xml:space="preserve">另有规定的除外），否则其</w:t>
      </w:r>
      <w:r>
        <w:rPr>
          <w:b/>
          <w:color w:val="000000"/>
          <w:sz w:val="24"/>
        </w:rPr>
        <w:t xml:space="preserve">响应无效</w:t>
      </w:r>
      <w:r>
        <w:rPr>
          <w:color w:val="000000"/>
          <w:sz w:val="24"/>
        </w:rPr>
        <w:t xml:space="preserve">。</w:t>
      </w:r>
      <w:r>
        <w:rPr>
          <w:color w:val="000000"/>
          <w:sz w:val="24"/>
        </w:rPr>
      </w:r>
      <w:r/>
    </w:p>
    <w:p>
      <w:pPr>
        <w:pStyle w:val="905"/>
        <w:ind w:firstLine="241"/>
        <w:spacing w:line="360" w:lineRule="auto"/>
        <w:tabs>
          <w:tab w:val="left" w:pos="1080" w:leader="none"/>
          <w:tab w:val="left" w:pos="2014" w:leader="none"/>
        </w:tabs>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10.5   </w:t>
      </w:r>
      <w:r>
        <w:rPr>
          <w:rFonts w:ascii="宋体" w:hAnsi="宋体" w:cs="宋体"/>
          <w:b/>
          <w:bCs/>
          <w:color w:val="000000"/>
          <w:sz w:val="24"/>
          <w:highlight w:val="none"/>
        </w:rPr>
        <w:t xml:space="preserve">评审过程中出现下列情形之一的，</w:t>
      </w:r>
      <w:r>
        <w:rPr>
          <w:rFonts w:hint="eastAsia" w:ascii="宋体" w:hAnsi="宋体" w:eastAsia="宋体" w:cs="宋体"/>
          <w:b/>
          <w:bCs/>
          <w:color w:val="000000"/>
          <w:sz w:val="24"/>
          <w:highlight w:val="none"/>
          <w:lang w:val="en-US" w:eastAsia="zh-CN"/>
        </w:rPr>
        <w:t xml:space="preserve">磋商小组会</w:t>
      </w:r>
      <w:r>
        <w:rPr>
          <w:rFonts w:ascii="宋体" w:hAnsi="宋体" w:cs="宋体"/>
          <w:b/>
          <w:bCs/>
          <w:color w:val="000000"/>
          <w:sz w:val="24"/>
          <w:highlight w:val="none"/>
        </w:rPr>
        <w:t xml:space="preserve">应当动异常低价响应审查程序： </w:t>
      </w:r>
      <w:r>
        <w:rPr>
          <w:rFonts w:ascii="宋体" w:hAnsi="宋体" w:cs="宋体"/>
          <w:b/>
          <w:bCs/>
          <w:color w:val="000000"/>
          <w:sz w:val="24"/>
          <w:highlight w:val="none"/>
        </w:rPr>
      </w:r>
      <w:r/>
    </w:p>
    <w:p>
      <w:pPr>
        <w:pStyle w:val="905"/>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color w:val="000000"/>
          <w:sz w:val="24"/>
          <w:highlight w:val="none"/>
        </w:rPr>
      </w:r>
      <w:r/>
    </w:p>
    <w:p>
      <w:pPr>
        <w:pStyle w:val="905"/>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color w:val="000000"/>
          <w:sz w:val="24"/>
          <w:highlight w:val="none"/>
        </w:rPr>
      </w:r>
      <w:r/>
    </w:p>
    <w:p>
      <w:pPr>
        <w:pStyle w:val="905"/>
        <w:ind w:firstLine="241"/>
        <w:spacing w:line="360" w:lineRule="auto"/>
        <w:tabs>
          <w:tab w:val="left" w:pos="1080" w:leader="none"/>
          <w:tab w:val="left" w:pos="2014" w:leader="none"/>
        </w:tabs>
        <w:rPr>
          <w:rFonts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10.5.3投标报价低于采购项目最高限价45%的，即投标报价&lt;采购项目最高限价×45%；</w:t>
      </w:r>
      <w:r>
        <w:rPr>
          <w:rFonts w:ascii="宋体" w:hAnsi="宋体" w:eastAsia="宋体" w:cs="宋体"/>
          <w:b/>
          <w:bCs/>
          <w:color w:val="000000"/>
          <w:sz w:val="24"/>
          <w:highlight w:val="none"/>
        </w:rPr>
      </w:r>
      <w:r/>
    </w:p>
    <w:p>
      <w:pPr>
        <w:pStyle w:val="905"/>
        <w:ind w:firstLine="241"/>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905"/>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color w:val="000000"/>
          <w:sz w:val="24"/>
          <w:highlight w:val="none"/>
          <w:lang w:val="en-US" w:eastAsia="zh-CN"/>
        </w:rPr>
      </w:r>
      <w:r/>
    </w:p>
    <w:p>
      <w:pPr>
        <w:pStyle w:val="905"/>
        <w:ind w:firstLine="482"/>
        <w:spacing w:line="360" w:lineRule="auto"/>
        <w:tabs>
          <w:tab w:val="left" w:pos="1080" w:leader="none"/>
          <w:tab w:val="left" w:pos="2014"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color w:val="000000"/>
          <w:sz w:val="24"/>
          <w:highlight w:val="none"/>
          <w:lang w:val="en-US" w:eastAsia="zh-CN"/>
        </w:rPr>
      </w:r>
      <w:r/>
    </w:p>
    <w:p>
      <w:pPr>
        <w:pStyle w:val="1090"/>
        <w:rPr>
          <w:color w:val="000000"/>
        </w:rPr>
      </w:pPr>
      <w:r>
        <w:rPr>
          <w:rFonts w:hint="eastAsia" w:ascii="宋体" w:hAnsi="宋体" w:eastAsia="宋体" w:cs="宋体"/>
          <w:b/>
          <w:bCs/>
          <w:color w:val="000000"/>
          <w:sz w:val="24"/>
          <w:highlight w:val="none"/>
          <w:lang w:val="en-US" w:eastAsia="zh-CN"/>
        </w:rPr>
        <w:t xml:space="preserve">具体详见《关于推动解决政府采购异常低价问题的通知》财库〔2026〕2号</w:t>
      </w:r>
      <w:r>
        <w:rPr>
          <w:color w:val="000000"/>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磋商保证金</w:t>
      </w:r>
      <w:r>
        <w:rPr>
          <w:color w:val="000000"/>
          <w:sz w:val="24"/>
        </w:rPr>
      </w:r>
      <w:r/>
    </w:p>
    <w:p>
      <w:pPr>
        <w:pStyle w:val="905"/>
        <w:ind w:firstLine="360"/>
        <w:spacing w:line="360" w:lineRule="auto"/>
        <w:tabs>
          <w:tab w:val="left" w:pos="360" w:leader="none"/>
        </w:tabs>
        <w:rPr>
          <w:color w:val="000000"/>
          <w:sz w:val="24"/>
        </w:rPr>
        <w:outlineLvl w:val="1"/>
      </w:pPr>
      <w:r>
        <w:rPr>
          <w:rFonts w:hint="eastAsia"/>
          <w:color w:val="000000"/>
          <w:sz w:val="24"/>
        </w:rPr>
        <w:t xml:space="preserve">根据江苏省和常州市的相关文件规定，免收保证金。</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响应有效期</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响应文件应在本竞争性磋商文件《供应商须知资料表》中规定的响应有效期内保持有效，响应有效期少于竞争性磋商文件规定期限的，其</w:t>
      </w:r>
      <w:r>
        <w:rPr>
          <w:b/>
          <w:color w:val="000000"/>
          <w:sz w:val="24"/>
        </w:rPr>
        <w:t xml:space="preserve">响应无效</w:t>
      </w:r>
      <w:r>
        <w:rPr>
          <w:color w:val="000000"/>
          <w:sz w:val="24"/>
        </w:rPr>
        <w:t xml:space="preserve">。</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283" w:name="_Toc127161447"/>
      <w:r/>
      <w:bookmarkStart w:id="284" w:name="_Toc127151533"/>
      <w:r/>
      <w:bookmarkStart w:id="285" w:name="_Toc127151734"/>
      <w:r/>
      <w:bookmarkStart w:id="286" w:name="_Toc226309777"/>
      <w:r/>
      <w:bookmarkStart w:id="287" w:name="_Toc164608647"/>
      <w:r/>
      <w:bookmarkStart w:id="288" w:name="_Toc195842898"/>
      <w:r/>
      <w:bookmarkStart w:id="289" w:name="_Toc150480771"/>
      <w:r/>
      <w:bookmarkStart w:id="290" w:name="_Toc151193631"/>
      <w:r/>
      <w:bookmarkStart w:id="291" w:name="_Toc151193775"/>
      <w:r/>
      <w:bookmarkStart w:id="292" w:name="_Toc151193703"/>
      <w:r/>
      <w:bookmarkStart w:id="293" w:name="_Toc164608802"/>
      <w:r/>
      <w:bookmarkStart w:id="294" w:name="_Toc226965806"/>
      <w:r/>
      <w:bookmarkStart w:id="295" w:name="_Toc264969223"/>
      <w:r/>
      <w:bookmarkStart w:id="296" w:name="_Toc305158801"/>
      <w:r/>
      <w:bookmarkStart w:id="297" w:name="_Toc149720826"/>
      <w:r/>
      <w:bookmarkStart w:id="298" w:name="_Toc150774738"/>
      <w:r/>
      <w:bookmarkStart w:id="299" w:name="_Toc305158875"/>
      <w:r/>
      <w:bookmarkStart w:id="300" w:name="_Toc164229228"/>
      <w:r/>
      <w:bookmarkStart w:id="301" w:name="_Toc151193921"/>
      <w:r/>
      <w:bookmarkStart w:id="302" w:name="_Toc265228371"/>
      <w:r/>
      <w:bookmarkStart w:id="303" w:name="_Toc142311035"/>
      <w:r/>
      <w:bookmarkStart w:id="304" w:name="_Toc151190160"/>
      <w:r/>
      <w:bookmarkStart w:id="305" w:name="_Toc520356158"/>
      <w:r/>
      <w:bookmarkStart w:id="306" w:name="_Toc151193847"/>
      <w:r/>
      <w:bookmarkStart w:id="307" w:name="_Toc164229374"/>
      <w:r/>
      <w:bookmarkStart w:id="308" w:name="_Toc150774633"/>
      <w:r/>
      <w:bookmarkStart w:id="309" w:name="_Toc226337229"/>
      <w:r/>
      <w:bookmarkStart w:id="310" w:name="_Toc226965723"/>
      <w:r/>
      <w:bookmarkStart w:id="311" w:name="_Toc150509284"/>
      <w:r/>
      <w:bookmarkStart w:id="312" w:name="_Toc164351627"/>
      <w:r>
        <w:rPr>
          <w:color w:val="000000"/>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color w:val="000000"/>
          <w:sz w:val="24"/>
        </w:rPr>
        <w:t xml:space="preserve">、盖章</w:t>
      </w:r>
      <w:r>
        <w:rPr>
          <w:color w:val="000000"/>
          <w:sz w:val="24"/>
        </w:rPr>
      </w:r>
      <w:r/>
    </w:p>
    <w:p>
      <w:pPr>
        <w:pStyle w:val="905"/>
        <w:numPr>
          <w:ilvl w:val="1"/>
          <w:numId w:val="8"/>
        </w:numPr>
        <w:spacing w:line="360" w:lineRule="auto"/>
        <w:tabs>
          <w:tab w:val="left" w:pos="1080" w:leader="none"/>
          <w:tab w:val="left" w:pos="1589" w:leader="none"/>
        </w:tabs>
        <w:rPr>
          <w:color w:val="000000"/>
          <w:sz w:val="24"/>
        </w:rPr>
      </w:pPr>
      <w:r/>
      <w:bookmarkStart w:id="313" w:name="_Toc150509285"/>
      <w:r/>
      <w:bookmarkStart w:id="314" w:name="_Toc151190161"/>
      <w:r/>
      <w:bookmarkStart w:id="315" w:name="_Toc265228372"/>
      <w:r/>
      <w:bookmarkStart w:id="316" w:name="_Toc226965807"/>
      <w:r/>
      <w:bookmarkStart w:id="317" w:name="_Toc151193632"/>
      <w:r/>
      <w:bookmarkStart w:id="318" w:name="_Toc151193776"/>
      <w:r/>
      <w:bookmarkStart w:id="319" w:name="_Toc150774634"/>
      <w:r/>
      <w:bookmarkStart w:id="320" w:name="_Toc226337230"/>
      <w:r/>
      <w:bookmarkStart w:id="321" w:name="_Toc151193704"/>
      <w:r/>
      <w:bookmarkStart w:id="322" w:name="_Toc305158802"/>
      <w:r/>
      <w:bookmarkStart w:id="323" w:name="_Toc151193848"/>
      <w:r/>
      <w:bookmarkStart w:id="324" w:name="_Toc226309778"/>
      <w:r/>
      <w:bookmarkStart w:id="325" w:name="_Toc150480772"/>
      <w:r/>
      <w:bookmarkStart w:id="326" w:name="_Toc195842899"/>
      <w:r/>
      <w:bookmarkStart w:id="327" w:name="_Toc151193922"/>
      <w:r/>
      <w:bookmarkStart w:id="328" w:name="_Toc127151534"/>
      <w:r/>
      <w:bookmarkStart w:id="329" w:name="_Toc142311036"/>
      <w:r/>
      <w:bookmarkStart w:id="330" w:name="_Toc150774739"/>
      <w:r/>
      <w:bookmarkStart w:id="331" w:name="_Toc520356159"/>
      <w:r/>
      <w:bookmarkStart w:id="332" w:name="_Toc226965724"/>
      <w:r/>
      <w:bookmarkStart w:id="333" w:name="_Toc305158876"/>
      <w:r/>
      <w:bookmarkStart w:id="334" w:name="_Toc264969224"/>
      <w:r>
        <w:rPr>
          <w:color w:val="000000"/>
          <w:sz w:val="24"/>
        </w:rPr>
        <w:t xml:space="preserve">竞争性磋商文件要求签字的内容（如授权委托书等），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第三方出具的盖章件原件（如联合协议、分包意向协议、制造商授权书原件等），响应文件中应使用原件的电子件。</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竞争性磋商文件要求盖章的内容，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905"/>
        <w:ind w:left="357"/>
        <w:spacing w:line="360" w:lineRule="auto"/>
        <w:tabs>
          <w:tab w:val="left" w:pos="900" w:leader="none"/>
          <w:tab w:val="left" w:pos="1080" w:leader="none"/>
        </w:tabs>
        <w:rPr>
          <w:color w:val="000000"/>
        </w:rPr>
      </w:pPr>
      <w:r>
        <w:rPr>
          <w:color w:val="000000"/>
        </w:rPr>
      </w:r>
      <w:r/>
    </w:p>
    <w:p>
      <w:pPr>
        <w:pStyle w:val="907"/>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color w:val="000000"/>
          <w:sz w:val="28"/>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335" w:name="_Toc150774635"/>
      <w:r/>
      <w:bookmarkStart w:id="336" w:name="_Toc164351629"/>
      <w:r/>
      <w:bookmarkStart w:id="337" w:name="_Toc195842900"/>
      <w:r/>
      <w:bookmarkStart w:id="338" w:name="_Toc150774740"/>
      <w:r/>
      <w:bookmarkStart w:id="339" w:name="_Toc142311037"/>
      <w:r/>
      <w:bookmarkStart w:id="340" w:name="_Toc151193923"/>
      <w:r/>
      <w:bookmarkStart w:id="341" w:name="_Toc226337231"/>
      <w:r/>
      <w:bookmarkStart w:id="342" w:name="_Toc264969225"/>
      <w:r/>
      <w:bookmarkStart w:id="343" w:name="_Toc150509286"/>
      <w:r/>
      <w:bookmarkStart w:id="344" w:name="_Toc151193777"/>
      <w:r/>
      <w:bookmarkStart w:id="345" w:name="_Toc164229230"/>
      <w:r/>
      <w:bookmarkStart w:id="346" w:name="_Toc520356160"/>
      <w:r/>
      <w:bookmarkStart w:id="347" w:name="_Toc151193849"/>
      <w:r/>
      <w:bookmarkStart w:id="348" w:name="_Toc127151736"/>
      <w:r/>
      <w:bookmarkStart w:id="349" w:name="_Toc305158877"/>
      <w:r/>
      <w:bookmarkStart w:id="350" w:name="_Toc226965725"/>
      <w:r/>
      <w:bookmarkStart w:id="351" w:name="_Toc151193705"/>
      <w:r/>
      <w:bookmarkStart w:id="352" w:name="_Toc127151535"/>
      <w:r/>
      <w:bookmarkStart w:id="353" w:name="_Toc164608649"/>
      <w:r/>
      <w:bookmarkStart w:id="354" w:name="_Toc226309779"/>
      <w:r/>
      <w:bookmarkStart w:id="355" w:name="_Toc305158803"/>
      <w:r/>
      <w:bookmarkStart w:id="356" w:name="_Toc226965808"/>
      <w:r/>
      <w:bookmarkStart w:id="357" w:name="_Toc265228373"/>
      <w:r/>
      <w:bookmarkStart w:id="358" w:name="_Toc151193633"/>
      <w:r/>
      <w:bookmarkStart w:id="359" w:name="_Toc149720828"/>
      <w:r/>
      <w:bookmarkStart w:id="360" w:name="_Toc164229376"/>
      <w:r/>
      <w:bookmarkStart w:id="361" w:name="_Toc150480773"/>
      <w:r/>
      <w:bookmarkStart w:id="362" w:name="_Toc127161449"/>
      <w:r/>
      <w:bookmarkStart w:id="363" w:name="_Toc151190162"/>
      <w:r/>
      <w:bookmarkStart w:id="364" w:name="_Toc164608804"/>
      <w:r>
        <w:rPr>
          <w:color w:val="000000"/>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color w:val="000000"/>
          <w:sz w:val="24"/>
        </w:rPr>
        <w:t xml:space="preserve">提交</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rPr>
        <w:t xml:space="preserve">“苏采云”政府采购一体化平台</w:t>
      </w:r>
      <w:r>
        <w:rPr>
          <w:color w:val="000000"/>
          <w:sz w:val="24"/>
        </w:rPr>
        <w:t xml:space="preserve">。供应商根据竞争性磋商文件及</w:t>
      </w:r>
      <w:r>
        <w:rPr>
          <w:rFonts w:hint="eastAsia"/>
          <w:color w:val="000000"/>
          <w:sz w:val="24"/>
        </w:rPr>
        <w:t xml:space="preserve">“苏采云”政府采购一体化平台</w:t>
      </w:r>
      <w:r>
        <w:rPr>
          <w:color w:val="000000"/>
          <w:sz w:val="24"/>
        </w:rPr>
        <w:t xml:space="preserve">供应商操作手册要求编制、生成并提交电子响应文件。</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采购人及采购代理机构拒绝接受通过电子交易平台以外任何形式提交的响应文件，磋商保证金除外。</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365" w:name="_Toc151193706"/>
      <w:r/>
      <w:bookmarkStart w:id="366" w:name="_Toc151193924"/>
      <w:r/>
      <w:bookmarkStart w:id="367" w:name="_Toc226309780"/>
      <w:r/>
      <w:bookmarkStart w:id="368" w:name="_Toc226965809"/>
      <w:r/>
      <w:bookmarkStart w:id="369" w:name="_Toc150480774"/>
      <w:r/>
      <w:bookmarkStart w:id="370" w:name="_Toc164351630"/>
      <w:r/>
      <w:bookmarkStart w:id="371" w:name="_Toc127161450"/>
      <w:r/>
      <w:bookmarkStart w:id="372" w:name="_Toc164229377"/>
      <w:r/>
      <w:bookmarkStart w:id="373" w:name="_Toc164608650"/>
      <w:r/>
      <w:bookmarkStart w:id="374" w:name="_Toc520356161"/>
      <w:r/>
      <w:bookmarkStart w:id="375" w:name="_Toc226337232"/>
      <w:r/>
      <w:bookmarkStart w:id="376" w:name="_Toc151190163"/>
      <w:r/>
      <w:bookmarkStart w:id="377" w:name="_Toc264969226"/>
      <w:r/>
      <w:bookmarkStart w:id="378" w:name="_Toc226965726"/>
      <w:r/>
      <w:bookmarkStart w:id="379" w:name="_Toc195842901"/>
      <w:r/>
      <w:bookmarkStart w:id="380" w:name="_Toc265228374"/>
      <w:r/>
      <w:bookmarkStart w:id="381" w:name="_Toc150509287"/>
      <w:r/>
      <w:bookmarkStart w:id="382" w:name="_Toc151193850"/>
      <w:r/>
      <w:bookmarkStart w:id="383" w:name="_Toc151193634"/>
      <w:r/>
      <w:bookmarkStart w:id="384" w:name="_Toc305158804"/>
      <w:r/>
      <w:bookmarkStart w:id="385" w:name="_Toc305158878"/>
      <w:r/>
      <w:bookmarkStart w:id="386" w:name="_Toc127151536"/>
      <w:r/>
      <w:bookmarkStart w:id="387" w:name="_Toc149720829"/>
      <w:r/>
      <w:bookmarkStart w:id="388" w:name="_Toc142311038"/>
      <w:r/>
      <w:bookmarkStart w:id="389" w:name="_Toc127151737"/>
      <w:r/>
      <w:bookmarkStart w:id="390" w:name="_Toc151193778"/>
      <w:r/>
      <w:bookmarkStart w:id="391" w:name="_Toc164229231"/>
      <w:r/>
      <w:bookmarkStart w:id="392" w:name="_Toc150774636"/>
      <w:r/>
      <w:bookmarkStart w:id="393" w:name="_Toc150774741"/>
      <w:r/>
      <w:bookmarkStart w:id="394" w:name="_Toc164608805"/>
      <w:r>
        <w:rPr>
          <w:color w:val="000000"/>
          <w:sz w:val="24"/>
        </w:rPr>
        <w:t xml:space="preserve">响应文件截止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color w:val="000000"/>
          <w:sz w:val="24"/>
        </w:rPr>
        <w:t xml:space="preserve">时间</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供应商应在竞争性磋商文件要求提交响应文件截止时间前，将电子响应文件提交至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395" w:name="_Toc151193635"/>
      <w:r/>
      <w:bookmarkStart w:id="396" w:name="_Toc226965810"/>
      <w:r/>
      <w:bookmarkStart w:id="397" w:name="_Toc151190164"/>
      <w:r/>
      <w:bookmarkStart w:id="398" w:name="_Toc127151537"/>
      <w:r/>
      <w:bookmarkStart w:id="399" w:name="_Toc520356162"/>
      <w:r/>
      <w:bookmarkStart w:id="400" w:name="_Toc305158879"/>
      <w:r/>
      <w:bookmarkStart w:id="401" w:name="_Toc151193707"/>
      <w:r/>
      <w:bookmarkStart w:id="402" w:name="_Toc195842902"/>
      <w:r/>
      <w:bookmarkStart w:id="403" w:name="_Toc264969227"/>
      <w:r/>
      <w:bookmarkStart w:id="404" w:name="_Toc150509288"/>
      <w:r/>
      <w:bookmarkStart w:id="405" w:name="_Toc164608806"/>
      <w:r/>
      <w:bookmarkStart w:id="406" w:name="_Toc164229232"/>
      <w:r/>
      <w:bookmarkStart w:id="407" w:name="_Toc265228375"/>
      <w:r/>
      <w:bookmarkStart w:id="408" w:name="_Toc127161451"/>
      <w:r/>
      <w:bookmarkStart w:id="409" w:name="_Toc150774637"/>
      <w:r/>
      <w:bookmarkStart w:id="410" w:name="_Toc226337233"/>
      <w:r/>
      <w:bookmarkStart w:id="411" w:name="_Toc142311039"/>
      <w:r/>
      <w:bookmarkStart w:id="412" w:name="_Toc226309781"/>
      <w:r/>
      <w:bookmarkStart w:id="413" w:name="_Toc226965727"/>
      <w:r/>
      <w:bookmarkStart w:id="414" w:name="_Toc127151738"/>
      <w:r/>
      <w:bookmarkStart w:id="415" w:name="_Toc151193925"/>
      <w:r/>
      <w:bookmarkStart w:id="416" w:name="_Toc150480775"/>
      <w:r/>
      <w:bookmarkStart w:id="417" w:name="_Toc305158805"/>
      <w:r/>
      <w:bookmarkStart w:id="418" w:name="_Toc151193851"/>
      <w:r/>
      <w:bookmarkStart w:id="419" w:name="_Toc151193779"/>
      <w:r/>
      <w:bookmarkStart w:id="420" w:name="_Toc150774742"/>
      <w:r/>
      <w:bookmarkStart w:id="421" w:name="_Toc164351631"/>
      <w:r/>
      <w:bookmarkStart w:id="422" w:name="_Toc149720830"/>
      <w:r/>
      <w:bookmarkStart w:id="423" w:name="_Toc164608651"/>
      <w:r/>
      <w:bookmarkStart w:id="424" w:name="_Toc164229378"/>
      <w:r>
        <w:rPr>
          <w:color w:val="000000"/>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提交响应文件截止时间前，供应商可以通过电子交易平台对所提交的响应文件进行补充、修改或者撤回。磋商保证金</w:t>
      </w:r>
      <w:r>
        <w:rPr>
          <w:rFonts w:hint="eastAsia"/>
          <w:color w:val="000000"/>
          <w:sz w:val="24"/>
        </w:rPr>
        <w:t xml:space="preserve">的</w:t>
      </w:r>
      <w:r>
        <w:rPr>
          <w:color w:val="000000"/>
          <w:sz w:val="24"/>
        </w:rPr>
        <w:t xml:space="preserve">补充、修改或者撤回</w:t>
      </w:r>
      <w:r>
        <w:rPr>
          <w:rFonts w:hint="eastAsia"/>
          <w:color w:val="000000"/>
          <w:sz w:val="24"/>
        </w:rPr>
        <w:t xml:space="preserve">无需</w:t>
      </w:r>
      <w:r>
        <w:rPr>
          <w:color w:val="000000"/>
          <w:sz w:val="24"/>
        </w:rPr>
        <w:t xml:space="preserve">通过电子交易平台</w:t>
      </w:r>
      <w:r>
        <w:rPr>
          <w:rFonts w:hint="eastAsia"/>
          <w:color w:val="000000"/>
          <w:sz w:val="24"/>
        </w:rPr>
        <w:t xml:space="preserve">，</w:t>
      </w:r>
      <w:r>
        <w:rPr>
          <w:color w:val="000000"/>
          <w:sz w:val="24"/>
        </w:rPr>
        <w:t xml:space="preserve">但应</w:t>
      </w:r>
      <w:r>
        <w:rPr>
          <w:rFonts w:hint="eastAsia"/>
          <w:color w:val="000000"/>
          <w:sz w:val="24"/>
        </w:rPr>
        <w:t xml:space="preserve">就其</w:t>
      </w:r>
      <w:r>
        <w:rPr>
          <w:color w:val="000000"/>
          <w:sz w:val="24"/>
        </w:rPr>
        <w:t xml:space="preserve">补充、修改或者撤回</w:t>
      </w:r>
      <w:r>
        <w:rPr>
          <w:rFonts w:hint="eastAsia"/>
          <w:color w:val="000000"/>
          <w:sz w:val="24"/>
        </w:rPr>
        <w:t xml:space="preserve">通知</w:t>
      </w:r>
      <w:r>
        <w:rPr>
          <w:color w:val="000000"/>
          <w:sz w:val="24"/>
        </w:rPr>
        <w:t xml:space="preserve">采购人或采购代理机构。</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供应商对响应文件的补充、修改的内容应当按照竞争性磋商文件要求签署、盖章，作为响应文件的组成部分。</w:t>
      </w:r>
      <w:r>
        <w:rPr>
          <w:color w:val="000000"/>
          <w:sz w:val="24"/>
        </w:rPr>
        <w:t xml:space="preserve">补充、修改的内容与响应文件不一致的，以补充、修改的内容为准。</w:t>
      </w:r>
      <w:r>
        <w:rPr>
          <w:color w:val="000000"/>
          <w:sz w:val="24"/>
        </w:rPr>
      </w:r>
      <w:r/>
    </w:p>
    <w:p>
      <w:pPr>
        <w:pStyle w:val="905"/>
        <w:ind w:left="357"/>
        <w:spacing w:line="360" w:lineRule="auto"/>
        <w:tabs>
          <w:tab w:val="left" w:pos="900" w:leader="none"/>
          <w:tab w:val="left" w:pos="1080" w:leader="none"/>
          <w:tab w:val="left" w:pos="1589" w:leader="none"/>
        </w:tabs>
        <w:rPr>
          <w:color w:val="000000"/>
          <w:sz w:val="24"/>
        </w:rPr>
      </w:pPr>
      <w:r>
        <w:rPr>
          <w:color w:val="000000"/>
          <w:sz w:val="24"/>
        </w:rPr>
      </w:r>
      <w:r/>
    </w:p>
    <w:p>
      <w:pPr>
        <w:pStyle w:val="907"/>
        <w:spacing w:before="0" w:line="360" w:lineRule="auto"/>
        <w:rPr>
          <w:rFonts w:ascii="Times New Roman" w:hAnsi="Times New Roman" w:eastAsia="宋体"/>
          <w:color w:val="000000"/>
          <w:sz w:val="28"/>
        </w:rPr>
      </w:pPr>
      <w:r/>
      <w:bookmarkStart w:id="425" w:name="_Toc195842903"/>
      <w:r/>
      <w:bookmarkStart w:id="426" w:name="_Toc226309782"/>
      <w:r/>
      <w:bookmarkStart w:id="427" w:name="_Toc142311040"/>
      <w:r/>
      <w:bookmarkStart w:id="428" w:name="_Toc150509289"/>
      <w:r/>
      <w:bookmarkStart w:id="429" w:name="_Toc305158806"/>
      <w:r/>
      <w:bookmarkStart w:id="430" w:name="_Toc151193708"/>
      <w:r/>
      <w:bookmarkStart w:id="431" w:name="_Toc265228376"/>
      <w:r/>
      <w:bookmarkStart w:id="432" w:name="_Toc264969228"/>
      <w:r/>
      <w:bookmarkStart w:id="433" w:name="_Toc226965728"/>
      <w:r/>
      <w:bookmarkStart w:id="434" w:name="_Toc151193926"/>
      <w:r/>
      <w:bookmarkStart w:id="435" w:name="_Toc151190165"/>
      <w:r/>
      <w:bookmarkStart w:id="436" w:name="_Toc150774743"/>
      <w:r/>
      <w:bookmarkStart w:id="437" w:name="_Toc150480776"/>
      <w:r/>
      <w:bookmarkStart w:id="438" w:name="_Toc151193780"/>
      <w:r/>
      <w:bookmarkStart w:id="439" w:name="_Toc226337234"/>
      <w:r/>
      <w:bookmarkStart w:id="440" w:name="_Toc127151538"/>
      <w:r/>
      <w:bookmarkStart w:id="441" w:name="_Toc520356163"/>
      <w:r/>
      <w:bookmarkStart w:id="442" w:name="_Toc305158880"/>
      <w:r/>
      <w:bookmarkStart w:id="443" w:name="_Toc151193852"/>
      <w:r/>
      <w:bookmarkStart w:id="444" w:name="_Toc226965811"/>
      <w:r/>
      <w:bookmarkStart w:id="445" w:name="_Toc151193636"/>
      <w:r/>
      <w:bookmarkStart w:id="446" w:name="_Toc150774638"/>
      <w:r>
        <w:rPr>
          <w:rFonts w:ascii="Times New Roman" w:hAnsi="Times New Roman" w:eastAsia="宋体"/>
          <w:color w:val="000000"/>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ascii="Times New Roman" w:hAnsi="Times New Roman" w:eastAsia="宋体"/>
          <w:color w:val="000000"/>
          <w:sz w:val="28"/>
        </w:rPr>
        <w:t xml:space="preserve">评审</w:t>
      </w:r>
      <w:r>
        <w:rPr>
          <w:rFonts w:ascii="Times New Roman" w:hAnsi="Times New Roman" w:eastAsia="宋体"/>
          <w:color w:val="000000"/>
          <w:sz w:val="28"/>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响应文件的</w:t>
      </w:r>
      <w:r>
        <w:rPr>
          <w:rFonts w:hint="eastAsia"/>
          <w:color w:val="000000"/>
          <w:sz w:val="24"/>
        </w:rPr>
        <w:t xml:space="preserve">解密与</w:t>
      </w:r>
      <w:r>
        <w:rPr>
          <w:color w:val="000000"/>
          <w:sz w:val="24"/>
        </w:rPr>
        <w:t xml:space="preserve">开启</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采购人或采购代理机构将按竞争性磋商文件的规定，在响应文件提交截止时间的同一时间和竞争性磋商文件预先确定的地点开启响应文件。</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w:t>
      </w:r>
      <w:r>
        <w:rPr>
          <w:rFonts w:ascii="宋体" w:hAnsi="宋体"/>
          <w:color w:val="000000"/>
          <w:sz w:val="24"/>
        </w:rPr>
        <w:t xml:space="preserve">采用不见面招</w:t>
      </w:r>
      <w:r>
        <w:rPr>
          <w:rFonts w:hint="eastAsia" w:ascii="宋体" w:hAnsi="宋体"/>
          <w:color w:val="000000"/>
          <w:sz w:val="24"/>
        </w:rPr>
        <w:t xml:space="preserve">交易</w:t>
      </w:r>
      <w:r>
        <w:rPr>
          <w:rFonts w:ascii="宋体" w:hAnsi="宋体"/>
          <w:color w:val="000000"/>
          <w:sz w:val="24"/>
        </w:rPr>
        <w:t xml:space="preserve">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w:t>
      </w:r>
      <w:r>
        <w:rPr>
          <w:color w:val="000000"/>
          <w:sz w:val="24"/>
        </w:rPr>
        <w:t xml:space="preserve">解密。供应商应在规定的时间内对</w:t>
      </w:r>
      <w:r>
        <w:rPr>
          <w:rFonts w:hint="eastAsia"/>
          <w:color w:val="000000"/>
          <w:sz w:val="24"/>
        </w:rPr>
        <w:t xml:space="preserve">响应</w:t>
      </w:r>
      <w:r>
        <w:rPr>
          <w:color w:val="000000"/>
          <w:sz w:val="24"/>
        </w:rPr>
        <w:t xml:space="preserve">文件进行解密，因非系统原因导致的解密失败，视为</w:t>
      </w:r>
      <w:r>
        <w:rPr>
          <w:b/>
          <w:color w:val="000000"/>
          <w:sz w:val="24"/>
        </w:rPr>
        <w:t xml:space="preserve">响应无效</w:t>
      </w:r>
      <w:r>
        <w:rPr>
          <w:color w:val="000000"/>
          <w:sz w:val="24"/>
        </w:rPr>
        <w:t xml:space="preserve">。</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bookmarkStart w:id="447" w:name="_Toc520356165"/>
      <w:r>
        <w:rPr>
          <w:color w:val="000000"/>
          <w:sz w:val="24"/>
        </w:rPr>
        <w:t xml:space="preserve">本项目不公开报价。</w:t>
      </w:r>
      <w:r>
        <w:rPr>
          <w:rFonts w:hint="eastAsia"/>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供应商须在开标前使用“验证CA”功能验证本地计算机的控件环境是否正常，并且在</w:t>
      </w:r>
      <w:r>
        <w:rPr>
          <w:rFonts w:hint="eastAsia"/>
          <w:color w:val="000000"/>
          <w:sz w:val="24"/>
        </w:rPr>
        <w:t xml:space="preserve">解密、评审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，必须使用验证成功的计算机进行操作，否则造成相应后果由供应商自行承担。本地计算机</w:t>
      </w:r>
      <w:r>
        <w:rPr>
          <w:rFonts w:hint="eastAsia"/>
          <w:color w:val="000000"/>
          <w:sz w:val="24"/>
        </w:rPr>
        <w:t xml:space="preserve">要求安装摄像头、麦克风和音箱，保持网络通畅。</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解密、评审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rPr>
        <w:t xml:space="preserve">。</w:t>
      </w:r>
      <w:r>
        <w:rPr>
          <w:rFonts w:hint="eastAsia"/>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“苏采云”政府采购一体化平台系统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905"/>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905"/>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905"/>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905"/>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905"/>
        <w:ind w:firstLine="480"/>
        <w:spacing w:line="360" w:lineRule="auto"/>
        <w:tabs>
          <w:tab w:val="left" w:pos="993"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End w:id="447"/>
      <w:r>
        <w:rPr>
          <w:color w:val="000000"/>
          <w:sz w:val="24"/>
        </w:rPr>
        <w:t xml:space="preserve">磋商小组</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磋商小组根据政府采购有关规定和本次采购项目的特点进行组建，并负责具体评审事务，独立履行职责。</w:t>
      </w:r>
      <w:bookmarkStart w:id="448" w:name="_Toc520356166"/>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448"/>
      <w:r/>
      <w:bookmarkStart w:id="449" w:name="_Toc520356169"/>
      <w:r>
        <w:rPr>
          <w:color w:val="000000"/>
          <w:sz w:val="24"/>
        </w:rPr>
      </w:r>
      <w:r/>
    </w:p>
    <w:p>
      <w:pPr>
        <w:pStyle w:val="905"/>
        <w:numPr>
          <w:ilvl w:val="0"/>
          <w:numId w:val="8"/>
        </w:numPr>
        <w:spacing w:line="360" w:lineRule="auto"/>
        <w:tabs>
          <w:tab w:val="left" w:pos="360" w:leader="none"/>
          <w:tab w:val="left" w:pos="900" w:leader="none"/>
        </w:tabs>
        <w:rPr>
          <w:color w:val="000000"/>
          <w:sz w:val="24"/>
        </w:rPr>
        <w:outlineLvl w:val="1"/>
      </w:pPr>
      <w:r>
        <w:rPr>
          <w:color w:val="000000"/>
          <w:sz w:val="24"/>
        </w:rPr>
        <w:t xml:space="preserve">评审方法和评审标准</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见第三章《评审方法和评审标准》。</w:t>
      </w:r>
      <w:r>
        <w:rPr>
          <w:color w:val="000000"/>
          <w:sz w:val="24"/>
        </w:rPr>
      </w:r>
      <w:r/>
    </w:p>
    <w:p>
      <w:pPr>
        <w:pStyle w:val="905"/>
        <w:ind w:left="1080"/>
        <w:spacing w:line="360" w:lineRule="auto"/>
        <w:tabs>
          <w:tab w:val="left" w:pos="360" w:leader="none"/>
          <w:tab w:val="left" w:pos="1080" w:leader="none"/>
        </w:tabs>
        <w:rPr>
          <w:color w:val="000000"/>
          <w:sz w:val="24"/>
        </w:rPr>
      </w:pPr>
      <w:r>
        <w:rPr>
          <w:color w:val="000000"/>
          <w:sz w:val="24"/>
        </w:rPr>
      </w:r>
      <w:r/>
    </w:p>
    <w:p>
      <w:pPr>
        <w:pStyle w:val="907"/>
        <w:spacing w:before="0" w:line="360" w:lineRule="auto"/>
        <w:rPr>
          <w:rFonts w:ascii="Times New Roman" w:hAnsi="Times New Roman" w:eastAsia="宋体"/>
          <w:color w:val="000000"/>
          <w:sz w:val="28"/>
        </w:rPr>
      </w:pPr>
      <w:r/>
      <w:bookmarkStart w:id="450" w:name="_Toc226965735"/>
      <w:r/>
      <w:bookmarkStart w:id="451" w:name="_Toc151193933"/>
      <w:r/>
      <w:bookmarkStart w:id="452" w:name="_Toc151190172"/>
      <w:r/>
      <w:bookmarkStart w:id="453" w:name="_Toc305158887"/>
      <w:r/>
      <w:bookmarkStart w:id="454" w:name="_Toc150509296"/>
      <w:r/>
      <w:bookmarkStart w:id="455" w:name="_Toc150774645"/>
      <w:r/>
      <w:bookmarkStart w:id="456" w:name="_Toc195842910"/>
      <w:r/>
      <w:bookmarkStart w:id="457" w:name="_Toc264969235"/>
      <w:r/>
      <w:bookmarkStart w:id="458" w:name="_Toc151193787"/>
      <w:r/>
      <w:bookmarkStart w:id="459" w:name="_Toc150774750"/>
      <w:r/>
      <w:bookmarkStart w:id="460" w:name="_Toc127151545"/>
      <w:r/>
      <w:bookmarkStart w:id="461" w:name="_Toc151193643"/>
      <w:r/>
      <w:bookmarkStart w:id="462" w:name="_Toc226309789"/>
      <w:r/>
      <w:bookmarkStart w:id="463" w:name="_Toc265228383"/>
      <w:r/>
      <w:bookmarkStart w:id="464" w:name="_Toc226965818"/>
      <w:r/>
      <w:bookmarkStart w:id="465" w:name="_Toc226337241"/>
      <w:r/>
      <w:bookmarkStart w:id="466" w:name="_Toc150480783"/>
      <w:r/>
      <w:bookmarkStart w:id="467" w:name="_Toc305158813"/>
      <w:r/>
      <w:bookmarkStart w:id="468" w:name="_Toc151193715"/>
      <w:r/>
      <w:bookmarkStart w:id="469" w:name="_Toc151193859"/>
      <w:r/>
      <w:bookmarkStart w:id="470" w:name="_Toc142311047"/>
      <w:r>
        <w:rPr>
          <w:rFonts w:ascii="Times New Roman" w:hAnsi="Times New Roman" w:eastAsia="宋体"/>
          <w:color w:val="000000"/>
          <w:sz w:val="28"/>
        </w:rPr>
        <w:t xml:space="preserve">六   </w:t>
      </w:r>
      <w:bookmarkEnd w:id="449"/>
      <w:r>
        <w:rPr>
          <w:rFonts w:ascii="Times New Roman" w:hAnsi="Times New Roman" w:eastAsia="宋体"/>
          <w:color w:val="000000"/>
          <w:sz w:val="28"/>
        </w:rPr>
        <w:t xml:space="preserve">确定</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color w:val="000000"/>
          <w:sz w:val="28"/>
        </w:rPr>
        <w:t xml:space="preserve">成交</w:t>
      </w:r>
      <w:r>
        <w:rPr>
          <w:rFonts w:ascii="Times New Roman" w:hAnsi="Times New Roman" w:eastAsia="宋体"/>
          <w:color w:val="000000"/>
          <w:sz w:val="28"/>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471" w:name="_Toc226309791"/>
      <w:r/>
      <w:bookmarkStart w:id="472" w:name="_Toc195842912"/>
      <w:r/>
      <w:bookmarkStart w:id="473" w:name="_Toc264969237"/>
      <w:r/>
      <w:bookmarkStart w:id="474" w:name="_Toc127151547"/>
      <w:r/>
      <w:bookmarkStart w:id="475" w:name="_Toc164229242"/>
      <w:r/>
      <w:bookmarkStart w:id="476" w:name="_Toc164229388"/>
      <w:r/>
      <w:bookmarkStart w:id="477" w:name="_Toc150774647"/>
      <w:r/>
      <w:bookmarkStart w:id="478" w:name="_Toc305158815"/>
      <w:r/>
      <w:bookmarkStart w:id="479" w:name="_Toc305158889"/>
      <w:r/>
      <w:bookmarkStart w:id="480" w:name="_Toc149720840"/>
      <w:r/>
      <w:bookmarkStart w:id="481" w:name="_Toc226337243"/>
      <w:r/>
      <w:bookmarkStart w:id="482" w:name="_Toc226965737"/>
      <w:r/>
      <w:bookmarkStart w:id="483" w:name="_Toc164608816"/>
      <w:r/>
      <w:bookmarkStart w:id="484" w:name="_Toc150509298"/>
      <w:r/>
      <w:bookmarkStart w:id="485" w:name="_Toc142311049"/>
      <w:r/>
      <w:bookmarkStart w:id="486" w:name="_Toc151193717"/>
      <w:r/>
      <w:bookmarkStart w:id="487" w:name="_Toc151190174"/>
      <w:r/>
      <w:bookmarkStart w:id="488" w:name="_Toc150480785"/>
      <w:r/>
      <w:bookmarkStart w:id="489" w:name="_Toc265228385"/>
      <w:r/>
      <w:bookmarkStart w:id="490" w:name="_Toc127161461"/>
      <w:r/>
      <w:bookmarkStart w:id="491" w:name="_Toc150774752"/>
      <w:r/>
      <w:bookmarkStart w:id="492" w:name="_Toc164351641"/>
      <w:r/>
      <w:bookmarkStart w:id="493" w:name="_Toc164608661"/>
      <w:r/>
      <w:bookmarkStart w:id="494" w:name="_Toc151193645"/>
      <w:r/>
      <w:bookmarkStart w:id="495" w:name="_Toc151193935"/>
      <w:r/>
      <w:bookmarkStart w:id="496" w:name="_Toc226965820"/>
      <w:r/>
      <w:bookmarkStart w:id="497" w:name="_Toc151193789"/>
      <w:r/>
      <w:bookmarkStart w:id="498" w:name="_Toc127151748"/>
      <w:r/>
      <w:bookmarkStart w:id="499" w:name="_Toc151193861"/>
      <w:r>
        <w:rPr>
          <w:color w:val="000000"/>
          <w:sz w:val="24"/>
        </w:rPr>
        <w:t xml:space="preserve">确定成交供应商</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采购人将在收到评审报告后，从评审报告提出的成交候选供应商中，按照排序由高到低的原则确定成交供应商</w:t>
      </w:r>
      <w:r>
        <w:rPr>
          <w:rFonts w:hint="eastAsia"/>
          <w:color w:val="000000"/>
          <w:sz w:val="24"/>
        </w:rPr>
        <w:t xml:space="preserve">。</w:t>
      </w:r>
      <w:r>
        <w:rPr>
          <w:color w:val="000000"/>
          <w:sz w:val="24"/>
        </w:rPr>
        <w:t xml:space="preserve">成交候选人并列的，由采购人</w:t>
      </w:r>
      <w:r>
        <w:rPr>
          <w:rFonts w:hint="eastAsia"/>
          <w:color w:val="000000"/>
          <w:sz w:val="24"/>
        </w:rPr>
        <w:t xml:space="preserve">依法</w:t>
      </w:r>
      <w:r>
        <w:rPr>
          <w:color w:val="000000"/>
          <w:sz w:val="24"/>
        </w:rPr>
        <w:t xml:space="preserve">确定。</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Start w:id="500" w:name="_Toc305158817"/>
      <w:r/>
      <w:bookmarkStart w:id="501" w:name="_Toc305158891"/>
      <w:r/>
      <w:bookmarkStart w:id="502" w:name="_Toc149720842"/>
      <w:r/>
      <w:bookmarkStart w:id="503" w:name="_Toc151190176"/>
      <w:r/>
      <w:bookmarkStart w:id="504" w:name="_Toc164351643"/>
      <w:r/>
      <w:bookmarkStart w:id="505" w:name="_Toc151193647"/>
      <w:r/>
      <w:bookmarkStart w:id="506" w:name="_Toc150509300"/>
      <w:r/>
      <w:bookmarkStart w:id="507" w:name="_Toc226965822"/>
      <w:r/>
      <w:bookmarkStart w:id="508" w:name="_Toc164608818"/>
      <w:r/>
      <w:bookmarkStart w:id="509" w:name="_Toc151193863"/>
      <w:r/>
      <w:bookmarkStart w:id="510" w:name="_Toc164229390"/>
      <w:r/>
      <w:bookmarkStart w:id="511" w:name="_Toc226337245"/>
      <w:r/>
      <w:bookmarkStart w:id="512" w:name="_Toc127151750"/>
      <w:r/>
      <w:bookmarkStart w:id="513" w:name="_Toc142311051"/>
      <w:r/>
      <w:bookmarkStart w:id="514" w:name="_Toc127151549"/>
      <w:r/>
      <w:bookmarkStart w:id="515" w:name="_Toc520356176"/>
      <w:r/>
      <w:bookmarkStart w:id="516" w:name="_Ref467306425"/>
      <w:r/>
      <w:bookmarkStart w:id="517" w:name="_Ref467307090"/>
      <w:r/>
      <w:bookmarkStart w:id="518" w:name="_Toc151193791"/>
      <w:r/>
      <w:bookmarkStart w:id="519" w:name="_Toc151193937"/>
      <w:r/>
      <w:bookmarkStart w:id="520" w:name="_Toc265228387"/>
      <w:r/>
      <w:bookmarkStart w:id="521" w:name="_Toc264969239"/>
      <w:r/>
      <w:bookmarkStart w:id="522" w:name="_Toc151193719"/>
      <w:r/>
      <w:bookmarkStart w:id="523" w:name="_Toc226309793"/>
      <w:r/>
      <w:bookmarkStart w:id="524" w:name="_Toc127161463"/>
      <w:r/>
      <w:bookmarkStart w:id="525" w:name="_Toc226965739"/>
      <w:r/>
      <w:bookmarkStart w:id="526" w:name="_Toc150774754"/>
      <w:r/>
      <w:bookmarkStart w:id="527" w:name="_Toc150774649"/>
      <w:r/>
      <w:bookmarkStart w:id="528" w:name="_Toc195842914"/>
      <w:r/>
      <w:bookmarkStart w:id="529" w:name="_Toc164608663"/>
      <w:r/>
      <w:bookmarkStart w:id="530" w:name="_Toc150480787"/>
      <w:r/>
      <w:bookmarkStart w:id="531" w:name="_Toc164229244"/>
      <w:r>
        <w:rPr>
          <w:color w:val="000000"/>
          <w:sz w:val="24"/>
        </w:rPr>
        <w:t xml:space="preserve">成交公告与成交通知书</w:t>
      </w:r>
      <w:bookmarkEnd w:id="500"/>
      <w:r/>
      <w:bookmarkEnd w:id="501"/>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w:t>
      </w:r>
      <w:r>
        <w:rPr>
          <w:color w:val="000000"/>
          <w:sz w:val="24"/>
        </w:rPr>
        <w:t xml:space="preserve">在成交供应商确定后2个工作日内，在</w:t>
      </w:r>
      <w:r>
        <w:rPr>
          <w:rFonts w:hint="eastAsia"/>
          <w:color w:val="000000"/>
          <w:sz w:val="24"/>
        </w:rPr>
        <w:t xml:space="preserve">常州市政府采购网</w:t>
      </w:r>
      <w:r>
        <w:rPr>
          <w:color w:val="000000"/>
          <w:sz w:val="24"/>
        </w:rPr>
        <w:t xml:space="preserve">公告成交结果，同时向成交供应商发出成交通知书，</w:t>
      </w:r>
      <w:r>
        <w:rPr>
          <w:color w:val="000000"/>
          <w:sz w:val="24"/>
        </w:rPr>
        <w:t xml:space="preserve">成交公告期限为1个工作日。</w:t>
      </w:r>
      <w:r>
        <w:rPr>
          <w:color w:val="000000"/>
          <w:sz w:val="24"/>
        </w:rPr>
      </w:r>
      <w:r/>
    </w:p>
    <w:p>
      <w:pPr>
        <w:pStyle w:val="905"/>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rPr>
        <w:t xml:space="preserve">。</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终止</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在采购中，出现下列情形之一的，采购人或采购代理机构将终止竞争性磋商采购活动，发布项目终止公告并说明原因，重新开展采购活动：</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因情况变化，不再符合规定的竞争性磋商采购方式适用情形的；</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905"/>
        <w:numPr>
          <w:ilvl w:val="2"/>
          <w:numId w:val="8"/>
        </w:numPr>
        <w:spacing w:line="360" w:lineRule="auto"/>
        <w:tabs>
          <w:tab w:val="left" w:pos="1980" w:leader="none"/>
        </w:tabs>
        <w:rPr>
          <w:rFonts w:hint="eastAsia"/>
          <w:color w:val="000000"/>
          <w:sz w:val="24"/>
        </w:rPr>
      </w:pPr>
      <w:r>
        <w:rPr>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rPr>
      </w:r>
      <w:r/>
    </w:p>
    <w:p>
      <w:pPr>
        <w:pStyle w:val="905"/>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序号17.7的所述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Start w:id="532" w:name="_Toc142311052"/>
      <w:r/>
      <w:bookmarkStart w:id="533" w:name="_Toc151193792"/>
      <w:r/>
      <w:bookmarkStart w:id="534" w:name="_Toc151193648"/>
      <w:r/>
      <w:bookmarkStart w:id="535" w:name="_Toc226965740"/>
      <w:r/>
      <w:bookmarkStart w:id="536" w:name="_Toc164351644"/>
      <w:r/>
      <w:bookmarkStart w:id="537" w:name="_Toc151193864"/>
      <w:r/>
      <w:bookmarkStart w:id="538" w:name="_Toc151193938"/>
      <w:r/>
      <w:bookmarkStart w:id="539" w:name="_Toc127151751"/>
      <w:r/>
      <w:bookmarkStart w:id="540" w:name="_Ref467306978"/>
      <w:r/>
      <w:bookmarkStart w:id="541" w:name="_Toc520356175"/>
      <w:r/>
      <w:bookmarkStart w:id="542" w:name="_Toc305158892"/>
      <w:r/>
      <w:bookmarkStart w:id="543" w:name="_Ref467306377"/>
      <w:r/>
      <w:bookmarkStart w:id="544" w:name="_Toc127161464"/>
      <w:r/>
      <w:bookmarkStart w:id="545" w:name="_Ref467307062"/>
      <w:r/>
      <w:bookmarkStart w:id="546" w:name="_Toc164608819"/>
      <w:r/>
      <w:bookmarkStart w:id="547" w:name="_Toc151190177"/>
      <w:r/>
      <w:bookmarkStart w:id="548" w:name="_Toc150774650"/>
      <w:r/>
      <w:bookmarkStart w:id="549" w:name="_Toc151193720"/>
      <w:r/>
      <w:bookmarkStart w:id="550" w:name="_Toc149720843"/>
      <w:r/>
      <w:bookmarkStart w:id="551" w:name="_Toc265228388"/>
      <w:r/>
      <w:bookmarkStart w:id="552" w:name="_Toc164229391"/>
      <w:r/>
      <w:bookmarkStart w:id="553" w:name="_Toc150774755"/>
      <w:r/>
      <w:bookmarkStart w:id="554" w:name="_Toc127151550"/>
      <w:r/>
      <w:bookmarkStart w:id="555" w:name="_Toc164229245"/>
      <w:r/>
      <w:bookmarkStart w:id="556" w:name="_Toc226309794"/>
      <w:r/>
      <w:bookmarkStart w:id="557" w:name="_Toc226337246"/>
      <w:r/>
      <w:bookmarkStart w:id="558" w:name="_Toc150480788"/>
      <w:r/>
      <w:bookmarkStart w:id="559" w:name="_Toc264969240"/>
      <w:r/>
      <w:bookmarkStart w:id="560" w:name="_Toc150509301"/>
      <w:r/>
      <w:bookmarkStart w:id="561" w:name="_Toc226965823"/>
      <w:r/>
      <w:bookmarkStart w:id="562" w:name="_Toc305158818"/>
      <w:r/>
      <w:bookmarkStart w:id="563" w:name="_Ref467307204"/>
      <w:r/>
      <w:bookmarkStart w:id="564" w:name="_Toc164608664"/>
      <w:r/>
      <w:bookmarkStart w:id="565" w:name="_Toc195842915"/>
      <w:r>
        <w:rPr>
          <w:color w:val="000000"/>
          <w:sz w:val="24"/>
        </w:rPr>
        <w:t xml:space="preserve">签订合同</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联合体获得成交资格的，联合体各方应当共同与采购人签订合同，就成交项目向采购人承担连带责任。</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采购人允许采用分包方式履行合同的，成交供应商可以依法采取分包方式履行合同。本项目</w:t>
      </w:r>
      <w:r>
        <w:rPr>
          <w:rFonts w:hint="eastAsia"/>
          <w:color w:val="000000"/>
          <w:sz w:val="24"/>
        </w:rPr>
        <w:t xml:space="preserve">是</w:t>
      </w:r>
      <w:r>
        <w:rPr>
          <w:color w:val="000000"/>
          <w:sz w:val="24"/>
        </w:rPr>
        <w:t xml:space="preserve">否允许分包，见《供应商须知资料表》。政府采购合同分包履行的，应当在响应文件中载明分包承担主体，分包承担主体应当具备相应资质条件且不得再次分包，</w:t>
      </w:r>
      <w:r>
        <w:rPr>
          <w:b/>
          <w:color w:val="000000"/>
          <w:sz w:val="24"/>
        </w:rPr>
        <w:t xml:space="preserve">否则响应无效</w:t>
      </w:r>
      <w:r>
        <w:rPr>
          <w:color w:val="000000"/>
          <w:sz w:val="24"/>
        </w:rPr>
        <w:t xml:space="preserve">。成交供应商就采购项目和分包项目向采购人负责，分包供应商就分包项目承担责任。</w:t>
      </w:r>
      <w:r>
        <w:rPr>
          <w:color w:val="000000"/>
          <w:sz w:val="24"/>
        </w:rPr>
      </w:r>
      <w:r/>
    </w:p>
    <w:p>
      <w:pPr>
        <w:pStyle w:val="905"/>
        <w:numPr>
          <w:ilvl w:val="0"/>
          <w:numId w:val="8"/>
        </w:numPr>
        <w:ind w:left="357" w:hanging="357"/>
        <w:spacing w:line="360" w:lineRule="auto"/>
        <w:tabs>
          <w:tab w:val="left" w:pos="360" w:leader="none"/>
          <w:tab w:val="left" w:pos="900" w:leader="none"/>
        </w:tabs>
        <w:rPr>
          <w:color w:val="000000"/>
          <w:sz w:val="24"/>
        </w:rPr>
        <w:outlineLvl w:val="1"/>
      </w:pPr>
      <w:r/>
      <w:bookmarkEnd w:id="515"/>
      <w:r/>
      <w:bookmarkEnd w:id="516"/>
      <w:r/>
      <w:bookmarkEnd w:id="517"/>
      <w:r>
        <w:rPr>
          <w:color w:val="000000"/>
          <w:sz w:val="24"/>
        </w:rPr>
        <w:t xml:space="preserve">询问与质疑</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供应商对政府采购活动事项有疑问的，可依法提出询问，并按《供应商须知资料表》载明的形式送达采购人或采购代理机构。</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rPr>
      </w:r>
      <w:r/>
    </w:p>
    <w:p>
      <w:pPr>
        <w:pStyle w:val="905"/>
        <w:numPr>
          <w:ilvl w:val="2"/>
          <w:numId w:val="8"/>
        </w:numPr>
        <w:spacing w:line="360" w:lineRule="auto"/>
        <w:tabs>
          <w:tab w:val="left" w:pos="1980" w:leader="none"/>
        </w:tabs>
        <w:rPr>
          <w:color w:val="000000"/>
          <w:sz w:val="24"/>
        </w:rPr>
      </w:pPr>
      <w:r>
        <w:rPr>
          <w:rFonts w:hint="eastAsia"/>
          <w:b/>
          <w:color w:val="000000"/>
          <w:sz w:val="24"/>
        </w:rPr>
        <w:t xml:space="preserve">磋商文件</w:t>
      </w:r>
      <w:r>
        <w:rPr>
          <w:rFonts w:hint="eastAsia" w:ascii="宋体" w:hAnsi="宋体"/>
          <w:b/>
          <w:color w:val="000000"/>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983"/>
          <w:color w:val="000000"/>
        </w:rPr>
        <w:t xml:space="preserve">http://gk</w:t>
      </w:r>
      <w:bookmarkStart w:id="566" w:name="_Hlt100654014"/>
      <w:r>
        <w:rPr>
          <w:rStyle w:val="983"/>
          <w:color w:val="000000"/>
        </w:rPr>
        <w:t xml:space="preserve">s</w:t>
      </w:r>
      <w:bookmarkEnd w:id="566"/>
      <w:r>
        <w:rPr>
          <w:rStyle w:val="983"/>
          <w:color w:val="000000"/>
        </w:rPr>
        <w:t xml:space="preserve">.m</w:t>
      </w:r>
      <w:bookmarkStart w:id="567" w:name="_Hlt100653994"/>
      <w:r/>
      <w:bookmarkStart w:id="568" w:name="_Hlt100653993"/>
      <w:r>
        <w:rPr>
          <w:rStyle w:val="983"/>
          <w:color w:val="000000"/>
        </w:rPr>
        <w:t xml:space="preserve">o</w:t>
      </w:r>
      <w:bookmarkEnd w:id="567"/>
      <w:r/>
      <w:bookmarkEnd w:id="568"/>
      <w:r/>
      <w:bookmarkStart w:id="569" w:name="_Hlt101169156"/>
      <w:r>
        <w:rPr>
          <w:rStyle w:val="983"/>
          <w:color w:val="000000"/>
        </w:rPr>
        <w:t xml:space="preserve">f</w:t>
      </w:r>
      <w:bookmarkEnd w:id="569"/>
      <w:r>
        <w:rPr>
          <w:rStyle w:val="983"/>
          <w:color w:val="000000"/>
        </w:rPr>
        <w:t xml:space="preserve">.gov.cn/ztztz/zhengfucaigouguanli/201802/t20180201_2804589.htm</w:t>
      </w:r>
      <w:r>
        <w:rPr>
          <w:color w:val="000000"/>
        </w:rPr>
        <w:fldChar w:fldCharType="end"/>
      </w:r>
      <w:r>
        <w:rPr>
          <w:rFonts w:hint="eastAsia"/>
          <w:color w:val="000000"/>
        </w:rPr>
        <w:t xml:space="preserve">）</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供应商为自然人的，应当由本人签字；供应商为法人或者其他组织的，应当由法定代表人、主要负责人，或者其授权代表签字或者盖章，并加盖公章。</w:t>
      </w:r>
      <w:r>
        <w:rPr>
          <w:color w:val="000000"/>
          <w:sz w:val="24"/>
        </w:rPr>
      </w:r>
      <w:r/>
    </w:p>
    <w:p>
      <w:pPr>
        <w:pStyle w:val="905"/>
        <w:numPr>
          <w:ilvl w:val="2"/>
          <w:numId w:val="8"/>
        </w:numPr>
        <w:spacing w:line="360" w:lineRule="auto"/>
        <w:tabs>
          <w:tab w:val="left" w:pos="1980" w:leader="none"/>
        </w:tabs>
        <w:rPr>
          <w:color w:val="000000"/>
          <w:sz w:val="24"/>
        </w:rPr>
      </w:pPr>
      <w:r>
        <w:rPr>
          <w:color w:val="000000"/>
          <w:sz w:val="24"/>
        </w:rPr>
        <w:t xml:space="preserve">供应商应在法定质疑期内一次性提出针对同一采购程序环节的质疑，法定质疑期内针对同一采购程序环节再次提出的质疑，采购人、采购代理机构有权不予答复。</w:t>
      </w:r>
      <w:r>
        <w:rPr>
          <w:color w:val="000000"/>
          <w:sz w:val="24"/>
        </w:rPr>
      </w:r>
      <w:r/>
    </w:p>
    <w:p>
      <w:pPr>
        <w:pStyle w:val="9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接收询问和质疑的联系部门、联系电话和通讯地址见《供应商须知资料表》</w:t>
      </w:r>
      <w:r>
        <w:rPr>
          <w:rFonts w:hint="eastAsia"/>
          <w:color w:val="000000"/>
          <w:sz w:val="24"/>
        </w:rPr>
        <w:t xml:space="preserve">。</w:t>
      </w:r>
      <w:r>
        <w:rPr>
          <w:color w:val="000000"/>
          <w:sz w:val="24"/>
        </w:rPr>
      </w:r>
      <w:r/>
    </w:p>
    <w:p>
      <w:pPr>
        <w:pStyle w:val="905"/>
        <w:numPr>
          <w:ilvl w:val="0"/>
          <w:numId w:val="8"/>
        </w:numPr>
        <w:ind w:left="357" w:hanging="357"/>
        <w:spacing w:line="360" w:lineRule="auto"/>
        <w:tabs>
          <w:tab w:val="left" w:pos="360" w:leader="none"/>
          <w:tab w:val="left" w:pos="900" w:leader="none"/>
        </w:tabs>
        <w:rPr>
          <w:b/>
          <w:bCs/>
          <w:color w:val="000000"/>
          <w:sz w:val="24"/>
        </w:rPr>
        <w:outlineLvl w:val="1"/>
      </w:pPr>
      <w:r>
        <w:rPr>
          <w:b/>
          <w:bCs/>
          <w:color w:val="000000"/>
          <w:sz w:val="24"/>
        </w:rPr>
        <w:t xml:space="preserve">代理费</w:t>
      </w:r>
      <w:r>
        <w:rPr>
          <w:b/>
          <w:bCs/>
          <w:color w:val="000000"/>
          <w:sz w:val="24"/>
        </w:rPr>
      </w:r>
      <w:r>
        <w:rPr>
          <w:b/>
          <w:bCs/>
        </w:rPr>
      </w:r>
    </w:p>
    <w:p>
      <w:pPr>
        <w:pStyle w:val="905"/>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b/>
          <w:bCs/>
          <w:color w:val="000000"/>
          <w:sz w:val="24"/>
        </w:rPr>
      </w:pPr>
      <w:r>
        <w:rPr>
          <w:b/>
          <w:bCs/>
          <w:color w:val="000000"/>
          <w:sz w:val="24"/>
        </w:rPr>
        <w:t xml:space="preserve">收费对象、收费标准及缴纳时间见《供应商须知资料表》。由成交供应商支付</w:t>
      </w:r>
      <w:r>
        <w:rPr>
          <w:rFonts w:ascii="Times New Roman" w:hAnsi="Times New Roman" w:eastAsia="宋体" w:cs="Times New Roman"/>
          <w:b/>
          <w:bCs/>
          <w:color w:val="000000"/>
          <w:sz w:val="24"/>
        </w:rPr>
        <w:t xml:space="preserve">的，成交供应商须一次性向采购代理机构缴纳代理费，报价应包含代理费用。</w:t>
      </w:r>
      <w:r>
        <w:rPr>
          <w:rFonts w:ascii="Times New Roman" w:hAnsi="Times New Roman" w:eastAsia="宋体" w:cs="Times New Roman"/>
          <w:b/>
          <w:bCs/>
          <w:color w:val="000000"/>
          <w:sz w:val="24"/>
        </w:rPr>
      </w:r>
      <w:r>
        <w:rPr>
          <w:b/>
          <w:bCs/>
        </w:rPr>
      </w:r>
    </w:p>
    <w:p>
      <w:pPr>
        <w:pStyle w:val="905"/>
        <w:numPr>
          <w:ilvl w:val="0"/>
          <w:numId w:val="0"/>
        </w:numPr>
        <w:ind w:left="357"/>
        <w:spacing w:line="360" w:lineRule="auto"/>
        <w:tabs>
          <w:tab w:val="left" w:pos="1080" w:leader="none"/>
          <w:tab w:val="left" w:pos="2014" w:leader="none"/>
        </w:tabs>
        <w:rPr>
          <w:rFonts w:ascii="Times New Roman" w:hAnsi="Times New Roman" w:eastAsia="宋体" w:cs="Times New Roman"/>
          <w:color w:val="000000"/>
          <w:sz w:val="24"/>
        </w:rPr>
      </w:pPr>
      <w:r/>
      <w:bookmarkStart w:id="570" w:name="_Toc353825544"/>
      <w:r/>
      <w:bookmarkStart w:id="571" w:name="_Toc305158822"/>
      <w:r/>
      <w:bookmarkStart w:id="572" w:name="_Toc142311056"/>
      <w:r/>
      <w:bookmarkStart w:id="573" w:name="_Toc150480792"/>
      <w:r/>
      <w:bookmarkStart w:id="574" w:name="_Toc226965827"/>
      <w:r/>
      <w:bookmarkStart w:id="575" w:name="_Toc226337250"/>
      <w:r/>
      <w:bookmarkStart w:id="576" w:name="_Toc265228392"/>
      <w:r/>
      <w:bookmarkStart w:id="577" w:name="_Toc264969244"/>
      <w:r/>
      <w:bookmarkStart w:id="578" w:name="_Toc127151554"/>
      <w:r/>
      <w:bookmarkStart w:id="579" w:name="_Toc305158896"/>
      <w:r/>
      <w:bookmarkStart w:id="580" w:name="_Toc150774759"/>
      <w:r/>
      <w:bookmarkStart w:id="581" w:name="_Toc353873664"/>
      <w:r/>
      <w:bookmarkStart w:id="582" w:name="_Toc353873934"/>
      <w:r>
        <w:rPr>
          <w:rFonts w:ascii="Times New Roman" w:hAnsi="Times New Roman" w:eastAsia="宋体" w:cs="Times New Roman"/>
          <w:color w:val="000000"/>
          <w:sz w:val="24"/>
        </w:rPr>
      </w:r>
      <w:r/>
    </w:p>
    <w:p>
      <w:pPr>
        <w:pStyle w:val="905"/>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lang w:val="en-US" w:eastAsia="zh-CN"/>
        </w:rPr>
        <w:t xml:space="preserve">26  </w:t>
      </w:r>
      <w:r>
        <w:rPr>
          <w:rFonts w:hint="eastAsia" w:ascii="Times New Roman" w:hAnsi="Times New Roman" w:eastAsia="宋体" w:cs="Times New Roman"/>
          <w:color w:val="000000"/>
          <w:sz w:val="24"/>
        </w:rPr>
        <w:t xml:space="preserve">电子履约保函</w:t>
      </w:r>
      <w:r>
        <w:rPr>
          <w:rFonts w:hint="eastAsia" w:ascii="Times New Roman" w:hAnsi="Times New Roman" w:eastAsia="宋体" w:cs="Times New Roman"/>
          <w:color w:val="000000"/>
          <w:sz w:val="24"/>
        </w:rPr>
      </w:r>
      <w:r/>
    </w:p>
    <w:p>
      <w:pPr>
        <w:pStyle w:val="905"/>
        <w:numPr>
          <w:ilvl w:val="0"/>
          <w:numId w:val="0"/>
        </w:numPr>
        <w:ind w:firstLine="720"/>
        <w:spacing w:line="360" w:lineRule="auto"/>
        <w:tabs>
          <w:tab w:val="left" w:pos="1080" w:leader="none"/>
          <w:tab w:val="left" w:pos="2014"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color w:val="000000"/>
          <w:sz w:val="24"/>
        </w:rPr>
      </w:r>
      <w:r/>
    </w:p>
    <w:p>
      <w:pPr>
        <w:pStyle w:val="987"/>
        <w:rPr>
          <w:rFonts w:eastAsia="宋体"/>
          <w:color w:val="000000"/>
          <w:lang w:val="en-US" w:eastAsia="zh-CN"/>
        </w:rPr>
        <w:sectPr>
          <w:footerReference w:type="default" r:id="rId19"/>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rFonts w:eastAsia="宋体"/>
          <w:color w:val="000000"/>
          <w:lang w:val="en-US" w:eastAsia="zh-CN"/>
        </w:rPr>
      </w:r>
      <w:r/>
    </w:p>
    <w:p>
      <w:pPr>
        <w:pStyle w:val="905"/>
        <w:jc w:val="center"/>
        <w:spacing w:line="360" w:lineRule="auto"/>
        <w:rPr>
          <w:b/>
          <w:color w:val="000000"/>
          <w:sz w:val="36"/>
          <w:szCs w:val="36"/>
        </w:rPr>
        <w:outlineLvl w:val="0"/>
      </w:pPr>
      <w:r/>
      <w:bookmarkStart w:id="583" w:name="_Toc20589"/>
      <w:r>
        <w:rPr>
          <w:b/>
          <w:color w:val="000000"/>
          <w:sz w:val="36"/>
          <w:szCs w:val="36"/>
        </w:rPr>
        <w:t xml:space="preserve">第三章   </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583"/>
      <w:r/>
      <w:bookmarkStart w:id="584" w:name="_Toc487900382"/>
      <w:r>
        <w:rPr>
          <w:b/>
          <w:color w:val="000000"/>
          <w:sz w:val="36"/>
          <w:szCs w:val="36"/>
        </w:rPr>
      </w:r>
      <w:r/>
    </w:p>
    <w:p>
      <w:pPr>
        <w:pStyle w:val="907"/>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w:t>
      </w:r>
      <w:r>
        <w:rPr>
          <w:rFonts w:hint="eastAsia" w:ascii="Times New Roman" w:hAnsi="Times New Roman" w:eastAsia="宋体"/>
          <w:color w:val="000000"/>
          <w:sz w:val="24"/>
          <w:szCs w:val="24"/>
        </w:rPr>
        <w:t xml:space="preserve">评审</w:t>
      </w:r>
      <w:r>
        <w:rPr>
          <w:rFonts w:ascii="Times New Roman" w:hAnsi="Times New Roman" w:eastAsia="宋体"/>
          <w:color w:val="000000"/>
          <w:sz w:val="24"/>
          <w:szCs w:val="24"/>
        </w:rPr>
        <w:t xml:space="preserve">程序</w:t>
      </w:r>
      <w:r>
        <w:rPr>
          <w:rFonts w:ascii="Times New Roman" w:hAnsi="Times New Roman" w:eastAsia="宋体"/>
          <w:color w:val="000000"/>
          <w:sz w:val="24"/>
          <w:szCs w:val="24"/>
        </w:rPr>
      </w:r>
      <w:r/>
    </w:p>
    <w:p>
      <w:pPr>
        <w:pStyle w:val="905"/>
        <w:jc w:val="left"/>
        <w:tabs>
          <w:tab w:val="left" w:pos="1080" w:leader="none"/>
        </w:tabs>
        <w:rPr>
          <w:b/>
          <w:color w:val="000000"/>
          <w:sz w:val="24"/>
        </w:rPr>
      </w:pPr>
      <w:r>
        <w:rPr>
          <w:b/>
          <w:color w:val="000000"/>
          <w:sz w:val="24"/>
        </w:rPr>
        <w:tab/>
      </w:r>
      <w:r>
        <w:rPr>
          <w:b/>
          <w:color w:val="000000"/>
          <w:sz w:val="24"/>
        </w:rPr>
      </w:r>
      <w:r/>
    </w:p>
    <w:p>
      <w:pPr>
        <w:pStyle w:val="905"/>
        <w:numPr>
          <w:ilvl w:val="0"/>
          <w:numId w:val="11"/>
        </w:numPr>
        <w:spacing w:line="360" w:lineRule="auto"/>
        <w:tabs>
          <w:tab w:val="left" w:pos="360" w:leader="none"/>
          <w:tab w:val="left" w:pos="900" w:leader="none"/>
        </w:tabs>
        <w:rPr>
          <w:color w:val="000000"/>
          <w:sz w:val="24"/>
        </w:rPr>
        <w:outlineLvl w:val="1"/>
      </w:pPr>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584"/>
      <w:r/>
      <w:bookmarkStart w:id="585" w:name="_Toc164229382"/>
      <w:r/>
      <w:bookmarkStart w:id="586" w:name="_Toc151193639"/>
      <w:r/>
      <w:bookmarkStart w:id="587" w:name="_Toc305158883"/>
      <w:r/>
      <w:bookmarkStart w:id="588" w:name="_Toc151193711"/>
      <w:r/>
      <w:bookmarkStart w:id="589" w:name="_Toc142311043"/>
      <w:r/>
      <w:bookmarkStart w:id="590" w:name="_Toc226965731"/>
      <w:r/>
      <w:bookmarkStart w:id="591" w:name="_Toc164351635"/>
      <w:r/>
      <w:bookmarkStart w:id="592" w:name="_Toc151190168"/>
      <w:r/>
      <w:bookmarkStart w:id="593" w:name="_Toc226337237"/>
      <w:r/>
      <w:bookmarkStart w:id="594" w:name="_Toc226965814"/>
      <w:r/>
      <w:bookmarkStart w:id="595" w:name="_Toc164608810"/>
      <w:r/>
      <w:bookmarkStart w:id="596" w:name="_Toc150480779"/>
      <w:r/>
      <w:bookmarkStart w:id="597" w:name="_Toc150774746"/>
      <w:r/>
      <w:bookmarkStart w:id="598" w:name="_Toc226309785"/>
      <w:r/>
      <w:bookmarkStart w:id="599" w:name="_Toc164229236"/>
      <w:r/>
      <w:bookmarkStart w:id="600" w:name="_Toc265228379"/>
      <w:r/>
      <w:bookmarkStart w:id="601" w:name="_Toc195842906"/>
      <w:r/>
      <w:bookmarkStart w:id="602" w:name="_Toc150509292"/>
      <w:r/>
      <w:bookmarkStart w:id="603" w:name="_Toc151193783"/>
      <w:r/>
      <w:bookmarkStart w:id="604" w:name="_Toc127151742"/>
      <w:r/>
      <w:bookmarkStart w:id="605" w:name="_Toc264969231"/>
      <w:r/>
      <w:bookmarkStart w:id="606" w:name="_Toc151193929"/>
      <w:r/>
      <w:bookmarkStart w:id="607" w:name="_Toc127161455"/>
      <w:r/>
      <w:bookmarkStart w:id="608" w:name="_Toc164608655"/>
      <w:r/>
      <w:bookmarkStart w:id="609" w:name="_Toc305158809"/>
      <w:r/>
      <w:bookmarkStart w:id="610" w:name="_Toc127151541"/>
      <w:r/>
      <w:bookmarkStart w:id="611" w:name="_Toc149720834"/>
      <w:r/>
      <w:bookmarkStart w:id="612" w:name="_Toc151193855"/>
      <w:r/>
      <w:bookmarkStart w:id="613" w:name="_Toc150774641"/>
      <w:r/>
      <w:bookmarkStart w:id="614" w:name="_Toc265228393"/>
      <w:r/>
      <w:bookmarkStart w:id="615" w:name="_Toc353825551"/>
      <w:r/>
      <w:bookmarkStart w:id="616" w:name="_Toc353873941"/>
      <w:r/>
      <w:bookmarkStart w:id="617" w:name="_Toc195842920"/>
      <w:r/>
      <w:bookmarkStart w:id="618" w:name="_Toc353873935"/>
      <w:r/>
      <w:bookmarkStart w:id="619" w:name="_Toc226965828"/>
      <w:r/>
      <w:bookmarkStart w:id="620" w:name="_Toc305158823"/>
      <w:r/>
      <w:bookmarkStart w:id="621" w:name="_Toc142311057"/>
      <w:r/>
      <w:bookmarkStart w:id="622" w:name="_Toc305158897"/>
      <w:r/>
      <w:bookmarkStart w:id="623" w:name="_Toc264969245"/>
      <w:r/>
      <w:bookmarkStart w:id="624" w:name="_Toc150480793"/>
      <w:r/>
      <w:bookmarkStart w:id="625" w:name="_Toc226337251"/>
      <w:r/>
      <w:bookmarkStart w:id="626" w:name="_Toc353825545"/>
      <w:r/>
      <w:bookmarkStart w:id="627" w:name="_Toc127151555"/>
      <w:r/>
      <w:bookmarkStart w:id="628" w:name="_Toc353873665"/>
      <w:r/>
      <w:bookmarkStart w:id="629" w:name="_Toc150774760"/>
      <w:r>
        <w:rPr>
          <w:color w:val="000000"/>
          <w:sz w:val="24"/>
        </w:rPr>
        <w:t xml:space="preserve">响应文件的</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color w:val="000000"/>
          <w:sz w:val="24"/>
        </w:rPr>
        <w:t xml:space="preserve">资格性检查和符合性审查</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rPr>
        <w:t xml:space="preserve">无效响应</w:t>
      </w:r>
      <w:r>
        <w:rPr>
          <w:color w:val="000000"/>
          <w:sz w:val="24"/>
        </w:rPr>
        <w:t xml:space="preserve">处理，磋商小组应当告知提交响应文件的供应商。</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《资格性检查要求》中对格式有要求的，除竞争性磋商文件另有规定外，均为“实质性格式”文件。</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《资格性检查要求》见下表：</w:t>
      </w:r>
      <w:r>
        <w:rPr>
          <w:color w:val="000000"/>
          <w:sz w:val="24"/>
        </w:rPr>
      </w:r>
      <w:r/>
    </w:p>
    <w:p>
      <w:pPr>
        <w:pStyle w:val="905"/>
        <w:ind w:left="1077" w:firstLine="2650"/>
        <w:spacing w:line="360" w:lineRule="auto"/>
        <w:tabs>
          <w:tab w:val="left" w:pos="900" w:leader="none"/>
          <w:tab w:val="left" w:pos="1080" w:leader="none"/>
        </w:tabs>
        <w:rPr>
          <w:b/>
          <w:color w:val="000000"/>
          <w:sz w:val="24"/>
        </w:rPr>
      </w:pPr>
      <w:r/>
      <w:bookmarkStart w:id="630" w:name="_Hlt487972895"/>
      <w:r/>
      <w:bookmarkEnd w:id="630"/>
      <w:r>
        <w:rPr>
          <w:b/>
          <w:color w:val="000000"/>
          <w:sz w:val="24"/>
        </w:rPr>
        <w:t xml:space="preserve">资格性检查要求</w:t>
      </w:r>
      <w:r>
        <w:rPr>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28"/>
        <w:gridCol w:w="4491"/>
        <w:gridCol w:w="1657"/>
      </w:tblGrid>
      <w:tr>
        <w:trPr>
          <w:cantSplit/>
          <w:trHeight w:val="1514"/>
        </w:trPr>
        <w:tc>
          <w:tcPr>
            <w:tcW w:w="640" w:type="dxa"/>
            <w:vAlign w:val="center"/>
            <w:textDirection w:val="lrTb"/>
            <w:noWrap w:val="false"/>
          </w:tcPr>
          <w:p>
            <w:pPr>
              <w:pStyle w:val="905"/>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730" w:type="dxa"/>
            <w:vAlign w:val="center"/>
            <w:textDirection w:val="lrTb"/>
            <w:noWrap w:val="false"/>
          </w:tcPr>
          <w:p>
            <w:pPr>
              <w:pStyle w:val="905"/>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满足《中华人民共和国政府采购法》第二十二条规定</w:t>
            </w:r>
            <w:r>
              <w:rPr>
                <w:rFonts w:hint="eastAsia" w:ascii="宋体" w:hAnsi="宋体" w:eastAsia="宋体" w:cs="宋体"/>
                <w:color w:val="000000"/>
                <w:sz w:val="24"/>
                <w:szCs w:val="24"/>
              </w:rPr>
            </w:r>
            <w:r/>
          </w:p>
        </w:tc>
        <w:tc>
          <w:tcPr>
            <w:tcW w:w="4494"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具体规定见第一章《竞争性磋商公告》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924"/>
        </w:trPr>
        <w:tc>
          <w:tcPr>
            <w:tcW w:w="640" w:type="dxa"/>
            <w:vAlign w:val="center"/>
            <w:textDirection w:val="lrTb"/>
            <w:noWrap w:val="false"/>
          </w:tcPr>
          <w:p>
            <w:pPr>
              <w:pStyle w:val="905"/>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730" w:type="dxa"/>
            <w:vAlign w:val="center"/>
            <w:textDirection w:val="lrTb"/>
            <w:noWrap w:val="false"/>
          </w:tcPr>
          <w:p>
            <w:pPr>
              <w:pStyle w:val="905"/>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供应商资格声明函</w:t>
            </w:r>
            <w:r>
              <w:rPr>
                <w:rFonts w:hint="eastAsia" w:ascii="宋体" w:hAnsi="宋体" w:eastAsia="宋体" w:cs="宋体"/>
                <w:color w:val="000000"/>
                <w:sz w:val="24"/>
                <w:szCs w:val="24"/>
              </w:rPr>
            </w:r>
            <w:r/>
          </w:p>
        </w:tc>
        <w:tc>
          <w:tcPr>
            <w:tcW w:w="4494"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提供了符合采购文件要求的《供应商资格声明函》。</w:t>
            </w:r>
            <w:r>
              <w:rPr>
                <w:rFonts w:hint="eastAsia" w:ascii="宋体" w:hAnsi="宋体" w:eastAsia="宋体" w:cs="宋体"/>
                <w:color w:val="000000"/>
                <w:sz w:val="24"/>
                <w:szCs w:val="24"/>
              </w:rPr>
            </w:r>
            <w:r/>
          </w:p>
        </w:tc>
        <w:tc>
          <w:tcPr>
            <w:tcW w:w="1658"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格式见《响应文件格式》</w:t>
            </w:r>
            <w:r>
              <w:rPr>
                <w:rFonts w:hint="eastAsia" w:ascii="宋体" w:hAnsi="宋体" w:eastAsia="宋体" w:cs="宋体"/>
                <w:color w:val="000000"/>
                <w:sz w:val="24"/>
                <w:szCs w:val="24"/>
              </w:rPr>
            </w:r>
            <w:r/>
          </w:p>
        </w:tc>
      </w:tr>
      <w:tr>
        <w:trPr>
          <w:cantSplit/>
          <w:trHeight w:val="1666"/>
        </w:trPr>
        <w:tc>
          <w:tcPr>
            <w:tcW w:w="640" w:type="dxa"/>
            <w:vAlign w:val="center"/>
            <w:textDirection w:val="lrTb"/>
            <w:noWrap w:val="false"/>
          </w:tcPr>
          <w:p>
            <w:pPr>
              <w:pStyle w:val="905"/>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73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供应商信用记录</w:t>
            </w:r>
            <w:r>
              <w:rPr>
                <w:rFonts w:hint="eastAsia" w:ascii="宋体" w:hAnsi="宋体" w:eastAsia="宋体" w:cs="宋体"/>
                <w:color w:val="000000"/>
                <w:sz w:val="24"/>
                <w:szCs w:val="24"/>
              </w:rPr>
            </w:r>
            <w:r/>
          </w:p>
        </w:tc>
        <w:tc>
          <w:tcPr>
            <w:tcW w:w="4494"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查询渠道：信用中国网站或中国政府采购网（www.creditchina.gov.cn、www.ccgp.gov.cn）；</w:t>
            </w:r>
            <w:r>
              <w:rPr>
                <w:rFonts w:hint="eastAsia" w:ascii="宋体" w:hAnsi="宋体" w:eastAsia="宋体" w:cs="宋体"/>
                <w:color w:val="000000"/>
                <w:sz w:val="24"/>
                <w:szCs w:val="24"/>
              </w:rPr>
            </w:r>
            <w:r/>
          </w:p>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截止时点：提交响应文件截止时间以后、资格审查阶段采购人或采购代理机构的实际查询时间；</w:t>
            </w:r>
            <w:r>
              <w:rPr>
                <w:rFonts w:hint="eastAsia" w:ascii="宋体" w:hAnsi="宋体" w:eastAsia="宋体" w:cs="宋体"/>
                <w:color w:val="000000"/>
                <w:sz w:val="24"/>
                <w:szCs w:val="24"/>
              </w:rPr>
            </w:r>
            <w:r/>
          </w:p>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szCs w:val="24"/>
              </w:rPr>
            </w:r>
            <w:r/>
          </w:p>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rFonts w:hint="eastAsia" w:ascii="宋体" w:hAnsi="宋体" w:eastAsia="宋体" w:cs="宋体"/>
                <w:color w:val="000000"/>
                <w:sz w:val="24"/>
                <w:szCs w:val="24"/>
              </w:rPr>
            </w:r>
            <w:r/>
          </w:p>
        </w:tc>
        <w:tc>
          <w:tcPr>
            <w:tcW w:w="1658"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无须供应商提供，由采购人或采购代理机构查询。</w:t>
            </w:r>
            <w:r>
              <w:rPr>
                <w:rFonts w:hint="eastAsia" w:ascii="宋体" w:hAnsi="宋体" w:eastAsia="宋体" w:cs="宋体"/>
                <w:color w:val="000000"/>
                <w:sz w:val="24"/>
                <w:szCs w:val="24"/>
              </w:rPr>
            </w:r>
            <w:r/>
          </w:p>
        </w:tc>
      </w:tr>
      <w:tr>
        <w:trPr>
          <w:cantSplit/>
          <w:trHeight w:val="1666"/>
        </w:trPr>
        <w:tc>
          <w:tcPr>
            <w:tcW w:w="640" w:type="dxa"/>
            <w:vAlign w:val="center"/>
            <w:textDirection w:val="lrTb"/>
            <w:noWrap w:val="false"/>
          </w:tcPr>
          <w:p>
            <w:pPr>
              <w:pStyle w:val="905"/>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73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color w:val="000000"/>
                <w:sz w:val="24"/>
                <w:szCs w:val="24"/>
              </w:rPr>
            </w:r>
            <w:r/>
          </w:p>
        </w:tc>
        <w:tc>
          <w:tcPr>
            <w:tcW w:w="4494"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905"/>
              <w:jc w:val="center"/>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173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中小企业声明函</w:t>
            </w:r>
            <w:r>
              <w:rPr>
                <w:rFonts w:hint="eastAsia" w:ascii="宋体" w:hAnsi="宋体" w:eastAsia="宋体" w:cs="宋体"/>
                <w:color w:val="000000"/>
                <w:sz w:val="24"/>
                <w:szCs w:val="24"/>
              </w:rPr>
            </w:r>
            <w:r/>
          </w:p>
        </w:tc>
        <w:tc>
          <w:tcPr>
            <w:tcW w:w="4494" w:type="dxa"/>
            <w:vAlign w:val="center"/>
            <w:textDirection w:val="lrTb"/>
            <w:noWrap w:val="false"/>
          </w:tcPr>
          <w:p>
            <w:pPr>
              <w:pStyle w:val="905"/>
              <w:jc w:val="both"/>
              <w:tabs>
                <w:tab w:val="left" w:pos="108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lang w:val="en-US" w:eastAsia="zh-CN"/>
              </w:rPr>
            </w:r>
            <w:r/>
          </w:p>
        </w:tc>
        <w:tc>
          <w:tcPr>
            <w:tcW w:w="1658" w:type="dxa"/>
            <w:vAlign w:val="center"/>
            <w:textDirection w:val="lrTb"/>
            <w:noWrap w:val="false"/>
          </w:tcPr>
          <w:p>
            <w:pPr>
              <w:pStyle w:val="9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73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拟分包情况说明及分包意向协议（类型一）</w:t>
            </w:r>
            <w:r>
              <w:rPr>
                <w:rFonts w:hint="eastAsia" w:ascii="宋体" w:hAnsi="宋体" w:eastAsia="宋体" w:cs="宋体"/>
                <w:color w:val="000000"/>
                <w:sz w:val="24"/>
                <w:szCs w:val="24"/>
              </w:rPr>
            </w:r>
            <w:r/>
          </w:p>
        </w:tc>
        <w:tc>
          <w:tcPr>
            <w:tcW w:w="4494" w:type="dxa"/>
            <w:vAlign w:val="center"/>
            <w:textDirection w:val="lrTb"/>
            <w:noWrap w:val="false"/>
          </w:tcPr>
          <w:p>
            <w:pPr>
              <w:pStyle w:val="905"/>
              <w:jc w:val="both"/>
              <w:tabs>
                <w:tab w:val="left" w:pos="1080" w:leader="none"/>
              </w:tabs>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b/>
                <w:color w:val="000000"/>
                <w:sz w:val="24"/>
                <w:szCs w:val="24"/>
              </w:rPr>
            </w:r>
            <w:r/>
          </w:p>
        </w:tc>
        <w:tc>
          <w:tcPr>
            <w:tcW w:w="1658"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173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其它落实政府采购政策的资格要求</w:t>
            </w:r>
            <w:r>
              <w:rPr>
                <w:rFonts w:hint="eastAsia" w:ascii="宋体" w:hAnsi="宋体" w:eastAsia="宋体" w:cs="宋体"/>
                <w:color w:val="000000"/>
                <w:sz w:val="24"/>
                <w:szCs w:val="24"/>
              </w:rPr>
            </w:r>
            <w:r/>
          </w:p>
        </w:tc>
        <w:tc>
          <w:tcPr>
            <w:tcW w:w="4494" w:type="dxa"/>
            <w:vAlign w:val="center"/>
            <w:textDirection w:val="lrTb"/>
            <w:noWrap w:val="false"/>
          </w:tcPr>
          <w:p>
            <w:pPr>
              <w:pStyle w:val="905"/>
              <w:jc w:val="both"/>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73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rPr>
            </w:r>
            <w:r/>
          </w:p>
        </w:tc>
        <w:tc>
          <w:tcPr>
            <w:tcW w:w="4494" w:type="dxa"/>
            <w:vAlign w:val="center"/>
            <w:textDirection w:val="lrTb"/>
            <w:noWrap w:val="false"/>
          </w:tcPr>
          <w:p>
            <w:pPr>
              <w:pStyle w:val="905"/>
              <w:jc w:val="both"/>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173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是否接受联合体响应</w:t>
            </w:r>
            <w:r>
              <w:rPr>
                <w:rFonts w:hint="eastAsia" w:ascii="宋体" w:hAnsi="宋体" w:eastAsia="宋体" w:cs="宋体"/>
                <w:color w:val="000000"/>
                <w:sz w:val="24"/>
                <w:szCs w:val="24"/>
              </w:rPr>
            </w:r>
            <w:r/>
          </w:p>
        </w:tc>
        <w:tc>
          <w:tcPr>
            <w:tcW w:w="4494" w:type="dxa"/>
            <w:vAlign w:val="center"/>
            <w:textDirection w:val="lrTb"/>
            <w:noWrap w:val="false"/>
          </w:tcPr>
          <w:p>
            <w:pPr>
              <w:pStyle w:val="905"/>
              <w:jc w:val="left"/>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具体要求见第一章《竞争性磋商公告》</w:t>
            </w:r>
            <w:r>
              <w:rPr>
                <w:rFonts w:hint="eastAsia" w:ascii="宋体" w:hAnsi="宋体" w:eastAsia="宋体" w:cs="宋体"/>
                <w:color w:val="000000"/>
                <w:sz w:val="24"/>
                <w:szCs w:val="24"/>
              </w:rPr>
            </w:r>
            <w:r/>
          </w:p>
        </w:tc>
        <w:tc>
          <w:tcPr>
            <w:tcW w:w="1658"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2"/>
        </w:trPr>
        <w:tc>
          <w:tcPr>
            <w:tcW w:w="64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1730"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其他特定资格要求</w:t>
            </w:r>
            <w:r>
              <w:rPr>
                <w:rFonts w:hint="eastAsia" w:ascii="宋体" w:hAnsi="宋体" w:eastAsia="宋体" w:cs="宋体"/>
                <w:color w:val="000000"/>
                <w:sz w:val="24"/>
                <w:szCs w:val="24"/>
              </w:rPr>
            </w:r>
            <w:r/>
          </w:p>
        </w:tc>
        <w:tc>
          <w:tcPr>
            <w:tcW w:w="4494" w:type="dxa"/>
            <w:vAlign w:val="center"/>
            <w:textDirection w:val="lrTb"/>
            <w:noWrap w:val="false"/>
          </w:tcPr>
          <w:p>
            <w:pPr>
              <w:pStyle w:val="905"/>
              <w:numPr>
                <w:ilvl w:val="0"/>
                <w:numId w:val="12"/>
              </w:numPr>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供应商必须具有有效的食品检验机构资质认定证书及附表，证书资质范围须包含本项目所涉食品的全部必检项目；</w:t>
            </w:r>
            <w:r>
              <w:rPr>
                <w:rFonts w:hint="eastAsia" w:ascii="宋体" w:hAnsi="宋体" w:eastAsia="宋体" w:cs="宋体"/>
                <w:bCs/>
                <w:color w:val="000000"/>
                <w:spacing w:val="2"/>
                <w:sz w:val="24"/>
                <w:szCs w:val="24"/>
                <w:highlight w:val="none"/>
                <w:lang w:val="en-US" w:eastAsia="zh-CN"/>
              </w:rPr>
            </w:r>
            <w:r/>
          </w:p>
          <w:p>
            <w:pPr>
              <w:pStyle w:val="905"/>
              <w:numPr>
                <w:ilvl w:val="0"/>
                <w:numId w:val="0"/>
              </w:numPr>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注：为便于评审，请供应商自行列出食品检验机构资质认定证书及附表中对应检验检测项目所在的页码或位置，提供索引表。</w:t>
            </w:r>
            <w:r>
              <w:rPr>
                <w:rFonts w:hint="eastAsia" w:ascii="宋体" w:hAnsi="宋体" w:eastAsia="宋体" w:cs="宋体"/>
                <w:bCs/>
                <w:color w:val="000000"/>
                <w:spacing w:val="2"/>
                <w:sz w:val="24"/>
                <w:szCs w:val="24"/>
                <w:highlight w:val="none"/>
                <w:lang w:val="en-US" w:eastAsia="zh-CN"/>
              </w:rPr>
            </w:r>
            <w:r/>
          </w:p>
          <w:p>
            <w:pPr>
              <w:pStyle w:val="905"/>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bCs/>
                <w:color w:val="000000"/>
                <w:spacing w:val="2"/>
                <w:sz w:val="24"/>
                <w:szCs w:val="24"/>
                <w:highlight w:val="none"/>
                <w:lang w:val="en-US" w:eastAsia="zh-CN"/>
              </w:rPr>
              <w:t xml:space="preserve">2、供应商应具备有效期内的农产品质量安全检测机构资质证书（CATL） </w:t>
            </w:r>
            <w:r>
              <w:rPr>
                <w:rFonts w:hint="eastAsia" w:ascii="宋体" w:hAnsi="宋体" w:eastAsia="宋体" w:cs="宋体"/>
                <w:color w:val="000000"/>
                <w:sz w:val="24"/>
                <w:szCs w:val="24"/>
              </w:rPr>
            </w:r>
            <w:r/>
          </w:p>
        </w:tc>
        <w:tc>
          <w:tcPr>
            <w:tcW w:w="1658" w:type="dxa"/>
            <w:vAlign w:val="center"/>
            <w:textDirection w:val="lrTb"/>
            <w:noWrap w:val="false"/>
          </w:tcPr>
          <w:p>
            <w:pPr>
              <w:pStyle w:val="905"/>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证书及附表</w:t>
            </w:r>
            <w:r>
              <w:rPr>
                <w:rFonts w:hint="eastAsia" w:ascii="宋体" w:hAnsi="宋体" w:eastAsia="宋体" w:cs="宋体"/>
                <w:color w:val="000000"/>
                <w:sz w:val="24"/>
                <w:szCs w:val="24"/>
              </w:rPr>
              <w:t xml:space="preserve">的电子件或电子证照</w:t>
            </w:r>
            <w:r>
              <w:rPr>
                <w:rFonts w:hint="eastAsia" w:ascii="宋体" w:hAnsi="宋体" w:eastAsia="宋体" w:cs="宋体"/>
                <w:color w:val="000000"/>
                <w:sz w:val="24"/>
                <w:szCs w:val="24"/>
              </w:rPr>
            </w:r>
            <w:r/>
          </w:p>
        </w:tc>
      </w:tr>
    </w:tbl>
    <w:p>
      <w:pPr>
        <w:pStyle w:val="90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5"/>
        <w:jc w:val="left"/>
        <w:widowControl/>
        <w:rPr>
          <w:color w:val="000000"/>
          <w:sz w:val="24"/>
        </w:rPr>
      </w:pPr>
      <w:r>
        <w:rPr>
          <w:rFonts w:hint="eastAsia" w:ascii="宋体" w:hAnsi="宋体" w:eastAsia="宋体" w:cs="宋体"/>
          <w:color w:val="000000"/>
          <w:sz w:val="24"/>
          <w:szCs w:val="24"/>
        </w:rPr>
        <w:br w:type="page" w:clear="all"/>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《符合性审查要求》见下表：</w:t>
      </w:r>
      <w:r>
        <w:rPr>
          <w:color w:val="000000"/>
          <w:sz w:val="24"/>
        </w:rPr>
      </w:r>
      <w:r/>
    </w:p>
    <w:p>
      <w:pPr>
        <w:pStyle w:val="905"/>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05"/>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905"/>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905"/>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b/>
                <w:bCs/>
                <w:color w:val="000000"/>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57"/>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907"/>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color w:val="000000"/>
                <w:sz w:val="24"/>
                <w:szCs w:val="24"/>
              </w:rPr>
              <w:t xml:space="preserve">响应文件中承诺的响应有效期满足磋商文件中载明的响应有效期的</w:t>
            </w:r>
            <w:r>
              <w:rPr>
                <w:rFonts w:hint="eastAsia" w:ascii="宋体" w:hAnsi="宋体" w:eastAsia="宋体" w:cs="宋体"/>
                <w:b/>
                <w:bCs/>
                <w:color w:val="000000"/>
                <w:sz w:val="24"/>
                <w:szCs w:val="24"/>
                <w:lang w:val="en-US" w:eastAsia="zh-CN" w:bidi="ar-SA"/>
              </w:rPr>
              <w:t xml:space="preserve">；由评委审查，无需供应商提供材料。</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color w:val="000000"/>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905"/>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905"/>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磋商文件不接受进口产品响应的内容时，供应商所投产品</w:t>
            </w:r>
            <w:r>
              <w:rPr>
                <w:rFonts w:hint="eastAsia" w:ascii="宋体" w:hAnsi="宋体" w:cs="宋体"/>
                <w:color w:val="000000"/>
                <w:sz w:val="24"/>
                <w:lang w:val="en-US" w:eastAsia="zh-CN"/>
              </w:rPr>
              <w:t xml:space="preserve">应为</w:t>
            </w:r>
            <w:r>
              <w:rPr>
                <w:rFonts w:hint="eastAsia" w:ascii="宋体" w:hAnsi="宋体" w:cs="宋体"/>
                <w:color w:val="000000"/>
                <w:sz w:val="24"/>
              </w:rPr>
              <w:t xml:space="preserve">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725" w:type="dxa"/>
            <w:vAlign w:val="center"/>
            <w:textDirection w:val="lrTb"/>
            <w:noWrap w:val="false"/>
          </w:tcPr>
          <w:p>
            <w:pPr>
              <w:pStyle w:val="905"/>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05"/>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905"/>
              <w:jc w:val="left"/>
              <w:widowControl/>
              <w:rPr>
                <w:rFonts w:hint="eastAsia" w:ascii="宋体" w:hAnsi="宋体" w:cs="宋体"/>
                <w:color w:val="000000"/>
                <w:sz w:val="24"/>
              </w:rPr>
            </w:pPr>
            <w:r>
              <w:rPr>
                <w:rFonts w:hint="eastAsia"/>
                <w:color w:val="000000"/>
                <w:sz w:val="24"/>
              </w:rPr>
              <w:t xml:space="preserve">2）</w:t>
            </w:r>
            <w:r>
              <w:rPr>
                <w:color w:val="000000"/>
                <w:sz w:val="24"/>
              </w:rPr>
              <w:t xml:space="preserve">国家</w:t>
            </w:r>
            <w:r>
              <w:rPr>
                <w:rFonts w:hint="eastAsia"/>
                <w:color w:val="000000"/>
                <w:sz w:val="24"/>
              </w:rPr>
              <w:t xml:space="preserve">如</w:t>
            </w:r>
            <w:r>
              <w:rPr>
                <w:color w:val="000000"/>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color w:val="000000"/>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905"/>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18</w:t>
            </w:r>
            <w:r>
              <w:rPr>
                <w:rFonts w:ascii="宋体" w:hAnsi="宋体" w:eastAsia="宋体" w:cs="宋体"/>
                <w:color w:val="000000"/>
                <w:sz w:val="24"/>
                <w:lang w:val="en-US" w:eastAsia="zh-CN"/>
              </w:rPr>
            </w:r>
            <w:r/>
          </w:p>
        </w:tc>
        <w:tc>
          <w:tcPr>
            <w:tcW w:w="1813" w:type="dxa"/>
            <w:vAlign w:val="center"/>
            <w:textDirection w:val="lrTb"/>
            <w:noWrap w:val="false"/>
          </w:tcPr>
          <w:p>
            <w:pPr>
              <w:pStyle w:val="905"/>
              <w:jc w:val="lef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报价合理性</w:t>
            </w:r>
            <w:r>
              <w:rPr>
                <w:rFonts w:ascii="宋体" w:hAnsi="宋体" w:eastAsia="宋体" w:cs="宋体"/>
                <w:color w:val="000000"/>
                <w:sz w:val="24"/>
                <w:lang w:val="en-US" w:eastAsia="zh-CN"/>
              </w:rPr>
            </w:r>
            <w:r/>
          </w:p>
        </w:tc>
        <w:tc>
          <w:tcPr>
            <w:tcW w:w="6725" w:type="dxa"/>
            <w:vAlign w:val="center"/>
            <w:textDirection w:val="lrTb"/>
            <w:noWrap w:val="false"/>
          </w:tcPr>
          <w:p>
            <w:pPr>
              <w:pStyle w:val="905"/>
              <w:jc w:val="left"/>
              <w:widowControl/>
              <w:rPr>
                <w:rFonts w:hint="eastAsia" w:ascii="宋体" w:hAnsi="宋体" w:cs="宋体"/>
                <w:color w:val="000000"/>
                <w:sz w:val="24"/>
              </w:rPr>
            </w:pPr>
            <w:r>
              <w:rPr>
                <w:rFonts w:hint="eastAsia" w:ascii="Times New Roman" w:hAnsi="Times New Roman" w:eastAsia="宋体" w:cs="Times New Roman"/>
                <w:b/>
                <w:bCs/>
                <w:color w:val="000000"/>
                <w:sz w:val="24"/>
                <w:szCs w:val="24"/>
                <w:lang w:val="en-US" w:eastAsia="zh-CN" w:bidi="ar-SA"/>
              </w:rPr>
              <w:t xml:space="preserve">本项目执行财库〔2026〕2号《关于推动解决政府采购异常低价问题的通知，</w:t>
            </w:r>
            <w:r>
              <w:rPr>
                <w:rFonts w:hint="eastAsia" w:ascii="宋体" w:hAnsi="宋体"/>
                <w:b/>
                <w:bCs/>
                <w:color w:val="000000"/>
                <w:sz w:val="24"/>
              </w:rPr>
              <w:t xml:space="preserve">实施政府采购异常低价审查。</w:t>
            </w:r>
            <w:r>
              <w:rPr>
                <w:rFonts w:hint="eastAsia" w:ascii="宋体" w:hAnsi="宋体" w:cs="宋体"/>
                <w:color w:val="000000"/>
                <w:sz w:val="24"/>
              </w:rPr>
            </w:r>
            <w:r/>
          </w:p>
        </w:tc>
      </w:tr>
    </w:tbl>
    <w:p>
      <w:pPr>
        <w:pStyle w:val="905"/>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磋商、响应文件有关事项的澄清、说明或者更正和最终报价</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磋商小组所有成员应当集中与单一供应商分别进行磋商，并给予所有参加磋商的供应商平等的磋商机会。</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对磋商文件作出的实质性变动是磋商文件的有效组成部分，磋商小组应当及时</w:t>
      </w:r>
      <w:r>
        <w:rPr>
          <w:rFonts w:hint="eastAsia"/>
          <w:color w:val="000000"/>
          <w:sz w:val="24"/>
        </w:rPr>
        <w:t xml:space="preserve">通过“苏采云”政府采购一体化平台系统</w:t>
      </w:r>
      <w:r>
        <w:rPr>
          <w:color w:val="000000"/>
          <w:sz w:val="24"/>
        </w:rPr>
        <w:t xml:space="preserve">以书面形式同时通知所有参加磋商的供应商。</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响应文件的澄清、说明或者更正</w:t>
      </w:r>
      <w:r>
        <w:rPr>
          <w:rFonts w:hint="eastAsia"/>
          <w:color w:val="000000"/>
          <w:sz w:val="24"/>
        </w:rPr>
        <w:t xml:space="preserve">：</w:t>
      </w:r>
      <w:r>
        <w:rPr>
          <w:color w:val="000000"/>
          <w:sz w:val="24"/>
        </w:rPr>
      </w:r>
      <w:r/>
    </w:p>
    <w:p>
      <w:pPr>
        <w:pStyle w:val="905"/>
        <w:ind w:left="1080"/>
        <w:spacing w:line="360" w:lineRule="auto"/>
        <w:tabs>
          <w:tab w:val="left" w:pos="1980" w:leader="none"/>
        </w:tabs>
        <w:rPr>
          <w:color w:val="000000"/>
          <w:sz w:val="24"/>
        </w:rPr>
      </w:pPr>
      <w:r>
        <w:rPr>
          <w:rFonts w:hint="eastAsia"/>
          <w:color w:val="000000"/>
          <w:sz w:val="24"/>
        </w:rPr>
        <w:t xml:space="preserve">评审</w:t>
      </w:r>
      <w:r>
        <w:rPr>
          <w:color w:val="000000"/>
          <w:sz w:val="24"/>
        </w:rPr>
        <w:t xml:space="preserve">过程中，</w:t>
      </w:r>
      <w:r>
        <w:rPr>
          <w:rFonts w:hint="eastAsia"/>
          <w:color w:val="000000"/>
          <w:sz w:val="24"/>
        </w:rPr>
        <w:t xml:space="preserve">磋商小组</w:t>
      </w:r>
      <w:r>
        <w:rPr>
          <w:color w:val="000000"/>
          <w:sz w:val="24"/>
        </w:rPr>
        <w:t xml:space="preserve">会将</w:t>
      </w:r>
      <w:r>
        <w:rPr>
          <w:rFonts w:hint="eastAsia"/>
          <w:color w:val="000000"/>
          <w:sz w:val="24"/>
        </w:rPr>
        <w:t xml:space="preserve">通过“苏采云”政府采购一体化平台系统</w:t>
      </w:r>
      <w:r>
        <w:rPr>
          <w:color w:val="000000"/>
          <w:sz w:val="24"/>
        </w:rPr>
        <w:t xml:space="preserve">以书面形式要求</w:t>
      </w:r>
      <w:r>
        <w:rPr>
          <w:rFonts w:hint="eastAsia"/>
          <w:color w:val="000000"/>
          <w:sz w:val="24"/>
        </w:rPr>
        <w:t xml:space="preserve">供应商</w:t>
      </w:r>
      <w:r>
        <w:rPr>
          <w:color w:val="000000"/>
          <w:sz w:val="24"/>
        </w:rPr>
        <w:t xml:space="preserve">对其</w:t>
      </w:r>
      <w:r>
        <w:rPr>
          <w:rFonts w:hint="eastAsia"/>
          <w:color w:val="000000"/>
          <w:sz w:val="24"/>
        </w:rPr>
        <w:t xml:space="preserve">响应</w:t>
      </w:r>
      <w:r>
        <w:rPr>
          <w:color w:val="000000"/>
          <w:sz w:val="24"/>
        </w:rPr>
        <w:t xml:space="preserve">文件中含义不明确、同类问题表述不一致或者有明显文字和计算错误的内容，作出必要的澄清、说明或者补正。</w:t>
      </w:r>
      <w:r>
        <w:rPr>
          <w:rFonts w:hint="eastAsia"/>
          <w:color w:val="000000"/>
          <w:sz w:val="24"/>
        </w:rPr>
        <w:t xml:space="preserve">供应商</w:t>
      </w:r>
      <w:r>
        <w:rPr>
          <w:color w:val="000000"/>
          <w:sz w:val="24"/>
        </w:rPr>
        <w:t xml:space="preserve">的澄清、说明或者补正应当采用书面形式，并加盖</w:t>
      </w:r>
      <w:r>
        <w:rPr>
          <w:rFonts w:hint="eastAsia"/>
          <w:color w:val="000000"/>
          <w:sz w:val="24"/>
        </w:rPr>
        <w:t xml:space="preserve">电子</w:t>
      </w:r>
      <w:r>
        <w:rPr>
          <w:color w:val="000000"/>
          <w:sz w:val="24"/>
        </w:rPr>
        <w:t xml:space="preserve">公章。</w:t>
      </w:r>
      <w:r>
        <w:rPr>
          <w:rFonts w:hint="eastAsia"/>
          <w:color w:val="000000"/>
          <w:sz w:val="24"/>
        </w:rPr>
        <w:t xml:space="preserve">供应商</w:t>
      </w:r>
      <w:r>
        <w:rPr>
          <w:color w:val="000000"/>
          <w:sz w:val="24"/>
        </w:rPr>
        <w:t xml:space="preserve">的澄清、说明或者补正不得超出</w:t>
      </w:r>
      <w:r>
        <w:rPr>
          <w:rFonts w:hint="eastAsia"/>
          <w:color w:val="000000"/>
          <w:sz w:val="24"/>
        </w:rPr>
        <w:t xml:space="preserve">响应</w:t>
      </w:r>
      <w:r>
        <w:rPr>
          <w:color w:val="000000"/>
          <w:sz w:val="24"/>
        </w:rPr>
        <w:t xml:space="preserve">文件的范围或者改变</w:t>
      </w:r>
      <w:r>
        <w:rPr>
          <w:rFonts w:hint="eastAsia"/>
          <w:color w:val="000000"/>
          <w:sz w:val="24"/>
        </w:rPr>
        <w:t xml:space="preserve">响应</w:t>
      </w:r>
      <w:r>
        <w:rPr>
          <w:color w:val="000000"/>
          <w:sz w:val="24"/>
        </w:rPr>
        <w:t xml:space="preserve">文件的实质性内容。澄清文件将作为</w:t>
      </w:r>
      <w:r>
        <w:rPr>
          <w:rFonts w:hint="eastAsia"/>
          <w:color w:val="000000"/>
          <w:sz w:val="24"/>
        </w:rPr>
        <w:t xml:space="preserve">响应</w:t>
      </w:r>
      <w:r>
        <w:rPr>
          <w:color w:val="000000"/>
          <w:sz w:val="24"/>
        </w:rPr>
        <w:t xml:space="preserve">文件内容的一部分。</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color w:val="000000"/>
          <w:sz w:val="24"/>
        </w:rPr>
        <w:t xml:space="preserve">。</w:t>
      </w:r>
      <w:r>
        <w:rPr>
          <w:rFonts w:hint="eastAsia" w:ascii="宋体" w:hAnsi="宋体" w:cs="宋体"/>
          <w:b/>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最终报价是供应商响应文件的有效组成部分。</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已提交响应文件的供应商，在提交最终报价之前，可以根据磋商情况退出磋商。</w:t>
      </w:r>
      <w:r>
        <w:rPr>
          <w:color w:val="000000"/>
          <w:sz w:val="24"/>
        </w:rPr>
      </w:r>
      <w:r/>
    </w:p>
    <w:p>
      <w:pPr>
        <w:pStyle w:val="905"/>
        <w:numPr>
          <w:ilvl w:val="0"/>
          <w:numId w:val="11"/>
        </w:numPr>
        <w:spacing w:line="360" w:lineRule="auto"/>
        <w:tabs>
          <w:tab w:val="left" w:pos="360" w:leader="none"/>
          <w:tab w:val="left" w:pos="900" w:leader="none"/>
        </w:tabs>
        <w:rPr>
          <w:color w:val="000000"/>
          <w:sz w:val="24"/>
        </w:rPr>
        <w:outlineLvl w:val="1"/>
      </w:pPr>
      <w:r>
        <w:rPr>
          <w:color w:val="000000"/>
          <w:sz w:val="24"/>
        </w:rPr>
        <w:t xml:space="preserve">最终报价的算术修正及政策调整</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最终报价出现前后不一致的，按照下列规定修正：</w:t>
      </w:r>
      <w:r>
        <w:rPr>
          <w:color w:val="000000"/>
          <w:sz w:val="24"/>
        </w:rPr>
      </w:r>
      <w:r/>
    </w:p>
    <w:p>
      <w:pPr>
        <w:pStyle w:val="90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竞争性磋商文件对于报价修正是否另有规定：</w:t>
      </w:r>
      <w:r>
        <w:rPr>
          <w:color w:val="000000"/>
          <w:sz w:val="24"/>
        </w:rPr>
      </w:r>
      <w:r/>
    </w:p>
    <w:p>
      <w:pPr>
        <w:pStyle w:val="905"/>
        <w:ind w:left="2035"/>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□有，具体规定为：___________</w:t>
      </w:r>
      <w:r>
        <w:rPr>
          <w:color w:val="000000"/>
          <w:sz w:val="24"/>
          <w:u w:val="single"/>
        </w:rPr>
      </w:r>
      <w:r/>
    </w:p>
    <w:p>
      <w:pPr>
        <w:pStyle w:val="905"/>
        <w:ind w:left="2035"/>
        <w:spacing w:line="360" w:lineRule="auto"/>
        <w:tabs>
          <w:tab w:val="left" w:pos="1080" w:leader="none"/>
          <w:tab w:val="left" w:pos="1589" w:leader="none"/>
          <w:tab w:val="left" w:pos="2035" w:leader="none"/>
          <w:tab w:val="left" w:pos="2114" w:leader="none"/>
        </w:tabs>
        <w:rPr>
          <w:color w:val="000000"/>
          <w:sz w:val="24"/>
        </w:rPr>
      </w:pPr>
      <w:r>
        <w:rPr>
          <w:rFonts w:ascii="Wingdings 2" w:hAnsi="Wingdings 2" w:eastAsia="Wingdings 2" w:cs="Wingdings 2"/>
          <w:color w:val="000000"/>
          <w:sz w:val="24"/>
        </w:rPr>
        <w:t xml:space="preserve">R</w:t>
      </w:r>
      <w:r>
        <w:rPr>
          <w:color w:val="000000"/>
          <w:sz w:val="24"/>
        </w:rPr>
        <w:t xml:space="preserve">无，按下述3.2.2-3.2.5项规定修正。</w:t>
      </w:r>
      <w:r>
        <w:rPr>
          <w:color w:val="000000"/>
          <w:sz w:val="24"/>
        </w:rPr>
      </w:r>
      <w:r/>
    </w:p>
    <w:p>
      <w:pPr>
        <w:pStyle w:val="905"/>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05"/>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905"/>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05"/>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落实政府采购政策的价格调整：只有符合第二章《供应商须知》4.2条规定情形的，可以享受中小企业扶持政策，用扣除后的价格参加评审；否则，评审时价格不予扣除。</w:t>
      </w:r>
      <w:r>
        <w:rPr>
          <w:color w:val="000000"/>
          <w:sz w:val="24"/>
        </w:rPr>
      </w:r>
      <w:r/>
    </w:p>
    <w:p>
      <w:pPr>
        <w:pStyle w:val="905"/>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rPr>
        <w:t xml:space="preserve">20</w:t>
      </w:r>
      <w:r>
        <w:rPr>
          <w:color w:val="000000"/>
          <w:sz w:val="24"/>
        </w:rPr>
        <w:t xml:space="preserve">%的扣除，用扣除后的价格参加评审。</w:t>
      </w:r>
      <w:r>
        <w:rPr>
          <w:color w:val="000000"/>
          <w:sz w:val="24"/>
        </w:rPr>
      </w:r>
      <w:r/>
    </w:p>
    <w:p>
      <w:pPr>
        <w:pStyle w:val="905"/>
        <w:numPr>
          <w:ilvl w:val="2"/>
          <w:numId w:val="11"/>
        </w:numPr>
        <w:spacing w:line="360" w:lineRule="auto"/>
        <w:tabs>
          <w:tab w:val="left" w:pos="1980"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 30%以上的联合体或者大中型企业的报价给予</w:t>
      </w:r>
      <w:r>
        <w:rPr>
          <w:rFonts w:hint="eastAsia"/>
          <w:color w:val="000000"/>
          <w:sz w:val="24"/>
        </w:rPr>
        <w:t xml:space="preserve">6</w:t>
      </w:r>
      <w:r>
        <w:rPr>
          <w:color w:val="000000"/>
          <w:sz w:val="24"/>
        </w:rPr>
        <w:t xml:space="preserve">%的扣除，用扣除后的价格参加评审。</w:t>
      </w:r>
      <w:r>
        <w:rPr>
          <w:color w:val="000000"/>
          <w:sz w:val="24"/>
        </w:rPr>
      </w:r>
      <w:r/>
    </w:p>
    <w:p>
      <w:pPr>
        <w:pStyle w:val="905"/>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905"/>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905"/>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中小企业参加政府采购活动，应当按照竞争性磋商文件给定的格式出具《中小企业声明函》，否则不得享受相关中小企业扶持政策。</w:t>
      </w:r>
      <w:r>
        <w:rPr>
          <w:color w:val="000000"/>
          <w:sz w:val="24"/>
        </w:rPr>
      </w:r>
      <w:r/>
    </w:p>
    <w:p>
      <w:pPr>
        <w:pStyle w:val="905"/>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905"/>
        <w:numPr>
          <w:ilvl w:val="2"/>
          <w:numId w:val="11"/>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残疾人福利性单位按竞争性磋商文件要求提供了《残疾人福利性单位声明函》（见附件）的，视同小微企业。</w:t>
      </w:r>
      <w:r>
        <w:rPr>
          <w:color w:val="000000"/>
          <w:sz w:val="24"/>
        </w:rPr>
      </w:r>
      <w:r/>
    </w:p>
    <w:p>
      <w:pPr>
        <w:pStyle w:val="905"/>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若供应商同时属于小型或微型企业、监狱企业、残疾人福利性单位中的两种及以上，将不重复享受小微企业价格扣减的优惠政策。</w:t>
      </w:r>
      <w:r>
        <w:rPr>
          <w:color w:val="000000"/>
          <w:sz w:val="24"/>
        </w:rPr>
      </w:r>
      <w:r/>
    </w:p>
    <w:p>
      <w:pPr>
        <w:pStyle w:val="905"/>
        <w:numPr>
          <w:ilvl w:val="2"/>
          <w:numId w:val="11"/>
        </w:numPr>
        <w:ind w:left="2035"/>
        <w:spacing w:line="360" w:lineRule="auto"/>
        <w:tabs>
          <w:tab w:val="left" w:pos="1080" w:leader="none"/>
          <w:tab w:val="left" w:pos="1589" w:leader="none"/>
          <w:tab w:val="left" w:pos="1980" w:leader="none"/>
          <w:tab w:val="left" w:pos="2014" w:leader="none"/>
        </w:tabs>
        <w:rPr>
          <w:color w:val="000000"/>
          <w:sz w:val="24"/>
        </w:rPr>
      </w:pPr>
      <w:r>
        <w:rPr>
          <w:color w:val="000000"/>
          <w:sz w:val="24"/>
        </w:rPr>
        <w:t xml:space="preserve">其他为落实政府采购政策实施的优先采购：______。</w:t>
      </w:r>
      <w:r>
        <w:rPr>
          <w:color w:val="000000"/>
          <w:sz w:val="24"/>
        </w:rPr>
      </w:r>
      <w:r/>
    </w:p>
    <w:p>
      <w:pPr>
        <w:pStyle w:val="905"/>
        <w:numPr>
          <w:ilvl w:val="2"/>
          <w:numId w:val="0"/>
        </w:numPr>
        <w:ind w:left="2035" w:hanging="900"/>
        <w:spacing w:line="360" w:lineRule="auto"/>
        <w:tabs>
          <w:tab w:val="left" w:pos="1080" w:leader="none"/>
          <w:tab w:val="left" w:pos="1589" w:leader="none"/>
          <w:tab w:val="left" w:pos="2035" w:leader="none"/>
        </w:tabs>
        <w:rPr>
          <w:rFonts w:hint="eastAsia" w:eastAsia="宋体"/>
          <w:color w:val="000000"/>
          <w:sz w:val="24"/>
          <w:highlight w:val="none"/>
          <w:lang w:eastAsia="zh-CN"/>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 采购本国产品的支持政策</w:t>
      </w:r>
      <w:r>
        <w:rPr>
          <w:rFonts w:hint="eastAsia"/>
          <w:color w:val="000000"/>
          <w:sz w:val="24"/>
          <w:highlight w:val="none"/>
          <w:lang w:eastAsia="zh-CN"/>
        </w:rPr>
        <w:t xml:space="preserve">（</w:t>
      </w:r>
      <w:r>
        <w:rPr>
          <w:rFonts w:hint="eastAsia"/>
          <w:color w:val="000000"/>
          <w:sz w:val="24"/>
          <w:highlight w:val="none"/>
          <w:lang w:val="en-US" w:eastAsia="zh-CN"/>
        </w:rPr>
        <w:t xml:space="preserve">本项目不涉及</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905"/>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color w:val="000000"/>
          <w:sz w:val="24"/>
          <w:highlight w:val="none"/>
        </w:rPr>
      </w:r>
      <w:r/>
    </w:p>
    <w:p>
      <w:pPr>
        <w:pStyle w:val="905"/>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.2 当采购项目或者采购包中含有多种产品，</w:t>
      </w:r>
      <w:r>
        <w:rPr>
          <w:rFonts w:hint="eastAsia"/>
          <w:color w:val="000000"/>
          <w:sz w:val="24"/>
          <w:highlight w:val="none"/>
          <w:lang w:val="en-US" w:eastAsia="zh-CN"/>
        </w:rPr>
        <w:t xml:space="preserve">供应商</w:t>
      </w:r>
      <w:r>
        <w:rPr>
          <w:rFonts w:hint="eastAsia"/>
          <w:color w:val="000000"/>
          <w:sz w:val="24"/>
          <w:highlight w:val="none"/>
        </w:rPr>
        <w:t xml:space="preserve">为该采购项目或者采购包提供的符合本国产品标准的产品成本之和占该供应商提供的全部产品成本之和的比例达到80%以上时（</w:t>
      </w:r>
      <w:r>
        <w:rPr>
          <w:rFonts w:hint="eastAsia"/>
          <w:b/>
          <w:bCs/>
          <w:color w:val="000000"/>
          <w:sz w:val="24"/>
          <w:highlight w:val="none"/>
          <w:lang w:val="en-US" w:eastAsia="zh-CN"/>
        </w:rPr>
        <w:t xml:space="preserve">供应商</w:t>
      </w:r>
      <w:r>
        <w:rPr>
          <w:rFonts w:hint="eastAsia"/>
          <w:b/>
          <w:bCs/>
          <w:color w:val="000000"/>
          <w:sz w:val="24"/>
          <w:highlight w:val="none"/>
        </w:rPr>
        <w:t xml:space="preserve">需在“</w:t>
      </w:r>
      <w:r>
        <w:rPr>
          <w:rFonts w:hint="eastAsia"/>
          <w:b/>
          <w:bCs/>
          <w:color w:val="000000"/>
          <w:sz w:val="24"/>
          <w:highlight w:val="none"/>
          <w:lang w:val="en-US" w:eastAsia="zh-CN"/>
        </w:rPr>
        <w:t xml:space="preserve">响应</w:t>
      </w:r>
      <w:r>
        <w:rPr>
          <w:rFonts w:hint="eastAsia"/>
          <w:b/>
          <w:bCs/>
          <w:color w:val="000000"/>
          <w:sz w:val="24"/>
          <w:highlight w:val="none"/>
        </w:rPr>
        <w:t xml:space="preserve">文件格式”的“投标分项报价表”中填写比例数值）</w:t>
      </w:r>
      <w:r>
        <w:rPr>
          <w:rFonts w:hint="eastAsia"/>
          <w:color w:val="000000"/>
          <w:sz w:val="24"/>
          <w:highlight w:val="none"/>
        </w:rPr>
        <w:t xml:space="preserve">，依法对该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提供的全部产品给予价格评审优惠，即对该</w:t>
      </w:r>
      <w:r>
        <w:rPr>
          <w:rFonts w:hint="eastAsia"/>
          <w:color w:val="000000"/>
          <w:sz w:val="24"/>
          <w:highlight w:val="none"/>
          <w:lang w:val="en-US" w:eastAsia="zh-CN"/>
        </w:rPr>
        <w:t xml:space="preserve">供应商</w:t>
      </w:r>
      <w:r>
        <w:rPr>
          <w:rFonts w:hint="eastAsia"/>
          <w:color w:val="000000"/>
          <w:sz w:val="24"/>
          <w:highlight w:val="none"/>
        </w:rPr>
        <w:t xml:space="preserve">提供的全部产品的总报价给予20%的价格扣除，用扣除后的价格参与评审。</w:t>
      </w:r>
      <w:r>
        <w:rPr>
          <w:rFonts w:hint="eastAsia"/>
          <w:b/>
          <w:bCs/>
          <w:color w:val="000000"/>
          <w:sz w:val="24"/>
          <w:highlight w:val="none"/>
          <w:lang w:val="en-US" w:eastAsia="zh-CN"/>
        </w:rPr>
        <w:t xml:space="preserve">供应商</w:t>
      </w:r>
      <w:r>
        <w:rPr>
          <w:rFonts w:hint="eastAsia"/>
          <w:b/>
          <w:bCs/>
          <w:color w:val="000000"/>
          <w:sz w:val="24"/>
          <w:highlight w:val="none"/>
        </w:rPr>
        <w:t xml:space="preserve">未填写比例数值，或比例数值未达到80%的，将不享受本国产品价格评审优惠。</w:t>
      </w:r>
      <w:r>
        <w:rPr>
          <w:color w:val="000000"/>
          <w:sz w:val="24"/>
          <w:highlight w:val="none"/>
        </w:rPr>
      </w:r>
      <w:r/>
    </w:p>
    <w:p>
      <w:pPr>
        <w:pStyle w:val="905"/>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.3 </w:t>
      </w:r>
      <w:r>
        <w:rPr>
          <w:rFonts w:hint="eastAsia"/>
          <w:color w:val="000000"/>
          <w:sz w:val="24"/>
          <w:highlight w:val="none"/>
          <w:lang w:val="en-US" w:eastAsia="zh-CN"/>
        </w:rPr>
        <w:t xml:space="preserve">供应商</w:t>
      </w:r>
      <w:r>
        <w:rPr>
          <w:rFonts w:hint="eastAsia"/>
          <w:color w:val="000000"/>
          <w:sz w:val="24"/>
          <w:highlight w:val="none"/>
        </w:rPr>
        <w:t xml:space="preserve">需按照</w:t>
      </w:r>
      <w:r>
        <w:rPr>
          <w:rFonts w:hint="eastAsia"/>
          <w:color w:val="000000"/>
          <w:sz w:val="24"/>
          <w:highlight w:val="none"/>
          <w:lang w:val="en-US" w:eastAsia="zh-CN"/>
        </w:rPr>
        <w:t xml:space="preserve">采购</w:t>
      </w:r>
      <w:r>
        <w:rPr>
          <w:rFonts w:hint="eastAsia"/>
          <w:color w:val="000000"/>
          <w:sz w:val="24"/>
          <w:highlight w:val="none"/>
        </w:rPr>
        <w:t xml:space="preserve">文件的要求提供《关于符合本国产品标准的声明函》（以下简称《声明函》），如不提供将不享受本国产品价格评审优惠。</w:t>
      </w:r>
      <w:r>
        <w:rPr>
          <w:color w:val="000000"/>
          <w:sz w:val="24"/>
          <w:highlight w:val="none"/>
        </w:rPr>
      </w:r>
      <w:r/>
    </w:p>
    <w:p>
      <w:pPr>
        <w:pStyle w:val="905"/>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.4 </w:t>
      </w:r>
      <w:r>
        <w:rPr>
          <w:rFonts w:hint="eastAsia"/>
          <w:color w:val="000000"/>
          <w:sz w:val="24"/>
          <w:highlight w:val="none"/>
          <w:lang w:val="en-US" w:eastAsia="zh-CN"/>
        </w:rPr>
        <w:t xml:space="preserve">供应商</w:t>
      </w:r>
      <w:r>
        <w:rPr>
          <w:rFonts w:hint="eastAsia"/>
          <w:color w:val="000000"/>
          <w:sz w:val="24"/>
          <w:highlight w:val="none"/>
        </w:rPr>
        <w:t xml:space="preserve">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填写产品名称、厂名、生产厂址三项信息（《声明函》中用删除线划除的地方无需填写），三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color w:val="000000"/>
          <w:sz w:val="24"/>
          <w:highlight w:val="none"/>
        </w:rPr>
      </w:r>
      <w:r/>
    </w:p>
    <w:p>
      <w:pPr>
        <w:pStyle w:val="905"/>
        <w:numPr>
          <w:ilvl w:val="2"/>
          <w:numId w:val="0"/>
        </w:numPr>
        <w:ind w:left="2035" w:hanging="90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.5 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color w:val="000000"/>
          <w:sz w:val="24"/>
          <w:highlight w:val="none"/>
          <w:lang w:val="en-US" w:eastAsia="zh-CN"/>
        </w:rPr>
        <w:t xml:space="preserve">采购</w:t>
      </w:r>
      <w:r>
        <w:rPr>
          <w:rFonts w:hint="eastAsia"/>
          <w:color w:val="000000"/>
          <w:sz w:val="24"/>
          <w:highlight w:val="none"/>
        </w:rPr>
        <w:t xml:space="preserve">文件规定的，供应商提供的相关产品视为不符合本国产品标准。</w:t>
      </w:r>
      <w:r>
        <w:rPr>
          <w:color w:val="000000"/>
          <w:sz w:val="24"/>
          <w:highlight w:val="none"/>
        </w:rPr>
      </w:r>
      <w:r/>
    </w:p>
    <w:p>
      <w:pPr>
        <w:pStyle w:val="905"/>
        <w:numPr>
          <w:ilvl w:val="2"/>
          <w:numId w:val="0"/>
        </w:numPr>
        <w:ind w:firstLine="480"/>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 w:val="24"/>
          <w:highlight w:val="none"/>
        </w:rPr>
      </w:r>
      <w:r/>
    </w:p>
    <w:p>
      <w:pPr>
        <w:pStyle w:val="905"/>
        <w:numPr>
          <w:ilvl w:val="2"/>
          <w:numId w:val="0"/>
        </w:numPr>
        <w:ind w:firstLine="480"/>
        <w:spacing w:line="360" w:lineRule="auto"/>
        <w:tabs>
          <w:tab w:val="left" w:pos="1080" w:leader="none"/>
          <w:tab w:val="left" w:pos="1589" w:leader="none"/>
          <w:tab w:val="left" w:pos="2035" w:leader="none"/>
        </w:tabs>
        <w:rPr>
          <w:color w:val="000000"/>
        </w:rPr>
      </w:pPr>
      <w:r>
        <w:rPr>
          <w:rFonts w:hint="eastAsia"/>
          <w:color w:val="000000"/>
          <w:sz w:val="24"/>
          <w:highlight w:val="none"/>
          <w:lang w:val="en-US" w:eastAsia="zh-CN"/>
        </w:rPr>
        <w:t xml:space="preserve">3</w:t>
      </w:r>
      <w:r>
        <w:rPr>
          <w:rFonts w:hint="eastAsia"/>
          <w:color w:val="000000"/>
          <w:sz w:val="24"/>
          <w:highlight w:val="none"/>
        </w:rPr>
        <w:t xml:space="preserve">.</w:t>
      </w:r>
      <w:r>
        <w:rPr>
          <w:rFonts w:hint="eastAsia"/>
          <w:color w:val="000000"/>
          <w:sz w:val="24"/>
          <w:highlight w:val="none"/>
          <w:lang w:val="en-US" w:eastAsia="zh-CN"/>
        </w:rPr>
        <w:t xml:space="preserve">4</w:t>
      </w:r>
      <w:r>
        <w:rPr>
          <w:rFonts w:hint="eastAsia"/>
          <w:color w:val="000000"/>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rPr>
      </w:r>
      <w:r/>
    </w:p>
    <w:p>
      <w:pPr>
        <w:pStyle w:val="905"/>
        <w:numPr>
          <w:ilvl w:val="0"/>
          <w:numId w:val="11"/>
        </w:numPr>
        <w:spacing w:line="360" w:lineRule="auto"/>
        <w:tabs>
          <w:tab w:val="left" w:pos="360" w:leader="none"/>
          <w:tab w:val="left" w:pos="900" w:leader="none"/>
        </w:tabs>
        <w:rPr>
          <w:color w:val="000000"/>
          <w:sz w:val="24"/>
        </w:rPr>
        <w:outlineLvl w:val="1"/>
      </w:pPr>
      <w:r>
        <w:rPr>
          <w:color w:val="000000"/>
          <w:sz w:val="24"/>
        </w:rPr>
        <w:t xml:space="preserve">磋商环节及提交最终报价后如出现以下情况的，供应商的</w:t>
      </w:r>
      <w:r>
        <w:rPr>
          <w:b/>
          <w:color w:val="000000"/>
          <w:sz w:val="24"/>
        </w:rPr>
        <w:t xml:space="preserve">响应文件无效</w:t>
      </w:r>
      <w:r>
        <w:rPr>
          <w:color w:val="000000"/>
          <w:sz w:val="24"/>
        </w:rPr>
        <w:t xml:space="preserve">：</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供应商对实质性变动不予确认的；</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不满足磋商文件</w:t>
      </w:r>
      <w:r>
        <w:rPr>
          <w:rFonts w:ascii="Segoe UI Symbol" w:hAnsi="Segoe UI Symbol" w:cs="Segoe UI Symbol"/>
          <w:color w:val="000000"/>
          <w:sz w:val="24"/>
        </w:rPr>
        <w:t xml:space="preserve">★</w:t>
      </w:r>
      <w:r>
        <w:rPr>
          <w:color w:val="000000"/>
          <w:sz w:val="24"/>
        </w:rPr>
        <w:t xml:space="preserve">号条款或磋商文件技术指标超出磋商文件</w:t>
      </w:r>
      <w:r>
        <w:rPr>
          <w:rFonts w:hint="eastAsia"/>
          <w:color w:val="000000"/>
          <w:sz w:val="24"/>
        </w:rPr>
        <w:t xml:space="preserve">《</w:t>
      </w:r>
      <w:r>
        <w:rPr>
          <w:color w:val="000000"/>
          <w:sz w:val="24"/>
        </w:rPr>
        <w:t xml:space="preserve">采购需求</w:t>
      </w:r>
      <w:r>
        <w:rPr>
          <w:rFonts w:hint="eastAsia"/>
          <w:color w:val="000000"/>
          <w:sz w:val="24"/>
        </w:rPr>
        <w:t xml:space="preserve">》</w:t>
      </w:r>
      <w:r>
        <w:rPr>
          <w:color w:val="000000"/>
          <w:sz w:val="24"/>
        </w:rPr>
        <w:t xml:space="preserve">中主要技术参数允许偏差的最大范围的（如有）；</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未按照磋商小组规定的时间、逾期提交最终报价的；</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如供应商的最终报价超过竞争性磋商文件中规定的项目/采购包预算金额或者项目/采购包最高限价的；</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响应文件中出现可选择性或可调整的报价的（竞争性磋商文件另有规定的除外）；</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最终报价出现前后不一致，供应商对修正后的报价不予确认的；</w:t>
      </w:r>
      <w:r>
        <w:rPr>
          <w:color w:val="000000"/>
          <w:sz w:val="24"/>
        </w:rPr>
      </w:r>
      <w:r/>
    </w:p>
    <w:p>
      <w:pPr>
        <w:pStyle w:val="905"/>
        <w:numPr>
          <w:ilvl w:val="1"/>
          <w:numId w:val="11"/>
        </w:numPr>
        <w:ind w:left="1350" w:hanging="720"/>
        <w:spacing w:line="360" w:lineRule="auto"/>
        <w:tabs>
          <w:tab w:val="left" w:pos="1080" w:leader="none"/>
          <w:tab w:val="left" w:pos="1589" w:leader="none"/>
        </w:tabs>
        <w:rPr>
          <w:color w:val="000000"/>
          <w:sz w:val="24"/>
        </w:rPr>
      </w:pPr>
      <w:r>
        <w:rPr>
          <w:color w:val="000000"/>
          <w:sz w:val="24"/>
        </w:rPr>
        <w:t xml:space="preserve">其他：______。</w:t>
      </w:r>
      <w:r>
        <w:rPr>
          <w:color w:val="000000"/>
          <w:sz w:val="24"/>
        </w:rPr>
      </w:r>
      <w:r/>
    </w:p>
    <w:p>
      <w:pPr>
        <w:pStyle w:val="905"/>
        <w:numPr>
          <w:ilvl w:val="0"/>
          <w:numId w:val="11"/>
        </w:numPr>
        <w:spacing w:line="360" w:lineRule="auto"/>
        <w:tabs>
          <w:tab w:val="left" w:pos="360" w:leader="none"/>
          <w:tab w:val="left" w:pos="900" w:leader="none"/>
        </w:tabs>
        <w:rPr>
          <w:color w:val="000000"/>
          <w:sz w:val="24"/>
        </w:rPr>
        <w:outlineLvl w:val="1"/>
      </w:pPr>
      <w:r/>
      <w:bookmarkEnd w:id="615"/>
      <w:r/>
      <w:bookmarkEnd w:id="616"/>
      <w:r>
        <w:rPr>
          <w:color w:val="000000"/>
          <w:sz w:val="24"/>
        </w:rPr>
        <w:t xml:space="preserve">评审方法和评审标准</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竞争性磋商文件中没有规定的评审标准不得作为评审依据。</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非政府强制采购的节能产品或环境标志产品，依据品目清单和认证证书实施政府优先采购。优先采购的具体规定（如涉及）______。</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关于无线局域网认证产品政府采购清单中的产品，优先采购的具体规定（如涉及）______。</w:t>
      </w:r>
      <w:r>
        <w:rPr>
          <w:color w:val="000000"/>
          <w:sz w:val="24"/>
        </w:rPr>
      </w:r>
      <w:r/>
    </w:p>
    <w:p>
      <w:pPr>
        <w:pStyle w:val="905"/>
        <w:numPr>
          <w:ilvl w:val="0"/>
          <w:numId w:val="11"/>
        </w:numPr>
        <w:spacing w:line="360" w:lineRule="auto"/>
        <w:tabs>
          <w:tab w:val="left" w:pos="360" w:leader="none"/>
          <w:tab w:val="left" w:pos="900" w:leader="none"/>
        </w:tabs>
        <w:rPr>
          <w:color w:val="000000"/>
          <w:sz w:val="24"/>
        </w:rPr>
        <w:outlineLvl w:val="1"/>
      </w:pPr>
      <w:r>
        <w:rPr>
          <w:color w:val="000000"/>
          <w:sz w:val="24"/>
        </w:rPr>
        <w:t xml:space="preserve">确定</w:t>
      </w:r>
      <w:bookmarkStart w:id="631" w:name="_Toc151193644"/>
      <w:r/>
      <w:bookmarkStart w:id="632" w:name="_Toc164608815"/>
      <w:r/>
      <w:bookmarkStart w:id="633" w:name="_Ref467307010"/>
      <w:r/>
      <w:bookmarkStart w:id="634" w:name="_Toc264969236"/>
      <w:r/>
      <w:bookmarkStart w:id="635" w:name="_Toc226337242"/>
      <w:r/>
      <w:bookmarkStart w:id="636" w:name="_Toc151193934"/>
      <w:r/>
      <w:bookmarkStart w:id="637" w:name="_Toc151193860"/>
      <w:r/>
      <w:bookmarkStart w:id="638" w:name="_Toc149720839"/>
      <w:r/>
      <w:bookmarkStart w:id="639" w:name="_Toc164229387"/>
      <w:r/>
      <w:bookmarkStart w:id="640" w:name="_Toc150480784"/>
      <w:r/>
      <w:bookmarkStart w:id="641" w:name="_Toc142311048"/>
      <w:r/>
      <w:bookmarkStart w:id="642" w:name="_Toc226965819"/>
      <w:r/>
      <w:bookmarkStart w:id="643" w:name="_Toc150774646"/>
      <w:r/>
      <w:bookmarkStart w:id="644" w:name="_Toc226965736"/>
      <w:r/>
      <w:bookmarkStart w:id="645" w:name="_Toc150774751"/>
      <w:r/>
      <w:bookmarkStart w:id="646" w:name="_Toc127161460"/>
      <w:r/>
      <w:bookmarkStart w:id="647" w:name="_Toc151193788"/>
      <w:r/>
      <w:bookmarkStart w:id="648" w:name="_Toc226309790"/>
      <w:r/>
      <w:bookmarkStart w:id="649" w:name="_Toc150509297"/>
      <w:r/>
      <w:bookmarkStart w:id="650" w:name="_Toc305158814"/>
      <w:r/>
      <w:bookmarkStart w:id="651" w:name="_Toc265228384"/>
      <w:r/>
      <w:bookmarkStart w:id="652" w:name="_Toc305158888"/>
      <w:r/>
      <w:bookmarkStart w:id="653" w:name="_Toc164608660"/>
      <w:r/>
      <w:bookmarkStart w:id="654" w:name="_Toc151193716"/>
      <w:r/>
      <w:bookmarkStart w:id="655" w:name="_Toc164351640"/>
      <w:r/>
      <w:bookmarkStart w:id="656" w:name="_Toc164229241"/>
      <w:r/>
      <w:bookmarkStart w:id="657" w:name="_Toc520356170"/>
      <w:r/>
      <w:bookmarkStart w:id="658" w:name="_Toc195842911"/>
      <w:r/>
      <w:bookmarkStart w:id="659" w:name="_Toc151190173"/>
      <w:r/>
      <w:bookmarkStart w:id="660" w:name="_Toc127151747"/>
      <w:r/>
      <w:bookmarkStart w:id="661" w:name="_Toc127151546"/>
      <w:r>
        <w:rPr>
          <w:color w:val="000000"/>
          <w:sz w:val="24"/>
        </w:rPr>
        <w:t xml:space="preserve">成交候选人名单</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szCs w:val="20"/>
        </w:rPr>
        <w:t xml:space="preserve">磋商小组根据上述供应商排序，依次推荐排序前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（若在磋商文件允许的情形下提交最终报价的供应商为二家，则依次推荐二名供应商为成交候选供应商），并编写评审报告。</w:t>
      </w:r>
      <w:r>
        <w:rPr>
          <w:color w:val="000000"/>
          <w:sz w:val="24"/>
        </w:rPr>
      </w:r>
      <w:r/>
    </w:p>
    <w:p>
      <w:pPr>
        <w:pStyle w:val="905"/>
        <w:numPr>
          <w:ilvl w:val="1"/>
          <w:numId w:val="11"/>
        </w:numPr>
        <w:ind w:left="1350" w:hanging="720"/>
        <w:spacing w:line="360" w:lineRule="auto"/>
        <w:tabs>
          <w:tab w:val="left" w:pos="1080" w:leader="none"/>
          <w:tab w:val="left" w:pos="1589" w:leader="none"/>
          <w:tab w:val="left" w:pos="1872" w:leader="none"/>
        </w:tabs>
        <w:rPr>
          <w:color w:val="000000"/>
          <w:sz w:val="24"/>
        </w:rPr>
      </w:pPr>
      <w:r>
        <w:rPr>
          <w:color w:val="000000"/>
          <w:sz w:val="24"/>
        </w:rPr>
        <w:t xml:space="preserve">磋商小组要对评分汇总情况进行复核，特别是对排名第一的、报价最低的、响应文件被认定为无效的情形进行重点复核。</w:t>
      </w:r>
      <w:r>
        <w:rPr>
          <w:color w:val="000000"/>
          <w:sz w:val="24"/>
        </w:rPr>
      </w:r>
      <w:r/>
    </w:p>
    <w:p>
      <w:pPr>
        <w:pStyle w:val="905"/>
        <w:numPr>
          <w:ilvl w:val="0"/>
          <w:numId w:val="11"/>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907"/>
        <w:numPr>
          <w:ilvl w:val="0"/>
          <w:numId w:val="0"/>
        </w:numPr>
        <w:ind w:left="210"/>
        <w:jc w:val="center"/>
        <w:spacing w:before="0" w:line="360" w:lineRule="auto"/>
        <w:rPr>
          <w:rFonts w:ascii="Times New Roman" w:hAnsi="Times New Roman" w:eastAsia="宋体"/>
          <w:color w:val="000000"/>
          <w:sz w:val="24"/>
          <w:szCs w:val="24"/>
          <w:highlight w:val="yellow"/>
        </w:rPr>
      </w:pPr>
      <w:r>
        <w:rPr>
          <w:rFonts w:ascii="Times New Roman" w:hAnsi="Times New Roman" w:eastAsia="宋体" w:cs="Times New Roman"/>
          <w:b w:val="0"/>
          <w:color w:val="000000"/>
          <w:sz w:val="24"/>
          <w:szCs w:val="24"/>
          <w:lang w:val="en-US" w:eastAsia="zh-CN" w:bidi="ar-SA"/>
        </w:rPr>
        <w:t xml:space="preserve">磋商小组在评审过程中发现供应商有行贿、提供虚假材料或者串通等违法行为时，有向采购人、采购代理机构或者有关部门报告的职责。</w:t>
      </w:r>
      <w:r>
        <w:rPr>
          <w:b w:val="0"/>
          <w:color w:val="000000"/>
          <w:sz w:val="24"/>
        </w:rPr>
        <w:br w:type="page" w:clear="all"/>
      </w:r>
      <w:bookmarkEnd w:id="614"/>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62" w:name="_Toc104818929"/>
      <w:r/>
      <w:bookmarkStart w:id="663" w:name="_Toc12649"/>
      <w:r>
        <w:rPr>
          <w:rFonts w:hint="eastAsia" w:ascii="Times New Roman" w:hAnsi="Times New Roman" w:eastAsia="宋体"/>
          <w:color w:val="000000"/>
          <w:sz w:val="24"/>
          <w:szCs w:val="24"/>
          <w:highlight w:val="none"/>
          <w:lang w:val="en-US" w:eastAsia="zh-CN"/>
        </w:rPr>
        <w:t xml:space="preserve">二、</w:t>
      </w:r>
      <w:r>
        <w:rPr>
          <w:rFonts w:ascii="Times New Roman" w:hAnsi="Times New Roman" w:eastAsia="宋体"/>
          <w:color w:val="000000"/>
          <w:sz w:val="24"/>
          <w:szCs w:val="24"/>
          <w:highlight w:val="none"/>
        </w:rPr>
        <w:t xml:space="preserve">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yellow"/>
        </w:rPr>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051"/>
        <w:gridCol w:w="611"/>
        <w:gridCol w:w="6115"/>
      </w:tblGrid>
      <w:tr>
        <w:trPr>
          <w:trHeight w:val="2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283"/>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50" w:type="dxa"/>
            <w:vAlign w:val="center"/>
            <w:textDirection w:val="lrTb"/>
            <w:noWrap w:val="false"/>
          </w:tcPr>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一、磋商报价（10分）</w:t>
            </w:r>
            <w:r/>
          </w:p>
        </w:tc>
      </w:tr>
      <w:tr>
        <w:trPr>
          <w:trHeight w:val="2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满足磋商文件要求且最终报价最低的报价为评标基准价，其价格分为满分。其他供应商的价格分统一按照下列公式计算：价格分得分＝（评标基准价/最终报价）×分值。</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注：此处最终报价指经过报价修正，及因落实政府采购政策进行价格调整后的报价。</w:t>
            </w:r>
            <w:r/>
          </w:p>
        </w:tc>
      </w:tr>
      <w:tr>
        <w:trPr>
          <w:trHeight w:val="283"/>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50" w:type="dxa"/>
            <w:vAlign w:val="center"/>
            <w:textDirection w:val="lrTb"/>
            <w:noWrap w:val="false"/>
          </w:tcPr>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二、客观分（55分）</w:t>
            </w:r>
            <w:r/>
          </w:p>
        </w:tc>
      </w:tr>
      <w:tr>
        <w:trPr>
          <w:trHeight w:val="146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vMerge w:val="restart"/>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供应商自2025年1月1日以来，具有政府食品安全监管部门委托的食品安全监督抽检工作业绩的，每提供一份得1分，最高得3分。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注：磋商响应文件中提供政府委托文件和合同以及验收报告并加盖供应商公章，否则不得分。</w:t>
            </w:r>
            <w:r/>
          </w:p>
        </w:tc>
      </w:tr>
      <w:tr>
        <w:trPr>
          <w:trHeight w:val="18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供应商自2025年1月1日以来，参加市级及以上政府食品安全监管部门组织的承检机构考核，获得过优秀（或同等级）的，得4分；良好（或同等级）的，得2分，最高得4分。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注：磋商响应文件中提供相关证明材料并加盖供应商公章，否则不得分。</w:t>
            </w:r>
            <w:r/>
          </w:p>
        </w:tc>
      </w:tr>
      <w:tr>
        <w:trPr>
          <w:trHeight w:val="9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供应商自2024年1月1日至今，主持过省级及以上食品安全科研课题的，每提供一份得1分，最高得2分。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注：磋商响应文件中提供相关部门的科研项目验收证书并加盖供应商公章，否则不得分，同一课题或标准只计算1次。</w:t>
            </w:r>
            <w:r/>
          </w:p>
        </w:tc>
      </w:tr>
      <w:tr>
        <w:trPr>
          <w:trHeight w:val="18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供应商自2024年1月1日至今，获得市级（含）以上食品检测技术领域相关荣誉、奖项的，市级每项得1分，省级每项得2分，国家级每项得4分，最高得4分。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注：磋商响应文件中提供相关证明材料并加盖供应商公章，否则不得分。</w:t>
            </w:r>
            <w:r/>
          </w:p>
        </w:tc>
      </w:tr>
      <w:tr>
        <w:trPr>
          <w:trHeight w:val="180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供应商自2025年1月1日以来，与市级及以上政府食品安全监管部门合作进行食品相关理论研究、标准制定或合作举办重大食品相关活动的，每项得2分，最高得4分。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注：磋商响应文件中提供相关证明材料并加盖供应商公章，否则不得分。</w:t>
            </w:r>
            <w:r/>
          </w:p>
        </w:tc>
      </w:tr>
      <w:tr>
        <w:trPr>
          <w:trHeight w:val="30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vMerge w:val="restart"/>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技术实力1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2025年1月1日以来，参加相关机构组织的食品检测项目的实验室能力验证或市场监管部门组织的盲样考核，并获得满意结果的，需包含农药残留、兽药残留、重金属、真菌毒素、食品添加剂、非法添加物、微生物、动物源性成分等8个领域，每个领域每次满意结果得 0.5分，同一领域参加多次的，按一次计算，不重复计分。最高得4分。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注：磋商响应文件中提供能力验证证书或相关证明文件并加盖供应商公章，否则不得分。</w:t>
            </w:r>
            <w:r/>
          </w:p>
        </w:tc>
      </w:tr>
      <w:tr>
        <w:trPr>
          <w:trHeight w:val="203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技术实力2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供应商对照《国家食品安全监督抽检实施细则》（2026年版），资质覆盖率100%得4分，每降低1%扣1分，不足1%的按照1%计算，96%以下不得分。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注：供应商自行计算填报，计算结果采用四舍五入法，磋商小组现场审核。</w:t>
            </w:r>
            <w:r/>
          </w:p>
        </w:tc>
      </w:tr>
      <w:tr>
        <w:trPr>
          <w:trHeight w:val="413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技术实力3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2025年承担过的政府食品安全监管部门食品安全监督抽检中（以录入国抽系统的数据为准），以承担食品抽检任务250批次（含）以上计：普通食品不合格率达到2%的，得1分，每提高0.25%加0.5分，最高得2分。（不合格率增加幅度必须为0.25整数倍数，如2.25%得1.5分，2.5%得2分，以此类推。）食用农产品不合格率达到5%的，得1分，每提高1%加0.5分，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承担任务的合同及委托书（能充分证明抽检任务数）、国抽系统数据证明材料或政府食品安全监管部门验收材料等能充分证明供应商的不合格率的相关材料并加盖供应商公章，否则不得分。此项得分为普通食品得分与食用农产品得分相加。</w:t>
            </w:r>
            <w:r/>
          </w:p>
        </w:tc>
      </w:tr>
      <w:tr>
        <w:trPr>
          <w:trHeight w:val="86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快速响应</w:t>
            </w:r>
            <w:r/>
          </w:p>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及应急1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备突发食品安全事故应急抽检能力。出现突发状况时到达常州市市场监督管理局终点位置的时间进行评分，1小时以内到达得6分，2小时以内到达得4分，3小时以内到达得2分，4小时以内得1分，4小时以外不得分，最高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注：磋商响应文件中提供相关电子交通证明材料截图（截图证明中须显示路径及时间，交通方式不限）并加盖供应商公章，否则不得分。</w:t>
            </w:r>
            <w:r/>
          </w:p>
        </w:tc>
      </w:tr>
      <w:tr>
        <w:trPr>
          <w:trHeight w:val="199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及应急2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供应商自2025年1月1日以来，完成过设区市及以上相关部门开展的食品应急抽检或突发事件任务，每例2分，最高得2分。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注：磋商响应文件中提供任务委托书等相关证明材料（时间以证明材料上时间为准）并加盖供应商公章，否则不得分。</w:t>
            </w:r>
            <w:r/>
          </w:p>
        </w:tc>
      </w:tr>
      <w:tr>
        <w:trPr>
          <w:trHeight w:val="41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1.抽样人员具有硕士及以上学历或具有从事抽样4年及以上工作经历，有一人得1分，最高得6分。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2.检验人员中具有食品、化学、质量类中级职称的，有一人得0.5分；具有食品、化学、质量类高级职称的，有一人得2分，最高得6分。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抽样人员和检验人员不能为同一人。</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人员食品、生物、医学、分析化学、仪器分析、微生物检测等相关专业硕士毕业证书或有效的工作年限相关证明材料、职称证书以及供应商为上述人员缴纳的近三个月任意一个月的社保证明材料并加盖供应商公章，否则不得分。</w:t>
            </w:r>
            <w:r/>
          </w:p>
        </w:tc>
      </w:tr>
      <w:tr>
        <w:trPr>
          <w:trHeight w:val="157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2025年1月1日以来具有市级及以上食品安全抽检专家（市级及以上相关部门任命或聘用）有一人得1分，最高得2分。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注：磋商响应文件中提供市级及以上相关部门任命文件或聘书并加盖供应商公章，否则不得分。</w:t>
            </w:r>
            <w:r/>
          </w:p>
        </w:tc>
      </w:tr>
      <w:tr>
        <w:trPr>
          <w:trHeight w:val="198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备份样品再利用</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供应商已建立抽检备份样品再利用工作机制，且已开展抽检备份样品再利用工作的，每提供一例得1分，最高得2分。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注：磋商响应文件中提供工作方案及相应证明材料，如采用捐赠方式的新闻报道（或网页截图或官方文件或被捐赠方的确认证明）等，并加盖供应商公章，否则不得分。</w:t>
            </w:r>
            <w:r/>
          </w:p>
        </w:tc>
      </w:tr>
      <w:tr>
        <w:trPr>
          <w:trHeight w:val="241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采样运输设备配置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满足食品安全监督抽检和风险监测工作要求的抽样工具和车辆、特殊贮存条件要求的运输设备等情况。针对本项目，每拟投入一辆冷藏冷链设备车，得0.5分，最高得2分。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注：车辆如为自有，则提供购买发票及行驶证并加盖公章；如为租赁，则提供有效的租赁合同及购买发票及行驶证并加盖供应商公章，否则不得分。</w:t>
            </w:r>
            <w:r/>
          </w:p>
        </w:tc>
      </w:tr>
      <w:tr>
        <w:trPr>
          <w:trHeight w:val="283"/>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50" w:type="dxa"/>
            <w:vAlign w:val="center"/>
            <w:textDirection w:val="lrTb"/>
            <w:noWrap w:val="false"/>
          </w:tcPr>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三、主观分（35分）</w:t>
            </w:r>
            <w:r/>
          </w:p>
        </w:tc>
      </w:tr>
      <w:tr>
        <w:trPr>
          <w:trHeight w:val="2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快速响应保障方案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提供的快速响应保障方案（包括供应商如何快速组建抽检队伍如何快速到达采购人指定工作地点或在采购人属地是否需要常态化配备抽检队伍，供应商在自身实际办公地点（检测地点）或采购人属地是否需要布局或建设、如何布局或建设检测实验室方案，以及如何快速响应采购人提出的其他工作要求，如何压缩抽样后等候送检的时间间隔，提高检测效率等）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（1）方案全面完整，科学合理，保障措施有力，时效性、可操作性强的，得5分；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（2）方案内容较全面，较科学，较有效，可操作性较强的，得4分；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（3）方案内容全面性、科学性、有效性有欠缺，可操作性不强的，得3分；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（4）实施方案内容不完整，缺乏可操作性的，得2分；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（5）不符合竞争性磋商文件要求或不提供的不得分。</w:t>
            </w:r>
            <w:r/>
          </w:p>
        </w:tc>
      </w:tr>
      <w:tr>
        <w:trPr>
          <w:trHeight w:val="2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突发事件应急处置预案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磋商小组根据供应商提供的突发事件应急处置预案（包括：抽检、检测过程中可能遇到的各类突发情况，以及对应的应急解决处置措施等）进行综合评审。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（1）预案内容考虑全面，处置应对措施科学有效，可操作性强的，得5分；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（2）预案内容考虑较全面，处置应对措施较科学，较有效，可操作性较强的，得4分；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（3）预案内容不全面，处置应对措施科学性、有效性有欠缺，可操作性不强的，得3分；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（4）预案内容不完整，缺乏可操作性的，得2分；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（5）不符合竞争性磋商文件要求或不提供的不得分。</w:t>
            </w:r>
            <w:r/>
          </w:p>
        </w:tc>
      </w:tr>
      <w:tr>
        <w:trPr>
          <w:trHeight w:val="2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磋商小组根据供应商提供的实施方案（包括：抽样、检验、数据上报、分析汇总等各项内容）进行综合评审。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（1）方案内容全面，科学有效，可操作性强的，得5分；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（2）方案内容较全面，较科学，较有效，可操作性较强的，得4分；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（3）方案内容全面性、科学性、有效性有欠缺，可操作性不强的，得3分；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（4）实施方案内容不完整，缺乏可操作性的，得2分；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（5）不符合竞争性磋商文件要求或不提供的不得分。</w:t>
            </w:r>
            <w:r/>
          </w:p>
        </w:tc>
      </w:tr>
      <w:tr>
        <w:trPr>
          <w:trHeight w:val="2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质量控制方案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磋商小组根据供应商提供的质量控制方案（包括：采样、抽检、检验、复核、报告签署等各环节内容）进行综合评审。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（1）方案内容全面，科学有效，可操作性强的，得5分；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（2）方案内容较全面，较科学，较有效，可操作性较强的，得4分；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（3）方案内容全面性、科学性、有效性有欠缺，可操作性不强的，得3分；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（4）方案内容不完整，缺乏可操作性的，得2分；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（5）不符合竞争性磋商文件要求或不提供的不得分。</w:t>
            </w:r>
            <w:r/>
          </w:p>
        </w:tc>
      </w:tr>
      <w:tr>
        <w:trPr>
          <w:trHeight w:val="2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磋商小组根据供应商提供的服务承诺方案（包括：数据核查、专业的食品安全科普宣传服务、食品生产经营单位第三方评估、专业培训、专业咨询等其他伴随性服务）进行综合评审。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（1）方案内容全面、流程科学合理、服务承诺齐全、优惠条件实用有效的，得5分；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（2）方案内容较全面、流程较科学合理、服务承诺较齐全、优惠条件较实用有效的，得4分；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（3）方案内容、流程简单、服务承诺少有欠缺、优惠条件实用性略低的，得3分；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（4）方案完整性、合理性较差的，得2分；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（5）不符合招标文件要求或不提供方案的不得分。</w:t>
            </w:r>
            <w:r/>
          </w:p>
        </w:tc>
      </w:tr>
      <w:tr>
        <w:trPr>
          <w:trHeight w:val="2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3"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书面答辩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 w:type="dxa"/>
            <w:vAlign w:val="center"/>
            <w:textDirection w:val="lrTb"/>
            <w:noWrap w:val="false"/>
          </w:tcPr>
          <w:p>
            <w:pPr>
              <w:ind w:left="0" w:right="0" w:firstLine="0"/>
              <w:jc w:val="center"/>
              <w:spacing w:before="0" w:after="0" w:line="40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15" w:type="dxa"/>
            <w:vAlign w:val="center"/>
            <w:textDirection w:val="lrTb"/>
            <w:noWrap w:val="false"/>
          </w:tcPr>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答辩题：当前食品抽检市场竞争激烈，食品承检机构如何立身于本职工作，为食品监管部门提供具备竞争力、差异性，优于同行的抽检服务（叙述2000字以内，佐证资料、照片不计入）。</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供应商根据上述答辩题，提供书面答辩材料。</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（1）答辩表述合理、条理清晰、内容全面的，得10分；</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（2）答辩表述较合理、条理较清晰、内容较全面的，得8分；</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（3）答辩表述基本合理、条理基本清晰、内容不全面性，得6分；</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（4）答辩表述牵强、表述模糊、内容简单的，得4分；</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（5）未提供书面答辩材料的不得分。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905"/>
        <w:jc w:val="center"/>
        <w:spacing w:line="360" w:lineRule="auto"/>
        <w:rPr>
          <w:rFonts w:hint="eastAsia"/>
          <w:b/>
          <w:color w:val="000000"/>
          <w:sz w:val="36"/>
          <w:szCs w:val="36"/>
        </w:rPr>
        <w:outlineLvl w:val="0"/>
      </w:pPr>
      <w:r>
        <w:rPr>
          <w:rFonts w:hint="eastAsia"/>
          <w:b/>
          <w:color w:val="000000"/>
          <w:sz w:val="36"/>
          <w:szCs w:val="36"/>
        </w:rPr>
        <w:t xml:space="preserve">第四章 </w:t>
      </w:r>
      <w:r>
        <w:rPr>
          <w:b/>
          <w:color w:val="000000"/>
          <w:sz w:val="36"/>
          <w:szCs w:val="36"/>
        </w:rPr>
        <w:t xml:space="preserve">  采购需求</w:t>
      </w:r>
      <w:r>
        <w:rPr>
          <w:rFonts w:hint="eastAsia"/>
          <w:b/>
          <w:color w:val="000000"/>
          <w:sz w:val="36"/>
          <w:szCs w:val="36"/>
        </w:rPr>
      </w:r>
      <w:r/>
    </w:p>
    <w:p>
      <w:pPr>
        <w:pStyle w:val="1006"/>
        <w:ind w:firstLine="482"/>
        <w:spacing w:line="360" w:lineRule="auto"/>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一、项目概述</w:t>
      </w:r>
      <w:r>
        <w:rPr>
          <w:rFonts w:hint="eastAsia" w:ascii="宋体" w:hAnsi="宋体" w:eastAsia="宋体" w:cs="宋体"/>
          <w:b/>
          <w:bCs/>
          <w:color w:val="000000"/>
          <w:sz w:val="24"/>
          <w:szCs w:val="24"/>
          <w:highlight w:val="none"/>
          <w:lang w:val="en-US" w:eastAsia="zh-CN" w:bidi="ar"/>
        </w:rPr>
      </w:r>
      <w:r/>
    </w:p>
    <w:p>
      <w:pPr>
        <w:pStyle w:val="905"/>
        <w:ind w:left="0" w:right="0" w:firstLine="480"/>
        <w:jc w:val="both"/>
        <w:keepLines w:val="0"/>
        <w:keepNext w:val="0"/>
        <w:spacing w:before="0" w:beforeAutospacing="0" w:after="0" w:afterAutospacing="0" w:line="57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本项目为 2026年常州市市场监督管理局食品检测技术服务项目，本项目共分七个采购包，拟确定七家供应商分别完成常州市7个辖市区每个地区400批次抽检任务（生产环节和经营环节）。</w:t>
      </w:r>
      <w:r>
        <w:rPr>
          <w:rFonts w:hint="eastAsia" w:ascii="宋体" w:hAnsi="宋体" w:eastAsia="宋体" w:cs="宋体"/>
          <w:color w:val="000000"/>
          <w:sz w:val="24"/>
          <w:szCs w:val="24"/>
          <w:highlight w:val="none"/>
          <w:lang w:val="en-US" w:eastAsia="zh-CN" w:bidi="ar"/>
        </w:rPr>
      </w:r>
      <w:r/>
    </w:p>
    <w:tbl>
      <w:tblPr>
        <w:tblW w:w="5353"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65"/>
        <w:gridCol w:w="3638"/>
        <w:gridCol w:w="967"/>
        <w:gridCol w:w="1144"/>
        <w:gridCol w:w="1679"/>
        <w:gridCol w:w="1451"/>
      </w:tblGrid>
      <w:tr>
        <w:trPr>
          <w:trHeight w:val="283"/>
          <w:tblHeader/>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05"/>
              <w:jc w:val="center"/>
              <w:keepLines w:val="0"/>
              <w:keepNext w:val="0"/>
              <w:pageBreakBefore w:val="0"/>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包号</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38"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采购内容</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地区</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批次数</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任务详情</w:t>
            </w:r>
            <w:r>
              <w:rPr>
                <w:rFonts w:hint="eastAsia" w:ascii="宋体" w:hAnsi="宋体" w:eastAsia="宋体" w:cs="宋体"/>
                <w:b/>
                <w:bCs w:val="0"/>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采购金额</w:t>
            </w:r>
            <w:r>
              <w:rPr>
                <w:rFonts w:hint="eastAsia" w:ascii="宋体" w:hAnsi="宋体" w:eastAsia="宋体" w:cs="宋体"/>
                <w:b/>
                <w:bCs w:val="0"/>
                <w:color w:val="000000"/>
                <w:sz w:val="24"/>
                <w:szCs w:val="24"/>
                <w:highlight w:val="none"/>
              </w:rPr>
            </w:r>
            <w:r/>
          </w:p>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（万元）</w:t>
            </w:r>
            <w:r>
              <w:rPr>
                <w:rFonts w:hint="eastAsia" w:ascii="宋体" w:hAnsi="宋体" w:eastAsia="宋体" w:cs="宋体"/>
                <w:b/>
                <w:bCs w:val="0"/>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01</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38"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溧阳</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79" w:type="dxa"/>
            <w:vAlign w:val="center"/>
            <w:vMerge w:val="restart"/>
            <w:textDirection w:val="lrTb"/>
            <w:noWrap/>
          </w:tcPr>
          <w:p>
            <w:pPr>
              <w:pStyle w:val="905"/>
              <w:jc w:val="both"/>
              <w:keepLines w:val="0"/>
              <w:keepNext w:val="0"/>
              <w:pageBreakBefore w:val="0"/>
              <w:spacing w:line="360" w:lineRule="exact"/>
              <w:shd w:val="clear" w:color="auto" w:fill="auto"/>
              <w:widowControl/>
              <w:rPr>
                <w:rFonts w:hint="eastAsia" w:ascii="宋体" w:hAnsi="宋体" w:eastAsia="宋体" w:cs="宋体"/>
                <w:b w:val="0"/>
                <w:bCs/>
                <w:color w:val="000000"/>
                <w:spacing w:val="2"/>
                <w:sz w:val="24"/>
                <w:szCs w:val="24"/>
                <w:highlight w:val="none"/>
                <w:lang w:val="en-US" w:eastAsia="zh-CN"/>
              </w:rPr>
            </w:pPr>
            <w:r>
              <w:rPr>
                <w:rFonts w:hint="eastAsia" w:ascii="宋体" w:hAnsi="宋体" w:eastAsia="宋体" w:cs="宋体"/>
                <w:b w:val="0"/>
                <w:bCs/>
                <w:color w:val="000000"/>
                <w:spacing w:val="2"/>
                <w:sz w:val="24"/>
                <w:szCs w:val="24"/>
                <w:highlight w:val="none"/>
                <w:lang w:val="en-US" w:eastAsia="zh-CN"/>
              </w:rPr>
              <w:t xml:space="preserve">任务类型为监督抽检，任务时间为自本合同签订之日起至2027年3月31日前完成（以“国抽系统”录入时间为准）。</w:t>
            </w:r>
            <w:r>
              <w:rPr>
                <w:rFonts w:hint="eastAsia" w:ascii="宋体" w:hAnsi="宋体" w:eastAsia="宋体" w:cs="宋体"/>
                <w:b w:val="0"/>
                <w:bCs/>
                <w:color w:val="000000"/>
                <w:spacing w:val="2"/>
                <w:sz w:val="24"/>
                <w:szCs w:val="24"/>
                <w:highlight w:val="none"/>
                <w:lang w:val="en-US" w:eastAsia="zh-CN"/>
              </w:rPr>
            </w:r>
            <w:r/>
          </w:p>
          <w:p>
            <w:pPr>
              <w:pStyle w:val="905"/>
              <w:jc w:val="both"/>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2"/>
                <w:sz w:val="24"/>
                <w:szCs w:val="24"/>
                <w:highlight w:val="none"/>
                <w:lang w:val="en-US" w:eastAsia="zh-CN"/>
              </w:rPr>
              <w:t xml:space="preserve">所抽取的样品包含生产环节和经营环节，最终结算金额不超过1017元/批次。</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40.74</w:t>
            </w:r>
            <w:r>
              <w:rPr>
                <w:rFonts w:hint="eastAsia"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02</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38"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金坛</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679"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hint="eastAsia"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03</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38"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武进</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679"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hint="eastAsia"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04</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638"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新北</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679"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hint="eastAsia"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38"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天宁</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679"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hint="eastAsia" w:ascii="宋体" w:hAnsi="宋体" w:eastAsia="宋体" w:cs="宋体"/>
                <w:bCs/>
                <w:color w:val="000000"/>
                <w:sz w:val="24"/>
                <w:szCs w:val="24"/>
                <w:highlight w:val="none"/>
                <w:lang w:val="en-US" w:eastAsia="zh-CN"/>
              </w:rPr>
            </w:r>
            <w:r/>
          </w:p>
        </w:tc>
      </w:tr>
      <w:tr>
        <w:trPr>
          <w:trHeight w:val="1899"/>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06</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38"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钟楼</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679"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hint="eastAsia"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07</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38"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经开</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79"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hint="eastAsia" w:ascii="宋体" w:hAnsi="宋体" w:eastAsia="宋体" w:cs="宋体"/>
                <w:bCs/>
                <w:color w:val="000000"/>
                <w:sz w:val="24"/>
                <w:szCs w:val="24"/>
                <w:highlight w:val="none"/>
                <w:lang w:val="en-US" w:eastAsia="zh-CN"/>
              </w:rPr>
            </w:r>
            <w:r/>
          </w:p>
        </w:tc>
      </w:tr>
    </w:tbl>
    <w:p>
      <w:pPr>
        <w:pStyle w:val="905"/>
        <w:ind w:left="0" w:right="0" w:firstLine="480"/>
        <w:jc w:val="both"/>
        <w:keepLines w:val="0"/>
        <w:keepNext w:val="0"/>
        <w:spacing w:before="0" w:beforeAutospacing="0" w:after="0" w:afterAutospacing="0" w:line="570" w:lineRule="exact"/>
        <w:widowControl w:val="off"/>
        <w:rPr>
          <w:rFonts w:hint="eastAsia" w:ascii="宋体" w:hAnsi="宋体" w:eastAsia="宋体" w:cs="宋体"/>
          <w:bCs w:val="0"/>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供应商可对本次采购的单个采购包或全部采购包进行响应，在磋商响应文件中注明所投采购包并响应该采购包的全部内容。每个供应商仅限成交1个采购包。评审时，按采购包1—7的顺序依次确定成交候选人，如供应商已确定为采购包1的成交第一候选人，将自动放弃后续分包的排名资格，以此类推。</w:t>
      </w:r>
      <w:r>
        <w:rPr>
          <w:rFonts w:hint="eastAsia" w:ascii="宋体" w:hAnsi="宋体" w:eastAsia="宋体" w:cs="宋体"/>
          <w:bCs w:val="0"/>
          <w:color w:val="000000"/>
          <w:sz w:val="24"/>
          <w:szCs w:val="24"/>
          <w:highlight w:val="none"/>
          <w:lang w:val="en-US" w:eastAsia="zh-CN" w:bidi="ar"/>
        </w:rPr>
      </w:r>
      <w:r/>
    </w:p>
    <w:p>
      <w:pPr>
        <w:pStyle w:val="905"/>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二、商务要求</w:t>
      </w:r>
      <w:r>
        <w:rPr>
          <w:rFonts w:hint="eastAsia" w:ascii="宋体" w:hAnsi="宋体" w:eastAsia="宋体" w:cs="宋体"/>
          <w:b/>
          <w:bCs/>
          <w:color w:val="000000"/>
          <w:sz w:val="24"/>
          <w:szCs w:val="24"/>
          <w:highlight w:val="none"/>
          <w:lang w:val="en-US" w:eastAsia="zh-CN" w:bidi="ar"/>
        </w:rPr>
      </w:r>
      <w:r/>
    </w:p>
    <w:p>
      <w:pPr>
        <w:pStyle w:val="905"/>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suppressLineNumbers w:val="0"/>
      </w:pPr>
      <w:r>
        <w:rPr>
          <w:rFonts w:hint="eastAsia" w:ascii="宋体" w:hAnsi="宋体" w:eastAsia="宋体" w:cs="宋体"/>
          <w:b/>
          <w:bCs/>
          <w:color w:val="000000"/>
          <w:sz w:val="24"/>
          <w:szCs w:val="24"/>
          <w:highlight w:val="none"/>
          <w:lang w:val="en-US" w:eastAsia="zh-CN" w:bidi="ar"/>
        </w:rPr>
        <w:t xml:space="preserve">1、服务周期：</w:t>
      </w:r>
      <w:r>
        <w:rPr>
          <w:rFonts w:hint="eastAsia" w:ascii="宋体" w:hAnsi="宋体" w:eastAsia="宋体" w:cs="宋体"/>
          <w:b w:val="0"/>
          <w:bCs/>
          <w:color w:val="000000"/>
          <w:spacing w:val="2"/>
          <w:sz w:val="24"/>
          <w:szCs w:val="24"/>
          <w:highlight w:val="none"/>
          <w:lang w:val="en-US" w:eastAsia="zh-CN"/>
        </w:rPr>
        <w:t xml:space="preserve">自本合同签订之日起至2027年3月31日前完成（以“国抽系统”录入时间为准）。</w:t>
      </w:r>
      <w:r>
        <w:rPr>
          <w:rFonts w:hint="eastAsia" w:ascii="宋体" w:hAnsi="宋体" w:eastAsia="宋体" w:cs="宋体"/>
          <w:bCs/>
          <w:color w:val="000000"/>
          <w:sz w:val="24"/>
          <w:szCs w:val="24"/>
          <w:highlight w:val="none"/>
          <w:lang w:eastAsia="zh-CN"/>
        </w:rPr>
      </w:r>
      <w:r/>
    </w:p>
    <w:p>
      <w:pPr>
        <w:pStyle w:val="905"/>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2、合同款结算及支付：</w:t>
      </w:r>
      <w:r>
        <w:rPr>
          <w:rFonts w:hint="eastAsia" w:ascii="宋体" w:hAnsi="宋体" w:eastAsia="宋体" w:cs="宋体"/>
          <w:b/>
          <w:bCs/>
          <w:color w:val="000000"/>
          <w:sz w:val="24"/>
          <w:szCs w:val="24"/>
          <w:highlight w:val="none"/>
          <w:lang w:val="en-US" w:eastAsia="zh-CN" w:bidi="ar"/>
        </w:rPr>
      </w:r>
      <w:r/>
    </w:p>
    <w:p>
      <w:pPr>
        <w:pStyle w:val="90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2.1.本项目合同项下所有款项均以人民币支付。</w:t>
      </w:r>
      <w:r>
        <w:rPr>
          <w:rFonts w:hint="eastAsia" w:ascii="宋体" w:hAnsi="宋体" w:eastAsia="宋体" w:cs="宋体"/>
          <w:bCs/>
          <w:color w:val="000000"/>
          <w:sz w:val="24"/>
          <w:szCs w:val="24"/>
          <w:highlight w:val="none"/>
          <w:lang w:val="en-US" w:eastAsia="zh-CN"/>
        </w:rPr>
      </w:r>
      <w:r/>
    </w:p>
    <w:p>
      <w:pPr>
        <w:pStyle w:val="90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2.2.本项目合同项下的采购资金由采购人自行支付，成交供应商向采购人开具发票。</w:t>
      </w:r>
      <w:r>
        <w:rPr>
          <w:rFonts w:hint="eastAsia" w:ascii="宋体" w:hAnsi="宋体" w:eastAsia="宋体" w:cs="宋体"/>
          <w:bCs/>
          <w:color w:val="000000"/>
          <w:sz w:val="24"/>
          <w:szCs w:val="24"/>
          <w:highlight w:val="none"/>
          <w:lang w:val="en-US" w:eastAsia="zh-CN"/>
        </w:rPr>
      </w:r>
      <w:r/>
    </w:p>
    <w:p>
      <w:pPr>
        <w:pStyle w:val="90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2.3.检测费用标准为：成交供应商根据单批次均价制定检测项目的类别，单个项目检测费用以《市场监管部门食品安全抽检监测项目检验费用参考表》中</w:t>
      </w:r>
      <w:r>
        <w:rPr>
          <w:rFonts w:hint="eastAsia" w:ascii="宋体" w:hAnsi="宋体" w:eastAsia="宋体" w:cs="宋体"/>
          <w:b/>
          <w:bCs w:val="0"/>
          <w:color w:val="000000"/>
          <w:sz w:val="24"/>
          <w:szCs w:val="24"/>
          <w:highlight w:val="none"/>
          <w:lang w:val="en-US" w:eastAsia="zh-CN"/>
        </w:rPr>
        <w:t xml:space="preserve">收费标准*（1-成交优惠率）</w:t>
      </w:r>
      <w:r>
        <w:rPr>
          <w:rFonts w:hint="eastAsia" w:ascii="宋体" w:hAnsi="宋体" w:eastAsia="宋体" w:cs="宋体"/>
          <w:bCs/>
          <w:color w:val="000000"/>
          <w:sz w:val="24"/>
          <w:szCs w:val="24"/>
          <w:highlight w:val="none"/>
          <w:lang w:val="en-US" w:eastAsia="zh-CN"/>
        </w:rPr>
        <w:t xml:space="preserve">为准，采购人根据成交供应商出具的检验结果和报告数量，按实结算。其他费用包含抽样样品购买、运输、检验、差旅、对被抽样单位评估等成交供应商为抽检而产生的各项费用，该费用单批次平均价格不超过人民币200元整。检测费用加其他费用不得多于合同签订金额。</w:t>
      </w:r>
      <w:r>
        <w:rPr>
          <w:rFonts w:hint="eastAsia" w:ascii="宋体" w:hAnsi="宋体" w:eastAsia="宋体" w:cs="宋体"/>
          <w:bCs/>
          <w:color w:val="000000"/>
          <w:sz w:val="24"/>
          <w:szCs w:val="24"/>
          <w:highlight w:val="none"/>
          <w:lang w:val="en-US" w:eastAsia="zh-CN"/>
        </w:rPr>
      </w:r>
      <w:r/>
    </w:p>
    <w:p>
      <w:pPr>
        <w:pStyle w:val="90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所抽取的样品检验项目应全部覆盖《2026年常州市食品安全监督抽检品种、项目表》中必检项目，（见本章附表）。</w:t>
      </w:r>
      <w:r>
        <w:rPr>
          <w:rFonts w:hint="eastAsia" w:ascii="宋体" w:hAnsi="宋体" w:eastAsia="宋体" w:cs="宋体"/>
          <w:bCs/>
          <w:color w:val="000000"/>
          <w:sz w:val="24"/>
          <w:szCs w:val="24"/>
          <w:highlight w:val="none"/>
          <w:lang w:val="en-US" w:eastAsia="zh-CN"/>
        </w:rPr>
      </w:r>
      <w:r/>
    </w:p>
    <w:p>
      <w:pPr>
        <w:pStyle w:val="90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2.4.结算原则：按照检测费用加其他费用结算，其中其他费用按照单批次200元结算，总价格不超过合同签订金额。所有批次项目检测结束后，经采购人确认检测结果无异议后，采购人根据成交供应商出具的检验结果和报告数量，按实结算。</w:t>
      </w:r>
      <w:r>
        <w:rPr>
          <w:rFonts w:hint="eastAsia" w:ascii="宋体" w:hAnsi="宋体" w:eastAsia="宋体" w:cs="宋体"/>
          <w:bCs/>
          <w:color w:val="000000"/>
          <w:sz w:val="24"/>
          <w:szCs w:val="24"/>
          <w:highlight w:val="none"/>
          <w:lang w:val="en-US" w:eastAsia="zh-CN"/>
        </w:rPr>
      </w:r>
      <w:r/>
    </w:p>
    <w:p>
      <w:pPr>
        <w:pStyle w:val="90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2.5.付款方式：经采购人确认检测结果无异议后，采取分2次支付的方式进行支付，第2次支付于合同签订次年完成。</w:t>
      </w:r>
      <w:r>
        <w:rPr>
          <w:rFonts w:hint="eastAsia" w:ascii="宋体" w:hAnsi="宋体" w:eastAsia="宋体" w:cs="宋体"/>
          <w:bCs/>
          <w:color w:val="000000"/>
          <w:sz w:val="24"/>
          <w:szCs w:val="24"/>
          <w:highlight w:val="none"/>
          <w:lang w:val="en-US" w:eastAsia="zh-CN"/>
        </w:rPr>
      </w:r>
      <w:r/>
    </w:p>
    <w:p>
      <w:pPr>
        <w:pStyle w:val="945"/>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注：本项目报价为固定优惠率。本项目合同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Cs/>
          <w:color w:val="000000"/>
          <w:sz w:val="24"/>
          <w:szCs w:val="24"/>
          <w:highlight w:val="none"/>
          <w:lang w:val="en-US" w:eastAsia="zh-CN" w:bidi="ar-SA"/>
        </w:rPr>
      </w:r>
      <w:r/>
    </w:p>
    <w:p>
      <w:pPr>
        <w:pStyle w:val="905"/>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SA"/>
        </w:rPr>
        <w:suppressLineNumbers w:val="0"/>
      </w:pPr>
      <w:r>
        <w:rPr>
          <w:rFonts w:hint="eastAsia" w:ascii="宋体" w:hAnsi="宋体" w:eastAsia="宋体" w:cs="宋体"/>
          <w:bCs/>
          <w:color w:val="000000"/>
          <w:sz w:val="24"/>
          <w:szCs w:val="24"/>
          <w:highlight w:val="none"/>
          <w:lang w:val="en-US" w:eastAsia="zh-CN" w:bidi="ar-SA"/>
        </w:rPr>
        <w:t xml:space="preserve">本合同价款还包含成交供应商应当提供的伴随服务/售后服务费用。</w:t>
      </w:r>
      <w:r>
        <w:rPr>
          <w:rFonts w:hint="eastAsia" w:ascii="宋体" w:hAnsi="宋体" w:eastAsia="宋体" w:cs="宋体"/>
          <w:bCs/>
          <w:color w:val="000000"/>
          <w:sz w:val="24"/>
          <w:szCs w:val="24"/>
          <w:highlight w:val="none"/>
          <w:lang w:val="en-US" w:eastAsia="zh-CN" w:bidi="ar-SA"/>
        </w:rPr>
      </w:r>
      <w:r/>
    </w:p>
    <w:p>
      <w:pPr>
        <w:pStyle w:val="905"/>
        <w:numPr>
          <w:ilvl w:val="0"/>
          <w:numId w:val="13"/>
        </w:numPr>
        <w:ind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4"/>
          <w:szCs w:val="24"/>
          <w:highlight w:val="none"/>
          <w:lang w:val="en-US" w:eastAsia="zh-CN" w:bidi="ar-SA"/>
        </w:rPr>
        <w:suppressLineNumbers w:val="0"/>
      </w:pPr>
      <w:r>
        <w:rPr>
          <w:rFonts w:hint="eastAsia" w:ascii="宋体" w:hAnsi="宋体" w:eastAsia="宋体" w:cs="宋体"/>
          <w:b/>
          <w:bCs w:val="0"/>
          <w:color w:val="000000"/>
          <w:sz w:val="24"/>
          <w:szCs w:val="24"/>
          <w:highlight w:val="none"/>
          <w:lang w:val="en-US" w:eastAsia="zh-CN" w:bidi="ar-SA"/>
        </w:rPr>
        <w:t xml:space="preserve">技术要求</w:t>
      </w:r>
      <w:r>
        <w:rPr>
          <w:rFonts w:hint="eastAsia" w:ascii="宋体" w:hAnsi="宋体" w:eastAsia="宋体" w:cs="宋体"/>
          <w:b/>
          <w:bCs w:val="0"/>
          <w:color w:val="000000"/>
          <w:sz w:val="24"/>
          <w:szCs w:val="24"/>
          <w:highlight w:val="none"/>
          <w:lang w:val="en-US" w:eastAsia="zh-CN" w:bidi="ar-SA"/>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计划制定</w:t>
      </w:r>
      <w:r>
        <w:rPr>
          <w:rFonts w:hint="eastAsia" w:ascii="宋体" w:hAnsi="宋体" w:eastAsia="宋体" w:cs="宋体"/>
          <w:b/>
          <w:bCs/>
          <w:color w:val="000000"/>
          <w:sz w:val="24"/>
          <w:szCs w:val="24"/>
          <w:highlight w:val="none"/>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采购人制定抽样计划后，将抽检要求以及具体任务分配等通知成交供应商。</w:t>
      </w:r>
      <w:r>
        <w:rPr>
          <w:rFonts w:hint="eastAsia" w:ascii="宋体" w:hAnsi="宋体" w:eastAsia="宋体" w:cs="宋体"/>
          <w:color w:val="000000"/>
          <w:sz w:val="24"/>
          <w:szCs w:val="24"/>
          <w:highlight w:val="none"/>
          <w:lang w:val="en-US" w:eastAsia="zh-CN"/>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2.抽样目标</w:t>
      </w:r>
      <w:r>
        <w:rPr>
          <w:rFonts w:hint="eastAsia" w:ascii="宋体" w:hAnsi="宋体" w:eastAsia="宋体" w:cs="宋体"/>
          <w:b/>
          <w:bCs/>
          <w:color w:val="000000"/>
          <w:sz w:val="24"/>
          <w:szCs w:val="24"/>
          <w:highlight w:val="none"/>
          <w:lang w:val="en-US" w:eastAsia="zh-CN"/>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覆盖食品生产经营全过程，各辖市区抽样批次数及抽检重点详见</w:t>
      </w:r>
      <w:r>
        <w:rPr>
          <w:rFonts w:hint="eastAsia" w:ascii="宋体" w:hAnsi="宋体" w:eastAsia="宋体" w:cs="宋体"/>
          <w:color w:val="000000"/>
          <w:spacing w:val="0"/>
          <w:sz w:val="24"/>
          <w:szCs w:val="24"/>
          <w:highlight w:val="none"/>
          <w:u w:val="none"/>
          <w:lang w:val="en-US" w:eastAsia="zh-CN"/>
        </w:rPr>
        <w:t xml:space="preserve">合同</w:t>
      </w:r>
      <w:r>
        <w:rPr>
          <w:rFonts w:hint="eastAsia" w:ascii="宋体" w:hAnsi="宋体" w:eastAsia="宋体" w:cs="宋体"/>
          <w:color w:val="000000"/>
          <w:spacing w:val="0"/>
          <w:sz w:val="24"/>
          <w:szCs w:val="24"/>
          <w:highlight w:val="none"/>
          <w:u w:val="none"/>
        </w:rPr>
        <w:t xml:space="preserve">附件2：</w:t>
      </w:r>
      <w:r>
        <w:rPr>
          <w:rFonts w:hint="eastAsia" w:ascii="宋体" w:hAnsi="宋体" w:eastAsia="宋体" w:cs="宋体"/>
          <w:color w:val="000000"/>
          <w:sz w:val="24"/>
          <w:szCs w:val="24"/>
          <w:highlight w:val="none"/>
          <w:lang w:val="en-US" w:eastAsia="zh-CN"/>
        </w:rPr>
        <w:t xml:space="preserve">2026年常州市食品抽样检测工作任务分配及要求。</w:t>
      </w:r>
      <w:r>
        <w:rPr>
          <w:rFonts w:hint="eastAsia" w:ascii="宋体" w:hAnsi="宋体" w:eastAsia="宋体" w:cs="宋体"/>
          <w:color w:val="000000"/>
          <w:sz w:val="24"/>
          <w:szCs w:val="24"/>
          <w:highlight w:val="none"/>
          <w:lang w:val="en-US" w:eastAsia="zh-CN"/>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3.抽检品种</w:t>
      </w:r>
      <w:r>
        <w:rPr>
          <w:rFonts w:hint="eastAsia" w:ascii="宋体" w:hAnsi="宋体" w:eastAsia="宋体" w:cs="宋体"/>
          <w:b/>
          <w:bCs/>
          <w:color w:val="000000"/>
          <w:sz w:val="24"/>
          <w:szCs w:val="24"/>
          <w:highlight w:val="none"/>
          <w:lang w:val="en-US" w:eastAsia="zh-CN"/>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流通环节抽样中，酱油、食醋、酱卤肉制品、熟肉干制品、果、蔬汁饮料、固体饮料、调味面制品、饼干、果蔬罐头、酱腌菜、蜜饯、水果干制品、生食水产品、糕点、发酵性豆制品每样抽取不少于5批次。（若因客观原因在实际抽样过程中达不到该品种批次要求，需向采购人提交情况说明。）</w:t>
      </w:r>
      <w:r>
        <w:rPr>
          <w:rFonts w:hint="eastAsia" w:ascii="宋体" w:hAnsi="宋体" w:eastAsia="宋体" w:cs="宋体"/>
          <w:color w:val="000000"/>
          <w:sz w:val="24"/>
          <w:szCs w:val="24"/>
          <w:highlight w:val="none"/>
          <w:lang w:val="en-US" w:eastAsia="zh-CN"/>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4.检测项目</w:t>
      </w:r>
      <w:r>
        <w:rPr>
          <w:rFonts w:hint="eastAsia" w:ascii="宋体" w:hAnsi="宋体" w:eastAsia="宋体" w:cs="宋体"/>
          <w:b/>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对于所抽取的样品，应检验全部必检项目（《常州市2026年食品安全监督抽检品种、项目表》《2026年市、县食用农产品监督抽检必检品种、项目表》），非食用农产品抽检项目应不少于相关规定项目的50%，食用农产品抽检项目应含必检品种、项目，同时选择不少于两个自选项目。</w:t>
      </w:r>
      <w:r>
        <w:rPr>
          <w:rFonts w:hint="eastAsia" w:ascii="宋体" w:hAnsi="宋体" w:eastAsia="宋体" w:cs="宋体"/>
          <w:bCs/>
          <w:color w:val="000000"/>
          <w:sz w:val="24"/>
          <w:szCs w:val="24"/>
          <w:highlight w:val="none"/>
          <w:lang w:val="en-US" w:eastAsia="zh-CN"/>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5.人员配备</w:t>
      </w:r>
      <w:r>
        <w:rPr>
          <w:rFonts w:hint="eastAsia" w:ascii="宋体" w:hAnsi="宋体" w:eastAsia="宋体" w:cs="宋体"/>
          <w:b/>
          <w:bCs/>
          <w:color w:val="000000"/>
          <w:sz w:val="24"/>
          <w:szCs w:val="24"/>
          <w:highlight w:val="none"/>
          <w:lang w:val="en-US" w:eastAsia="zh-CN"/>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提供为本项目配备的与食品安全监督抽检和风险监测工作相匹配的专职抽样人员和检验人员（抽样人员和检验人员不能同时申报），专职抽样人员不少于</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人，检验人员不少于14人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6.检测要求</w:t>
      </w:r>
      <w:r>
        <w:rPr>
          <w:rFonts w:hint="eastAsia" w:ascii="宋体" w:hAnsi="宋体" w:eastAsia="宋体" w:cs="宋体"/>
          <w:b/>
          <w:bCs/>
          <w:color w:val="000000"/>
          <w:sz w:val="24"/>
          <w:szCs w:val="24"/>
          <w:highlight w:val="none"/>
          <w:lang w:val="en-US" w:eastAsia="zh-CN"/>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应当在接到抽样检验任务后两日内，编制《检测</w:t>
      </w:r>
      <w:r>
        <w:rPr>
          <w:rFonts w:hint="eastAsia" w:ascii="宋体" w:hAnsi="宋体" w:eastAsia="宋体" w:cs="宋体"/>
          <w:color w:val="000000"/>
          <w:sz w:val="24"/>
          <w:szCs w:val="24"/>
          <w:highlight w:val="none"/>
          <w:lang w:val="en-US" w:eastAsia="zh-CN"/>
        </w:rPr>
        <w:t xml:space="preserve">计划</w:t>
      </w:r>
      <w:r>
        <w:rPr>
          <w:rFonts w:hint="eastAsia" w:ascii="宋体" w:hAnsi="宋体" w:eastAsia="宋体" w:cs="宋体"/>
          <w:color w:val="000000"/>
          <w:sz w:val="24"/>
          <w:szCs w:val="24"/>
          <w:highlight w:val="none"/>
        </w:rPr>
        <w:t xml:space="preserve">》，内容包括抽样环节、抽样方法、检验项目、检验标准、判定原则及依据等。《检测</w:t>
      </w:r>
      <w:r>
        <w:rPr>
          <w:rFonts w:hint="eastAsia" w:ascii="宋体" w:hAnsi="宋体" w:eastAsia="宋体" w:cs="宋体"/>
          <w:bCs/>
          <w:color w:val="000000"/>
          <w:sz w:val="24"/>
          <w:szCs w:val="24"/>
          <w:highlight w:val="none"/>
          <w:lang w:val="en-US" w:eastAsia="zh-CN"/>
        </w:rPr>
        <w:t xml:space="preserve">计划</w:t>
      </w:r>
      <w:r>
        <w:rPr>
          <w:rFonts w:hint="eastAsia" w:ascii="宋体" w:hAnsi="宋体" w:eastAsia="宋体" w:cs="宋体"/>
          <w:color w:val="000000"/>
          <w:sz w:val="24"/>
          <w:szCs w:val="24"/>
          <w:highlight w:val="none"/>
        </w:rPr>
        <w:t xml:space="preserve">》应当经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认可后方可实施。</w:t>
      </w:r>
      <w:r>
        <w:rPr>
          <w:rFonts w:hint="eastAsia" w:ascii="宋体" w:hAnsi="宋体" w:eastAsia="宋体" w:cs="宋体"/>
          <w:color w:val="000000"/>
          <w:sz w:val="24"/>
          <w:szCs w:val="24"/>
          <w:highlight w:val="none"/>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（1）检验项目应依据《2026年常州市食品安全监督抽检品种、项目表》制定。</w:t>
      </w:r>
      <w:r>
        <w:rPr>
          <w:rFonts w:hint="eastAsia" w:ascii="宋体" w:hAnsi="宋体" w:eastAsia="宋体" w:cs="宋体"/>
          <w:bCs/>
          <w:color w:val="000000"/>
          <w:sz w:val="24"/>
          <w:szCs w:val="24"/>
          <w:highlight w:val="none"/>
          <w:lang w:val="en-US" w:eastAsia="zh-CN"/>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（2）抽样方法、检验标准、判定原则应依据食品标准（国家标准）以及国家有关食品抽样要求编制，涉及安全性指标的项目不得低于国家强制性标准要求。</w:t>
      </w:r>
      <w:r>
        <w:rPr>
          <w:rFonts w:hint="eastAsia" w:ascii="宋体" w:hAnsi="宋体" w:eastAsia="宋体" w:cs="宋体"/>
          <w:color w:val="000000"/>
          <w:sz w:val="24"/>
          <w:szCs w:val="24"/>
          <w:highlight w:val="none"/>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检验结论应采用以下用语：样品检验项目全部合格时，其检验结论为“经抽样检验，所检项目符合XX标准要求”；样品检验项目有一项及以上不合格时，其检验结论为“经抽样检验，XX项目不符合XX标准要求，检验结论为不合格”。</w:t>
      </w:r>
      <w:r>
        <w:rPr>
          <w:rFonts w:hint="eastAsia" w:ascii="宋体" w:hAnsi="宋体" w:eastAsia="宋体" w:cs="宋体"/>
          <w:bCs/>
          <w:color w:val="000000"/>
          <w:sz w:val="24"/>
          <w:szCs w:val="24"/>
          <w:highlight w:val="none"/>
          <w:lang w:val="en-US" w:eastAsia="zh-CN"/>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7.时间要求</w:t>
      </w:r>
      <w:r>
        <w:rPr>
          <w:rFonts w:hint="eastAsia" w:ascii="宋体" w:hAnsi="宋体" w:eastAsia="宋体" w:cs="宋体"/>
          <w:b/>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按照计划安排，所有抽样检测工作均在2027年3月31日前完成（以“国抽系统”已录入系统为准），因采购人原因造成取样延迟的，不得追究成交供应商责任；因成交供应商原因造成取样延迟的，成交供应商应当按每批次50元/天支付采购人赔偿金。取样完成后，成交供应商应及时进行检验，并在二十个工作日内出具检验报告，并保证检验结果准确。</w:t>
      </w:r>
      <w:r>
        <w:rPr>
          <w:rFonts w:hint="eastAsia" w:ascii="宋体" w:hAnsi="宋体" w:eastAsia="宋体" w:cs="宋体"/>
          <w:bCs/>
          <w:color w:val="000000"/>
          <w:sz w:val="24"/>
          <w:szCs w:val="24"/>
          <w:highlight w:val="none"/>
          <w:lang w:val="en-US" w:eastAsia="zh-CN"/>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en-US" w:eastAsia="zh-CN"/>
        </w:rPr>
        <w:t xml:space="preserve">抽</w:t>
      </w:r>
      <w:r>
        <w:rPr>
          <w:rFonts w:hint="eastAsia" w:ascii="宋体" w:hAnsi="宋体" w:eastAsia="宋体" w:cs="宋体"/>
          <w:b/>
          <w:bCs/>
          <w:color w:val="000000"/>
          <w:sz w:val="24"/>
          <w:szCs w:val="24"/>
          <w:highlight w:val="none"/>
          <w:lang w:val="en-US" w:eastAsia="zh-CN"/>
        </w:rPr>
        <w:t xml:space="preserve">样要求</w:t>
      </w:r>
      <w:r>
        <w:rPr>
          <w:rFonts w:hint="eastAsia" w:ascii="宋体" w:hAnsi="宋体" w:eastAsia="宋体" w:cs="宋体"/>
          <w:b/>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采购人根据情况决定是否派出执法人员参加现场抽样，成交供应商应当至少派两名有资质的工作人员参与抽样，并确保按照国家规定的采样规则和规范进行抽样。具体抽样食品品种根据抽检计划决定，抽样过程填制《食品安全抽样检验抽样单》。</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成交供应商抽样时，应同时抽取能够满足复检需要的足够的备样。检样、备样应当购买，购样费用由成交供应商支付。抽样后，在采购人监督下按要求封存检样及备样，由成交供应商的工作人员一同带回并妥善保管。</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（3）对于采购人要求的紧急抽样，成交供应商应在3小时内到达现场。</w:t>
      </w:r>
      <w:r>
        <w:rPr>
          <w:rFonts w:hint="eastAsia" w:ascii="宋体" w:hAnsi="宋体" w:eastAsia="宋体" w:cs="宋体"/>
          <w:bCs/>
          <w:color w:val="000000"/>
          <w:sz w:val="24"/>
          <w:szCs w:val="24"/>
          <w:highlight w:val="none"/>
          <w:lang w:val="en-US" w:eastAsia="zh-CN"/>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9.样品保存要求</w:t>
      </w:r>
      <w:r>
        <w:rPr>
          <w:rFonts w:hint="eastAsia" w:ascii="宋体" w:hAnsi="宋体" w:eastAsia="宋体" w:cs="宋体"/>
          <w:b/>
          <w:bCs/>
          <w:color w:val="000000"/>
          <w:sz w:val="24"/>
          <w:szCs w:val="24"/>
          <w:highlight w:val="none"/>
          <w:lang w:val="en-US" w:eastAsia="zh-CN"/>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食品安全监督抽检的检验结论合格的，</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应当自检验结论作出之日起3个月内妥善保存复检备份样品；复检备份样品剩余保质期不足3个月的，应当保存至保质期结束。检验结论不合格的，</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应在检验结论作出后2个工作日内报告</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，并自检验结论作出之日起6个月内妥善保存复检备份样品；复检备份样品剩余保质期不足6个月的，应当保存至保质期结束。</w:t>
      </w:r>
      <w:r>
        <w:rPr>
          <w:rFonts w:hint="eastAsia" w:ascii="宋体" w:hAnsi="宋体" w:eastAsia="宋体" w:cs="宋体"/>
          <w:color w:val="000000"/>
          <w:sz w:val="24"/>
          <w:szCs w:val="24"/>
          <w:highlight w:val="none"/>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针对食品抽样过程中对有特殊保存要求的样品管理，</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应具备相应的速冻及冷藏运输条件。</w:t>
      </w:r>
      <w:r>
        <w:rPr>
          <w:rFonts w:hint="eastAsia" w:ascii="宋体" w:hAnsi="宋体" w:eastAsia="宋体" w:cs="宋体"/>
          <w:color w:val="000000"/>
          <w:sz w:val="24"/>
          <w:szCs w:val="24"/>
          <w:highlight w:val="none"/>
        </w:rPr>
      </w:r>
      <w:r/>
    </w:p>
    <w:p>
      <w:pPr>
        <w:pStyle w:val="905"/>
        <w:ind w:firstLine="484"/>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10.出具检测报告</w:t>
      </w:r>
      <w:r>
        <w:rPr>
          <w:rFonts w:hint="eastAsia" w:ascii="宋体" w:hAnsi="宋体" w:eastAsia="宋体" w:cs="宋体"/>
          <w:b/>
          <w:bCs/>
          <w:color w:val="000000"/>
          <w:sz w:val="24"/>
          <w:szCs w:val="24"/>
          <w:highlight w:val="none"/>
          <w:lang w:val="en-US" w:eastAsia="zh-CN"/>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（1）检验报告在国抽系统完全提交后，</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应将不合格报告信息于两个工作日内及时告知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。当月实施抽检的结果汇总表（电子版及文字版）等相关材料，</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于收集完全后2个工作日内统一提交</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5"/>
        <w:ind w:firstLine="482"/>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（2）检验结果为合格的，检验报告由</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自己留存；检验结果为不合格的，</w:t>
      </w:r>
      <w:r>
        <w:rPr>
          <w:rFonts w:hint="eastAsia" w:ascii="宋体" w:hAnsi="宋体" w:eastAsia="宋体" w:cs="宋体"/>
          <w:bCs/>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应印制检验报告，自己留存一份，一份在两个工作日内及时送达</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另有要求的，按</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要求执行。</w:t>
      </w:r>
      <w:r>
        <w:rPr>
          <w:rFonts w:hint="eastAsia" w:ascii="宋体" w:hAnsi="宋体" w:eastAsia="宋体" w:cs="宋体"/>
          <w:color w:val="000000"/>
          <w:sz w:val="24"/>
          <w:szCs w:val="24"/>
          <w:highlight w:val="none"/>
        </w:rPr>
      </w:r>
      <w:r/>
    </w:p>
    <w:p>
      <w:pPr>
        <w:pStyle w:val="905"/>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11.伴随性服务</w:t>
      </w:r>
      <w:r>
        <w:rPr>
          <w:rFonts w:hint="eastAsia" w:ascii="宋体" w:hAnsi="宋体" w:eastAsia="宋体" w:cs="宋体"/>
          <w:b/>
          <w:bCs w:val="0"/>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成交供应商必须提供一名专业工作人员，配合抽检监测秘书处完成以下工作：制定食品安全抽检方案并跟踪任务的进展情况；开展信息公示；研究分析食品安全抽检监测结果，配合撰写研究分析报告；完成秘书处交办的其他工作。伴随性服务时长为一年（成交之日起计算）。</w:t>
      </w:r>
      <w:r>
        <w:rPr>
          <w:rFonts w:hint="eastAsia" w:ascii="宋体" w:hAnsi="宋体" w:eastAsia="宋体" w:cs="宋体"/>
          <w:bCs/>
          <w:color w:val="000000"/>
          <w:sz w:val="24"/>
          <w:szCs w:val="24"/>
          <w:highlight w:val="none"/>
          <w:lang w:val="en-US" w:eastAsia="zh-CN"/>
        </w:rPr>
      </w:r>
      <w:r/>
    </w:p>
    <w:p>
      <w:pPr>
        <w:pStyle w:val="905"/>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四、违约责任及考核</w:t>
      </w:r>
      <w:r>
        <w:rPr>
          <w:rFonts w:hint="eastAsia" w:ascii="宋体" w:hAnsi="宋体" w:eastAsia="宋体" w:cs="宋体"/>
          <w:b/>
          <w:bCs w:val="0"/>
          <w:color w:val="000000"/>
          <w:sz w:val="24"/>
          <w:szCs w:val="24"/>
          <w:highlight w:val="none"/>
          <w:lang w:val="en-US" w:eastAsia="zh-CN"/>
        </w:rPr>
      </w:r>
      <w:r/>
    </w:p>
    <w:p>
      <w:pPr>
        <w:pStyle w:val="905"/>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1.违约责任</w:t>
      </w:r>
      <w:r>
        <w:rPr>
          <w:rFonts w:hint="eastAsia" w:ascii="宋体" w:hAnsi="宋体" w:eastAsia="宋体" w:cs="宋体"/>
          <w:b/>
          <w:bCs w:val="0"/>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1.1.如成交供应商不能按约定进行服务的，采购人有权解除合同，同时有权要求成交供应商按照合同总价5%的标准支付违约金，解除合同的通知自发出之日生效。</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1.2.成交供应商未按本项目合同的规定和“服务承诺”提供伴随服务的，采购人有权提前解除本合同，同时成交供应商应按合同总价款的5%向采购人承担违约责任。</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1.3.成交供应商在承担上述一项或多项违约责任后，仍应继续履行合同规定的义务（采购人解除合同的除外）。采购人未能及时追究成交供应商的任何一项违约责任并不表明采购人放弃追究成交供应商该项或其他违约责任。</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1.4.成交供应商有虚假承诺，或是由于成交供应商的过错造成合同无法继续履行的，应向甲采购人支付不少于合同总价30%违约金，若该违约金不足以弥补采购人损失，则应当赔偿采购人所有损失。</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1.5.因成交供应商原因造成的检测程序违法、检测结果错误，由此造成采购人在行政复议中被确认违法或行政诉讼败诉，成交供应商应当承担相关法律责任，包括赔偿采购人损失、支付违约金等，违约金为5万元/批次起。</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1.6.若成交供应商的工作未达到本次磋商文件要求的（例如：服务响应时间超过磋商文件规定时间要求的），采购人有权要求成交供应商进行整改，如整改后仍达不到要求的采购人有权要求立即终止合同，并有权追究其违约责任。</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1.7.若国家局、省局以及其他上级部门对服务内容提出新的要求的，成交供应商应当按照要求履行。无故拒不履行的采购人有权终止合同，并有权追究其违约责任。</w:t>
      </w:r>
      <w:r>
        <w:rPr>
          <w:rFonts w:hint="eastAsia" w:ascii="宋体" w:hAnsi="宋体" w:eastAsia="宋体" w:cs="宋体"/>
          <w:bCs/>
          <w:color w:val="000000"/>
          <w:sz w:val="24"/>
          <w:szCs w:val="24"/>
          <w:highlight w:val="none"/>
          <w:lang w:val="en-US" w:eastAsia="zh-CN"/>
        </w:rPr>
      </w:r>
      <w:r/>
    </w:p>
    <w:p>
      <w:pPr>
        <w:pStyle w:val="905"/>
        <w:contextualSpacing/>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2.服务考核</w:t>
      </w:r>
      <w:r>
        <w:rPr>
          <w:rFonts w:hint="eastAsia" w:ascii="宋体" w:hAnsi="宋体" w:eastAsia="宋体" w:cs="宋体"/>
          <w:b/>
          <w:bCs w:val="0"/>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2.1.采购人于2027年3月31日</w:t>
      </w:r>
      <w:r>
        <w:rPr>
          <w:rFonts w:hint="eastAsia" w:ascii="宋体" w:hAnsi="宋体" w:eastAsia="宋体" w:cs="宋体"/>
          <w:b w:val="0"/>
          <w:bCs/>
          <w:color w:val="000000"/>
          <w:spacing w:val="2"/>
          <w:sz w:val="24"/>
          <w:szCs w:val="24"/>
          <w:highlight w:val="none"/>
          <w:lang w:val="en-US" w:eastAsia="zh-CN"/>
        </w:rPr>
        <w:t xml:space="preserve">（以“国抽系统”录入时间为准）。</w:t>
      </w:r>
      <w:r>
        <w:rPr>
          <w:rFonts w:hint="eastAsia" w:ascii="宋体" w:hAnsi="宋体" w:eastAsia="宋体" w:cs="宋体"/>
          <w:bCs/>
          <w:color w:val="000000"/>
          <w:sz w:val="24"/>
          <w:szCs w:val="24"/>
          <w:highlight w:val="none"/>
          <w:lang w:val="en-US" w:eastAsia="zh-CN"/>
        </w:rPr>
        <w:t xml:space="preserve">对批次完成情况进行验收。未完成批次，按照1500元/批次进行扣除，未完成批次达到总任务的10%及以上，所有抽检批次费用按照半价支付。</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2.2.不合格检出率考核以2.5%为基准，每低0.5%，成交供应商所有抽检批次费用减少150元/批次，不合格检出率低于1%按照半价支付。</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2.3.成交供应商检验结论为不合格的报告，最终结论被推翻或报告被撤销的，每有一份，扣除结算总价的1%。</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2.4.食品国抽系统数据质量被国家总局和省局、市局通报的，每有一起，扣除结算总价的1%。</w:t>
      </w:r>
      <w:r>
        <w:rPr>
          <w:rFonts w:hint="eastAsia" w:ascii="宋体" w:hAnsi="宋体" w:eastAsia="宋体" w:cs="宋体"/>
          <w:bCs/>
          <w:color w:val="000000"/>
          <w:sz w:val="24"/>
          <w:szCs w:val="24"/>
          <w:highlight w:val="none"/>
          <w:lang w:val="en-US" w:eastAsia="zh-CN"/>
        </w:rPr>
      </w:r>
      <w:r/>
    </w:p>
    <w:p>
      <w:pPr>
        <w:pStyle w:val="90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2.5.采购人对成交供应商的履约情况进行绩效评估，若发现有严重违约情况或通知整改而未及时整改到位情况，采购人有权要求立即终止合同，成交供应商未完成批次，采购人有权交由其他供应商完成。</w:t>
      </w:r>
      <w:r>
        <w:rPr>
          <w:rFonts w:hint="eastAsia" w:ascii="宋体" w:hAnsi="宋体" w:eastAsia="宋体" w:cs="宋体"/>
          <w:bCs/>
          <w:color w:val="000000"/>
          <w:sz w:val="24"/>
          <w:szCs w:val="24"/>
          <w:highlight w:val="none"/>
          <w:lang w:val="en-US" w:eastAsia="zh-CN"/>
        </w:rPr>
      </w:r>
      <w:r/>
    </w:p>
    <w:p>
      <w:pPr>
        <w:pStyle w:val="975"/>
        <w:ind w:left="0" w:firstLine="482"/>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五、其他</w:t>
      </w:r>
      <w:r>
        <w:rPr>
          <w:rFonts w:hint="eastAsia" w:ascii="宋体" w:hAnsi="宋体" w:eastAsia="宋体" w:cs="宋体"/>
          <w:b/>
          <w:bCs w:val="0"/>
          <w:color w:val="000000"/>
          <w:sz w:val="24"/>
          <w:szCs w:val="24"/>
          <w:highlight w:val="none"/>
          <w:lang w:val="en-US" w:eastAsia="zh-CN" w:bidi="ar-SA"/>
        </w:rPr>
      </w:r>
      <w:r/>
    </w:p>
    <w:p>
      <w:pPr>
        <w:pStyle w:val="1006"/>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按照《政府采购促进中小企业发展管理办法》（财库〔2020〕46号）的相关要求，采购人应当面向中小企业预留采购份额，本项目面向中小企业预留份额 0 %。</w:t>
      </w:r>
      <w:r>
        <w:rPr>
          <w:rFonts w:hint="eastAsia" w:ascii="宋体" w:hAnsi="宋体" w:eastAsia="宋体" w:cs="宋体"/>
          <w:bCs/>
          <w:color w:val="000000"/>
          <w:sz w:val="24"/>
          <w:szCs w:val="24"/>
          <w:highlight w:val="none"/>
          <w:lang w:val="en-US" w:eastAsia="zh-CN" w:bidi="ar-SA"/>
        </w:rPr>
      </w:r>
      <w:r/>
    </w:p>
    <w:p>
      <w:pPr>
        <w:pStyle w:val="1006"/>
        <w:contextualSpacing/>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情况说明：预留采购份额无法确保充分供应、充分竞争，存在可能影响政府采购目标实现的情形。</w:t>
      </w:r>
      <w:r>
        <w:rPr>
          <w:rFonts w:hint="eastAsia" w:ascii="宋体" w:hAnsi="宋体" w:eastAsia="宋体" w:cs="宋体"/>
          <w:bCs/>
          <w:color w:val="000000"/>
          <w:sz w:val="24"/>
          <w:szCs w:val="24"/>
          <w:highlight w:val="none"/>
          <w:lang w:val="en-US" w:eastAsia="zh-CN" w:bidi="ar-SA"/>
        </w:rPr>
      </w:r>
      <w:r/>
    </w:p>
    <w:p>
      <w:pPr>
        <w:pStyle w:val="975"/>
        <w:ind w:left="0"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75"/>
        <w:rPr>
          <w:color w:val="000000"/>
          <w:highlight w:val="none"/>
          <w:lang w:val="en-US" w:eastAsia="zh-CN"/>
        </w:rPr>
      </w:pPr>
      <w:r>
        <w:rPr>
          <w:color w:val="000000"/>
          <w:highlight w:val="none"/>
          <w:lang w:val="en-US" w:eastAsia="zh-CN"/>
        </w:rPr>
      </w:r>
      <w:r/>
    </w:p>
    <w:p>
      <w:pPr>
        <w:pStyle w:val="905"/>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2"/>
          <w:szCs w:val="22"/>
          <w:highlight w:val="none"/>
          <w:lang w:val="en-US" w:eastAsia="zh-CN"/>
        </w:rPr>
        <w:suppressLineNumbers w:val="0"/>
      </w:pPr>
      <w:r>
        <w:rPr>
          <w:b/>
          <w:color w:val="000000"/>
          <w:sz w:val="36"/>
          <w:szCs w:val="36"/>
        </w:rPr>
        <w:br w:type="page" w:clear="all"/>
      </w:r>
      <w:r>
        <w:rPr>
          <w:rFonts w:hint="eastAsia" w:ascii="宋体" w:hAnsi="宋体" w:eastAsia="宋体" w:cs="宋体"/>
          <w:b/>
          <w:bCs w:val="0"/>
          <w:color w:val="000000"/>
          <w:sz w:val="22"/>
          <w:szCs w:val="22"/>
          <w:highlight w:val="none"/>
          <w:lang w:val="en-US" w:eastAsia="zh-CN"/>
        </w:rPr>
        <w:t xml:space="preserve">附表：</w:t>
      </w:r>
      <w:r>
        <w:rPr>
          <w:rFonts w:hint="eastAsia" w:ascii="宋体" w:hAnsi="宋体" w:eastAsia="宋体" w:cs="宋体"/>
          <w:b/>
          <w:bCs w:val="0"/>
          <w:color w:val="000000"/>
          <w:sz w:val="22"/>
          <w:szCs w:val="22"/>
          <w:highlight w:val="none"/>
          <w:lang w:val="en-US" w:eastAsia="zh-CN"/>
        </w:rPr>
      </w:r>
      <w:r/>
    </w:p>
    <w:p>
      <w:pPr>
        <w:pStyle w:val="905"/>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2"/>
          <w:szCs w:val="22"/>
          <w:highlight w:val="none"/>
          <w:lang w:val="en-US" w:eastAsia="zh-CN"/>
        </w:rPr>
        <w:suppressLineNumbers w:val="0"/>
      </w:pPr>
      <w:r>
        <w:rPr>
          <w:rFonts w:hint="eastAsia" w:ascii="宋体" w:hAnsi="宋体" w:eastAsia="宋体" w:cs="宋体"/>
          <w:b/>
          <w:bCs w:val="0"/>
          <w:color w:val="000000"/>
          <w:sz w:val="22"/>
          <w:szCs w:val="22"/>
          <w:highlight w:val="none"/>
          <w:lang w:val="en-US" w:eastAsia="zh-CN"/>
        </w:rPr>
        <w:t xml:space="preserve">一、抽样和检验要求以《国家食品安全监督抽检实施细则2026年版》为准</w:t>
      </w:r>
      <w:r>
        <w:rPr>
          <w:rFonts w:hint="eastAsia" w:ascii="宋体" w:hAnsi="宋体" w:eastAsia="宋体" w:cs="宋体"/>
          <w:b/>
          <w:bCs w:val="0"/>
          <w:color w:val="000000"/>
          <w:sz w:val="22"/>
          <w:szCs w:val="22"/>
          <w:highlight w:val="none"/>
          <w:lang w:val="en-US" w:eastAsia="zh-CN"/>
        </w:rPr>
      </w:r>
      <w:r/>
    </w:p>
    <w:p>
      <w:pPr>
        <w:pStyle w:val="905"/>
        <w:numPr>
          <w:ilvl w:val="0"/>
          <w:numId w:val="0"/>
        </w:numPr>
        <w:ind w:right="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sz w:val="22"/>
          <w:szCs w:val="22"/>
          <w:highlight w:val="none"/>
          <w:lang w:val="en-US" w:eastAsia="zh-CN"/>
        </w:rPr>
        <w:suppressLineNumbers w:val="0"/>
      </w:pPr>
      <w:r>
        <w:rPr>
          <w:rFonts w:hint="eastAsia" w:ascii="宋体" w:hAnsi="宋体" w:eastAsia="宋体" w:cs="宋体"/>
          <w:b/>
          <w:bCs w:val="0"/>
          <w:color w:val="000000"/>
          <w:sz w:val="22"/>
          <w:szCs w:val="22"/>
          <w:highlight w:val="none"/>
          <w:lang w:val="en-US" w:eastAsia="zh-CN"/>
        </w:rPr>
        <w:t xml:space="preserve">二、2026年常州市食品安全监督抽检品种、项目表</w:t>
      </w:r>
      <w:r>
        <w:rPr>
          <w:rFonts w:hint="eastAsia" w:ascii="宋体" w:hAnsi="宋体" w:eastAsia="宋体" w:cs="宋体"/>
          <w:b/>
          <w:bCs w:val="0"/>
          <w:color w:val="000000"/>
          <w:sz w:val="22"/>
          <w:szCs w:val="22"/>
          <w:highlight w:val="none"/>
          <w:lang w:val="en-US" w:eastAsia="zh-CN"/>
        </w:rPr>
      </w:r>
      <w:r/>
    </w:p>
    <w:p>
      <w:pPr>
        <w:pStyle w:val="905"/>
        <w:numPr>
          <w:ilvl w:val="0"/>
          <w:numId w:val="0"/>
        </w:numPr>
        <w:ind w:right="0"/>
        <w:jc w:val="left"/>
        <w:keepLines w:val="0"/>
        <w:keepNext w:val="0"/>
        <w:pageBreakBefore w:val="0"/>
        <w:spacing w:before="0" w:beforeAutospacing="0" w:after="0" w:afterAutospacing="0" w:line="360" w:lineRule="auto"/>
        <w:widowControl w:val="off"/>
        <w:rPr>
          <w:rFonts w:hint="eastAsia" w:ascii="Times New Roman" w:hAnsi="Times New Roman" w:eastAsia="黑体"/>
          <w:spacing w:val="-1"/>
          <w:sz w:val="32"/>
          <w:szCs w:val="32"/>
        </w:rPr>
        <w:sectPr>
          <w:footnotePr/>
          <w:endnotePr/>
          <w:type w:val="nextPage"/>
          <w:pgSz w:w="11905" w:h="16838" w:orient="portrait"/>
          <w:pgMar w:top="1440" w:right="1803" w:bottom="1440" w:left="1803" w:header="851" w:footer="992" w:gutter="0"/>
          <w:cols w:num="1" w:sep="0" w:space="1701" w:equalWidth="1"/>
          <w:docGrid w:linePitch="360"/>
        </w:sectPr>
        <w:suppressLineNumbers w:val="0"/>
      </w:pPr>
      <w:r>
        <w:rPr>
          <w:rFonts w:hint="eastAsia" w:ascii="Times New Roman" w:hAnsi="Times New Roman" w:eastAsia="黑体"/>
          <w:spacing w:val="-1"/>
          <w:sz w:val="32"/>
          <w:szCs w:val="32"/>
        </w:rPr>
      </w:r>
      <w:r/>
    </w:p>
    <w:p>
      <w:pPr>
        <w:pStyle w:val="905"/>
        <w:spacing w:line="570" w:lineRule="exact"/>
        <w:rPr>
          <w:rFonts w:ascii="Times New Roman" w:hAnsi="Times New Roman" w:eastAsia="黑体"/>
          <w:sz w:val="31"/>
          <w:szCs w:val="31"/>
          <w:lang w:val="en-US" w:eastAsia="zh-CN"/>
        </w:rPr>
      </w:pPr>
      <w:r>
        <w:rPr>
          <w:rFonts w:hint="eastAsia" w:ascii="Times New Roman" w:hAnsi="Times New Roman" w:eastAsia="黑体"/>
          <w:spacing w:val="-1"/>
          <w:sz w:val="32"/>
          <w:szCs w:val="32"/>
        </w:rPr>
        <w:t xml:space="preserve">附</w:t>
      </w:r>
      <w:r>
        <w:rPr>
          <w:rFonts w:hint="eastAsia" w:ascii="Times New Roman" w:hAnsi="Times New Roman" w:eastAsia="黑体"/>
          <w:spacing w:val="-1"/>
          <w:sz w:val="32"/>
          <w:szCs w:val="32"/>
          <w:lang w:val="en-US" w:eastAsia="zh-CN"/>
        </w:rPr>
        <w:t xml:space="preserve">表二</w:t>
      </w:r>
      <w:r>
        <w:rPr>
          <w:rFonts w:ascii="Times New Roman" w:hAnsi="Times New Roman" w:eastAsia="黑体"/>
          <w:sz w:val="31"/>
          <w:szCs w:val="31"/>
          <w:lang w:val="en-US" w:eastAsia="zh-CN"/>
        </w:rPr>
      </w:r>
      <w:r/>
    </w:p>
    <w:p>
      <w:pPr>
        <w:pStyle w:val="905"/>
        <w:jc w:val="center"/>
        <w:spacing w:before="240" w:after="240" w:line="570" w:lineRule="exact"/>
        <w:rPr>
          <w:rFonts w:hint="eastAsia" w:ascii="方正小标宋简体" w:hAnsi="方正小标宋_GBK" w:eastAsia="方正小标宋简体" w:cs="方正小标宋_GBK"/>
          <w:sz w:val="44"/>
          <w:szCs w:val="44"/>
        </w:rPr>
      </w:pPr>
      <w:r>
        <w:rPr>
          <w:rFonts w:hint="eastAsia" w:ascii="方正小标宋简体" w:hAnsi="Times New Roman" w:eastAsia="方正小标宋简体"/>
          <w:spacing w:val="5"/>
          <w:sz w:val="44"/>
          <w:szCs w:val="44"/>
        </w:rPr>
        <w:t xml:space="preserve">2026</w:t>
      </w:r>
      <w:r>
        <w:rPr>
          <w:rFonts w:hint="eastAsia" w:ascii="方正小标宋简体" w:hAnsi="方正小标宋_GBK" w:eastAsia="方正小标宋简体" w:cs="方正小标宋_GBK"/>
          <w:spacing w:val="5"/>
          <w:sz w:val="44"/>
          <w:szCs w:val="44"/>
        </w:rPr>
        <w:t xml:space="preserve">年常州市食品安全监督抽检品种、项目表</w:t>
      </w:r>
      <w:r>
        <w:rPr>
          <w:rFonts w:hint="eastAsia" w:ascii="方正小标宋简体" w:hAnsi="方正小标宋_GBK" w:eastAsia="方正小标宋简体" w:cs="方正小标宋_GBK"/>
          <w:sz w:val="44"/>
          <w:szCs w:val="44"/>
        </w:rPr>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4"/>
        <w:gridCol w:w="1035"/>
        <w:gridCol w:w="1150"/>
        <w:gridCol w:w="1160"/>
        <w:gridCol w:w="1271"/>
        <w:gridCol w:w="664"/>
        <w:gridCol w:w="4266"/>
        <w:gridCol w:w="3755"/>
      </w:tblGrid>
      <w:tr>
        <w:trPr>
          <w:trHeight w:val="454"/>
          <w:tblHeader/>
        </w:trPr>
        <w:tc>
          <w:tcPr>
            <w:tcW w:w="676" w:type="dxa"/>
            <w:vAlign w:val="center"/>
            <w:textDirection w:val="lrTb"/>
            <w:noWrap w:val="false"/>
          </w:tcPr>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序号</w:t>
            </w:r>
            <w:r>
              <w:rPr>
                <w:rFonts w:ascii="Times New Roman" w:hAnsi="Times New Roman" w:eastAsia="黑体"/>
                <w:sz w:val="20"/>
                <w:szCs w:val="20"/>
              </w:rPr>
            </w:r>
            <w:r/>
          </w:p>
        </w:tc>
        <w:tc>
          <w:tcPr>
            <w:tcW w:w="1038" w:type="dxa"/>
            <w:vAlign w:val="center"/>
            <w:textDirection w:val="lrTb"/>
            <w:noWrap w:val="false"/>
          </w:tcPr>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食品大类</w:t>
            </w:r>
            <w:r>
              <w:rPr>
                <w:rFonts w:ascii="Times New Roman" w:hAnsi="Times New Roman" w:eastAsia="黑体"/>
                <w:sz w:val="20"/>
                <w:szCs w:val="20"/>
              </w:rPr>
            </w:r>
            <w:r/>
          </w:p>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（一级）</w:t>
            </w:r>
            <w:r>
              <w:rPr>
                <w:rFonts w:ascii="Times New Roman" w:hAnsi="Times New Roman" w:eastAsia="黑体"/>
                <w:sz w:val="20"/>
                <w:szCs w:val="20"/>
              </w:rPr>
            </w:r>
            <w:r/>
          </w:p>
        </w:tc>
        <w:tc>
          <w:tcPr>
            <w:tcW w:w="1154" w:type="dxa"/>
            <w:vAlign w:val="center"/>
            <w:textDirection w:val="lrTb"/>
            <w:noWrap w:val="false"/>
          </w:tcPr>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食品亚类</w:t>
            </w:r>
            <w:r>
              <w:rPr>
                <w:rFonts w:ascii="Times New Roman" w:hAnsi="Times New Roman" w:eastAsia="黑体"/>
                <w:sz w:val="20"/>
                <w:szCs w:val="20"/>
              </w:rPr>
            </w:r>
            <w:r/>
          </w:p>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（二级）</w:t>
            </w:r>
            <w:r>
              <w:rPr>
                <w:rFonts w:ascii="Times New Roman" w:hAnsi="Times New Roman" w:eastAsia="黑体"/>
                <w:sz w:val="20"/>
                <w:szCs w:val="20"/>
              </w:rPr>
            </w:r>
            <w:r/>
          </w:p>
        </w:tc>
        <w:tc>
          <w:tcPr>
            <w:tcW w:w="1164" w:type="dxa"/>
            <w:vAlign w:val="center"/>
            <w:textDirection w:val="lrTb"/>
            <w:noWrap w:val="false"/>
          </w:tcPr>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食品品种</w:t>
            </w:r>
            <w:r>
              <w:rPr>
                <w:rFonts w:ascii="Times New Roman" w:hAnsi="Times New Roman" w:eastAsia="黑体"/>
                <w:sz w:val="20"/>
                <w:szCs w:val="20"/>
              </w:rPr>
            </w:r>
            <w:r/>
          </w:p>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（三级）</w:t>
            </w:r>
            <w:r>
              <w:rPr>
                <w:rFonts w:ascii="Times New Roman" w:hAnsi="Times New Roman" w:eastAsia="黑体"/>
                <w:sz w:val="20"/>
                <w:szCs w:val="20"/>
              </w:rPr>
            </w:r>
            <w:r/>
          </w:p>
        </w:tc>
        <w:tc>
          <w:tcPr>
            <w:tcW w:w="1275" w:type="dxa"/>
            <w:vAlign w:val="center"/>
            <w:textDirection w:val="lrTb"/>
            <w:noWrap w:val="false"/>
          </w:tcPr>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食品细类</w:t>
            </w:r>
            <w:r>
              <w:rPr>
                <w:rFonts w:ascii="Times New Roman" w:hAnsi="Times New Roman" w:eastAsia="黑体"/>
                <w:sz w:val="20"/>
                <w:szCs w:val="20"/>
              </w:rPr>
            </w:r>
            <w:r/>
          </w:p>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（四级）</w:t>
            </w:r>
            <w:r>
              <w:rPr>
                <w:rFonts w:ascii="Times New Roman" w:hAnsi="Times New Roman" w:eastAsia="黑体"/>
                <w:sz w:val="20"/>
                <w:szCs w:val="20"/>
              </w:rPr>
            </w:r>
            <w:r/>
          </w:p>
        </w:tc>
        <w:tc>
          <w:tcPr>
            <w:tcW w:w="666" w:type="dxa"/>
            <w:vAlign w:val="center"/>
            <w:textDirection w:val="lrTb"/>
            <w:noWrap w:val="false"/>
          </w:tcPr>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风险</w:t>
            </w:r>
            <w:r>
              <w:rPr>
                <w:rFonts w:ascii="Times New Roman" w:hAnsi="Times New Roman" w:eastAsia="黑体"/>
                <w:sz w:val="20"/>
                <w:szCs w:val="20"/>
              </w:rPr>
            </w:r>
            <w:r/>
          </w:p>
          <w:p>
            <w:pPr>
              <w:pStyle w:val="905"/>
              <w:jc w:val="center"/>
              <w:spacing w:line="280" w:lineRule="exact"/>
              <w:rPr>
                <w:rFonts w:ascii="Times New Roman" w:hAnsi="Times New Roman" w:eastAsia="黑体"/>
                <w:sz w:val="20"/>
                <w:szCs w:val="20"/>
              </w:rPr>
            </w:pPr>
            <w:r>
              <w:rPr>
                <w:rFonts w:ascii="Times New Roman" w:hAnsi="Times New Roman" w:eastAsia="黑体"/>
                <w:sz w:val="20"/>
                <w:szCs w:val="20"/>
              </w:rPr>
              <w:t xml:space="preserve">等级</w:t>
            </w:r>
            <w:r>
              <w:rPr>
                <w:rFonts w:ascii="Times New Roman" w:hAnsi="Times New Roman" w:eastAsia="黑体"/>
                <w:sz w:val="20"/>
                <w:szCs w:val="20"/>
              </w:rPr>
            </w:r>
            <w:r/>
          </w:p>
        </w:tc>
        <w:tc>
          <w:tcPr>
            <w:tcW w:w="4278" w:type="dxa"/>
            <w:vAlign w:val="center"/>
            <w:textDirection w:val="lrTb"/>
            <w:noWrap w:val="false"/>
          </w:tcPr>
          <w:p>
            <w:pPr>
              <w:pStyle w:val="905"/>
              <w:ind w:left="57" w:right="57"/>
              <w:jc w:val="center"/>
              <w:spacing w:line="280" w:lineRule="exact"/>
              <w:rPr>
                <w:rFonts w:ascii="Times New Roman" w:hAnsi="Times New Roman" w:eastAsia="黑体"/>
                <w:sz w:val="20"/>
                <w:szCs w:val="20"/>
              </w:rPr>
            </w:pPr>
            <w:r>
              <w:rPr>
                <w:rFonts w:ascii="Times New Roman" w:hAnsi="Times New Roman" w:eastAsia="黑体"/>
                <w:bCs/>
                <w:sz w:val="20"/>
                <w:szCs w:val="20"/>
              </w:rPr>
              <w:t xml:space="preserve">必检项目</w:t>
            </w:r>
            <w:r>
              <w:rPr>
                <w:rFonts w:ascii="Times New Roman" w:hAnsi="Times New Roman" w:eastAsia="黑体"/>
                <w:sz w:val="20"/>
                <w:szCs w:val="20"/>
              </w:rPr>
            </w:r>
            <w:r/>
          </w:p>
        </w:tc>
        <w:tc>
          <w:tcPr>
            <w:tcW w:w="3767" w:type="dxa"/>
            <w:vAlign w:val="center"/>
            <w:textDirection w:val="lrTb"/>
            <w:noWrap w:val="false"/>
          </w:tcPr>
          <w:p>
            <w:pPr>
              <w:pStyle w:val="905"/>
              <w:ind w:left="57" w:right="57"/>
              <w:jc w:val="center"/>
              <w:spacing w:line="280" w:lineRule="exact"/>
              <w:rPr>
                <w:rFonts w:ascii="Times New Roman" w:hAnsi="Times New Roman" w:eastAsia="黑体"/>
                <w:sz w:val="20"/>
                <w:szCs w:val="20"/>
              </w:rPr>
            </w:pPr>
            <w:r>
              <w:rPr>
                <w:rFonts w:ascii="Times New Roman" w:hAnsi="Times New Roman" w:eastAsia="黑体"/>
                <w:bCs/>
                <w:sz w:val="20"/>
                <w:szCs w:val="20"/>
              </w:rPr>
              <w:t xml:space="preserve">可选项目</w:t>
            </w:r>
            <w:r>
              <w:rPr>
                <w:rFonts w:ascii="Times New Roman" w:hAnsi="Times New Roman" w:eastAsia="黑体"/>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粮食加工品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小麦粉</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小麦粉</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小麦粉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铅（以Pb计）、镉（以Cd计）、苯并[a]芘、脱氧雪腐镰刀菌烯醇、赭曲霉毒素A</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玉米赤霉烯酮、黄曲霉毒素B1、偶氮甲酰胺、过氧化苯甲酰</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大米</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大米</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大米</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铅（以Pb计）、镉（以Cd计）、黄曲霉毒素B1</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无机砷（以As计）、苯并[a]芘、赭曲霉毒素A</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挂面</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挂面</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挂面</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铅（以Pb计）、合成着色剂（柠檬黄、日落黄、胭脂红、苋菜红、诱惑红、亮蓝）</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黄曲霉毒素B1、脱氢乙酸及其钠盐（以脱氢乙酸计）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其他粮食</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加工品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谷物加工品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谷物加工品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铅（以Pb计）、黄曲霉毒素B1</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镉（以Cd计）、赭曲霉毒素A</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谷物碾磨</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加工品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玉米粉</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（片、渣）</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苯并[a]芘、黄曲霉毒素B1、脱氧雪腐镰刀菌烯醇</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赭曲霉毒素A、玉米赤霉烯酮</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米粉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铅（以Pb计）、镉（以Cd计）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总汞（以Hg计）、无机砷（以As计）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其他谷物碾磨加工品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铅（以Pb计）、赭曲霉毒素A</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铬（以Cr计）</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谷物粉类</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制成品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生湿面制品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4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铅（以Pb计）、二氧化硫残留量、合成着色剂（柠檬黄）</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发酵面制品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4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铅（以Pb计）、苯甲酸及其钠盐（以苯甲酸计）、山梨酸及其钾盐（以山梨酸计）、脱氢乙酸及其钠盐（以脱氢乙酸计）、合成着色剂（柠檬黄、胭脂红）</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糖精钠（以糖精计）、甜蜜素（以环己基氨基磺酸计）、安赛蜜、、菌落总数、大肠菌群</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米粉制品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4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苯甲酸及其钠盐（以苯甲酸计）、山梨酸及其钾盐（以山梨酸计）、脱氢乙酸及其钠盐（以脱氢乙酸计）合成着色剂（柠檬黄、日落黄、喹啉黄、亮蓝、靛蓝）</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二氧化硫残留量、甜蜜素（以环己基氨基磺酸计）、菌落总数、大肠菌群</w:t>
            </w:r>
            <w:r>
              <w:rPr>
                <w:rFonts w:ascii="Times New Roman" w:hAnsi="Times New Roman"/>
                <w:sz w:val="20"/>
                <w:szCs w:val="20"/>
              </w:rPr>
            </w:r>
            <w:r/>
          </w:p>
        </w:tc>
      </w:tr>
      <w:tr>
        <w:trPr>
          <w:trHeight w:val="454"/>
        </w:trPr>
        <w:tc>
          <w:tcPr>
            <w:tcW w:w="676" w:type="dxa"/>
            <w:vAlign w:val="center"/>
            <w:textDirection w:val="lrTb"/>
            <w:noWrap w:val="false"/>
          </w:tcPr>
          <w:p>
            <w:pPr>
              <w:pStyle w:val="1184"/>
              <w:jc w:val="center"/>
              <w:spacing w:line="280" w:lineRule="exact"/>
              <w:rPr>
                <w:rFonts w:eastAsia="宋体"/>
                <w:sz w:val="20"/>
                <w:szCs w:val="20"/>
              </w:rPr>
            </w:pPr>
            <w:r>
              <w:rPr>
                <w:rFonts w:eastAsia="宋体"/>
                <w:sz w:val="20"/>
                <w:szCs w:val="20"/>
              </w:rPr>
              <w:t xml:space="preserve">1</w:t>
            </w:r>
            <w:r>
              <w:rPr>
                <w:rFonts w:eastAsia="宋体"/>
                <w:sz w:val="20"/>
                <w:szCs w:val="20"/>
              </w:rPr>
            </w:r>
            <w:r/>
          </w:p>
        </w:tc>
        <w:tc>
          <w:tcPr>
            <w:tcW w:w="1038"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粮食加工品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其他粮食</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加工品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谷物粉类</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制成品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其他谷物粉类制成品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苯甲酸及其钠盐（以苯甲酸计）、山梨酸及其钾盐（以山梨酸计）、脱氢乙酸及其钠盐（以脱氢乙酸计）、合成着色剂（柠檬黄、日落黄、胭脂红、苋菜红、亮蓝）</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黄曲霉毒素B1、菌落总数、大肠菌群</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食用油、</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油脂及其</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食用植物油</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食用植物油</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花生油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酸值/酸价、过氧化值、黄曲霉毒素B1、铅（以Pb计）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苯并[a]芘、溶剂残留量、特丁基对苯二酚（TBHQ）</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玉米油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酸值/酸价、过氧化值、黄曲霉毒素B1</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苯并[a]芘、特丁基对苯二酚（TBHQ）</w:t>
            </w:r>
            <w:r>
              <w:rPr>
                <w:rFonts w:eastAsia="宋体"/>
                <w:sz w:val="20"/>
                <w:szCs w:val="20"/>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lang w:eastAsia="zh-CN"/>
              </w:rPr>
            </w:pPr>
            <w:r>
              <w:rPr>
                <w:rFonts w:eastAsia="宋体"/>
                <w:sz w:val="20"/>
                <w:szCs w:val="20"/>
                <w:lang w:eastAsia="zh-CN"/>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芝麻油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酸值/酸价、过氧化值、苯并[a]芘</w:t>
            </w:r>
            <w:r>
              <w:rPr>
                <w:rFonts w:eastAsia="宋体"/>
                <w:sz w:val="20"/>
                <w:szCs w:val="20"/>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溶剂残留量、乙基麦芽酚</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橄榄油、油</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橄榄果渣油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酸值/酸价、过氧化值、溶剂残留量</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特丁基对苯二酚（TBHQ）</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菜籽油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酸值/酸价、过氧化值、苯并[a]芘、铅（以Pb计）</w:t>
            </w:r>
            <w:r>
              <w:rPr>
                <w:rFonts w:eastAsia="宋体"/>
                <w:sz w:val="20"/>
                <w:szCs w:val="20"/>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溶剂残留量、特丁基对苯二酚（TBHQ）、乙基麦芽酚</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大豆油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pacing w:val="-6"/>
                <w:sz w:val="20"/>
                <w:szCs w:val="20"/>
              </w:rPr>
            </w:pPr>
            <w:r>
              <w:rPr>
                <w:rFonts w:eastAsia="宋体"/>
                <w:spacing w:val="-6"/>
                <w:sz w:val="20"/>
                <w:szCs w:val="20"/>
              </w:rPr>
              <w:t xml:space="preserve">酸值/酸价、过氧化值、苯并[a]芘、、铅（以Pb计）</w:t>
            </w:r>
            <w:r>
              <w:rPr>
                <w:rFonts w:eastAsia="宋体"/>
                <w:spacing w:val="-6"/>
                <w:sz w:val="20"/>
                <w:szCs w:val="20"/>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溶剂残留量、特丁基对苯二酚（TBHQ）</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食用植物</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调和油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酸价、过氧化值、溶剂残留量、铅（以Pb计）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苯并[a]芘、特丁基对苯二酚（TBHQ）、乙基麦芽酚</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油茶籽油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酸值/酸价、过氧化值、溶剂残留量</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苯并[a]芘、特丁基对苯二酚（TBHQ）、铅（以Pb计）</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其他食用</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植物油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酸值/酸价、过氧化值、苯并[a]芘</w:t>
            </w:r>
            <w:r>
              <w:rPr>
                <w:rFonts w:eastAsia="宋体"/>
                <w:sz w:val="20"/>
                <w:szCs w:val="20"/>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溶剂残留量、特丁基对苯二酚（TBHQ）</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食用动物</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油脂</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食用动物</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油脂</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食用动物油脂</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酸价、过氧化值、铅（以Pb计）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丙二醛、苯并[a]芘</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食用油脂</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食用油脂</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食用油脂制品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酸价（以脂肪计）、过氧化值（以脂肪计）</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大肠菌群、霉菌</w:t>
            </w:r>
            <w:r>
              <w:rPr>
                <w:rFonts w:ascii="Times New Roman" w:hAnsi="Times New Roman"/>
                <w:sz w:val="20"/>
                <w:szCs w:val="20"/>
              </w:rPr>
            </w:r>
            <w:r/>
          </w:p>
        </w:tc>
      </w:tr>
      <w:tr>
        <w:trPr>
          <w:trHeight w:val="454"/>
        </w:trPr>
        <w:tc>
          <w:tcPr>
            <w:tcW w:w="676" w:type="dxa"/>
            <w:vAlign w:val="center"/>
            <w:textDirection w:val="lrTb"/>
            <w:noWrap w:val="false"/>
          </w:tcPr>
          <w:p>
            <w:pPr>
              <w:pStyle w:val="1184"/>
              <w:jc w:val="center"/>
              <w:spacing w:line="280" w:lineRule="exact"/>
              <w:rPr>
                <w:rFonts w:eastAsia="宋体"/>
                <w:sz w:val="20"/>
                <w:szCs w:val="20"/>
              </w:rPr>
            </w:pPr>
            <w:r>
              <w:rPr>
                <w:rFonts w:eastAsia="宋体"/>
                <w:sz w:val="20"/>
                <w:szCs w:val="20"/>
              </w:rPr>
              <w:t xml:space="preserve">3</w:t>
            </w:r>
            <w:r>
              <w:rPr>
                <w:rFonts w:eastAsia="宋体"/>
                <w:sz w:val="20"/>
                <w:szCs w:val="20"/>
              </w:rPr>
            </w:r>
            <w:r/>
          </w:p>
        </w:tc>
        <w:tc>
          <w:tcPr>
            <w:tcW w:w="1038"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酱油</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酱油</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酱油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氨基酸态氮、铵盐（以占氨基酸态氮的百分比计）、苯甲酸及其钠盐（以苯甲酸计）、山梨酸及其钾盐（以山梨酸计）、脱氢乙酸及其钠盐（以脱氢乙酸计）、菌落总数、大肠菌群</w:t>
            </w:r>
            <w:r>
              <w:rPr>
                <w:rFonts w:ascii="Times New Roman" w:hAnsi="Times New Roman"/>
                <w:sz w:val="20"/>
                <w:szCs w:val="20"/>
              </w:rPr>
            </w:r>
            <w:r/>
          </w:p>
        </w:tc>
        <w:tc>
          <w:tcPr>
            <w:tcW w:w="3767" w:type="dxa"/>
            <w:vAlign w:val="center"/>
            <w:textDirection w:val="lrTb"/>
            <w:noWrap w:val="false"/>
          </w:tcPr>
          <w:p>
            <w:pPr>
              <w:pStyle w:val="905"/>
              <w:ind w:left="57" w:right="57"/>
              <w:spacing w:line="240" w:lineRule="exact"/>
              <w:rPr>
                <w:rFonts w:ascii="Times New Roman" w:hAnsi="Times New Roman"/>
                <w:sz w:val="20"/>
                <w:szCs w:val="20"/>
              </w:rPr>
            </w:pPr>
            <w:r>
              <w:rPr>
                <w:rFonts w:ascii="Times New Roman" w:hAnsi="Times New Roman"/>
                <w:sz w:val="20"/>
                <w:szCs w:val="20"/>
              </w:rPr>
              <w:t xml:space="preserve">全氮（以氮计）、对羟基苯甲酸酯类及其钠盐（以对羟基苯甲酸计）、防腐剂混合使用时各自用量占其最大使用量的比例之和、糖精钠（以糖精计）、甜蜜素（以环己基氨基磺酸计）</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食醋</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食醋</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食醋</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总酸（以乙酸计）、、苯甲酸及其钠盐（以苯甲酸计）、山梨酸及其钾盐（以山梨酸计）、糖精钠（以糖精计）、脱氢乙酸及其钠盐（以脱氢乙酸计）、菌落总数</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不挥发酸（以乳酸计）、对羟基苯甲酸酯类及其钠盐（以对羟基苯甲酸计）、防腐剂混合使用时各自用量占其最大使用量的比例之和、甜蜜素（以环己基氨基磺酸计）、三氯蔗糖</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酱类</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酿造酱</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黄豆酱、</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甜面酱等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氨基酸态氮苯甲酸及其钠盐（以苯甲酸计）、山梨酸及其钾盐（以山梨酸计）、脱氢乙酸及其钠盐（以脱氢乙酸计）、糖精钠（以糖精计）、大肠菌群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黄曲霉毒素B1、防腐剂混合使用时各自用量占其最大使用量的比例之和、甜蜜素（以环己基氨基磺酸计）、安赛蜜</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调味料酒</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调味料酒</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料酒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氨基酸态氮（以氮计）、苯甲酸及其钠盐（以苯甲酸计）、山梨酸及其钾盐（以山梨酸计）、脱氢乙酸及其钠盐（以脱氢乙酸计）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甜蜜素（以环己基氨基磺酸计）、三氯蔗糖</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香辛料类</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香辛料类</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香辛料调味油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酸价/酸值、过氧化值</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辣椒、花椒、</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辣椒粉、</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花椒粉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铅（以Pb计）、苏丹红</w:t>
            </w:r>
            <w:r>
              <w:rPr>
                <w:rFonts w:hAnsi="宋体" w:eastAsia="宋体"/>
                <w:sz w:val="20"/>
                <w:szCs w:val="20"/>
                <w:lang w:eastAsia="zh-CN"/>
              </w:rPr>
              <w:t xml:space="preserve">Ⅰ</w:t>
            </w:r>
            <w:r>
              <w:rPr>
                <w:rFonts w:eastAsia="宋体"/>
                <w:sz w:val="20"/>
                <w:szCs w:val="20"/>
                <w:lang w:eastAsia="zh-CN"/>
              </w:rPr>
              <w:t xml:space="preserve">、苏丹红</w:t>
            </w:r>
            <w:r>
              <w:rPr>
                <w:rFonts w:hAnsi="宋体" w:eastAsia="宋体"/>
                <w:sz w:val="20"/>
                <w:szCs w:val="20"/>
                <w:lang w:eastAsia="zh-CN"/>
              </w:rPr>
              <w:t xml:space="preserve">Ⅱ</w:t>
            </w:r>
            <w:r>
              <w:rPr>
                <w:rFonts w:eastAsia="宋体"/>
                <w:sz w:val="20"/>
                <w:szCs w:val="20"/>
                <w:lang w:eastAsia="zh-CN"/>
              </w:rPr>
              <w:t xml:space="preserve">、苏丹红</w:t>
            </w:r>
            <w:r>
              <w:rPr>
                <w:rFonts w:hAnsi="宋体" w:eastAsia="宋体"/>
                <w:sz w:val="20"/>
                <w:szCs w:val="20"/>
                <w:lang w:eastAsia="zh-CN"/>
              </w:rPr>
              <w:t xml:space="preserve">Ⅲ</w:t>
            </w:r>
            <w:r>
              <w:rPr>
                <w:rFonts w:eastAsia="宋体"/>
                <w:sz w:val="20"/>
                <w:szCs w:val="20"/>
                <w:lang w:eastAsia="zh-CN"/>
              </w:rPr>
              <w:t xml:space="preserve">、苏丹红</w:t>
            </w:r>
            <w:r>
              <w:rPr>
                <w:rFonts w:hAnsi="宋体" w:eastAsia="宋体"/>
                <w:sz w:val="20"/>
                <w:szCs w:val="20"/>
                <w:lang w:eastAsia="zh-CN"/>
              </w:rPr>
              <w:t xml:space="preserve">Ⅳ</w:t>
            </w:r>
            <w:r>
              <w:rPr>
                <w:rFonts w:eastAsia="宋体"/>
                <w:sz w:val="20"/>
                <w:szCs w:val="20"/>
                <w:lang w:eastAsia="zh-CN"/>
              </w:rPr>
              <w:t xml:space="preserve">、脱氢乙酸及其钠盐（以脱氢乙酸计）、山梨酸及其钾盐（以山梨酸计）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罗丹明B、二氧化硫残留量、合成着色剂（柠檬黄、日落黄、胭脂红）</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其他香辛料</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调味品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铅（以Pb计）、脱氢乙酸及其钠盐（以脱氢乙酸计）、二氧化硫残留量、甜蜜素（以环己基氨基磺酸计）、合成着色剂（柠檬黄、日落黄、苋菜红、胭脂红、亮蓝）</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丙溴磷、氯氰菊酯和高效氯氰菊酯、多菌灵、毒死蜱、克百威、沙门氏菌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固体复合</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鸡粉、鸡精</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谷氨酸钠、呈味核苷酸二钠、铅（以Pb计）、菌落总数、大肠菌群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总氮（以N 计）、糖精钠（以糖精计）、甜蜜素（以环己基氨基磺酸计）、安赛蜜</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其他固体</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罂粟碱、吗啡、可待因、那可丁、苯甲酸及其钠盐（以苯甲酸计）、山梨酸及其钾盐（以山梨酸计）、脱氢乙酸及其钠盐（以脱氢乙酸计）、甜蜜素（以环己基氨基磺酸计）、二氧化硫残留量</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铅（以Pb计）、苏丹红</w:t>
            </w:r>
            <w:r>
              <w:rPr>
                <w:rFonts w:hAnsi="宋体" w:eastAsia="宋体"/>
                <w:sz w:val="20"/>
                <w:szCs w:val="20"/>
                <w:lang w:eastAsia="zh-CN"/>
              </w:rPr>
              <w:t xml:space="preserve">Ⅰ</w:t>
            </w:r>
            <w:r>
              <w:rPr>
                <w:rFonts w:eastAsia="宋体"/>
                <w:sz w:val="20"/>
                <w:szCs w:val="20"/>
                <w:lang w:eastAsia="zh-CN"/>
              </w:rPr>
              <w:t xml:space="preserve">、苏丹红</w:t>
            </w:r>
            <w:r>
              <w:rPr>
                <w:rFonts w:hAnsi="宋体" w:eastAsia="宋体"/>
                <w:sz w:val="20"/>
                <w:szCs w:val="20"/>
                <w:lang w:eastAsia="zh-CN"/>
              </w:rPr>
              <w:t xml:space="preserve">Ⅱ</w:t>
            </w:r>
            <w:r>
              <w:rPr>
                <w:rFonts w:eastAsia="宋体"/>
                <w:sz w:val="20"/>
                <w:szCs w:val="20"/>
                <w:lang w:eastAsia="zh-CN"/>
              </w:rPr>
              <w:t xml:space="preserve">、苏丹红</w:t>
            </w:r>
            <w:r>
              <w:rPr>
                <w:rFonts w:hAnsi="宋体" w:eastAsia="宋体"/>
                <w:sz w:val="20"/>
                <w:szCs w:val="20"/>
                <w:lang w:eastAsia="zh-CN"/>
              </w:rPr>
              <w:t xml:space="preserve">Ⅲ</w:t>
            </w:r>
            <w:r>
              <w:rPr>
                <w:rFonts w:eastAsia="宋体"/>
                <w:sz w:val="20"/>
                <w:szCs w:val="20"/>
                <w:lang w:eastAsia="zh-CN"/>
              </w:rPr>
              <w:t xml:space="preserve">、苏丹红</w:t>
            </w:r>
            <w:r>
              <w:rPr>
                <w:rFonts w:hAnsi="宋体" w:eastAsia="宋体"/>
                <w:sz w:val="20"/>
                <w:szCs w:val="20"/>
                <w:lang w:eastAsia="zh-CN"/>
              </w:rPr>
              <w:t xml:space="preserve">Ⅳ</w:t>
            </w:r>
            <w:r>
              <w:rPr>
                <w:rFonts w:eastAsia="宋体"/>
                <w:sz w:val="20"/>
                <w:szCs w:val="20"/>
                <w:lang w:eastAsia="zh-CN"/>
              </w:rPr>
              <w:t xml:space="preserve">、防腐剂混合使用时各自用量占其最大使用量的比例之和、糖精钠（以糖精计）、安赛蜜、阿斯巴甜</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半固体复合调味料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蛋黄酱、</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沙拉酱</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二氧化钛</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半固体复合调味料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坚果与籽类</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的泥（酱）</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酸价/酸值、过氧化值</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铅（以Pb计）、黄曲霉毒素B1</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辣椒酱</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苯甲酸及其钠盐（以苯甲酸计）、山梨酸及其钾盐（以山梨酸计）、脱氢乙酸及其钠盐（以脱氢乙酸计）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防腐剂混合使用时各自用量占其最大使用量的比例之和、甜蜜素（以环己基氨基磺酸计）、二氧化硫残留量</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火锅底料、</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麻辣烫底料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罂粟碱、吗啡、可待因、那可丁</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苯甲酸及其钠盐（以苯甲酸计）、山梨酸及其钾盐（以山梨酸计）、脱氢乙酸及其钠盐（以脱氢乙酸计）、防腐剂混合使用时各自用量占其最大使用量的比例之和</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其他半固体</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罂粟碱、吗啡、可待因、那可丁、苯甲酸及其钠盐（以苯甲酸计）、山梨酸及其钾盐（以山梨酸计）、脱氢乙酸及其钠盐（以脱氢乙酸计）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铅（以Pb计）、罗丹明B、防腐剂混合使用时各自用量占其最大使用量的比例之和、甜蜜素（以环己基氨基磺酸计）、安赛蜜</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液体复合</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蚝油、虾油、鱼露</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氨基酸态氮、苯甲酸及其钠盐（以苯甲酸计）、山梨酸及其钾盐（以山梨酸计）、脱氢乙酸及其钠盐（以脱氢乙酸计）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防腐剂混合使用时各自用量占其最大使用量的比例之和、菌落总数</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其他液体</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调味料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苯甲酸及其钠盐（以苯甲酸计）、山梨酸及其钾盐（以山梨酸计）、脱氢乙酸及其钠盐（以脱氢乙酸计）、合成着色剂（柠檬黄、日落黄、胭脂红、诱惑红）</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防腐剂混合使用时各自用量占其最大使用量的比例之和、糖精钠（以糖精计）、甜蜜素（以环己基氨基磺酸计）、相同色泽着色剂混合使用时各自用量占其最大使用量的比例之和、菌落总数</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味精</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味精</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味精</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谷氨酸钠</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食盐</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食用盐</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普通食用盐</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氯化钠、钡（以Ba计）、碘（以I 计）、亚铁氰化钾/亚铁氰化钠（以亚铁氰根计）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铅（以Pb计）、总砷（以As计）、镉（以Cd计）、总汞（以Hg计）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低钠食用盐</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氯化钾、钡（以Ba计）、碘（以I 计）、亚铁氰化钾/亚铁氰化钠（以亚铁氰根计）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铅（以Pb计）、总砷（以As计）、镉（以Cd计）、总汞（以Hg计）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风味食用盐</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钡（以Ba计）、亚铁氰化钾/亚铁氰化钠（以亚铁氰根计）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铅（以Pb计）、总砷（以As计）、镉（以Cd计）、总汞（以Hg计）</w:t>
            </w:r>
            <w:r>
              <w:rPr>
                <w:rFonts w:eastAsia="宋体"/>
                <w:sz w:val="20"/>
                <w:szCs w:val="20"/>
                <w:lang w:eastAsia="zh-CN"/>
              </w:rPr>
            </w:r>
            <w:r/>
          </w:p>
        </w:tc>
      </w:tr>
      <w:tr>
        <w:trPr>
          <w:trHeight w:val="454"/>
        </w:trPr>
        <w:tc>
          <w:tcPr>
            <w:tcW w:w="676"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食盐</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食用盐</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特殊工艺</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食用盐</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氯化钠、钡（以Ba计）、亚铁氰化钾/亚铁氰化钠（以亚铁氰根计）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碘（以I 计）、铅（以Pb计）、总砷（以As计）、镉（以Cd计）、总汞（以Hg计）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食品生产</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加工用盐</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食品生产</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加工用盐</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铅（以Pb计）、亚铁氰化钾/亚铁氰化钠（以亚铁氰根计）、亚硝酸盐（以NaNO2计）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总砷（以As计）、镉（以Cd计）、总汞（以Hg计）</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4</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肉制品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预制肉制品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调理肉制品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调理肉制品</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（非速冻）</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苯甲酸及其钠盐（以苯甲酸计）、山梨酸及其钾盐（以山梨酸计）、脱氢乙酸及其钠盐（以脱氢乙酸计）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腌腊肉制品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腌腊肉制品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过氧化值（以脂肪计）、亚硝酸盐（以亚硝酸钠计）、苯甲酸及其钠盐（以苯甲酸计）、山梨酸及其钾盐（以山梨酸计）、脱氢乙酸及其钠盐（以脱氢乙酸计）、红2G</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铅（以Pb计）、总砷（以As计）、合成着色剂（柠檬黄、日落黄、胭脂红、诱惑红、苋菜红、酸性红）、氯霉素</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熟肉制品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发酵肉制品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发酵肉制品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亚硝酸盐（以亚硝酸钠计）、沙门氏菌、金黄色葡萄球菌</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单核细胞增生李斯特氏菌、致泻大肠埃希氏菌</w:t>
            </w:r>
            <w:r>
              <w:rPr>
                <w:rFonts w:ascii="Times New Roman" w:hAnsi="Times New Roman"/>
                <w:sz w:val="20"/>
                <w:szCs w:val="20"/>
              </w:rPr>
            </w:r>
            <w:r/>
          </w:p>
        </w:tc>
      </w:tr>
      <w:tr>
        <w:trPr>
          <w:trHeight w:val="178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酱卤肉制品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酱卤肉制品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N-二甲基亚硝胺、亚硝酸盐（以亚硝酸钠计）、苯甲酸及其钠盐（以苯甲酸计）、山梨酸及其钾盐（以山梨酸计）、糖精钠（以糖精计）、脱氢乙酸及其钠盐（以脱氢乙酸计）、纳他霉素、氯霉素、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Cd计）、铬（以Cr计）、总砷（以As计）、防腐剂混合使用时各自用量占其最大使用量的比例之和、合成着色剂（柠檬黄、日落黄、胭脂红、诱惑红）、沙门氏菌、金黄色葡萄球菌、单核细胞增生李斯特氏菌、致泻大肠埃希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油炸肉制品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油炸肉制品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N-二甲基亚硝胺、亚硝酸盐（以亚硝酸钠计）、苯甲酸及其钠盐（以苯甲酸计）、山梨酸及其钾盐（以山梨酸计）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沙门氏菌、金黄色葡萄球菌、单核细胞增生李斯特氏菌、致泻大肠埃希氏菌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熟肉干制品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熟肉干制品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N-二甲基亚硝胺、苯甲酸及其钠盐（以苯甲酸计）、山梨酸及其钾盐（以山梨酸计）、脱氢乙酸及其钠盐（以脱氢乙酸计）、氯霉素、菌落总数、大肠菌群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铅（以Pb计）、防腐剂混合使用时各自用量占其最大使用量的比例之和、合成着色剂（胭脂红、诱惑红）、沙门氏菌、金黄色葡萄球菌、单核细胞增生李斯特氏菌、致泻大肠埃希氏菌</w:t>
            </w:r>
            <w:r>
              <w:rPr>
                <w:rFonts w:eastAsia="宋体"/>
                <w:sz w:val="20"/>
                <w:szCs w:val="20"/>
                <w:lang w:eastAsia="zh-CN"/>
              </w:rPr>
            </w:r>
            <w:r/>
          </w:p>
        </w:tc>
      </w:tr>
      <w:tr>
        <w:trPr>
          <w:trHeight w:val="454"/>
        </w:trPr>
        <w:tc>
          <w:tcPr>
            <w:tcW w:w="676"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4</w:t>
            </w:r>
            <w:r>
              <w:rPr>
                <w:rFonts w:ascii="Times New Roman" w:hAnsi="Times New Roman"/>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肉制品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熟肉制品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熏烧烤</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肉制品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熏烧烤肉制品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苯并[a]芘、N-二甲基亚硝胺、亚硝酸盐（以亚硝酸钠计）、苯甲酸及其钠盐（以苯甲酸计）、山梨酸及其钾盐（以山梨酸计）、菌落总数、大肠菌群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纳他霉素、氯霉素、合成着色剂（柠檬黄、日落黄、胭脂红）、沙门氏菌、金黄色葡萄球菌、单核细胞增生李斯特氏菌、致泻大肠埃希氏菌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熏煮香肠</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火腿制品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熏煮香肠</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火腿制品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亚硝酸盐（以亚硝酸钠计）、苯甲酸及其钠盐（以苯甲酸计）、山梨酸及其钾盐（以山梨酸计）、脱氢乙酸及其钠盐（以脱氢乙酸计）、氯霉素、菌落总数、大肠菌群</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防腐剂混合使用时各自用量占其最大使用量的比例之和、合成着色剂（胭脂红、诱惑红）、沙门氏菌、金黄色葡萄球菌、单核细胞增生李斯特氏菌、致泻大肠埃希氏菌</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hint="eastAsia" w:eastAsia="宋体"/>
                <w:sz w:val="20"/>
                <w:szCs w:val="20"/>
                <w:lang w:eastAsia="zh-CN"/>
              </w:rPr>
            </w:pPr>
            <w:r>
              <w:rPr>
                <w:rFonts w:eastAsia="宋体"/>
                <w:sz w:val="20"/>
                <w:szCs w:val="20"/>
              </w:rPr>
              <w:t xml:space="preserve">5</w:t>
            </w:r>
            <w:r>
              <w:rPr>
                <w:rFonts w:hint="eastAsia" w:eastAsia="宋体"/>
                <w:sz w:val="20"/>
                <w:szCs w:val="20"/>
                <w:lang w:eastAsia="zh-CN"/>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乳制品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乳制品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液体乳</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灭菌乳</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蛋白质、脂肪、非脂乳固体、酸度、商业无菌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三聚氰胺、铅（以Pb计）、黄曲霉毒素M1、丙二醇、</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巴氏杀菌乳</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蛋白质、酸度、铅（以Pb计）、菌落总数、大肠菌群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沙门氏菌、金黄色葡萄球菌、黄曲霉毒素M1、丙二醇、三聚氰胺</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调制乳</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蛋白质、商业无菌、菌落总数、大肠菌群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三聚氰胺、铅（以Pb计）、黄曲霉毒素M1</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发酵乳</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蛋白质、脂肪、酸度、三聚氰胺、铅（以Pb计）、山梨酸及其钾盐（以山梨酸计）、大肠菌群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甜蜜素（以环己基氨基磺酸计）、阿斯巴甜、安赛蜜、沙门氏菌、金黄色葡萄球菌、霉菌、黄曲霉毒素M1、</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高温杀菌乳</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蛋白质、酸度、铅（以Pb计）、菌落总数、大肠菌群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三聚氰胺、黄曲霉毒素M1、丙二醇、沙门氏菌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乳粉</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乳粉（全脂、脱脂、部分</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脱脂）和调制乳粉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蛋白质、脂肪、铅（以Pb计）、菌落总数、大肠菌群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复原乳酸度、杂质度、水分、三聚氰胺、</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乳清粉和乳清蛋白粉</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（企业原料）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脱盐乳清粉、非脱盐乳清粉、浓缩乳清蛋白粉、分离乳清蛋白粉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蛋白质、三聚氰胺</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5</w:t>
            </w:r>
            <w:r>
              <w:rPr>
                <w:rFonts w:ascii="Times New Roman" w:hAnsi="Times New Roman"/>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乳制品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乳制品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其他乳制</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品（浓缩乳</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制品、奶</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油、干酪、</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固态成型</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稀奶油、奶油和无水奶油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脂肪、酸度、三聚氰胺、脱氢乙酸及其钠盐（以脱氢乙酸计）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商业无菌、沙门氏菌、菌落总数、大肠菌群霉菌</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干酪、再制干酪、干酪制品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三聚氰胺、金黄色葡萄球菌、菌落总数、沙门氏菌</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单核细胞增生李斯特氏菌、大肠菌群、霉菌</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奶片、奶条等固态成型产品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蛋白质、三聚氰胺</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脱氢乙酸及其钠盐（以脱氢乙酸计）、沙门氏菌</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6</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饮料</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饮料</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包装饮用水</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饮用天然</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矿泉水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溴酸盐、硝酸盐（以NO3-计）、亚硝酸盐（以NO2-计）、大肠菌群、铜绿假单胞菌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界限指标、铅（以Pb计）、总砷（以As计）、镉（以Cd计）、总汞（以Hg计）、镍</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饮用纯净水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亚硝酸盐（以NO2-计）、余氯（游离氯）、溴酸盐、三氯甲烷、大肠菌群、铜绿假单胞菌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电导率、耗氧量（以O2计）、铅（以Pb计）、总砷（以As计）、镉（以Cd计）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其他类饮用水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亚硝酸盐（以NO2-计）、余氯（游离氯）、溴酸盐、三氯甲烷、大肠菌群、铜绿假单胞菌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耗氧量（以O2计）、铅（以Pb计）、总砷（以As计）、镉（以Cd计）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果蔬汁类</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及其饮料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果蔬汁类</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及其饮料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苯甲酸及其钠盐（以苯甲酸计）、山梨酸及其钾盐（以山梨酸计）、脱氢乙酸及其钠盐（以脱氢乙酸计）、菌落总数、大肠菌群、霉菌、酵母</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展青霉素、纳他霉素、防腐剂混合使用时各自用量占其最大使用量的比例之和、安赛蜜、甜蜜素（以环己基氨基磺酸计）、阿斯巴甜、合成着色剂（柠檬黄、新红、苋菜红、靛蓝、胭脂红、日落黄、诱惑红、亮蓝、酸性红、喹啉黄、赤藓红）</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蛋白饮料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蛋白饮料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蛋白质、脱氢乙酸及其钠盐（以脱氢乙酸计）、安赛蜜、甜蜜素（以环己基氨基磺酸计）、阿斯巴甜、菌落总数、大肠菌群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乳酸菌数、氰化物（以HCN计）、三聚氰胺、霉菌、酵母、商业无菌</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碳酸饮料</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（汽水）</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碳酸饮料</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（汽水）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二氧化碳气容量、苯甲酸及其钠盐（以苯甲酸计）、山梨酸及其钾盐（以山梨酸计）、菌落总数、霉菌、酵母</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防腐剂混合使用时各自用量占其最大使用量的比例之和、安赛蜜、甜蜜素（以环己基氨基磺酸计）、阿斯巴甜</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茶饮料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茶饮料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茶多酚、咖啡因、脱氢乙酸及其钠盐（以脱氢乙酸计）、菌落总数</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安赛蜜、甜蜜素（以环己基氨基磺酸计）、阿斯巴甜</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6</w:t>
            </w:r>
            <w:r>
              <w:rPr>
                <w:rFonts w:ascii="Times New Roman" w:hAnsi="Times New Roman"/>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饮料</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饮料</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固体饮料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固体饮料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合成着色剂（柠檬黄、新红、苋菜红、靛蓝、胭脂红、日落黄、诱惑红、亮蓝、酸性红、喹啉黄、赤藓红）、安赛蜜、甜蜜素（以环己基氨基磺酸计）、阿斯巴甜、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乳酸菌数、西地那非、他达拉非、西布曲明、比沙可啶、铅（以Pb计）、氰化物（以HCN计）、防腐剂混合使用时各自用量占其最大使用量的比例之和、糖精钠（以糖精计）、相同色泽着色剂混合使用时各自用量占其最大使用量的比例之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其他饮料</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其他饮料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脱氢乙酸及其钠盐（以脱氢乙酸计）、合成着色剂（柠檬黄、新红、苋菜红、靛蓝、胭脂红、日落黄、诱惑红、亮蓝、酸性红、喹啉黄、赤藓红）、菌落总数、大肠菌群、霉菌、酵母</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防腐剂混合使用时各自用量占其最大使用量的比例之和、糖精钠（以糖精计）、安赛蜜、甜蜜素（以环己基氨基磺酸计）、阿斯巴甜</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7</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方便食品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方便食品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方便面</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油炸面、</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非油炸面</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水分、酸价（以脂肪计）（KOH）、过氧化值（以脂肪计）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方便米粉</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（米线）</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水分、菌落总数、大肠菌群、霉菌</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方便粉丝</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水分、菌落总数、大肠菌群、霉菌</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其他方便面</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水分、酸价（以脂肪计）（KOH）、过氧化值（以脂肪计）、菌落总数、大肠菌群、霉菌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调味面制品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调味面制品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糖精钠（以糖精计）、合成着色剂（柠檬黄、日落黄、诱惑红、苋菜红、胭脂红）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酸价（以脂肪计）（KOH）、过氧化值（以脂肪计）、甜蜜素（以环己基氨基磺酸计）、安赛蜜、三氯蔗糖、、沙门氏菌、金黄色葡萄球菌</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其他方便</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冲调类</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方便食品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苯甲酸及其钠盐（以苯甲酸计）、山梨酸及其钾盐（以山梨酸计）、糖精钠（以糖精计）、菌落总数、大肠菌群、霉菌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酸价（以脂肪计）（KOH）、过氧化值（以脂肪计）、铅（以Pb计）、黄曲霉毒素B1、沙门氏菌、金黄色葡萄球菌</w:t>
            </w:r>
            <w:r>
              <w:rPr>
                <w:rFonts w:eastAsia="宋体"/>
                <w:sz w:val="20"/>
                <w:szCs w:val="20"/>
                <w:lang w:eastAsia="zh-CN"/>
              </w:rPr>
            </w:r>
            <w:r/>
          </w:p>
        </w:tc>
      </w:tr>
      <w:tr>
        <w:trPr>
          <w:trHeight w:val="454"/>
        </w:trPr>
        <w:tc>
          <w:tcPr>
            <w:tcW w:w="676"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7</w:t>
            </w:r>
            <w:r>
              <w:rPr>
                <w:rFonts w:ascii="Times New Roman" w:hAnsi="Times New Roman"/>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方便食品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方便食品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其他方便</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主食类</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方便食品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苯甲酸及其钠盐（以苯甲酸计）、山梨酸及其钾盐（以山梨酸计）、脱氢乙酸及其钠盐（以脱氢乙酸计）、糖精钠（以糖精计）、菌落总数、大肠菌群、霉菌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酸价（以脂肪计）（KOH）、过氧化值（以脂肪计）、铅（以Pb计）、沙门氏菌、金黄色葡萄球菌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其他类</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方便食品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苯甲酸及其钠盐（以苯甲酸计）、山梨酸及其钾盐（以山梨酸计）、糖精钠（以糖精计）、菌落总数、大肠菌群、霉菌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酸价（以脂肪计）（KOH）、过氧化值（以脂肪计）、铅（以Pb计）、沙门氏菌、金黄色葡萄球菌</w:t>
            </w:r>
            <w:r>
              <w:rPr>
                <w:rFonts w:eastAsia="宋体"/>
                <w:sz w:val="20"/>
                <w:szCs w:val="20"/>
                <w:lang w:eastAsia="zh-CN"/>
              </w:rPr>
            </w:r>
            <w:r/>
          </w:p>
        </w:tc>
      </w:tr>
      <w:tr>
        <w:trPr>
          <w:trHeight w:val="454"/>
        </w:trPr>
        <w:tc>
          <w:tcPr>
            <w:tcW w:w="676" w:type="dxa"/>
            <w:vAlign w:val="center"/>
            <w:textDirection w:val="lrTb"/>
            <w:noWrap w:val="false"/>
          </w:tcPr>
          <w:p>
            <w:pPr>
              <w:pStyle w:val="1184"/>
              <w:jc w:val="center"/>
              <w:spacing w:line="280" w:lineRule="exact"/>
              <w:rPr>
                <w:rFonts w:eastAsia="宋体"/>
                <w:sz w:val="20"/>
                <w:szCs w:val="20"/>
              </w:rPr>
            </w:pPr>
            <w:r>
              <w:rPr>
                <w:rFonts w:eastAsia="宋体"/>
                <w:sz w:val="20"/>
                <w:szCs w:val="20"/>
              </w:rPr>
              <w:t xml:space="preserve">8</w:t>
            </w:r>
            <w:r>
              <w:rPr>
                <w:rFonts w:eastAsia="宋体"/>
                <w:sz w:val="20"/>
                <w:szCs w:val="20"/>
              </w:rPr>
            </w:r>
            <w:r/>
          </w:p>
        </w:tc>
        <w:tc>
          <w:tcPr>
            <w:tcW w:w="1038"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饼干</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饼干</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饼干</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饼干</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酸价（以脂肪计）（KOH）、过氧化值（以脂肪计）、山梨酸及其钾盐（以山梨酸计）、铝的残留量（干样品，以Al计）、糖精钠（以糖精计）、苯甲酸及其钠盐（以苯甲酸计）、菌落总数、大肠菌群、霉菌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脱氢乙酸及其钠盐（以脱氢乙酸计）、甜蜜素（以环己基氨基磺酸计）、二氧化硫残留量、合成着色剂（柠檬黄、日落黄、胭脂红、苋菜红、亮蓝、靛蓝、诱惑红）、金黄色葡萄球菌、沙门氏菌</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9</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罐头</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罐头</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畜禽水产</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罐头</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畜禽肉类罐头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苯甲酸及其钠盐（以苯甲酸计）、山梨酸及其钾盐（以山梨酸计）、商业无菌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铅（以Pb计）、镉（以Cd计）、脱氢乙酸及其钠盐（以脱氢乙酸计）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水产动物类</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罐头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组胺、苯甲酸及其钠盐（以苯甲酸计）、山梨酸及其钾盐（以山梨酸计）、糖精钠（以糖精计）、商业无菌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铅（以Pb计）、无机砷（以As计）、脱氢乙酸及其钠盐（以脱氢乙酸计）、甜蜜素（以环己基氨基磺酸计）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果蔬罐头</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水果类罐头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脱氢乙酸及其钠盐（以脱氢乙酸计）、苯甲酸及其钠盐（以苯甲酸计）、山梨酸及其钾盐（以山梨酸计）、糖精钠（以糖精计）、商业无菌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铅（以Pb计）、合成着色剂（柠檬黄、日落黄、苋菜红、胭脂红、赤藓红、诱惑红、亮蓝）、甜蜜素（以环己基氨基磺酸计）、二氧化硫残留量</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蔬菜类罐头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苯甲酸及其钠盐（以苯甲酸计）、山梨酸及其钾盐（以山梨酸计）、二氧化硫残留量、商业无菌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铅（以Pb计）、合成着色剂（柠檬黄、日落黄）、脱氢乙酸及其钠盐（以脱氢乙酸计）、乙二胺四乙酸二钠</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食用菌罐头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苯甲酸及其钠盐（以苯甲酸计）、山梨酸及其钾盐（以山梨酸计）、二氧化硫残留量、商业无菌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铅（以Pb计）、脱氢乙酸及其钠盐（以脱氢乙酸计）、乙二胺四乙酸二钠</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其他罐头</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其他罐头</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苯甲酸及其钠盐（以苯甲酸计）、山梨酸及其钾盐（以山梨酸计）、商业无菌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黄曲霉毒素B1、脱氢乙酸及其钠盐（以脱氢乙酸计）、乙二胺四乙酸二钠</w:t>
            </w:r>
            <w:r>
              <w:rPr>
                <w:rFonts w:eastAsia="宋体"/>
                <w:sz w:val="20"/>
                <w:szCs w:val="20"/>
                <w:lang w:eastAsia="zh-CN"/>
              </w:rPr>
            </w:r>
            <w:r/>
          </w:p>
        </w:tc>
      </w:tr>
      <w:tr>
        <w:trPr>
          <w:trHeight w:val="454"/>
        </w:trPr>
        <w:tc>
          <w:tcPr>
            <w:tcW w:w="676" w:type="dxa"/>
            <w:vAlign w:val="center"/>
            <w:textDirection w:val="lrTb"/>
            <w:noWrap w:val="false"/>
          </w:tcPr>
          <w:p>
            <w:pPr>
              <w:pStyle w:val="1184"/>
              <w:jc w:val="center"/>
              <w:spacing w:line="260" w:lineRule="exact"/>
              <w:rPr>
                <w:rFonts w:eastAsia="宋体"/>
                <w:sz w:val="20"/>
                <w:szCs w:val="20"/>
              </w:rPr>
            </w:pPr>
            <w:r>
              <w:rPr>
                <w:rFonts w:eastAsia="宋体"/>
                <w:sz w:val="20"/>
                <w:szCs w:val="20"/>
              </w:rPr>
              <w:t xml:space="preserve">10</w:t>
            </w:r>
            <w:r>
              <w:rPr>
                <w:rFonts w:eastAsia="宋体"/>
                <w:sz w:val="20"/>
                <w:szCs w:val="20"/>
              </w:rPr>
            </w:r>
            <w:r/>
          </w:p>
        </w:tc>
        <w:tc>
          <w:tcPr>
            <w:tcW w:w="1038"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冷冻饮品</w:t>
            </w:r>
            <w:r>
              <w:rPr>
                <w:rFonts w:ascii="Times New Roman" w:hAnsi="Times New Roman"/>
                <w:sz w:val="20"/>
                <w:szCs w:val="20"/>
              </w:rPr>
            </w:r>
            <w:r/>
          </w:p>
        </w:tc>
        <w:tc>
          <w:tcPr>
            <w:tcW w:w="1154"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冷冻饮品</w:t>
            </w: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冷冻饮品</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冰淇淋、雪糕、雪泥、冰棍、食用冰、甜味冰、其他类</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pacing w:val="-4"/>
                <w:sz w:val="20"/>
                <w:szCs w:val="20"/>
              </w:rPr>
            </w:pPr>
            <w:r>
              <w:rPr>
                <w:rFonts w:ascii="Times New Roman" w:hAnsi="Times New Roman"/>
                <w:spacing w:val="-4"/>
                <w:sz w:val="20"/>
                <w:szCs w:val="20"/>
              </w:rPr>
              <w:t xml:space="preserve">蛋白质、甜蜜素（以环己基氨基磺酸计）、糖精钠（以糖精计）、合成着色剂（柠檬黄、日落黄、新红、苋菜红、靛蓝、胭脂红、诱惑红、亮蓝、酸性红、喹啉黄、赤藓红）、菌落总数、大肠菌群</w:t>
            </w:r>
            <w:r>
              <w:rPr>
                <w:rFonts w:ascii="Times New Roman" w:hAnsi="Times New Roman"/>
                <w:spacing w:val="-4"/>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相同色泽着色剂混合使用时各自用量占其最大使用量的比例之和、沙门氏菌、单核细胞增生李斯特氏菌、安赛蜜、三氯蔗糖</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60" w:lineRule="exact"/>
              <w:rPr>
                <w:rFonts w:eastAsia="宋体"/>
                <w:sz w:val="20"/>
                <w:szCs w:val="20"/>
              </w:rPr>
            </w:pPr>
            <w:r>
              <w:rPr>
                <w:rFonts w:eastAsia="宋体"/>
                <w:sz w:val="20"/>
                <w:szCs w:val="20"/>
              </w:rPr>
              <w:t xml:space="preserve">11</w:t>
            </w:r>
            <w:r>
              <w:rPr>
                <w:rFonts w:eastAsia="宋体"/>
                <w:sz w:val="20"/>
                <w:szCs w:val="20"/>
              </w:rPr>
            </w:r>
            <w:r/>
          </w:p>
        </w:tc>
        <w:tc>
          <w:tcPr>
            <w:tcW w:w="1038"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速冻食品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速冻面米</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速冻面米</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速冻面米</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生制品</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过氧化值（以脂肪计）、铅（以Pb计）、糖精钠（以糖精计）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甜蜜素（以环己基氨基磺酸计）、合成着色剂（柠檬黄、日落黄、苋菜红、亮蓝、胭脂红）</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速冻面米</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熟制品</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过氧化值（以脂肪计）、铅（以Pb计）、糖精钠（以糖精计）、菌落总数、大肠菌群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甜蜜素（以环己基氨基磺酸计）、合成着色剂（柠檬黄、日落黄、苋菜红、亮蓝、胭脂红）、沙门氏菌、金黄色葡萄球菌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速冻调制</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速冻调理</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肉制品</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速冻调理</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肉制品</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过氧化值（以脂肪计）、氯霉素、亚硝酸盐（以亚硝酸钠计）、苯甲酸及其钠盐（以苯甲酸计）、山梨酸及其钾盐（以山梨酸计）、菌落总数、大肠菌群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铅（以Pb计）、铬（以Cr计）、合成着色剂（胭脂红、柠檬黄、日落黄、诱惑红）、沙门氏菌、金黄色葡萄球菌、单核细胞增生李斯特氏菌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速冻调制</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水产制品</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速冻调制</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水产制品</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挥发性盐基氮、苯甲酸及其钠盐（以苯甲酸计）、山梨酸及其钾盐（以山梨酸计）、二氧化硫残留量、菌落总数</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大肠菌群、沙门氏菌、副溶血性弧菌、单核细胞增生李斯特氏菌</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速冻其他</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速冻谷物</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速冻谷物食品</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铅（以Pb计）、黄曲霉毒素B1</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速冻蔬菜</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制品</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速冻蔬菜制品</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铅（以Pb计）、镉（以Cd计）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糖精钠（以糖精计）</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速冻水果</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制品</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速冻水果制品</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铅（以Pb计）、镉（以Cd计）、菌落总数、大肠菌群、霉菌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沙门氏菌、金黄色葡萄球菌</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60" w:lineRule="exact"/>
              <w:rPr>
                <w:rFonts w:eastAsia="宋体"/>
                <w:sz w:val="20"/>
                <w:szCs w:val="20"/>
              </w:rPr>
            </w:pPr>
            <w:r>
              <w:rPr>
                <w:rFonts w:eastAsia="宋体"/>
                <w:sz w:val="20"/>
                <w:szCs w:val="20"/>
              </w:rPr>
              <w:t xml:space="preserve">12</w:t>
            </w:r>
            <w:r>
              <w:rPr>
                <w:rFonts w:eastAsia="宋体"/>
                <w:sz w:val="20"/>
                <w:szCs w:val="20"/>
              </w:rPr>
            </w:r>
            <w:r/>
          </w:p>
        </w:tc>
        <w:tc>
          <w:tcPr>
            <w:tcW w:w="1038"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薯类和膨化食品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薯类和膨化食品</w:t>
            </w: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膨化食品</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含油型膨化</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食品和非含</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油型膨化食品</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水分、酸价（以脂肪计）（KOH）、过氧化值（以脂肪计）、合成着色剂（新红、苋菜红、酸性红、喹啉黄）、菌落总数、大肠菌群、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黄曲霉毒素B1、糖精钠（以糖精计）、甜蜜素（以环己基氨基磺酸计）、三氯蔗糖、纽甜、沙门氏菌、金黄色葡萄球菌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薯类食品</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干制薯类</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酸价（以脂肪计）（KOH）、过氧化值（以脂肪计）、铅（以Pb计）、菌落总数</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二氧化硫残留量、沙门氏菌、金黄色葡萄球菌、大肠菌群</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冷冻薯类</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铅（以Pb计）</w:t>
            </w:r>
            <w:r>
              <w:rPr>
                <w:rFonts w:eastAsia="宋体"/>
                <w:sz w:val="20"/>
                <w:szCs w:val="20"/>
              </w:rPr>
            </w:r>
            <w:r/>
          </w:p>
        </w:tc>
        <w:tc>
          <w:tcPr>
            <w:tcW w:w="3767"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12</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薯类和膨化食品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薯类和膨化食品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薯类食品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薯泥（酱）类</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商业无菌、沙门氏菌、金黄色葡萄球菌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其他薯类食品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铅（以Pb计）、金黄色葡萄球菌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沙门氏菌</w:t>
            </w:r>
            <w:r>
              <w:rPr>
                <w:rFonts w:eastAsia="宋体"/>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13</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糖果制品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糖果制品</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（含巧克力及制品）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糖果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糖果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铅（以Pb计）、糖精钠（以糖精计）、合成着色剂（柠檬黄、新红、苋菜红、靛蓝、胭脂红、日落黄、诱惑红、亮蓝、酸性红、喹啉黄、赤藓红）、二氧化硫残留量、菌落总数、大肠菌群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甜蜜素（以环己基氨基磺酸计）、相同色泽着色剂混合使用时各自用量占其最大使用量的比例之和、西地那非、他达拉非、酚丁、双酚沙丁、双丙酚丁、脱乙酰比沙可啶</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巧克力及</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巧克力制品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巧克力、巧克力制品、代可可脂巧克力</w:t>
            </w:r>
            <w:r>
              <w:rPr>
                <w:rFonts w:hint="eastAsia" w:ascii="Times New Roman" w:hAnsi="Times New Roman"/>
                <w:sz w:val="20"/>
                <w:szCs w:val="20"/>
              </w:rPr>
            </w:r>
            <w:r/>
          </w:p>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及代可可脂</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巧克力制品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铅（以Pb计）、沙门氏菌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果冻</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果冻</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山梨酸及其钾盐（以山梨酸计）、苯甲酸及其钠盐（以苯甲酸计）、糖精钠（以糖精计）、合成着色剂（柠檬黄、新红、苋菜红、靛蓝、胭脂红、日落黄、诱惑红、亮蓝、酸性红、喹啉黄、赤藓红）、菌落总数、大肠菌群、霉菌、酵母</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甜蜜素（以环己基氨基磺酸计）、安赛蜜、相同色泽着色剂混合使用时各自用量占其最大使用量的比例之和、双丙酚丁、脱乙酰比沙可啶</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14</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茶叶及相关制品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茶叶</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茶叶</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绿茶、红茶、乌龙茶、黄茶、白茶、黑茶、花茶、袋泡茶、紧压茶</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铅（以Pb计）、草甘膦、吡虫啉、乙酰甲胺磷、联苯菊酯、灭多威、三氯杀螨醇、氰戊菊酯和S-氰戊菊酯、甲拌磷、克百威、水胺硫磷、氧乐果、毒死蜱、啶虫脒、多菌灵、茚虫威</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糖精钠（以糖精计）、甜蜜素（以环己基氨基磺酸计）、合成着色剂（柠檬黄、日落黄、胭脂红、亮蓝）</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含茶制品和代用茶</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含茶制品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速溶茶类、</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其他含茶制品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铅（以Pb计）、菌落总数、霉菌、霉菌及酵母</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合成着色剂（柠檬黄、日落黄、胭脂红、亮蓝）</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代用茶</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枸杞（干）</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铅（以Pb计）、二氧化硫残留量、啶虫脒、克百威、毒死蜱、霉菌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氯氟氰菊酯和高效氯氟氰菊酯、吡虫啉、三唑磷</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14</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茶叶及相关制品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含茶制品和代用茶</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代用茶</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菊花（干）</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铅（以Pb计）、二氧化硫残留量、啶虫脒、克百威、毒死蜱、霉菌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氯氟氰菊酯和高效氯氟氰菊酯、吡虫啉、三唑磷</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金银花（干）</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铅（以Pb计）、二氧化硫残留量、啶虫脒、克百威、毒死蜱、霉菌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氯氟氰菊酯和高效氯氟氰菊酯、吡虫啉、三唑磷</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苦丁茶</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铅（以Pb计）、二氧化硫残留量、啶虫脒、克百威、毒死蜱、霉菌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氯氟氰菊酯和高效氯氟氰菊酯、吡虫啉、三唑磷</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其他代用茶</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铅（以Pb计）、二氧化硫残留量、啶虫脒、克百威、毒死蜱、霉菌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氯氟氰菊酯和高效氯氟氰菊酯、吡虫啉、三唑磷</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15</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酒类</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蒸馏酒</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白酒</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白酒、白酒</w:t>
            </w:r>
            <w:r>
              <w:rPr>
                <w:rFonts w:hint="eastAsia" w:ascii="Times New Roman" w:hAnsi="Times New Roman"/>
                <w:sz w:val="20"/>
                <w:szCs w:val="20"/>
              </w:rPr>
            </w:r>
            <w:r/>
          </w:p>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（液态）、</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白酒（原酒）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酒精度、铅（以Pb计）、甲醇、糖精钠（以糖精计）、甜蜜素（以环己基氨基磺酸计）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氰化物（以HCN计）、三氯蔗糖、安赛蜜、纽甜</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发酵酒</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黄酒</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黄酒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酒精度、氨基酸态氮、苯甲酸及其钠盐（以苯甲酸计）、山梨酸及其钾盐（以山梨酸计）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糖精钠（以糖精计）、甜蜜素（以环己基氨基磺酸计）</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啤酒</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啤酒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酒精度、甲醛</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葡萄酒</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葡萄酒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酒精度、甲醇、苯甲酸及其钠盐（以苯甲酸计）、山梨酸及其钾盐（以山梨酸计）、糖精钠（以糖精计）、二氧化硫残留量</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三氯蔗糖、合成着色剂（柠檬黄、日落黄、新红、胭脂红、赤藓红、苋菜红、诱惑红、酸性红、亮蓝）、甜蜜素（以环己基氨基磺酸计）</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果酒</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果酒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酒精度、糖精钠（以糖精计）、甜蜜素（以环己基氨基磺酸计）、二氧化硫残留量</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展青霉素、安赛蜜、酸性红</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其他酒</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配制酒</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以蒸馏酒及</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食用酒精为</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酒基的配制酒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酒精度、甲醇、氰化物（以HCN计）、甜蜜素（以环己基氨基磺酸计）、安赛蜜、纽甜</w:t>
            </w:r>
            <w:r>
              <w:rPr>
                <w:rFonts w:eastAsia="宋体"/>
                <w:sz w:val="20"/>
                <w:szCs w:val="20"/>
                <w:lang w:eastAsia="zh-CN"/>
              </w:rPr>
            </w:r>
            <w:r/>
          </w:p>
        </w:tc>
        <w:tc>
          <w:tcPr>
            <w:tcW w:w="3767" w:type="dxa"/>
            <w:vAlign w:val="center"/>
            <w:textDirection w:val="lrTb"/>
            <w:noWrap w:val="false"/>
          </w:tcPr>
          <w:p>
            <w:pPr>
              <w:pStyle w:val="1184"/>
              <w:ind w:left="57" w:right="57"/>
              <w:spacing w:line="240" w:lineRule="exact"/>
              <w:rPr>
                <w:rFonts w:eastAsia="宋体"/>
                <w:sz w:val="20"/>
                <w:szCs w:val="20"/>
                <w:lang w:eastAsia="zh-CN"/>
              </w:rPr>
            </w:pPr>
            <w:r>
              <w:rPr>
                <w:rFonts w:eastAsia="宋体"/>
                <w:sz w:val="20"/>
                <w:szCs w:val="20"/>
                <w:lang w:eastAsia="zh-CN"/>
              </w:rPr>
              <w:t xml:space="preserve">西地那非、豪莫西地那非、硫代艾地那非、他达拉非、二硫代去甲基卡巴地那非、那非乙酰酸、去甲基卡巴地那非、去甲基他达拉非、羟基豪莫西地那非、伐地那非、育亨宾</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以发酵酒为</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酒基的配制酒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酒精度、苯甲酸及其钠盐（以苯甲酸计）、山梨酸及其钾盐（以山梨酸计）、甜蜜素（以环己基氨基磺酸计）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防腐剂混合使用时各自用量占其最大使用量的比例之和、安赛蜜</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15</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酒类</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其他酒</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其他蒸馏酒</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其他蒸馏酒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酒精度、铅（以Pb计）、甲醇</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氰化物（以HCN计）、甜蜜素（以环己基氨基磺酸计）、三氯蔗糖</w:t>
            </w:r>
            <w:r>
              <w:rPr>
                <w:rFonts w:eastAsia="宋体"/>
                <w:sz w:val="20"/>
                <w:szCs w:val="20"/>
                <w:lang w:eastAsia="zh-CN"/>
              </w:rPr>
            </w:r>
            <w:r/>
          </w:p>
        </w:tc>
      </w:tr>
      <w:tr>
        <w:trPr>
          <w:trHeight w:val="676"/>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其他发酵酒</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其他发酵酒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酒精度、苯甲酸及其钠盐（以苯甲酸计）、山梨酸及其钾盐（以山梨酸计）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糖精钠（以糖精计）、甜蜜素（以环己基氨基磺酸计）、安赛蜜</w:t>
            </w:r>
            <w:r>
              <w:rPr>
                <w:rFonts w:ascii="Times New Roman" w:hAnsi="Times New Roman"/>
                <w:sz w:val="20"/>
                <w:szCs w:val="20"/>
              </w:rPr>
            </w:r>
            <w:r/>
          </w:p>
        </w:tc>
      </w:tr>
      <w:tr>
        <w:trPr>
          <w:trHeight w:val="1550"/>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16</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酱腌菜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酱腌菜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亚硝酸盐（以NaNO2计）、苯甲酸及其钠盐（以苯甲酸计）、山梨酸及其钾盐（以山梨酸计）、脱氢乙酸及其钠盐（以脱氢乙酸计）、糖精钠（以糖精计）、甜蜜素（以环己基氨基磺酸计）、大肠菌群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铅（以Pb计）、纽甜、三氯蔗糖、二氧化硫残留量、防腐剂混合使用时各自用量占其最大使用量的比例之和、合成着色剂（柠檬黄、日落黄、胭脂红、诱惑红）、阿斯巴甜、安赛蜜</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蔬菜干制品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蔬菜干制品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二氧化硫残留量</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铅（以Pb计）、苯甲酸及其钠盐（以苯甲酸计）、山梨酸及其钾盐（以山梨酸计）、合成着色剂（柠檬黄、日落黄、胭脂红、苋菜红、亮蓝）</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其他蔬菜</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其他蔬菜制品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二氧化硫残留量</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铅（以Pb计）、苯甲酸及其钠盐（以苯甲酸计）、山梨酸及其钾盐（以山梨酸计）、脱氢乙酸及其钠盐（以脱氢乙酸计）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食用菌制品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干制食用菌</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铅（以Pb计）、镉（以Cd计）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甲基汞（以Hg计）、无机砷（以As计）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腌渍食用菌</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苯甲酸及其钠盐（以苯甲酸计）、山梨酸及其钾盐（以山梨酸计）、脱氢乙酸及其钠盐（以脱氢乙酸计）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防腐剂混合使用时各自用量占其最大使用量的比例之和</w:t>
            </w:r>
            <w:r>
              <w:rPr>
                <w:rFonts w:ascii="Times New Roman" w:hAnsi="Times New Roman"/>
                <w:sz w:val="20"/>
                <w:szCs w:val="20"/>
              </w:rPr>
            </w:r>
            <w:r/>
          </w:p>
        </w:tc>
      </w:tr>
      <w:tr>
        <w:trPr>
          <w:trHeight w:val="454"/>
        </w:trPr>
        <w:tc>
          <w:tcPr>
            <w:tcW w:w="676" w:type="dxa"/>
            <w:vAlign w:val="center"/>
            <w:textDirection w:val="lrTb"/>
            <w:noWrap w:val="false"/>
          </w:tcPr>
          <w:p>
            <w:pPr>
              <w:pStyle w:val="1184"/>
              <w:jc w:val="center"/>
              <w:spacing w:line="280" w:lineRule="exact"/>
              <w:rPr>
                <w:rFonts w:eastAsia="宋体"/>
                <w:sz w:val="20"/>
                <w:szCs w:val="20"/>
              </w:rPr>
            </w:pPr>
            <w:r>
              <w:rPr>
                <w:rFonts w:eastAsia="宋体"/>
                <w:sz w:val="20"/>
                <w:szCs w:val="20"/>
              </w:rPr>
              <w:t xml:space="preserve">17</w:t>
            </w:r>
            <w:r>
              <w:rPr>
                <w:rFonts w:eastAsia="宋体"/>
                <w:sz w:val="20"/>
                <w:szCs w:val="20"/>
              </w:rPr>
            </w:r>
            <w:r/>
          </w:p>
        </w:tc>
        <w:tc>
          <w:tcPr>
            <w:tcW w:w="1038"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水果制品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水果制品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蜜饯</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蜜饯类、凉</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果类、果脯</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类、话化类、</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果糕类</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二氧化硫残留量、合成着色剂（亮蓝、柠檬黄、日落黄、苋菜红、胭脂红、诱惑红、喹啉黄、赤藓红）、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防腐剂混合使用时各自用量占其最大使用量的比例之和、糖精钠（以糖精计）、甜蜜素（以环己基氨基磺酸计）、安赛蜜、相同色泽着色剂混合使用时各自用量占其最大使用量的比例之和、乙二胺四乙酸二钠</w:t>
            </w:r>
            <w:r>
              <w:rPr>
                <w:rFonts w:eastAsia="宋体"/>
                <w:sz w:val="20"/>
                <w:szCs w:val="20"/>
                <w:lang w:eastAsia="zh-CN"/>
              </w:rPr>
            </w:r>
            <w:r/>
          </w:p>
        </w:tc>
      </w:tr>
      <w:tr>
        <w:trPr>
          <w:trHeight w:val="454"/>
        </w:trPr>
        <w:tc>
          <w:tcPr>
            <w:tcW w:w="676"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17</w:t>
            </w:r>
            <w:r>
              <w:rPr>
                <w:rFonts w:ascii="Times New Roman" w:hAnsi="Times New Roman"/>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水果制品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水果制品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水果干制品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水果干制品</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（含干枸杞）</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苯甲酸及其钠盐（以苯甲酸计）、山梨酸及其钾盐（以山梨酸计）、脱氢乙酸及其钠盐（以脱氢乙酸计）、糖精钠（以糖精计）、二氧化硫残留量、菌落总数、大肠菌群、霉菌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铅（以Pb计）、合成着色剂（亮蓝、柠檬黄、日落黄、苋菜红、胭脂红、诱惑红、喹啉黄、赤藓红）、啶虫脒、吡虫啉、克百威、氯氟氰菊酯和高效氯氟氰菊酯、氯氰菊酯和高效氯氰菊酯</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果酱</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果酱</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脱氢乙酸及其钠盐（以脱氢乙酸计）、二氧化硫残留量</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菌落总数、大肠菌群、霉菌、商业无菌</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hint="eastAsia" w:eastAsia="宋体"/>
                <w:sz w:val="20"/>
                <w:szCs w:val="20"/>
                <w:lang w:eastAsia="zh-CN"/>
              </w:rPr>
            </w:pPr>
            <w:r>
              <w:rPr>
                <w:rFonts w:eastAsia="宋体"/>
                <w:sz w:val="20"/>
                <w:szCs w:val="20"/>
              </w:rPr>
              <w:t xml:space="preserve">18</w:t>
            </w:r>
            <w:r>
              <w:rPr>
                <w:rFonts w:hint="eastAsia" w:eastAsia="宋体"/>
                <w:sz w:val="20"/>
                <w:szCs w:val="20"/>
                <w:lang w:eastAsia="zh-CN"/>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炒货食品及坚果制品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炒货食品及坚果制品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炒货食品及坚果制品（烘炒类、油炸</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类、其他类）</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瓜子</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酸价（以脂肪计）（KOH）、过氧化值（以脂肪计）、苯甲酸及其钠盐（以苯甲酸计）、山梨酸及其钾盐（以山梨酸计）、糖精钠（以糖精计）、甜蜜素（以环己基氨基磺酸计）、大肠菌群、霉菌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铅（以Pb计）、黄曲霉毒素B1、脱氢乙酸及其钠盐（以脱氢乙酸计）、二氧化硫残留量、安赛蜜</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花生制品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酸价（以脂肪计）（KOH）、过氧化值（以脂肪计）、苯甲酸及其钠盐（以苯甲酸计）、山梨酸及其钾盐（以山梨酸计）、糖精钠（以糖精计）、大肠菌群、霉菌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铅（以Pb计）、黄曲霉毒素B1、脱氢乙酸及其钠盐（以脱氢乙酸计）、二氧化硫残留量、甜蜜素（以环己基氨基磺酸计）、安赛蜜</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其他炒货食</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品及坚果制品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酸价（以脂肪计）（KOH）、过氧化值（以脂肪计）、大肠菌群、霉菌、糖精钠（以糖精计）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铅（以Pb计）、脱氢乙酸及其钠盐（以脱氢乙酸计）、二氧化硫残留量、甜蜜素（环己基氨基磺酸计）、安赛蜜、黄曲霉毒素B1</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19</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蛋制品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蛋制品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再制蛋</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再制蛋</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铅（以Pb计）、菌落总数、大肠菌群、沙门氏菌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干蛋制品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干蛋制品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沙门氏菌</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菌落总数、大肠菌群</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冰蛋制品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冰蛋制品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沙门氏菌</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菌落总数、大肠菌群</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液蛋制品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液蛋制品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铅（以Pb计）、苯甲酸及其钠盐（以苯甲酸计）、山梨酸及其钾盐（以山梨酸计）、菌落总数</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脱氢乙酸及其钠盐（以脱氢乙酸计）、大肠菌群、沙门氏菌</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19</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蛋制品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蛋制品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热凝固</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蛋制品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热凝固蛋制品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铅（以Pb计）、苯甲酸及其钠盐（以苯甲酸计）、山梨酸及其钾盐（以山梨酸计）、菌落总数</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脱氢乙酸及其钠盐（以脱氢乙酸计）、大肠菌群、沙门氏菌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其他蛋制品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其他蛋制品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铅（以Pb计）、苯甲酸及其钠盐（以苯甲酸计）、山梨酸及其钾盐（以山梨酸计）、菌落总数</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脱氢乙酸及其钠盐（以脱氢乙酸计）、大肠菌群、沙门氏菌</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20</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可可及焙</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烤咖啡产品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焙炒咖啡</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焙炒咖啡</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焙炒咖啡</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赭曲霉毒素A</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咖啡因、铅（以Pb计）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可可制品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可可制品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可可制品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铅（以Pb计）</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沙门氏菌</w:t>
            </w:r>
            <w:r>
              <w:rPr>
                <w:rFonts w:eastAsia="宋体"/>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21</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食糖</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食糖</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食糖</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白砂糖</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二氧化硫残留量、螨</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蔗糖分、还原糖分、色值、干燥失重</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绵白糖</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二氧化硫残留量、螨</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总糖分、还原糖分、色值、干燥失重</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赤砂糖</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二氧化硫残留量、螨</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总糖分、不溶于水杂质、干燥失重、合成着色剂（柠檬黄、新红、苋菜红、胭脂红、日落黄、诱惑红、酸性红、喹啉黄、赤藓红）</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红糖</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二氧化硫残留量、螨</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总糖分、不溶于水杂质、干燥失重、合成着色剂（柠檬黄、新红、苋菜红、胭脂红、日落黄、诱惑红、酸性红、喹啉黄、赤藓红）</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冰糖</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二氧化硫残留量、螨</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蔗糖分、还原糖分、色值、干燥失重、合成着色剂（柠檬黄、新红、苋菜红、胭脂红、日落黄、诱惑红、酸性红、喹啉黄、赤藓红）</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方糖</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二氧化硫残留量、螨</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蔗糖分、还原糖分、色值、干燥失重</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其他糖</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二氧化硫残留量、螨、菌落总数、大肠菌群、霉菌、酵母菌</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蔗糖分、总糖分、色值、还原糖分、干燥失重、合成着色剂（柠檬黄、新红、苋菜红、胭脂红、日落黄、诱惑红、酸性红、喹啉黄、赤藓红）</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22</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水产制品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水产制品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干制水产品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藻类干制品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铅（以Pb计）</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菌落总数、大肠菌群</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预制动物性</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水产干制品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过氧化值（以脂肪计）、镉（以Cd计）、合成着色剂（柠檬黄、胭脂红、日落黄、诱惑红）</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盐渍水产品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盐渍鱼</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组胺、苯甲酸及其钠盐（以苯甲酸计）、山梨酸及其钾盐（以山梨酸计）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过氧化值（以脂肪计）、镉（以Cd计）、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盐渍藻</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铅（以Pb计）</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其他盐渍</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水产品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鱼糜制品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预制鱼糜制品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脱氢乙酸及其钠盐（以脱氢乙酸计）、合成着色剂（诱惑红、柠檬黄、日落黄）</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熟制动物性</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水产制品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熟制动物性</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水产制品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pacing w:val="-4"/>
                <w:sz w:val="20"/>
                <w:szCs w:val="20"/>
                <w:lang w:eastAsia="zh-CN"/>
              </w:rPr>
            </w:pPr>
            <w:r>
              <w:rPr>
                <w:rFonts w:eastAsia="宋体"/>
                <w:spacing w:val="-4"/>
                <w:sz w:val="20"/>
                <w:szCs w:val="20"/>
                <w:lang w:eastAsia="zh-CN"/>
              </w:rPr>
              <w:t xml:space="preserve">镉（以Cd计）、甜蜜素（以环己基氨基磺酸计）、脱氢乙酸及其钠盐（以脱氢乙酸计）</w:t>
            </w:r>
            <w:r>
              <w:rPr>
                <w:rFonts w:eastAsia="宋体"/>
                <w:spacing w:val="-4"/>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生食水产品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生食动物性</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水产品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挥发性盐基氮、苯甲酸及其钠盐（以苯甲酸计）、山梨酸及其钾盐（以山梨酸计）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铝的残留量（以即食海蜇中Al计）、菌落总数、大肠菌群、沙门氏菌、副溶血性弧菌、单核细胞增生李斯特氏菌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其他水产</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其他水产制品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铅（以Pb计）、苯甲酸及其钠盐（以苯甲酸计）、山梨酸及其钾盐（以山梨酸计）、糖精钠（以糖精计）、菌落总数</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脱氢乙酸及其钠盐（以脱氢乙酸计）、合成着色剂（柠檬黄）、甜蜜素（以环己基氨基磺酸计）、防腐剂混合使用时各自用量占其最大使用量的比例之和</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23</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淀粉及淀粉制品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淀粉及淀粉制品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二氧化硫残留量、脱氢乙酸及其钠盐（以脱氢乙酸计）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铅（以Pb计）、霉菌和酵母、葛根素、水分、氢氰酸</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粉丝粉条</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苯甲酸及其钠盐（以苯甲酸计）、山梨酸及其钾盐（以山梨酸计）、脱氢乙酸及其钠盐（以脱氢乙酸计）、铝的残留量（干样品，以Al计）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铅（以Pb计）、二氧化硫残留量、合成着色剂（柠檬黄、新红、苋菜红、靛蓝、胭脂红、诱惑红、日落黄、亮蓝、酸性红、喹啉黄、赤藓红）</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23</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淀粉及淀粉制品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淀粉及淀粉制品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其他淀粉制品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铝的残留量（干样品，以Al计）、二氧化硫残留量、合成着色剂（柠檬黄、新红、苋菜红、靛蓝、胭脂红、日落黄、诱惑红、亮蓝、酸性红、喹啉黄、赤藓红）、相同色泽着色剂混合使用时各自用量占其最大使用量的比例之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淀粉糖</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淀粉糖</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铅（以Pb计）、总砷（以As计）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、葡萄糖含量（以干基计，质量分数）、IMO含量（占干物质，质量分数）、IG2+P+IG3 含量（占干物质，质量分数）、果糖（占干基比）、果糖+葡萄糖（占干基比）、5-羟甲基糠醛（以吸光度计）、果糖+葡萄糖含量（以干物质计）、果糖含量（以干物质计）、麦芽糖含量（以干物质计，质量分数）、干物质（固形物）、硫酸灰分</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24</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糕点</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糕点</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面包</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面包</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苯甲酸及其钠盐（以苯甲酸计）、山梨酸及其钾盐（以山梨酸计）、糖精钠（以糖精计）、脱氢乙酸及其钠盐（以脱氢乙酸计）、丙酸及其钠盐、钙盐（以丙酸计）、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富马酸二甲酯、、甜蜜素（以环己基氨基磺酸计）、安赛蜜、铝的残留量（干样品，以Al计）、三氯蔗糖、合成着色剂（柠檬黄、日落黄、胭脂红、苋菜红、亮蓝、诱惑红、酸性红）、防腐剂混合使用时各自用量占其最大使用量的比例之和金黄色葡萄球菌、沙门氏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月饼</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月饼</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苯甲酸及其钠盐（以苯甲酸计）、山梨酸及其钾盐（以山梨酸计）、丙酸及其钠盐、钙盐（以丙酸计）、脱氢乙酸及其钠盐（以脱氢乙酸计）、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富马酸二甲酯、糖精钠（以糖精计）、铝的残留量（干样品，以Al计）、纳他霉素、合成着色剂（柠檬黄、日落黄、胭脂红、苋菜红、亮蓝、赤藓红、诱惑红）、防腐剂混合使用时各自用量占其最大使用量的比例之和、金黄色葡萄球菌、沙门氏菌</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24</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糕点</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糕点</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粽子</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粽子</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过氧化值（以脂肪计）、山梨酸及其钾盐（以山梨酸计）、糖精钠（以糖精计）、菌落总数、霉菌、大肠菌群</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甜蜜素（以环己基氨基磺酸计）、脱氢乙酸及其钠盐（以脱氢乙酸计）、安赛蜜、金黄色葡萄球菌、沙门氏菌、商业无菌</w:t>
            </w:r>
            <w:r>
              <w:rPr>
                <w:rFonts w:ascii="Times New Roman" w:hAnsi="Times New Roman"/>
                <w:sz w:val="20"/>
                <w:szCs w:val="20"/>
              </w:rPr>
            </w:r>
            <w:r/>
          </w:p>
        </w:tc>
      </w:tr>
      <w:tr>
        <w:trPr>
          <w:trHeight w:val="2097"/>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糕点</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糕点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酸价（以脂肪计）（KOH）、过氧化值（以脂肪计）、苯甲酸及其钠盐（以苯甲酸计）、山梨酸及其钾盐（以山梨酸计）、糖精钠（以糖精计）、丙酸及其钠盐、钙盐（以丙酸计）、脱氢乙酸及其钠盐（以脱氢乙酸计）、菌落总数、大肠菌群、霉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富马酸二甲酯、甜蜜素（以环己基氨基磺酸计）、安赛蜜、铝的残留量（干样品，以Al计）、纳他霉素、三氯蔗糖、丙二醇、合成着色剂（柠檬黄、日落黄、胭脂红、苋菜红、亮蓝、赤藓红、诱惑红）、防腐剂混合使用时各自用量占其最大使用量的比例之和、金黄色葡萄球菌、沙门氏菌</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25</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豆制品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豆制品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发酵性</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豆制品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腐乳、豆豉、纳豆等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铅（以Pb计）、黄曲霉毒素B1、糖精钠（以糖精计）、甜蜜素（以环己基氨基磺酸计）、铝的残留量（干样品，以Al计）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非发酵性</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豆制品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腐竹、油皮及其再制品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蛋白质、铅（以Pb计）、二氧化硫残留量、铝的残留量（干样品，以Al计）、合成着色剂（柠檬黄、日落黄）</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豆干、豆腐、豆皮等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丙酸及其钠盐、钙盐（以丙酸计）、防腐剂混合使用时各自用量占其最大使用量的比例之和、糖精钠（以糖精计）、三氯蔗糖、甜蜜素（以环己基氨基磺酸计）、铝的残留量（干样品，以Al计）、合成着色剂（柠檬黄、日落黄）、大肠菌群、金黄色葡萄球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其他豆制品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大豆蛋白类制品等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苯甲酸及其钠盐（以苯甲酸计）、山梨酸及其钾盐（以山梨酸计）、脱氢乙酸及其钠盐（以脱氢乙酸计）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铅（以Pb计）、糖精钠（以糖精计）、三氯蔗糖、铝的残留量（干样品，以Al计）、合成着色剂（柠檬黄、日落黄）、大肠菌群</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26</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蜂产品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蜂产品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蜂蜜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蜂蜜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果糖和葡萄糖、蔗糖、山梨酸及其钾盐（以山梨酸计）、菌落总数、霉菌计数、嗜渗酵母计数</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氯霉素、呋喃西林代谢物、呋喃唑酮代谢物、甲硝唑、双甲脒、氟胺氰菊酯、诺氟沙星、氧氟沙星、</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蜂王浆</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（含蜂王浆冻干品）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蜂王浆</w:t>
            </w:r>
            <w:r>
              <w:rPr>
                <w:rFonts w:hint="eastAsia" w:ascii="Times New Roman" w:hAnsi="Times New Roman"/>
                <w:sz w:val="20"/>
                <w:szCs w:val="20"/>
              </w:rPr>
            </w:r>
            <w:r/>
          </w:p>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（含蜂王浆</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冻干品）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10-羟基-2-癸烯酸</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酸度、蛋白质、呋喃西林代谢物</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蜂花粉</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蜂花粉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铅（以Pb计）</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菌落总数、大肠菌群、霉菌</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蜂产品制品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蜂产品制品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山梨酸及其钾盐（以山梨酸计）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合成着色剂（柠檬黄、日落黄）、菌落总数</w:t>
            </w:r>
            <w:r>
              <w:rPr>
                <w:rFonts w:ascii="Times New Roman" w:hAnsi="Times New Roman"/>
                <w:sz w:val="20"/>
                <w:szCs w:val="20"/>
              </w:rPr>
            </w:r>
            <w:r/>
          </w:p>
        </w:tc>
      </w:tr>
      <w:tr>
        <w:trPr>
          <w:trHeight w:val="454"/>
        </w:trPr>
        <w:tc>
          <w:tcPr>
            <w:tcW w:w="676" w:type="dxa"/>
            <w:vAlign w:val="center"/>
            <w:textDirection w:val="lrTb"/>
            <w:noWrap w:val="false"/>
          </w:tcPr>
          <w:p>
            <w:pPr>
              <w:pStyle w:val="1184"/>
              <w:jc w:val="center"/>
              <w:spacing w:line="280" w:lineRule="exact"/>
              <w:rPr>
                <w:rFonts w:eastAsia="宋体"/>
                <w:sz w:val="20"/>
                <w:szCs w:val="20"/>
              </w:rPr>
            </w:pPr>
            <w:r>
              <w:rPr>
                <w:rFonts w:eastAsia="宋体"/>
                <w:sz w:val="20"/>
                <w:szCs w:val="20"/>
              </w:rPr>
              <w:t xml:space="preserve">27</w:t>
            </w:r>
            <w:r>
              <w:rPr>
                <w:rFonts w:eastAsia="宋体"/>
                <w:sz w:val="20"/>
                <w:szCs w:val="20"/>
              </w:rPr>
            </w:r>
            <w:r/>
          </w:p>
        </w:tc>
        <w:tc>
          <w:tcPr>
            <w:tcW w:w="1038"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保健食品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保健食品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保健食品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保健食品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铅（Pb）、总砷（As）、总汞（Hg）、硬胶囊壳中的铬、菌落总数、大肠菌群、霉菌和酵母、金黄色葡萄球菌、沙门氏菌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氨基酸、10-羟基-2-癸烯酸、蛋白质、二十二碳六烯酸、二十碳五烯酸、泛酸、钙、还原糖、肌醇、赖氨酸、绿原酸、铁、维生素A、维生素B1、维生素B12、维</w:t>
            </w:r>
            <w:r>
              <w:rPr>
                <w:rFonts w:eastAsia="宋体"/>
                <w:sz w:val="20"/>
                <w:szCs w:val="20"/>
                <w:lang w:eastAsia="zh-CN"/>
              </w:rPr>
              <w:t xml:space="preserve">生素B2、维生素B6、维生素C、维生素D、维生素D3、维生素E、硒、锌、烟酰胺、叶酸、免疫球蛋白IgG、总黄酮、总皂苷、总蒽醌、吡啶甲酸铬、芦荟苷、总三萜、嗜酸乳杆菌、双歧杆菌、水分、可溶性固形物、酸价、过氧化值、崩解时限、灰分、褪黑素、甘草酸、咖啡因、淫羊藿苷、葛根素、辅酶Q10、番茄红素、那红地那非、红地那非、伐地那非、羟基豪莫西地那非、西地那非、豪莫西地那非、氨基他达拉非、他达拉非、硫代艾地那非、伪伐地那非、那莫西地那非、去甲基他达拉非、育亨宾、西布曲明、N-单去甲基西布曲明、N,N-双去甲基西布曲明</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hint="eastAsia" w:eastAsia="宋体"/>
                <w:sz w:val="20"/>
                <w:szCs w:val="20"/>
                <w:lang w:eastAsia="zh-CN"/>
              </w:rPr>
            </w:pPr>
            <w:r>
              <w:rPr>
                <w:rFonts w:eastAsia="宋体"/>
                <w:sz w:val="20"/>
                <w:szCs w:val="20"/>
              </w:rPr>
              <w:t xml:space="preserve">28</w:t>
            </w:r>
            <w:r>
              <w:rPr>
                <w:rFonts w:hint="eastAsia" w:eastAsia="宋体"/>
                <w:sz w:val="20"/>
                <w:szCs w:val="20"/>
                <w:lang w:eastAsia="zh-CN"/>
              </w:rPr>
            </w:r>
            <w:r/>
          </w:p>
        </w:tc>
        <w:tc>
          <w:tcPr>
            <w:tcW w:w="1038"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特殊膳食</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婴幼儿</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辅助食品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婴幼儿谷类辅助食品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婴幼儿谷物辅助食品、婴幼儿高蛋白谷物辅助食品、婴幼儿生制类谷物辅助食品、其他婴幼儿谷物辅助食品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蛋白质、铅（以Pb计）、无机砷（以As计）、锡（以Sn计）、镉（以Cd计）、黄曲霉毒素B1、硝酸盐（以NaNO3计）、亚硝酸盐（以NaNO2计）、菌落总数、大肠菌群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能量、脂肪、亚油酸、月桂酸占总脂肪的比值、肉豆蔻酸占总脂肪的比值、维生素A、维生素D、维生素B1、钙、铁、锌、钠、维生素E、维生素B2、维生素B6、维生素B12、烟酸/烟酰胺、叶酸、泛酸、维生素C、生物素、磷、碘、钾、镁、水分、不溶性膳食纤维、二十二碳六烯酸、花生四烯酸、脲酶活性定性测定、、商业无菌、沙门氏菌、金黄色葡萄球菌</w:t>
            </w:r>
            <w:r>
              <w:rPr>
                <w:rFonts w:eastAsia="宋体"/>
                <w:sz w:val="20"/>
                <w:szCs w:val="20"/>
                <w:lang w:eastAsia="zh-CN"/>
              </w:rPr>
            </w:r>
            <w:r/>
          </w:p>
        </w:tc>
      </w:tr>
      <w:tr>
        <w:trPr>
          <w:trHeight w:val="240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婴幼儿罐装辅助食品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婴幼儿泥（糊）状罐装辅助食品，婴幼儿颗粒、片（块）状罐装辅助</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食品，婴幼儿汁类罐装辅助食品</w:t>
            </w:r>
            <w:r>
              <w:rPr>
                <w:rFonts w:ascii="Times New Roman" w:hAnsi="Times New Roman"/>
                <w:sz w:val="20"/>
                <w:szCs w:val="20"/>
              </w:rPr>
            </w:r>
            <w:r/>
          </w:p>
        </w:tc>
        <w:tc>
          <w:tcPr>
            <w:tcW w:w="666" w:type="dxa"/>
            <w:vAlign w:val="center"/>
            <w:textDirection w:val="lrTb"/>
            <w:noWrap w:val="false"/>
          </w:tcPr>
          <w:p>
            <w:pPr>
              <w:pStyle w:val="1184"/>
              <w:jc w:val="center"/>
              <w:spacing w:line="280" w:lineRule="exact"/>
              <w:rPr>
                <w:rFonts w:eastAsia="宋体"/>
                <w:sz w:val="20"/>
                <w:szCs w:val="20"/>
              </w:rPr>
            </w:pPr>
            <w:r>
              <w:rPr>
                <w:rFonts w:eastAsia="宋体"/>
                <w:sz w:val="20"/>
                <w:szCs w:val="20"/>
              </w:rPr>
              <w:t xml:space="preserve">高</w:t>
            </w:r>
            <w:r>
              <w:rPr>
                <w:rFonts w:eastAsia="宋体"/>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蛋白质、铅（以Pb计）、无机砷（以 As 计）、总汞（以Hg 计）、亚硝酸盐（以 NaNO2 计）硝酸盐（ 以 NaNO3 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脂肪、总钠/钠、组胺、锡（以Sn计）、商业无菌、霉菌</w:t>
            </w:r>
            <w:r>
              <w:rPr>
                <w:rFonts w:eastAsia="宋体"/>
                <w:sz w:val="20"/>
                <w:szCs w:val="20"/>
                <w:lang w:eastAsia="zh-CN"/>
              </w:rPr>
            </w:r>
            <w:r/>
          </w:p>
        </w:tc>
      </w:tr>
      <w:tr>
        <w:trPr>
          <w:trHeight w:val="1546"/>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营养补充品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营养补充品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辅食营养素</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补充食品、</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辅食营养素</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补充片、辅</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食营养素撒剂</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蛋白质、铅（以Pb计）、总砷（以As计）、黄曲霉毒素M1、黄曲霉毒素B1、硝酸盐（以NaNO3计）、亚硝酸盐（以NaNO2计）、菌落总数、大肠菌群、沙门氏菌、金黄色葡萄球菌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钙、铁、锌、维生素A、维生素D、维生素B1、维生素B2、维生素K1、烟酸（烟酰胺）、维生素B6、叶酸、维生素B12、泛酸、胆碱、生物素、维生素C、二十二碳六烯酸、脲酶活性定性、</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运动营养食品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tabs>
                <w:tab w:val="left" w:pos="7897" w:leader="none"/>
              </w:tabs>
              <w:rPr>
                <w:rFonts w:eastAsia="宋体"/>
                <w:sz w:val="20"/>
                <w:szCs w:val="20"/>
                <w:lang w:eastAsia="zh-CN"/>
              </w:rPr>
            </w:pPr>
            <w:r>
              <w:rPr>
                <w:rFonts w:eastAsia="宋体"/>
                <w:sz w:val="20"/>
                <w:szCs w:val="20"/>
                <w:lang w:eastAsia="zh-CN"/>
              </w:rPr>
              <w:t xml:space="preserve">维生</w:t>
            </w:r>
            <w:r>
              <w:rPr>
                <w:rFonts w:eastAsia="宋体"/>
                <w:sz w:val="20"/>
                <w:szCs w:val="20"/>
                <w:highlight w:val="none"/>
                <w:lang w:eastAsia="zh-CN"/>
              </w:rPr>
              <w:t xml:space="preserve">素B6、</w:t>
            </w:r>
            <w:r>
              <w:rPr>
                <w:rFonts w:eastAsia="宋体"/>
                <w:sz w:val="20"/>
                <w:szCs w:val="20"/>
                <w:lang w:eastAsia="zh-CN"/>
              </w:rPr>
              <w:t xml:space="preserve">维生素B12、维生素C、叶酸、烟酸、生物素、泛酸、钙、钠、钾、镁、铁、锌、硒、铜、碘、锰、磷、钼、铬、左旋肉碱、牛磺酸、铅（以Pb计）、总砷（以As计）、黄曲霉毒素M1、黄曲霉毒素B1、沙门氏菌、金黄色葡萄球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tabs>
                <w:tab w:val="left" w:pos="7897" w:leader="none"/>
              </w:tabs>
              <w:rPr>
                <w:rFonts w:eastAsia="宋体"/>
                <w:sz w:val="20"/>
                <w:szCs w:val="20"/>
                <w:lang w:eastAsia="zh-CN"/>
              </w:rPr>
            </w:pPr>
            <w:r>
              <w:rPr>
                <w:rFonts w:eastAsia="宋体"/>
                <w:sz w:val="20"/>
                <w:szCs w:val="20"/>
                <w:lang w:eastAsia="zh-CN"/>
              </w:rPr>
              <w:t xml:space="preserve">咖啡因、肌酸、肽类、维生素A、维生素D、维生素E、维生素B1、维生素B2</w:t>
            </w:r>
            <w:r>
              <w:rPr>
                <w:rFonts w:eastAsia="宋体"/>
                <w:sz w:val="20"/>
                <w:szCs w:val="20"/>
                <w:lang w:eastAsia="zh-CN"/>
              </w:rPr>
            </w:r>
            <w:r/>
          </w:p>
        </w:tc>
      </w:tr>
      <w:tr>
        <w:trPr>
          <w:trHeight w:val="3092"/>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29</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特殊医学</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用途配方</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特殊医学</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用途配方</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特殊医学</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用途配方</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全营养</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配方食品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蛋白质、铅（以Pb计）、锡（以Sn计）、黄曲霉毒素M1、黄曲霉毒素B1、硝酸盐（以NaNO3计）、亚硝酸盐（以NaNO2计）、三聚氰胺、菌落总数、大肠菌群、沙门氏菌、金黄色葡萄球菌、商业无菌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亚油酸供能比、</w:t>
            </w:r>
            <w:r>
              <w:rPr>
                <w:rFonts w:eastAsia="宋体"/>
                <w:sz w:val="20"/>
                <w:szCs w:val="20"/>
              </w:rPr>
              <w:t xml:space="preserve">α</w:t>
            </w:r>
            <w:r>
              <w:rPr>
                <w:rFonts w:eastAsia="宋体"/>
                <w:sz w:val="20"/>
                <w:szCs w:val="20"/>
                <w:lang w:eastAsia="zh-CN"/>
              </w:rPr>
              <w:t xml:space="preserve">-亚麻酸供能比、维生素A、维生素D、维生素E、维生素K1、维生素B1、维生素B2、维生素B6、维生素B12、烟酸（烟酰胺）、叶酸、泛酸、维生素C、生物素、钠、钾、铜、镁、铁、锌、锰、钙、磷、碘、氯、硒、铬、钼、氟、胆碱、肌醇、牛磺酸、左旋肉碱、二十二碳六烯酸与总脂肪酸比、二十碳四烯酸与总脂肪酸比、二十二碳六烯酸、二十碳四烯酸、核苷酸、</w:t>
            </w:r>
            <w:r>
              <w:rPr>
                <w:rFonts w:eastAsia="宋体"/>
                <w:sz w:val="20"/>
                <w:szCs w:val="20"/>
                <w:lang w:eastAsia="zh-CN"/>
              </w:rPr>
            </w:r>
            <w:r/>
          </w:p>
        </w:tc>
      </w:tr>
      <w:tr>
        <w:trPr>
          <w:trHeight w:val="1406"/>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非全营养</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配方食品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铅（以Pb计）、锡（以Sn计）、黄曲霉毒素M1、黄曲霉毒素B1、硝酸盐（以NaNO3计）、亚硝酸盐（以NaNO2计）、三聚氰胺、菌落总数、大肠菌群</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沙门氏菌、金黄色葡萄球菌、商业无菌、企业标准/注册的产品技术要求中规定的质量指标</w:t>
            </w:r>
            <w:r>
              <w:rPr>
                <w:rFonts w:eastAsia="宋体"/>
                <w:sz w:val="20"/>
                <w:szCs w:val="20"/>
                <w:lang w:eastAsia="zh-CN"/>
              </w:rPr>
            </w:r>
            <w:r/>
          </w:p>
        </w:tc>
      </w:tr>
      <w:tr>
        <w:trPr>
          <w:trHeight w:val="3379"/>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特定全营养</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配方食品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蛋白质、铅（以Pb计）、锡（以Sn计）、黄曲霉毒素M1、黄曲霉毒素B1、硝酸盐（以NaNO3计）、亚硝酸盐（以NaNO2计）、三聚氰胺、菌落总数、大肠菌群、沙门氏菌、金黄色葡萄球菌、商业无菌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脂肪供能比、n-3脂肪酸（以EPA和DHA计）供能比、二十碳五烯酸（EPA）、亚油酸供能比、</w:t>
            </w:r>
            <w:r>
              <w:rPr>
                <w:rFonts w:eastAsia="宋体"/>
                <w:sz w:val="20"/>
                <w:szCs w:val="20"/>
              </w:rPr>
              <w:t xml:space="preserve">α</w:t>
            </w:r>
            <w:r>
              <w:rPr>
                <w:rFonts w:eastAsia="宋体"/>
                <w:sz w:val="20"/>
                <w:szCs w:val="20"/>
                <w:lang w:eastAsia="zh-CN"/>
              </w:rPr>
              <w:t xml:space="preserve">-亚麻酸供能比、维生素A、维生素D、维生素E、维生素K1、维生素B1、维生素B2、维生素B6、维生素B12、烟酸（烟酰胺）、叶酸、泛酸、维生素C、生物素、钠、钾、铜、镁、铁、锌、锰、钙、磷、碘、氯、硒、铬、钼、氟、胆碱、肌醇、牛磺酸、左旋肉碱、核苷酸、精氨酸、亮氨酸、企业标准/注册的产品技术要求中规定的质量指标</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30</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婴幼儿</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配方食品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婴幼儿配方食品（湿法</w:t>
            </w:r>
            <w:r>
              <w:rPr>
                <w:rFonts w:hint="eastAsia" w:ascii="Times New Roman" w:hAnsi="Times New Roman"/>
                <w:sz w:val="20"/>
                <w:szCs w:val="20"/>
              </w:rPr>
            </w:r>
            <w:r/>
          </w:p>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工艺、干法</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工艺、干湿法混合工艺）</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婴儿</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配方食品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乳基婴儿配方食品、豆基</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婴儿配方食品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蛋白质、铅（以Pb计）、黄曲霉毒素B1或黄曲霉毒素M1、硝酸盐（以NaNO3计）、亚硝酸盐（以NaNO2计）、菌落总数、大肠菌群、金黄色葡萄球菌、沙门氏菌、阪崎肠杆菌/克罗诺杆菌属（阪崎肠杆菌）</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脂肪、碳水化合物、乳糖占碳水化合物总量、亚油酸、</w:t>
            </w:r>
            <w:r>
              <w:rPr>
                <w:rFonts w:eastAsia="宋体"/>
                <w:sz w:val="20"/>
                <w:szCs w:val="20"/>
              </w:rPr>
              <w:t xml:space="preserve">α</w:t>
            </w:r>
            <w:r>
              <w:rPr>
                <w:rFonts w:eastAsia="宋体"/>
                <w:sz w:val="20"/>
                <w:szCs w:val="20"/>
                <w:lang w:eastAsia="zh-CN"/>
              </w:rPr>
              <w:t xml:space="preserve">-亚麻酸、亚油酸与</w:t>
            </w:r>
            <w:r>
              <w:rPr>
                <w:rFonts w:eastAsia="宋体"/>
                <w:sz w:val="20"/>
                <w:szCs w:val="20"/>
              </w:rPr>
              <w:t xml:space="preserve">α</w:t>
            </w:r>
            <w:r>
              <w:rPr>
                <w:rFonts w:eastAsia="宋体"/>
                <w:sz w:val="20"/>
                <w:szCs w:val="20"/>
                <w:lang w:eastAsia="zh-CN"/>
              </w:rPr>
              <w:t xml:space="preserve">-亚麻酸比值、终产品脂肪中月桂酸和肉豆蔻酸（十四烷酸）总量占总脂肪酸的比值、芥酸与总脂肪酸比值、反式脂肪酸与总脂肪酸比值、维生素A、维生素D、维生素E、维生素K1、维生素B1、维生素B2、维生素B6、维生素B12、烟酸（烟酰胺）、叶酸、</w:t>
            </w:r>
            <w:r>
              <w:rPr>
                <w:rFonts w:eastAsia="宋体"/>
                <w:sz w:val="20"/>
                <w:szCs w:val="20"/>
                <w:lang w:eastAsia="zh-CN"/>
              </w:rPr>
              <w:t xml:space="preserve">泛酸、维生素C、生物素、钠、钾、铜、镁、铁、锌、锰、钙、磷、钙磷比值、碘、氯、硒、胆碱、肌醇、牛磺酸、左旋肉碱、二十二碳六烯酸（DHA）、二十二碳六烯酸（22:6 n-3）与总脂肪酸比、二十碳四烯酸（AA/ARA）、二十碳四烯酸与总脂肪酸比、二十二碳六烯酸（22:6n-3）与二十碳四烯酸（20:4 n-6）的比、二十碳五烯酸（20:5 n-3）的量与二十二碳六烯酸（22:6 n-3）的量的比、果聚糖、水分、灰分、杂质度、叶黄素、核苷酸、脲酶活性定性、锡、果糖、蔗糖、乳铁蛋白测定、三聚氰胺、香兰素、乙基香兰素</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较大婴儿</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配方食品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乳基较大婴儿配方食品、</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豆基较大婴儿配方食品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蛋白质、铅（以Pb计）、硝酸盐（以NaNO3计）、亚硝酸盐（以NaNO2计）、脲酶活性定性测定、黄曲霉毒素B1或黄曲霉毒素M1、菌落总数、大肠菌群、沙门氏菌、金黄色葡萄球菌</w:t>
            </w:r>
            <w:r>
              <w:rPr>
                <w:rFonts w:eastAsia="宋体"/>
                <w:sz w:val="20"/>
                <w:szCs w:val="20"/>
                <w:lang w:eastAsia="zh-CN"/>
              </w:rPr>
            </w:r>
            <w:r/>
          </w:p>
        </w:tc>
        <w:tc>
          <w:tcPr>
            <w:tcW w:w="3767" w:type="dxa"/>
            <w:vAlign w:val="center"/>
            <w:textDirection w:val="lrTb"/>
            <w:noWrap w:val="false"/>
          </w:tcPr>
          <w:p>
            <w:pPr>
              <w:pStyle w:val="1184"/>
              <w:ind w:left="57" w:right="57"/>
              <w:spacing w:line="300" w:lineRule="exact"/>
              <w:rPr>
                <w:rFonts w:eastAsia="宋体"/>
                <w:sz w:val="20"/>
                <w:szCs w:val="20"/>
                <w:lang w:eastAsia="zh-CN"/>
              </w:rPr>
            </w:pPr>
            <w:r>
              <w:rPr>
                <w:rFonts w:eastAsia="宋体"/>
                <w:sz w:val="20"/>
                <w:szCs w:val="20"/>
                <w:lang w:eastAsia="zh-CN"/>
              </w:rPr>
              <w:t xml:space="preserve">脂肪、亚油酸、</w:t>
            </w:r>
            <w:r>
              <w:rPr>
                <w:rFonts w:eastAsia="宋体"/>
                <w:sz w:val="20"/>
                <w:szCs w:val="20"/>
              </w:rPr>
              <w:t xml:space="preserve">α</w:t>
            </w:r>
            <w:r>
              <w:rPr>
                <w:rFonts w:eastAsia="宋体"/>
                <w:sz w:val="20"/>
                <w:szCs w:val="20"/>
                <w:lang w:eastAsia="zh-CN"/>
              </w:rPr>
              <w:t xml:space="preserve">-亚麻酸、亚油酸与</w:t>
            </w:r>
            <w:r>
              <w:rPr>
                <w:rFonts w:eastAsia="宋体"/>
                <w:sz w:val="20"/>
                <w:szCs w:val="20"/>
              </w:rPr>
              <w:t xml:space="preserve">α</w:t>
            </w:r>
            <w:r>
              <w:rPr>
                <w:rFonts w:eastAsia="宋体"/>
                <w:sz w:val="20"/>
                <w:szCs w:val="20"/>
                <w:lang w:eastAsia="zh-CN"/>
              </w:rPr>
              <w:t xml:space="preserve">-亚麻酸比值、终产品脂肪中月桂酸和肉豆蔻酸（十四烷酸）总量占总脂肪酸的比值、反式脂肪酸与总脂肪酸比值、芥酸与总脂肪酸比值、碳水化合物、乳糖占碳水化合物总量、维生素A、维生素D、维生素E、维生素K1、维生素B1、维生素B2、维生素B6</w:t>
            </w:r>
            <w:r>
              <w:rPr>
                <w:rFonts w:eastAsia="宋体"/>
                <w:sz w:val="20"/>
                <w:szCs w:val="20"/>
                <w:lang w:eastAsia="zh-CN"/>
              </w:rPr>
              <w:t xml:space="preserve">、维生素B12、烟酸（烟酰胺）、叶酸、泛酸、维生素C、生物素、钠、钾、铜、镁、铁、锌、钙、磷、钙磷比值、碘、氯、锰、硒、胆碱、肌醇、牛磺酸、左旋肉碱、二十二碳六烯酸（DHA）、二十二碳六烯酸（22:6 n-3）与总脂肪酸比、二十碳四烯酸（AA/ARA）、二十碳四烯酸与总脂肪酸比、二十二碳六烯酸（22:6n-3）与二十碳四烯酸（20:4 n-6）的比、二十碳五烯酸（20:5 n-3）的量与二十二碳六烯酸（22:6 n-3）的量的比、水分、灰分、杂质度、叶黄素、核苷酸、果聚糖、三聚氰胺、锡、果糖、蔗糖、乳铁蛋白</w:t>
            </w:r>
            <w:r>
              <w:rPr>
                <w:rFonts w:eastAsia="宋体"/>
                <w:sz w:val="20"/>
                <w:szCs w:val="20"/>
                <w:lang w:eastAsia="zh-CN"/>
              </w:rPr>
            </w:r>
            <w:r/>
          </w:p>
        </w:tc>
      </w:tr>
      <w:tr>
        <w:trPr>
          <w:trHeight w:val="454"/>
        </w:trPr>
        <w:tc>
          <w:tcPr>
            <w:tcW w:w="676" w:type="dxa"/>
            <w:vAlign w:val="center"/>
            <w:textDirection w:val="lrTb"/>
            <w:noWrap w:val="false"/>
          </w:tcPr>
          <w:p>
            <w:pPr>
              <w:pStyle w:val="1184"/>
              <w:jc w:val="center"/>
              <w:spacing w:line="280" w:lineRule="exact"/>
              <w:rPr>
                <w:rFonts w:eastAsia="宋体"/>
                <w:sz w:val="20"/>
                <w:szCs w:val="20"/>
              </w:rPr>
            </w:pPr>
            <w:r>
              <w:rPr>
                <w:rFonts w:eastAsia="宋体"/>
                <w:sz w:val="20"/>
                <w:szCs w:val="20"/>
              </w:rPr>
              <w:t xml:space="preserve">30</w:t>
            </w:r>
            <w:r>
              <w:rPr>
                <w:rFonts w:eastAsia="宋体"/>
                <w:sz w:val="20"/>
                <w:szCs w:val="20"/>
              </w:rPr>
            </w:r>
            <w:r/>
          </w:p>
        </w:tc>
        <w:tc>
          <w:tcPr>
            <w:tcW w:w="1038"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婴幼儿</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配方食品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婴幼儿配方食品（湿法</w:t>
            </w:r>
            <w:r>
              <w:rPr>
                <w:rFonts w:hint="eastAsia" w:ascii="Times New Roman" w:hAnsi="Times New Roman"/>
                <w:sz w:val="20"/>
                <w:szCs w:val="20"/>
              </w:rPr>
            </w:r>
            <w:r/>
          </w:p>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工艺、干法</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工艺、干湿法混合工艺）</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幼儿</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配方食品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幼儿配方食品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蛋白质、铅（以Pb计）、硝酸盐（以NaNO3计）、亚硝酸盐（以NaNO2计）、脲酶活性定性测定、黄曲霉毒素B1或黄曲霉毒素M1、菌落总数、大肠菌群、沙门氏菌、金黄色葡萄球菌</w:t>
            </w:r>
            <w:r>
              <w:rPr>
                <w:rFonts w:eastAsia="宋体"/>
                <w:sz w:val="20"/>
                <w:szCs w:val="20"/>
                <w:lang w:eastAsia="zh-CN"/>
              </w:rPr>
            </w:r>
            <w:r/>
          </w:p>
        </w:tc>
        <w:tc>
          <w:tcPr>
            <w:tcW w:w="3767" w:type="dxa"/>
            <w:vAlign w:val="center"/>
            <w:textDirection w:val="lrTb"/>
            <w:noWrap w:val="false"/>
          </w:tcPr>
          <w:p>
            <w:pPr>
              <w:pStyle w:val="1184"/>
              <w:ind w:left="57" w:right="57"/>
              <w:spacing w:line="300" w:lineRule="exact"/>
              <w:rPr>
                <w:rFonts w:eastAsia="宋体"/>
                <w:sz w:val="20"/>
                <w:szCs w:val="20"/>
                <w:lang w:eastAsia="zh-CN"/>
              </w:rPr>
            </w:pPr>
            <w:r>
              <w:rPr>
                <w:rFonts w:eastAsia="宋体"/>
                <w:sz w:val="20"/>
                <w:szCs w:val="20"/>
                <w:lang w:eastAsia="zh-CN"/>
              </w:rPr>
              <w:t xml:space="preserve">脂肪、亚油酸、</w:t>
            </w:r>
            <w:r>
              <w:rPr>
                <w:rFonts w:eastAsia="宋体"/>
                <w:sz w:val="20"/>
                <w:szCs w:val="20"/>
              </w:rPr>
              <w:t xml:space="preserve">α</w:t>
            </w:r>
            <w:r>
              <w:rPr>
                <w:rFonts w:eastAsia="宋体"/>
                <w:sz w:val="20"/>
                <w:szCs w:val="20"/>
                <w:lang w:eastAsia="zh-CN"/>
              </w:rPr>
              <w:t xml:space="preserve">-亚麻酸、亚油酸与</w:t>
            </w:r>
            <w:r>
              <w:rPr>
                <w:rFonts w:eastAsia="宋体"/>
                <w:sz w:val="20"/>
                <w:szCs w:val="20"/>
              </w:rPr>
              <w:t xml:space="preserve">α</w:t>
            </w:r>
            <w:r>
              <w:rPr>
                <w:rFonts w:eastAsia="宋体"/>
                <w:sz w:val="20"/>
                <w:szCs w:val="20"/>
                <w:lang w:eastAsia="zh-CN"/>
              </w:rPr>
              <w:t xml:space="preserve">-亚麻酸比值、乳糖占碳水化合物总量、反式脂肪酸与总脂肪酸比值、碳水化合物、维生素A、维生素D、维生素E、维生素K1、</w:t>
            </w:r>
            <w:r>
              <w:rPr>
                <w:rFonts w:eastAsia="宋体"/>
                <w:sz w:val="20"/>
                <w:szCs w:val="20"/>
                <w:lang w:eastAsia="zh-CN"/>
              </w:rPr>
            </w:r>
            <w:r/>
          </w:p>
          <w:p>
            <w:pPr>
              <w:pStyle w:val="1184"/>
              <w:ind w:left="57" w:right="57"/>
              <w:spacing w:line="300" w:lineRule="exact"/>
              <w:rPr>
                <w:rFonts w:eastAsia="宋体"/>
                <w:sz w:val="20"/>
                <w:szCs w:val="20"/>
                <w:lang w:eastAsia="zh-CN"/>
              </w:rPr>
            </w:pPr>
            <w:r>
              <w:rPr>
                <w:rFonts w:eastAsia="宋体"/>
                <w:sz w:val="20"/>
                <w:szCs w:val="20"/>
                <w:lang w:eastAsia="zh-CN"/>
              </w:rPr>
              <w:t xml:space="preserve">维生素B1、维生素B2、维生素B6、维生素B12、烟酸（烟酰胺）、叶酸、泛酸、维生素C、生物素、钠、钾、铜、镁、铁、锌、钙、磷、钙磷比值、碘、氯、锰、硒、胆碱、肌醇、牛磺酸、左旋肉碱、二十二碳六烯酸（DHA）、二十二碳六烯酸（22:6 n-3）与总脂肪酸比、二十碳四烯酸（AA/ARA）、二十碳四烯酸与总脂肪酸比、水分、灰分、杂质度、叶黄素、核苷酸、果聚糖、三聚氰胺、锡、乳铁蛋白</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60" w:lineRule="exact"/>
              <w:rPr>
                <w:rFonts w:eastAsia="宋体"/>
                <w:sz w:val="20"/>
                <w:szCs w:val="20"/>
              </w:rPr>
            </w:pPr>
            <w:r>
              <w:rPr>
                <w:rFonts w:eastAsia="宋体"/>
                <w:sz w:val="20"/>
                <w:szCs w:val="20"/>
              </w:rPr>
              <w:t xml:space="preserve">31</w:t>
            </w:r>
            <w:r>
              <w:rPr>
                <w:rFonts w:eastAsia="宋体"/>
                <w:sz w:val="20"/>
                <w:szCs w:val="20"/>
              </w:rPr>
            </w:r>
            <w:r/>
          </w:p>
        </w:tc>
        <w:tc>
          <w:tcPr>
            <w:tcW w:w="1038"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餐饮食品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米面及其</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制品（自制）</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小麦粉制品（自制）</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馒头花卷</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苯甲酸及其钠盐（以苯甲酸计）、山梨酸及其钾盐（以山梨酸计）、糖精钠（以糖精计）</w:t>
            </w:r>
            <w:r>
              <w:rPr>
                <w:rFonts w:eastAsia="宋体"/>
                <w:sz w:val="20"/>
                <w:szCs w:val="20"/>
                <w:lang w:eastAsia="zh-CN"/>
              </w:rPr>
            </w:r>
            <w:r/>
          </w:p>
        </w:tc>
        <w:tc>
          <w:tcPr>
            <w:tcW w:w="3767" w:type="dxa"/>
            <w:vAlign w:val="center"/>
            <w:textDirection w:val="lrTb"/>
            <w:noWrap w:val="false"/>
          </w:tcPr>
          <w:p>
            <w:pPr>
              <w:pStyle w:val="1184"/>
              <w:ind w:left="57" w:right="57"/>
              <w:spacing w:line="240" w:lineRule="exact"/>
              <w:rPr>
                <w:rFonts w:eastAsia="宋体"/>
                <w:sz w:val="20"/>
                <w:szCs w:val="20"/>
                <w:lang w:eastAsia="zh-CN"/>
              </w:rPr>
            </w:pPr>
            <w:r>
              <w:rPr>
                <w:rFonts w:eastAsia="宋体"/>
                <w:sz w:val="20"/>
                <w:szCs w:val="20"/>
                <w:lang w:eastAsia="zh-CN"/>
              </w:rPr>
              <w:t xml:space="preserve">脱氢乙酸及其钠盐（以脱氢乙酸计）、甜蜜素（以环己基氨基磺酸计）、铅（以Pb计）、合成着色剂（柠檬黄、日落黄、胭脂红、苋菜红、亮蓝）</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包子（自制）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苯甲酸及其钠盐（以苯甲酸计）、山梨酸及其钾盐（以山梨酸计）、糖精钠（以糖精计）</w:t>
            </w:r>
            <w:r>
              <w:rPr>
                <w:rFonts w:ascii="Times New Roman" w:hAnsi="Times New Roman"/>
                <w:sz w:val="20"/>
                <w:szCs w:val="20"/>
              </w:rPr>
            </w:r>
            <w:r/>
          </w:p>
        </w:tc>
        <w:tc>
          <w:tcPr>
            <w:tcW w:w="3767" w:type="dxa"/>
            <w:vAlign w:val="center"/>
            <w:textDirection w:val="lrTb"/>
            <w:noWrap w:val="false"/>
          </w:tcPr>
          <w:p>
            <w:pPr>
              <w:pStyle w:val="905"/>
              <w:ind w:left="57" w:right="57"/>
              <w:spacing w:line="240" w:lineRule="exact"/>
              <w:rPr>
                <w:rFonts w:ascii="Times New Roman" w:hAnsi="Times New Roman"/>
                <w:sz w:val="20"/>
                <w:szCs w:val="20"/>
              </w:rPr>
            </w:pPr>
            <w:r>
              <w:rPr>
                <w:rFonts w:ascii="Times New Roman" w:hAnsi="Times New Roman"/>
                <w:sz w:val="20"/>
                <w:szCs w:val="20"/>
              </w:rPr>
              <w:t xml:space="preserve">脱氢乙酸及其钠盐（以脱氢乙酸计）、甜蜜素（以环己基氨基磺酸计）</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油饼油条</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铝的残留量（干样品，以Al计）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凉皮类（自制）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脱氢乙酸及其钠盐（以脱氢乙酸计）</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柠檬黄</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肉制品</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熟肉制品</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肉冻皮冻</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铬（以Cr计）</w:t>
            </w:r>
            <w:r>
              <w:rPr>
                <w:rFonts w:eastAsia="宋体"/>
                <w:sz w:val="20"/>
                <w:szCs w:val="20"/>
              </w:rPr>
            </w:r>
            <w:r/>
          </w:p>
        </w:tc>
        <w:tc>
          <w:tcPr>
            <w:tcW w:w="3767"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熏烧烤肉类（自制）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N-二甲基亚硝胺、苯并[a]芘</w:t>
            </w:r>
            <w:r>
              <w:rPr>
                <w:rFonts w:eastAsia="宋体"/>
                <w:sz w:val="20"/>
                <w:szCs w:val="20"/>
              </w:rPr>
            </w:r>
            <w:r/>
          </w:p>
        </w:tc>
        <w:tc>
          <w:tcPr>
            <w:tcW w:w="3767" w:type="dxa"/>
            <w:vAlign w:val="center"/>
            <w:textDirection w:val="lrTb"/>
            <w:noWrap w:val="false"/>
          </w:tcPr>
          <w:p>
            <w:pPr>
              <w:pStyle w:val="1184"/>
              <w:ind w:left="57" w:right="57"/>
              <w:spacing w:line="260" w:lineRule="exact"/>
              <w:rPr>
                <w:rFonts w:eastAsia="宋体"/>
                <w:sz w:val="20"/>
                <w:szCs w:val="20"/>
              </w:rPr>
            </w:pPr>
            <w:r>
              <w:rPr>
                <w:rFonts w:eastAsia="宋体"/>
                <w:sz w:val="20"/>
                <w:szCs w:val="20"/>
              </w:rPr>
              <w:t xml:space="preserve">铅（以Pb计）</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调味料</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调味料</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火锅麻辣烫</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底料（自制）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罂粟碱、吗啡、可待因、那可丁</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水产制品</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预制水产</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制品（自制）</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生食动物性</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水产品（自制）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铝的残留量（以即食海蜇中Al计）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坚果及籽类食品（自制）</w:t>
            </w: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坚果及籽类食品（自制）</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花生制品</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黄曲霉毒素B1、脱氢乙酸及其钠盐（以脱氢乙酸计）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苯甲酸及其钠盐（以苯甲酸计）、山梨酸及其钾盐（以山梨酸计）、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焙烤食品</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焙烤食品</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糕点（自制）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酸价（以脂肪计）（KOH）、过氧化值（以脂肪计）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山梨酸及其钾盐（以山梨酸计）、脱氢乙酸及其钠盐（以脱氢乙酸计）、铝的残留量（干样品，以Al计）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面包（自制）</w:t>
            </w:r>
            <w:r>
              <w:rPr>
                <w:rFonts w:ascii="Times New Roman" w:hAnsi="Times New Roman"/>
                <w:sz w:val="20"/>
                <w:szCs w:val="20"/>
              </w:rPr>
            </w:r>
            <w:r/>
          </w:p>
        </w:tc>
        <w:tc>
          <w:tcPr>
            <w:tcW w:w="666" w:type="dxa"/>
            <w:vAlign w:val="center"/>
            <w:textDirection w:val="lrTb"/>
            <w:noWrap w:val="false"/>
          </w:tcPr>
          <w:p>
            <w:pPr>
              <w:pStyle w:val="1184"/>
              <w:jc w:val="center"/>
              <w:spacing w:line="260" w:lineRule="exact"/>
              <w:rPr>
                <w:rFonts w:eastAsia="宋体"/>
                <w:sz w:val="20"/>
                <w:szCs w:val="20"/>
              </w:rPr>
            </w:pPr>
            <w:r>
              <w:rPr>
                <w:rFonts w:eastAsia="宋体"/>
                <w:sz w:val="20"/>
                <w:szCs w:val="20"/>
              </w:rPr>
              <w:t xml:space="preserve">/</w:t>
            </w:r>
            <w:r>
              <w:rPr>
                <w:rFonts w:eastAsia="宋体"/>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酸价（以脂肪计）（KOH）、过氧化值（以脂肪计）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山梨酸及其钾盐（以山梨酸计）、脱氢乙酸及其钠盐（以脱氢乙酸计）、铝的残留量（干样品，以Al计）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食用油、油脂及其制品</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食用油、油脂及其制品</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煎炸过程用油</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极性组分、酸价（KOH）</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淀粉制品</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164"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粉丝粉条</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粉丝粉条</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（自制）</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铝的残留量（干样品，以Al计）、脱氢乙酸及其钠盐（以脱氢乙酸计）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31</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餐饮食品</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饮料（自制）</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饮料（自制）</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奶茶（自制）</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脱氢乙酸及其钠盐（以脱氢乙酸计）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餐饮具</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复用餐饮具</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复用餐饮具</w:t>
            </w:r>
            <w:r>
              <w:rPr>
                <w:rFonts w:ascii="Times New Roman" w:hAnsi="Times New Roman"/>
                <w:sz w:val="20"/>
                <w:szCs w:val="20"/>
              </w:rPr>
            </w:r>
            <w:r/>
          </w:p>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（餐馆自行</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消毒）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大肠菌群</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阴离子合成洗涤剂（以十二烷基苯磺酸钠计）</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复用餐饮具</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（集中清洗</w:t>
            </w:r>
            <w:r>
              <w:rPr>
                <w:rFonts w:ascii="Times New Roman" w:hAnsi="Times New Roman"/>
                <w:sz w:val="20"/>
                <w:szCs w:val="20"/>
              </w:rPr>
            </w:r>
            <w:r/>
          </w:p>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消毒服务</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单位消毒）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大肠菌群</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阴离子合成洗涤剂（以十二烷基苯磺酸钠计）</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32</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食品添加剂</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食品添加剂</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复配食品</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添加剂</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复配食品</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添加剂</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铅（Pb）、砷（以As计）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致病性微生物</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食品用香精</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食品用香精</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砷（以As计）含量/无机砷含量</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菌落总数</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单一食品</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添加剂</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环己基氨基磺酸钠（又名</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甜蜜素）</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重金属（以Pb计）、砷（As）</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环己基氨基磺酸钠含量（以干基计）、硫酸盐（以SO4计）、pH（100g/L 水溶液）、干燥减量、氨基磺酸、环己胺、双环己胺、吸光值（100g/L溶液）、透明度（以 100g/L溶液的透光率表示）</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碳酸钠</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tabs>
                <w:tab w:val="left" w:pos="7925" w:leader="none"/>
              </w:tabs>
              <w:rPr>
                <w:rFonts w:eastAsia="宋体"/>
                <w:sz w:val="20"/>
                <w:szCs w:val="20"/>
                <w:lang w:eastAsia="zh-CN"/>
              </w:rPr>
            </w:pPr>
            <w:r>
              <w:rPr>
                <w:rFonts w:eastAsia="宋体"/>
                <w:sz w:val="20"/>
                <w:szCs w:val="20"/>
                <w:lang w:eastAsia="zh-CN"/>
              </w:rPr>
              <w:t xml:space="preserve">铅（Pb）（以干基计）、砷（As）（以干基计）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tabs>
                <w:tab w:val="left" w:pos="7925" w:leader="none"/>
              </w:tabs>
              <w:rPr>
                <w:rFonts w:eastAsia="宋体"/>
                <w:sz w:val="20"/>
                <w:szCs w:val="20"/>
                <w:lang w:eastAsia="zh-CN"/>
              </w:rPr>
            </w:pPr>
            <w:r>
              <w:rPr>
                <w:rFonts w:eastAsia="宋体"/>
                <w:sz w:val="20"/>
                <w:szCs w:val="20"/>
                <w:lang w:eastAsia="zh-CN"/>
              </w:rPr>
              <w:t xml:space="preserve">总碱量（以Na2CO3计）（以干基计）、总碱量（以Na2CO3计）（以湿基计）、水不溶物（以干基计）、氯化物（以NaCl计）（以干基计）、铁（Fe）（以干基计）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碳酸氢钠</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砷（As）、重金属（以Pb计）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总碱量（以NaHCO3计）、干燥减量、pH（10g/L水溶液）、铵盐、澄清度、氯化物（以Cl计）、白度</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胶基</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胶基</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铅（Pb）、总砷（以As计）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食品工业</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用酶制剂</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食品工业</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用酶制剂</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铅（Pb）、总砷（以As计）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菌落总数、大肠菌群、大肠埃希氏菌、沙门氏菌、抗菌活性</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33</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畜禽肉及</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副产品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畜禽肉及</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副产品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畜肉</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猪肉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恩诺沙星、氟苯尼考、磺胺类（总量）、氯霉素、沙丁胺醇、多西环素</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挥发性盐基氮、水分、呋喃唑酮代谢物、呋喃西林代谢物、克伦特罗、莱克多巴胺、喹乙醇、替米考星、甲氧苄啶、地塞米松、甲硝唑、氯丙嗪、林可霉素、土霉素/金霉素/四环素（组合含量）</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牛肉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地塞米松、恩诺沙星、磺胺类（总量）、克伦特罗、氯霉素、氟苯尼考</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挥发性盐基氮、水分、呋喃唑酮代谢物、呋喃西林代谢物、莱克多巴胺、沙丁胺醇、甲氧苄啶、氟尼辛、多西环素、林可霉素、倍他米松、土霉素/金霉素/四环素（组合含量）</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羊肉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恩诺沙星、磺胺类（总量）、克伦特罗、氯霉素</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水分、呋喃唑酮代谢物、呋喃西林代谢物、莱克多巴胺、沙丁胺醇、氟苯尼考、林可霉素、土霉素/金霉素/四环素（组合含量）</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禽肉</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鸡肉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多西环素、恩诺沙星、磺胺类（总量）、甲氧苄啶、氯霉素</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挥发性盐基氮、水分、呋喃唑酮代谢物、呋喃西林代谢物、呋喃它酮代谢物、氧氟沙星、培氟沙星、诺氟沙星、沙拉沙星、替米考星、氟苯尼考、甲硝唑、尼卡巴嗪、环丙氨嗪、土霉素/金霉素/四环素（组合含量）</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鸭肉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恩诺沙星、氟苯尼考、多西环素</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呋喃唑酮代谢物、呋喃妥因代谢物、氯霉素、氧氟沙星、甲硝唑、磺胺类（总量）</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其他禽肉</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恩诺沙星、甲硝唑、多西环素</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呋喃唑酮代谢物、氯霉素、氧氟沙星、培氟沙星、洛美沙星、达氟沙星、磺胺类（总量）、环丙氨嗪</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畜副产品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猪肝</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恩诺沙星、磺胺类（总量）、甲氧苄啶</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镉（以Cd计）、呋喃唑酮代谢物、呋喃西林代谢物、氯霉素、克伦特罗、莱克多巴胺、沙丁胺醇、氯丙嗪、双氯芬酸</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羊肝</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克伦特罗、莱克多巴胺、沙丁胺醇</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33</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畜禽肉及</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副产品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hint="eastAsia" w:ascii="Times New Roman" w:hAnsi="Times New Roman"/>
                <w:sz w:val="20"/>
                <w:szCs w:val="20"/>
              </w:rPr>
            </w:pPr>
            <w:r>
              <w:rPr>
                <w:rFonts w:ascii="Times New Roman" w:hAnsi="Times New Roman"/>
                <w:sz w:val="20"/>
                <w:szCs w:val="20"/>
              </w:rPr>
              <w:t xml:space="preserve">畜禽肉及</w:t>
            </w:r>
            <w:r>
              <w:rPr>
                <w:rFonts w:hint="eastAsia"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副产品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畜副产品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猪肾</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克伦特罗、莱克多巴胺、沙丁胺醇</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呋喃西林代谢物、氯霉素、恩诺沙星、磺胺类（总量）、甲氧苄啶</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羊肾</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克伦特罗、莱克多巴胺、沙丁胺醇</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镉（以Cd计）、恩诺沙星</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其他畜副产品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克伦特罗、莱克多巴胺、沙丁胺醇</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呋喃唑酮代谢物、呋喃西林代谢物、氯霉素</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禽副产品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鸡肝</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氧氟沙星、恩诺沙星、氯霉素</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呋喃唑酮代谢物、呋喃西林代谢物、环丙氨嗪</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其他禽副产品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氯霉素、诺氟沙星</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呋喃唑酮代谢物、呋喃西林代谢物</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34</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豆芽</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豆芽</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4-氯苯氧乙酸钠（以4-氯苯氧乙酸计）、6-苄基腺嘌呤（6-BA）、亚硫酸盐（以SO</w:t>
            </w:r>
            <w:r>
              <w:rPr>
                <w:rFonts w:ascii="Cambria Math" w:hAnsi="Cambria Math" w:eastAsia="宋体"/>
                <w:sz w:val="20"/>
                <w:szCs w:val="20"/>
                <w:lang w:eastAsia="zh-CN"/>
              </w:rPr>
              <w:t xml:space="preserve">₂</w:t>
            </w:r>
            <w:r>
              <w:rPr>
                <w:rFonts w:eastAsia="宋体"/>
                <w:sz w:val="20"/>
                <w:szCs w:val="20"/>
                <w:lang w:eastAsia="zh-CN"/>
              </w:rPr>
              <w:t xml:space="preserve">计）、总汞（以Hg计）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铅（以Pb计）</w:t>
            </w:r>
            <w:r>
              <w:rPr>
                <w:rFonts w:eastAsia="宋体"/>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鲜食用菌</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鲜食用菌</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铅（以Pb计）、镉（以Cd计）</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百菌清、除虫脲、氯氟氰菊酯和高效氯氟氰菊酯、氯氰菊酯和高效氯氰菊酯</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鳞茎类蔬菜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葱</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噻虫嗪、丙环唑、戊唑醇、镉（以Cd计）、毒死蜱、氯氟氰菊酯和高效氯氟氰菊酯</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铅（以Pb计）、氟虫腈、 甲拌磷、甲基异柳磷、克百威、乐果、三唑磷、水胺硫磷、氧乐果、乙酰甲胺磷</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韭菜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镉（以Cd计）、毒死蜱、氯氟氰菊酯和高效氯氟氰菊酯、克百威、氧乐果、乙酰甲胺磷</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铅（以Pb计）、阿维菌素、敌敌畏、多菌灵、二甲戊灵、腐霉利、甲胺磷、甲拌磷、乐果、氯氰菊酯和高效氯氰菊酯、三唑磷、辛硫磷</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百合</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镉（以Cd计）</w:t>
            </w:r>
            <w:r>
              <w:rPr>
                <w:rFonts w:eastAsia="宋体"/>
                <w:sz w:val="20"/>
                <w:szCs w:val="20"/>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总汞（以Hg计）、毒死蜱</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叶菜类蔬菜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菠菜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毒死蜱、铬（以Cr计）、镉（以Cd计）、阿维菌素</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铅（以Pb计）、氟虫腈、腐霉利、甲拌磷、克百威、氯氟氰菊酯和高效氯氟氰菊酯、氧乐果</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大白菜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阿维菌素、吡虫啉、毒死蜱</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镉（以Cd计）、氟虫腈、甲拌磷、克百威、乐果、氯氟氰菊酯和高效氯氟氰菊酯、氧乐果、乙酰甲胺磷</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34</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叶菜类蔬菜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普通白菜（小白菜、小油菜、青菜）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毒死蜱、啶虫脒、氟虫腈、阿维菌素、吡虫啉</w:t>
            </w:r>
            <w:r>
              <w:rPr>
                <w:rFonts w:ascii="Times New Roman" w:hAnsi="Times New Roman"/>
                <w:sz w:val="20"/>
                <w:szCs w:val="20"/>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镉（以Cd计）、敌敌畏、氟氯氰菊酯和高效氟氯氰菊酯、甲氨基阿维菌素苯甲酸盐、甲拌磷、甲基异柳磷、克百威、氯氟氰菊酯和高效氯氟氰菊酯、氯氰菊酯和高效氯氰菊酯、噻虫胺、氧乐果、乙酰甲胺磷</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芹菜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噻虫胺、毒死蜱、氧乐果、甲拌磷、噻虫嗪、氯氟氰菊酯和高效氯氟氰菊酯、辛硫磷</w:t>
            </w:r>
            <w:r>
              <w:rPr>
                <w:rFonts w:ascii="Times New Roman" w:hAnsi="Times New Roman"/>
                <w:sz w:val="20"/>
                <w:szCs w:val="20"/>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铅（以Pb计）、镉（以Cd计）、阿维菌素、百菌清、苯醚甲环唑、敌敌畏、啶虫脒、二甲戊灵、氟虫腈、甲基异柳磷、腈菌唑、克百威、乐果、氯氰菊酯和高效氯氰菊酯、三氯杀螨醇、水胺硫磷、乙酰甲胺磷</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油麦菜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阿维菌素、 甲氨基阿维菌素苯甲酸盐、腈菌唑、毒死蜱</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吡虫啉、啶虫脒、氟虫腈、甲拌磷、氯氟氰菊酯和高效氯氟氰菊酯、灭多威、噻虫嗪、氧乐果、乙酰甲胺磷</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蕹菜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敌敌畏、甲拌磷、水胺硫磷、氟虫腈</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镉（以Cd计）、氧乐果</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茄果类蔬菜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辣椒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噻虫胺、镉（以Cd计）、啶虫脒、毒死蜱、呋虫胺、氧乐果、噻虫嗪、倍硫磷</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铅（以Pb计）、吡虫啉、吡唑醚菌酯、丙溴磷、敌敌畏、氟吡菌胺、氟虫腈、甲氨基阿维菌素苯甲酸盐、甲胺磷、甲拌磷、克百威、乐果、联苯菊酯、氯氟氰菊酯和高效氯氟氰菊酯、三唑磷、杀扑磷、水胺硫磷、乙酰甲胺磷</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茄果类蔬菜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茄子</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镉（以Cd计）、噻虫胺、噻虫嗪、氧乐果、毒死蜱</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铅（以Pb计）、吡唑醚菌酯、甲氨基阿维菌素苯甲酸盐、甲胺磷、甲拌磷、克百威、霜霉威和霜霉威盐酸盐、水胺硫磷、乙酰甲胺磷</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甜椒</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噻虫胺、吡虫啉、毒死蜱、噻虫嗪</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镉（以Cd计）、阿维菌素、倍硫磷、吡唑醚菌酯、氟啶虫酰胺、氧乐果</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瓜类蔬菜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黄瓜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噻虫嗪、乙螨唑、阿维菌素、毒死蜱、哒螨灵</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敌敌畏、腐霉利、甲氨基阿维菌素苯甲酸盐、甲拌磷、克百威、乐果、氧乐果、乙酰甲胺磷、异丙威</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34</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菜豆</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噻虫胺、乙酰甲胺磷、甲胺磷、氧乐果、甲氨基阿维菌素苯甲酸盐</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倍硫磷、吡虫啉、毒死蜱、多菌灵、克百威、氯氟氰菊酯和高效氯氟氰菊酯、灭蝇胺、水胺硫磷</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豇豆</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噻虫胺、噻虫嗪、倍硫磷、氧乐果、灭蝇胺、克百威、啶虫脒、毒死蜱</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阿维菌素、氟虫腈、甲氨基阿维菌素苯甲酸盐、甲胺磷、甲拌磷、甲基异柳磷、乐果、氯氟氰菊酯和高效氯氟氰菊酯、三唑磷、水胺硫磷、乙酰甲胺磷</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食荚豌豆</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吡唑醚菌酯、多菌灵、噻虫胺、烯酰吗啉、乙酰甲胺磷、氧乐果</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苯醚甲环唑、毒死蜱、甲氨基阿维菌素苯甲酸盐、甲胺磷、灭蝇胺、噻虫嗪</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根茎类和</w:t>
            </w:r>
            <w:r>
              <w:rPr>
                <w:rFonts w:ascii="Times New Roman" w:hAnsi="Times New Roman"/>
                <w:sz w:val="20"/>
                <w:szCs w:val="20"/>
              </w:rPr>
            </w:r>
            <w:r/>
          </w:p>
          <w:p>
            <w:pPr>
              <w:pStyle w:val="905"/>
              <w:jc w:val="center"/>
              <w:spacing w:line="280" w:lineRule="exact"/>
              <w:rPr>
                <w:rFonts w:ascii="Times New Roman" w:hAnsi="Times New Roman"/>
                <w:sz w:val="20"/>
                <w:szCs w:val="20"/>
              </w:rPr>
            </w:pPr>
            <w:r>
              <w:rPr>
                <w:rFonts w:ascii="Times New Roman" w:hAnsi="Times New Roman"/>
                <w:sz w:val="20"/>
                <w:szCs w:val="20"/>
              </w:rPr>
              <w:t xml:space="preserve">薯芋类蔬菜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甘薯</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氯氟氰菊酯和高效氯氟氰菊酯、毒死蜱、氯氰菊酯和高效氯氰菊酯、噻虫嗪</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铅（以Pb计）、苯醚甲环唑、氟虫腈、甲拌磷、联苯菊酯、杀扑磷</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胡萝卜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噻虫胺、甲拌磷、氟虫腈、氯氟氰菊酯和高效氯氟氰菊酯、毒死蜱</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铅（以Pb计）、腈菌唑、乐果、噻虫嗪、辛硫磷</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噻虫胺、铅（以Pb计）、镉（以Cd计）、噻虫嗪、毒死蜱、吡虫啉、二氧化硫残留量</w:t>
            </w:r>
            <w:r>
              <w:rPr>
                <w:rFonts w:eastAsia="宋体"/>
                <w:sz w:val="20"/>
                <w:szCs w:val="20"/>
                <w:lang w:eastAsia="zh-CN"/>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吡唑醚菌酯、敌敌畏、甲拌磷、克百威、六六六、氯氟氰菊酯和高效氯氟氰菊酯、氯氰菊酯和高效氯氰菊酯、氯唑磷、咪鲜胺和咪鲜胺锰盐</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萝卜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噻虫嗪、氯氟氰菊酯和高效氯氟氰菊酯、毒死蜱</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铅（以Pb计）、甲胺磷、甲拌磷、噻虫胺、氧乐果</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马铃薯</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毒死蜱、噻虫嗪、氯氟氰菊酯和高效氯氟氰菊酯、镉（以Cd计）、甲拌磷</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铅（以Pb计）、氯氰菊酯和高效氯氰菊酯、乙酰甲胺磷、二氧化硫残留量</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山药</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咪鲜胺和咪鲜胺锰盐、涕灭威、毒死蜱</w:t>
            </w:r>
            <w:r>
              <w:rPr>
                <w:rFonts w:ascii="Times New Roman" w:hAnsi="Times New Roman"/>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铅（以Pb计）、氯氟氰菊酯和高效氯氟氰菊酯</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去皮蔬菜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去皮蔬菜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苯甲酸及其钠盐（以苯甲酸计）、山梨酸及其钾盐（以山梨酸计）、合成着色剂（柠檬黄、日落黄、胭脂红、苋菜红、亮蓝、诱惑红）</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脱氢乙酸及其钠盐（以脱氢乙酸计）、二氧化硫残留量</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水生类蔬菜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荸荠</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铅（以Pb计）、镉（以Cd计）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总汞（以Hg计）、总砷（以As计）、铬（以Cr计）、丙环唑</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34</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蔬菜</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水生类蔬菜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慈姑</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 计）、镉（以Cd计）、敌敌畏、丙环唑</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总汞（以Hg 计）、总砷（以As 计）、铬（以 Cr 计）、乐果、毒死蜱</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其他类蔬菜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藜蒿</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 计）、镉（以Cd计）、总汞（以 Hg计）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总砷（以As计）、铬（以Cr计）</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竹笋</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铅（以Pb 计）、镉（以Cd计）、总汞（以 Hg计）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总砷（以As计）、铬（以Cr计）</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35</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水产品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水产品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淡水产品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淡水鱼</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恩诺沙星、孔雀石绿、磺胺类（ 总量）、氧氟沙星、呋喃唑酮代谢物</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挥发性盐基氮、镉（ 以 Cd 计）、氯霉素、呋喃西林代谢物、呋喃妥因代谢物、五氯酚酸钠（ 以五氯酚计）、沙拉沙星、 甲氧苄啶、氟苯尼考、 甲硝唑、地西泮、培氟沙星、诺氟沙星</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淡水虾</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恩诺沙星、呋喃唑酮代谢物</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pacing w:val="-4"/>
                <w:sz w:val="20"/>
                <w:szCs w:val="20"/>
                <w:lang w:eastAsia="zh-CN"/>
              </w:rPr>
            </w:pPr>
            <w:r>
              <w:rPr>
                <w:rFonts w:eastAsia="宋体"/>
                <w:spacing w:val="-4"/>
                <w:sz w:val="20"/>
                <w:szCs w:val="20"/>
                <w:lang w:eastAsia="zh-CN"/>
              </w:rPr>
              <w:t xml:space="preserve">镉（以 Cd 计）、孔雀石绿、氯霉素、呋喃妥因代谢物、五氯酚酸钠（ 以五氯酚计）、磺胺类（总量）、土霉素/金霉素/四环素（组合含量）、氧氟沙星、诺氟沙星</w:t>
            </w:r>
            <w:r>
              <w:rPr>
                <w:rFonts w:eastAsia="宋体"/>
                <w:spacing w:val="-4"/>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淡水蟹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镉（以Cd计）</w:t>
            </w:r>
            <w:r>
              <w:rPr>
                <w:rFonts w:eastAsia="宋体"/>
                <w:sz w:val="20"/>
                <w:szCs w:val="20"/>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五氯酚酸钠（ 以五氯酚计）、呋喃唑酮代谢物</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海水产品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海水鱼</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恩诺沙星、呋喃唑酮代谢物、 甲硝唑</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pacing w:val="-4"/>
                <w:sz w:val="20"/>
                <w:szCs w:val="20"/>
                <w:lang w:eastAsia="zh-CN"/>
              </w:rPr>
            </w:pPr>
            <w:r>
              <w:rPr>
                <w:rFonts w:eastAsia="宋体"/>
                <w:spacing w:val="-4"/>
                <w:sz w:val="20"/>
                <w:szCs w:val="20"/>
                <w:lang w:eastAsia="zh-CN"/>
              </w:rPr>
              <w:t xml:space="preserve">挥发性盐基氮、组胺、镉（以 Cd 计）、柠檬黄、孔雀石绿、氯霉素、呋喃它酮代谢物、呋喃西林代谢物、呋喃妥因代谢物、五氯酚酸钠（ 以五氯酚计）、磺胺类（总量）、土霉素/金霉素/四环素（组合含量）、 甲氧苄啶、氧氟沙星、培氟沙星、诺氟沙星</w:t>
            </w:r>
            <w:r>
              <w:rPr>
                <w:rFonts w:eastAsia="宋体"/>
                <w:spacing w:val="-4"/>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海水虾</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 Cd 计）、恩诺沙星、土霉素/金霉素/四环素（组合含量）、二氧化硫残留量、呋喃唑酮代谢物</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挥发性盐基氮、孔雀石绿、氯霉素、磺胺类（总量）、诺氟沙星</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海水蟹</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镉（以Cd 计）、二氧化硫残留量</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氯霉素、孔雀石绿、呋喃唑酮代谢物、呋喃妥因代谢物、氧氟沙星</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35</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水产品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水产品</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贝类</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贝类</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镉（以Cd 计）、氯霉素</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无机砷（以 As 计）、孔雀石绿、呋喃唑酮代谢物、呋喃西林代谢物、呋喃妥因代谢物、五氯酚酸钠（以五氯酚计）、恩诺沙星、氟苯尼考、磺胺类（ 总量）</w:t>
            </w:r>
            <w:r>
              <w:rPr>
                <w:rFonts w:eastAsia="宋体"/>
                <w:sz w:val="20"/>
                <w:szCs w:val="20"/>
                <w:lang w:eastAsia="zh-CN"/>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其他水产品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其他水产品</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恩诺沙星a、氟苯尼考a、氧氟沙星a、呋喃唑酮代谢物、镉（以Cd计）b</w:t>
            </w:r>
            <w:r>
              <w:rPr>
                <w:rFonts w:eastAsia="宋体"/>
                <w:sz w:val="20"/>
                <w:szCs w:val="20"/>
                <w:lang w:eastAsia="zh-CN"/>
              </w:rPr>
            </w:r>
            <w:r/>
          </w:p>
          <w:p>
            <w:pPr>
              <w:pStyle w:val="1184"/>
              <w:ind w:left="57" w:right="57"/>
              <w:spacing w:line="280" w:lineRule="exact"/>
              <w:rPr>
                <w:rFonts w:eastAsia="宋体"/>
                <w:sz w:val="20"/>
                <w:szCs w:val="20"/>
                <w:lang w:eastAsia="zh-CN"/>
              </w:rPr>
            </w:pPr>
            <w:r>
              <w:rPr>
                <w:rFonts w:eastAsia="宋体"/>
                <w:sz w:val="20"/>
                <w:szCs w:val="20"/>
                <w:lang w:eastAsia="zh-CN"/>
              </w:rPr>
              <w:t xml:space="preserve">a.仅蛙科、鳖科食品动物检测。</w:t>
            </w:r>
            <w:r>
              <w:rPr>
                <w:rFonts w:eastAsia="宋体"/>
                <w:sz w:val="20"/>
                <w:szCs w:val="20"/>
                <w:lang w:eastAsia="zh-CN"/>
              </w:rPr>
            </w:r>
            <w:r/>
          </w:p>
          <w:p>
            <w:pPr>
              <w:pStyle w:val="1184"/>
              <w:ind w:left="57" w:right="57"/>
              <w:spacing w:line="280" w:lineRule="exact"/>
              <w:rPr>
                <w:rFonts w:eastAsia="宋体"/>
                <w:sz w:val="20"/>
                <w:szCs w:val="20"/>
                <w:lang w:eastAsia="zh-CN"/>
              </w:rPr>
            </w:pPr>
            <w:r>
              <w:rPr>
                <w:rFonts w:eastAsia="宋体"/>
                <w:sz w:val="20"/>
                <w:szCs w:val="20"/>
                <w:lang w:eastAsia="zh-CN"/>
              </w:rPr>
              <w:t xml:space="preserve">b.限头足类、腹足类、棘皮类检测。</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孔雀石绿、氯霉素、呋喃西林代谢物、呋喃妥因代谢物、五氯酚酸钠（以五氯酚计）、磺胺类（总量）、甲硝唑、氧氟沙星、诺氟沙星</w:t>
            </w:r>
            <w:r>
              <w:rPr>
                <w:rFonts w:eastAsia="宋体"/>
                <w:sz w:val="20"/>
                <w:szCs w:val="20"/>
                <w:lang w:eastAsia="zh-CN"/>
              </w:rPr>
            </w:r>
            <w:r/>
          </w:p>
        </w:tc>
      </w:tr>
      <w:tr>
        <w:trPr>
          <w:trHeight w:val="454"/>
        </w:trPr>
        <w:tc>
          <w:tcPr>
            <w:tcW w:w="676" w:type="dxa"/>
            <w:vAlign w:val="center"/>
            <w:vMerge w:val="restart"/>
            <w:textDirection w:val="lrTb"/>
            <w:noWrap w:val="false"/>
          </w:tcPr>
          <w:p>
            <w:pPr>
              <w:pStyle w:val="1184"/>
              <w:jc w:val="center"/>
              <w:spacing w:line="280" w:lineRule="exact"/>
              <w:rPr>
                <w:rFonts w:hint="eastAsia" w:eastAsia="宋体"/>
                <w:sz w:val="20"/>
                <w:szCs w:val="20"/>
                <w:lang w:eastAsia="zh-CN"/>
              </w:rPr>
            </w:pPr>
            <w:r>
              <w:rPr>
                <w:rFonts w:eastAsia="宋体"/>
                <w:sz w:val="20"/>
                <w:szCs w:val="20"/>
              </w:rPr>
              <w:t xml:space="preserve">36</w:t>
            </w:r>
            <w:r>
              <w:rPr>
                <w:rFonts w:hint="eastAsia" w:eastAsia="宋体"/>
                <w:sz w:val="20"/>
                <w:szCs w:val="20"/>
                <w:lang w:eastAsia="zh-CN"/>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水果类</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水果类</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仁果类水果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苹果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敌敌畏、甲拌磷、克百威</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氧乐果、三氯杀螨醇</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梨</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乙螨唑、咪鲜胺和咪鲜胺锰盐、苯醚甲环唑、氯氟氰菊酯和高效氯氟氰菊酯</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吡虫啉、敌敌畏、毒死蜱、多菌灵、克百威、氧乐果、水胺硫磷、噻虫嗪、 乙酰甲胺磷、阿维菌素</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8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核果类水果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枣</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多菌灵、糖精钠（以糖精计）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氟虫腈、氧乐果</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桃</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苯醚甲环唑、敌敌畏、多菌灵、氟硅唑、克百威、氧乐果、溴氰菊酯</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吡虫啉、氯氟氰菊酯和高效氯氟氰菊酯、噻虫胺、甲氨基阿维菌素苯甲酸盐</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油桃</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噻虫胺、克百威</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甲胺磷、氧乐果、敌敌畏、苯醚甲环唑</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柑橘类水果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柑、橘</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联苯菊酯、苯醚甲环唑、丙溴磷、2,4-滴和2,4-滴钠盐、氯氟氰菊酯和高效氯氟氰菊酯、三唑磷</w:t>
            </w:r>
            <w:r>
              <w:rPr>
                <w:rFonts w:eastAsia="宋体"/>
                <w:sz w:val="20"/>
                <w:szCs w:val="20"/>
                <w:lang w:eastAsia="zh-CN"/>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克百威、氯唑磷、水胺硫磷、氧乐果、 甲拌磷、狄氏剂、杀扑磷、敌敌畏、联苯肼酯</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柚</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水胺硫磷、联苯菊酯、氯氟氰菊酯和高效氯氟氰菊酯</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氯唑磷、多菌灵、克百威、毒死蜱、噻虫胺</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柠檬</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多菌灵、克百威、联苯菊酯</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水胺硫磷、乙螨唑、氯唑磷、毒死蜱</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橙</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氯唑磷、联苯菊酯、苯醚甲环唑、丙溴磷、2,4-滴和2,4-滴钠盐</w:t>
            </w:r>
            <w:r>
              <w:rPr>
                <w:rFonts w:eastAsia="宋体"/>
                <w:sz w:val="20"/>
                <w:szCs w:val="20"/>
                <w:lang w:eastAsia="zh-CN"/>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克百威、三唑磷、杀扑磷、水胺硫磷、氧乐果、敌敌畏、氯氟氰菊酯和高效氯氟氰菊酯、乙酰甲胺磷</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60" w:lineRule="exact"/>
              <w:rPr>
                <w:rFonts w:eastAsia="宋体"/>
                <w:sz w:val="20"/>
                <w:szCs w:val="20"/>
              </w:rPr>
            </w:pPr>
            <w:r>
              <w:rPr>
                <w:rFonts w:eastAsia="宋体"/>
                <w:sz w:val="20"/>
                <w:szCs w:val="20"/>
              </w:rPr>
              <w:t xml:space="preserve">36</w:t>
            </w:r>
            <w:r>
              <w:rPr>
                <w:rFonts w:eastAsia="宋体"/>
                <w:sz w:val="20"/>
                <w:szCs w:val="20"/>
              </w:rPr>
            </w:r>
            <w:r/>
          </w:p>
        </w:tc>
        <w:tc>
          <w:tcPr>
            <w:tcW w:w="1038"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水果类</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水果类</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浆果和其他小型水果</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葡萄</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苯醚甲环唑、己唑醇、氯氰菊酯和高效氯氰菊酯、霜霉威和霜霉威盐酸盐</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氧乐果、氯氟氰菊酯和高效氯氟氰菊酯、氟虫腈、氯吡脲、联苯菊酯、氟唑菌酰胺、戊唑醇、腈苯唑</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6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草莓</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阿维菌素、多菌灵、克百威、烯酰吗啉、氧乐果</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戊菌唑、吡虫啉、乙酰甲胺磷</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6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猕猴桃</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敌敌畏、多菌灵、氯吡脲、菌酯</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氧乐果、吡唑醚</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6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桑葚</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脱氢乙酸及其钠盐（以脱氢乙酸计）、糖精钠（以糖精计）、甜蜜素（以环己基氨基磺酸计）、多菌灵</w:t>
            </w:r>
            <w:r>
              <w:rPr>
                <w:rFonts w:ascii="Times New Roman" w:hAnsi="Times New Roman"/>
                <w:sz w:val="20"/>
                <w:szCs w:val="20"/>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苯甲酸及其钠盐（ 以苯甲酸计）、山梨酸及其钾盐（ 以山梨酸计）、三氯蔗糖、氯氟氰菊酯和高效氯氟氰菊酯、纽甜</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6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西番莲</w:t>
            </w:r>
            <w:r>
              <w:rPr>
                <w:rFonts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（百香果）</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镉（以Cd计）、苯醚甲环唑</w:t>
            </w:r>
            <w:r>
              <w:rPr>
                <w:rFonts w:eastAsia="宋体"/>
                <w:sz w:val="20"/>
                <w:szCs w:val="20"/>
                <w:lang w:eastAsia="zh-CN"/>
              </w:rPr>
            </w:r>
            <w:r/>
          </w:p>
        </w:tc>
        <w:tc>
          <w:tcPr>
            <w:tcW w:w="3767" w:type="dxa"/>
            <w:vAlign w:val="center"/>
            <w:textDirection w:val="lrTb"/>
            <w:noWrap w:val="false"/>
          </w:tcPr>
          <w:p>
            <w:pPr>
              <w:pStyle w:val="1184"/>
              <w:ind w:left="57" w:right="57"/>
              <w:spacing w:line="260" w:lineRule="exact"/>
              <w:rPr>
                <w:rFonts w:eastAsia="宋体"/>
                <w:sz w:val="20"/>
                <w:szCs w:val="20"/>
                <w:lang w:eastAsia="zh-CN"/>
              </w:rPr>
            </w:pPr>
            <w:r>
              <w:rPr>
                <w:rFonts w:eastAsia="宋体"/>
                <w:sz w:val="20"/>
                <w:szCs w:val="20"/>
                <w:lang w:eastAsia="zh-CN"/>
              </w:rPr>
              <w:t xml:space="preserve">噻虫胺、戊唑醇、氧乐果、乙酰甲胺磷</w:t>
            </w:r>
            <w:r>
              <w:rPr>
                <w:rFonts w:eastAsia="宋体"/>
                <w:sz w:val="20"/>
                <w:szCs w:val="20"/>
                <w:lang w:eastAsia="zh-CN"/>
              </w:rPr>
            </w:r>
            <w:r/>
          </w:p>
        </w:tc>
      </w:tr>
      <w:tr>
        <w:trPr>
          <w:trHeight w:val="454"/>
        </w:trPr>
        <w:tc>
          <w:tcPr>
            <w:tcW w:w="676" w:type="dxa"/>
            <w:vAlign w:val="center"/>
            <w:vMerge w:val="continue"/>
            <w:textDirection w:val="lrTb"/>
            <w:noWrap w:val="false"/>
          </w:tcPr>
          <w:p>
            <w:pPr>
              <w:pStyle w:val="1184"/>
              <w:jc w:val="center"/>
              <w:spacing w:line="26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restart"/>
            <w:textDirection w:val="lrTb"/>
            <w:noWrap w:val="false"/>
          </w:tcPr>
          <w:p>
            <w:pPr>
              <w:pStyle w:val="905"/>
              <w:jc w:val="center"/>
              <w:spacing w:line="260" w:lineRule="exact"/>
              <w:rPr>
                <w:rFonts w:hint="eastAsia" w:ascii="Times New Roman" w:hAnsi="Times New Roman"/>
                <w:sz w:val="20"/>
                <w:szCs w:val="20"/>
              </w:rPr>
            </w:pPr>
            <w:r>
              <w:rPr>
                <w:rFonts w:ascii="Times New Roman" w:hAnsi="Times New Roman"/>
                <w:sz w:val="20"/>
                <w:szCs w:val="20"/>
              </w:rPr>
              <w:t xml:space="preserve">热带和</w:t>
            </w:r>
            <w:r>
              <w:rPr>
                <w:rFonts w:hint="eastAsia" w:ascii="Times New Roman" w:hAnsi="Times New Roman"/>
                <w:sz w:val="20"/>
                <w:szCs w:val="20"/>
              </w:rPr>
            </w:r>
            <w:r/>
          </w:p>
          <w:p>
            <w:pPr>
              <w:pStyle w:val="905"/>
              <w:jc w:val="center"/>
              <w:spacing w:line="260" w:lineRule="exact"/>
              <w:rPr>
                <w:rFonts w:ascii="Times New Roman" w:hAnsi="Times New Roman"/>
                <w:sz w:val="20"/>
                <w:szCs w:val="20"/>
              </w:rPr>
            </w:pPr>
            <w:r>
              <w:rPr>
                <w:rFonts w:ascii="Times New Roman" w:hAnsi="Times New Roman"/>
                <w:sz w:val="20"/>
                <w:szCs w:val="20"/>
              </w:rPr>
              <w:t xml:space="preserve">亚热带水果</w:t>
            </w: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香蕉</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吡虫啉、噻虫嗪、噻虫胺、腈苯唑、氟唑菌酰胺</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苯醚甲环唑、吡唑醚菌酯、氟虫腈、联苯菊酯、百菌清、氧乐果、氯氟氰菊酯和高效氯氟氰菊酯</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6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芒果</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吡唑醚菌酯、噻虫胺、戊唑醇、苯醚甲环唑、乙酰甲胺磷、噻嗪酮、吡虫啉</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氧乐果、噻虫嗪、氯氟氰菊酯和高效氯氟氰菊酯</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1184"/>
              <w:jc w:val="center"/>
              <w:spacing w:line="260" w:lineRule="exact"/>
              <w:rPr>
                <w:rFonts w:eastAsia="宋体"/>
                <w:sz w:val="20"/>
                <w:szCs w:val="20"/>
              </w:rPr>
            </w:pPr>
            <w:r>
              <w:rPr>
                <w:rFonts w:eastAsia="宋体"/>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火龙果</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甲胺磷、克百威、氧乐果</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乙酰甲胺磷、噻虫嗪、咪鲜胺和咪鲜胺锰盐</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荔枝</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氯氟氰菊酯和高效氯氟氰菊酯、吡唑醚菌酯、除虫脲、苯醚甲环唑、氰霜唑</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多菌灵、氧乐果、毒死蜱、氯氰菊酯和高效氯氰菊酯、氟吗啉、咪鲜胺和咪鲜胺锰盐、乐果、溴氰菊酯</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杨梅</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脱氢乙酸及其钠盐（以脱氢乙酸计）、甜蜜素（以环己基氨基磺酸计）、糖精钠（以糖精计）、啶虫脒</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山梨酸及其钾盐（以山梨酸计）、三氯蔗糖、氧乐果、阿维菌素、纽甜</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龙眼</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二氧化硫残留量、氯氰菊酯和高效氯氰菊酯、氧乐果</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克百威、氟虫腈</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番木瓜</w:t>
            </w:r>
            <w:r>
              <w:rPr>
                <w:rFonts w:ascii="Times New Roman" w:hAnsi="Times New Roman"/>
                <w:sz w:val="20"/>
                <w:szCs w:val="20"/>
              </w:rPr>
            </w:r>
            <w:r/>
          </w:p>
        </w:tc>
        <w:tc>
          <w:tcPr>
            <w:tcW w:w="666" w:type="dxa"/>
            <w:vAlign w:val="center"/>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噻虫胺、噻虫嗪、乙酰甲胺磷</w:t>
            </w:r>
            <w:r>
              <w:rPr>
                <w:rFonts w:ascii="Times New Roman" w:hAnsi="Times New Roman"/>
                <w:sz w:val="20"/>
                <w:szCs w:val="20"/>
              </w:rPr>
            </w:r>
            <w:r/>
          </w:p>
        </w:tc>
        <w:tc>
          <w:tcPr>
            <w:tcW w:w="3767" w:type="dxa"/>
            <w:vAlign w:val="center"/>
            <w:textDirection w:val="lrTb"/>
            <w:noWrap w:val="false"/>
          </w:tcPr>
          <w:p>
            <w:pPr>
              <w:pStyle w:val="905"/>
              <w:ind w:left="57" w:right="57"/>
              <w:spacing w:line="260" w:lineRule="exact"/>
              <w:rPr>
                <w:rFonts w:ascii="Times New Roman" w:hAnsi="Times New Roman"/>
                <w:sz w:val="20"/>
                <w:szCs w:val="20"/>
              </w:rPr>
            </w:pPr>
            <w:r>
              <w:rPr>
                <w:rFonts w:ascii="Times New Roman" w:hAnsi="Times New Roman"/>
                <w:sz w:val="20"/>
                <w:szCs w:val="20"/>
              </w:rPr>
              <w:t xml:space="preserve">克百威、氧乐果</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菠萝</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糖精钠（以糖精计）、脱氢乙酸及其钠盐（以脱氢乙酸计）、三氯蔗糖</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合成着色剂（柠檬黄）、甜蜜素（以环己基氨基磺酸计）</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60" w:lineRule="exact"/>
              <w:rPr>
                <w:rFonts w:eastAsia="宋体"/>
                <w:sz w:val="20"/>
                <w:szCs w:val="20"/>
              </w:rPr>
            </w:pPr>
            <w:r>
              <w:rPr>
                <w:rFonts w:eastAsia="宋体"/>
                <w:sz w:val="20"/>
                <w:szCs w:val="20"/>
              </w:rPr>
              <w:t xml:space="preserve">36</w:t>
            </w:r>
            <w:r>
              <w:rPr>
                <w:rFonts w:eastAsia="宋体"/>
                <w:sz w:val="20"/>
                <w:szCs w:val="20"/>
              </w:rPr>
            </w:r>
            <w:r/>
          </w:p>
        </w:tc>
        <w:tc>
          <w:tcPr>
            <w:tcW w:w="1038"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水果类</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60" w:lineRule="exact"/>
              <w:rPr>
                <w:rFonts w:ascii="Times New Roman" w:hAnsi="Times New Roman"/>
                <w:sz w:val="20"/>
                <w:szCs w:val="20"/>
              </w:rPr>
            </w:pPr>
            <w:r>
              <w:rPr>
                <w:rFonts w:ascii="Times New Roman" w:hAnsi="Times New Roman"/>
                <w:sz w:val="20"/>
                <w:szCs w:val="20"/>
              </w:rPr>
              <w:t xml:space="preserve">水果类</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瓜果类水果</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西瓜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克百威、噻虫嗪、氧乐果</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乙酰甲胺磷、苯醚甲环唑、氯氟氰菊酯和高效氯氟氰菊酯</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甜瓜类</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较高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克百威、烯酰吗啉</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氧乐果、乙酰甲胺磷</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37</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鲜蛋</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鲜蛋</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鲜蛋</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鸡蛋</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多西环素、 甲氧苄啶、磺胺类（总量）、 甲硝唑、氟苯尼考、地美硝唑、恩诺沙星、托曲珠利</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呋喃唑酮代谢物、呋喃西林代谢物、氟虫腈、氯霉素、 甲砜霉素、氧氟沙星、沙拉沙星、地克珠利</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其他禽蛋</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高</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多西环素、磺胺类（总量）</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呋喃唑酮代谢物、氯霉素</w:t>
            </w:r>
            <w:r>
              <w:rPr>
                <w:rFonts w:ascii="Times New Roman" w:hAnsi="Times New Roman"/>
                <w:sz w:val="20"/>
                <w:szCs w:val="20"/>
              </w:rPr>
            </w:r>
            <w:r/>
          </w:p>
        </w:tc>
      </w:tr>
      <w:tr>
        <w:trPr>
          <w:trHeight w:val="454"/>
        </w:trPr>
        <w:tc>
          <w:tcPr>
            <w:tcW w:w="676" w:type="dxa"/>
            <w:vAlign w:val="center"/>
            <w:textDirection w:val="lrTb"/>
            <w:noWrap w:val="false"/>
          </w:tcPr>
          <w:p>
            <w:pPr>
              <w:pStyle w:val="1184"/>
              <w:jc w:val="center"/>
              <w:spacing w:line="280" w:lineRule="exact"/>
              <w:rPr>
                <w:rFonts w:eastAsia="宋体"/>
                <w:sz w:val="20"/>
                <w:szCs w:val="20"/>
              </w:rPr>
            </w:pPr>
            <w:r>
              <w:rPr>
                <w:rFonts w:eastAsia="宋体"/>
                <w:sz w:val="20"/>
                <w:szCs w:val="20"/>
              </w:rPr>
              <w:t xml:space="preserve">38</w:t>
            </w:r>
            <w:r>
              <w:rPr>
                <w:rFonts w:eastAsia="宋体"/>
                <w:sz w:val="20"/>
                <w:szCs w:val="20"/>
              </w:rPr>
            </w:r>
            <w:r/>
          </w:p>
        </w:tc>
        <w:tc>
          <w:tcPr>
            <w:tcW w:w="1038"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豆类</w:t>
            </w:r>
            <w:r>
              <w:rPr>
                <w:rFonts w:ascii="Times New Roman" w:hAnsi="Times New Roman"/>
                <w:sz w:val="20"/>
                <w:szCs w:val="20"/>
              </w:rPr>
            </w:r>
            <w:r/>
          </w:p>
        </w:tc>
        <w:tc>
          <w:tcPr>
            <w:tcW w:w="115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豆类</w:t>
            </w:r>
            <w:r>
              <w:rPr>
                <w:rFonts w:ascii="Times New Roman" w:hAnsi="Times New Roman"/>
                <w:sz w:val="20"/>
                <w:szCs w:val="20"/>
              </w:rPr>
            </w:r>
            <w:r/>
          </w:p>
        </w:tc>
        <w:tc>
          <w:tcPr>
            <w:tcW w:w="1164"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豆类</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豆类</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铅（以 Pb 计）、铬（以 Cr 计）、赭曲霉毒素 A</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吡虫啉、环丙唑醇、噻虫胺、噻虫嗪</w:t>
            </w:r>
            <w:r>
              <w:rPr>
                <w:rFonts w:ascii="Times New Roman" w:hAnsi="Times New Roman"/>
                <w:sz w:val="20"/>
                <w:szCs w:val="20"/>
              </w:rPr>
            </w:r>
            <w:r/>
          </w:p>
        </w:tc>
      </w:tr>
      <w:tr>
        <w:trPr>
          <w:trHeight w:val="454"/>
        </w:trPr>
        <w:tc>
          <w:tcPr>
            <w:tcW w:w="676" w:type="dxa"/>
            <w:vAlign w:val="center"/>
            <w:vMerge w:val="restart"/>
            <w:textDirection w:val="lrTb"/>
            <w:noWrap w:val="false"/>
          </w:tcPr>
          <w:p>
            <w:pPr>
              <w:pStyle w:val="1184"/>
              <w:jc w:val="center"/>
              <w:spacing w:line="280" w:lineRule="exact"/>
              <w:rPr>
                <w:rFonts w:eastAsia="宋体"/>
                <w:sz w:val="20"/>
                <w:szCs w:val="20"/>
              </w:rPr>
            </w:pPr>
            <w:r>
              <w:rPr>
                <w:rFonts w:eastAsia="宋体"/>
                <w:sz w:val="20"/>
                <w:szCs w:val="20"/>
              </w:rPr>
              <w:t xml:space="preserve">39</w:t>
            </w:r>
            <w:r>
              <w:rPr>
                <w:rFonts w:eastAsia="宋体"/>
                <w:sz w:val="20"/>
                <w:szCs w:val="20"/>
              </w:rPr>
            </w:r>
            <w:r/>
          </w:p>
        </w:tc>
        <w:tc>
          <w:tcPr>
            <w:tcW w:w="1038"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生干坚果与籽类食品</w:t>
            </w:r>
            <w:r>
              <w:rPr>
                <w:rFonts w:ascii="Times New Roman" w:hAnsi="Times New Roman"/>
                <w:sz w:val="20"/>
                <w:szCs w:val="20"/>
              </w:rPr>
            </w:r>
            <w:r/>
          </w:p>
        </w:tc>
        <w:tc>
          <w:tcPr>
            <w:tcW w:w="115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生干坚果与籽类食品</w:t>
            </w:r>
            <w:r>
              <w:rPr>
                <w:rFonts w:ascii="Times New Roman" w:hAnsi="Times New Roman"/>
                <w:sz w:val="20"/>
                <w:szCs w:val="20"/>
              </w:rPr>
            </w:r>
            <w:r/>
          </w:p>
        </w:tc>
        <w:tc>
          <w:tcPr>
            <w:tcW w:w="1164" w:type="dxa"/>
            <w:vAlign w:val="center"/>
            <w:vMerge w:val="restart"/>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生干坚果与籽类食品</w:t>
            </w: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生干坚果</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酸价（ 以脂肪计）（KOH）、过氧化值（ 以脂肪计）</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二氧化硫残留量、吡虫啉</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花生</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酸价、黄曲霉毒素 B1</w:t>
            </w:r>
            <w:r>
              <w:rPr>
                <w:rFonts w:ascii="Times New Roman" w:hAnsi="Times New Roman"/>
                <w:sz w:val="20"/>
                <w:szCs w:val="20"/>
              </w:rPr>
            </w:r>
            <w:r/>
          </w:p>
        </w:tc>
        <w:tc>
          <w:tcPr>
            <w:tcW w:w="3767" w:type="dxa"/>
            <w:vAlign w:val="center"/>
            <w:textDirection w:val="lrTb"/>
            <w:noWrap w:val="false"/>
          </w:tcPr>
          <w:p>
            <w:pPr>
              <w:pStyle w:val="905"/>
              <w:ind w:left="57" w:right="57"/>
              <w:spacing w:line="280" w:lineRule="exact"/>
              <w:rPr>
                <w:rFonts w:ascii="Times New Roman" w:hAnsi="Times New Roman"/>
                <w:sz w:val="20"/>
                <w:szCs w:val="20"/>
              </w:rPr>
            </w:pPr>
            <w:r>
              <w:rPr>
                <w:rFonts w:ascii="Times New Roman" w:hAnsi="Times New Roman"/>
                <w:sz w:val="20"/>
                <w:szCs w:val="20"/>
              </w:rPr>
              <w:t xml:space="preserve">过氧化值（以脂肪计）、铅（以 Pb 计）镉（以 Cd 计）、噻虫嗪、噻虫胺</w:t>
            </w:r>
            <w:r>
              <w:rPr>
                <w:rFonts w:ascii="Times New Roman" w:hAnsi="Times New Roman"/>
                <w:sz w:val="20"/>
                <w:szCs w:val="20"/>
              </w:rPr>
            </w:r>
            <w:r/>
          </w:p>
        </w:tc>
      </w:tr>
      <w:tr>
        <w:trPr>
          <w:trHeight w:val="454"/>
        </w:trPr>
        <w:tc>
          <w:tcPr>
            <w:tcW w:w="676"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038"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5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164" w:type="dxa"/>
            <w:vAlign w:val="center"/>
            <w:vMerge w:val="continue"/>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r>
            <w:r/>
          </w:p>
        </w:tc>
        <w:tc>
          <w:tcPr>
            <w:tcW w:w="1275"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其他籽类</w:t>
            </w:r>
            <w:r>
              <w:rPr>
                <w:rFonts w:ascii="Times New Roman" w:hAnsi="Times New Roman"/>
                <w:sz w:val="20"/>
                <w:szCs w:val="20"/>
              </w:rPr>
            </w:r>
            <w:r/>
          </w:p>
        </w:tc>
        <w:tc>
          <w:tcPr>
            <w:tcW w:w="666" w:type="dxa"/>
            <w:vAlign w:val="center"/>
            <w:textDirection w:val="lrTb"/>
            <w:noWrap w:val="false"/>
          </w:tcPr>
          <w:p>
            <w:pPr>
              <w:pStyle w:val="905"/>
              <w:jc w:val="center"/>
              <w:spacing w:line="280" w:lineRule="exact"/>
              <w:rPr>
                <w:rFonts w:ascii="Times New Roman" w:hAnsi="Times New Roman"/>
                <w:sz w:val="20"/>
                <w:szCs w:val="20"/>
              </w:rPr>
            </w:pPr>
            <w:r>
              <w:rPr>
                <w:rFonts w:ascii="Times New Roman" w:hAnsi="Times New Roman"/>
                <w:sz w:val="20"/>
                <w:szCs w:val="20"/>
              </w:rPr>
              <w:t xml:space="preserve">一般</w:t>
            </w:r>
            <w:r>
              <w:rPr>
                <w:rFonts w:ascii="Times New Roman" w:hAnsi="Times New Roman"/>
                <w:sz w:val="20"/>
                <w:szCs w:val="20"/>
              </w:rPr>
            </w:r>
            <w:r/>
          </w:p>
        </w:tc>
        <w:tc>
          <w:tcPr>
            <w:tcW w:w="4278" w:type="dxa"/>
            <w:vAlign w:val="center"/>
            <w:textDirection w:val="lrTb"/>
            <w:noWrap w:val="false"/>
          </w:tcPr>
          <w:p>
            <w:pPr>
              <w:pStyle w:val="1184"/>
              <w:ind w:left="57" w:right="57"/>
              <w:spacing w:line="280" w:lineRule="exact"/>
              <w:rPr>
                <w:rFonts w:eastAsia="宋体"/>
                <w:sz w:val="20"/>
                <w:szCs w:val="20"/>
                <w:lang w:eastAsia="zh-CN"/>
              </w:rPr>
            </w:pPr>
            <w:r>
              <w:rPr>
                <w:rFonts w:eastAsia="宋体"/>
                <w:sz w:val="20"/>
                <w:szCs w:val="20"/>
                <w:lang w:eastAsia="zh-CN"/>
              </w:rPr>
              <w:t xml:space="preserve">酸价（以脂肪计）（KOH）、过氧化值（以脂肪计）、铅（以Pb计）</w:t>
            </w:r>
            <w:r>
              <w:rPr>
                <w:rFonts w:eastAsia="宋体"/>
                <w:sz w:val="20"/>
                <w:szCs w:val="20"/>
                <w:lang w:eastAsia="zh-CN"/>
              </w:rPr>
            </w:r>
            <w:r/>
          </w:p>
        </w:tc>
        <w:tc>
          <w:tcPr>
            <w:tcW w:w="3767" w:type="dxa"/>
            <w:vAlign w:val="center"/>
            <w:textDirection w:val="lrTb"/>
            <w:noWrap w:val="false"/>
          </w:tcPr>
          <w:p>
            <w:pPr>
              <w:pStyle w:val="1184"/>
              <w:ind w:left="57" w:right="57"/>
              <w:spacing w:line="280" w:lineRule="exact"/>
              <w:rPr>
                <w:rFonts w:eastAsia="宋体"/>
                <w:sz w:val="20"/>
                <w:szCs w:val="20"/>
              </w:rPr>
            </w:pPr>
            <w:r>
              <w:rPr>
                <w:rFonts w:eastAsia="宋体"/>
                <w:sz w:val="20"/>
                <w:szCs w:val="20"/>
              </w:rPr>
              <w:t xml:space="preserve">噻虫嗪、噻虫胺</w:t>
            </w:r>
            <w:r>
              <w:rPr>
                <w:rFonts w:eastAsia="宋体"/>
                <w:sz w:val="20"/>
                <w:szCs w:val="20"/>
              </w:rPr>
            </w:r>
            <w:r/>
          </w:p>
        </w:tc>
      </w:tr>
    </w:tbl>
    <w:p>
      <w:pPr>
        <w:pStyle w:val="905"/>
        <w:ind w:left="550"/>
        <w:spacing w:before="113" w:line="237" w:lineRule="auto"/>
        <w:rPr>
          <w:rFonts w:ascii="Arial" w:hAnsi="Arial" w:eastAsia="Arial" w:cs="Arial"/>
          <w:szCs w:val="21"/>
        </w:rPr>
        <w:outlineLvl w:val="1"/>
      </w:pPr>
      <w:r>
        <w:rPr>
          <w:rFonts w:ascii="Arial" w:hAnsi="Arial" w:eastAsia="Arial" w:cs="Arial"/>
          <w:szCs w:val="21"/>
        </w:rPr>
      </w:r>
      <w:r/>
    </w:p>
    <w:p>
      <w:pPr>
        <w:pStyle w:val="905"/>
        <w:contextualSpacing/>
        <w:ind w:firstLine="482"/>
        <w:keepLines w:val="0"/>
        <w:keepNext w:val="0"/>
        <w:pageBreakBefore w:val="0"/>
        <w:spacing w:line="360" w:lineRule="auto"/>
        <w:widowControl w:val="off"/>
        <w:rPr>
          <w:rFonts w:hint="eastAsia" w:ascii="宋体" w:hAnsi="宋体" w:eastAsia="宋体" w:cs="宋体"/>
          <w:b/>
          <w:bCs w:val="0"/>
          <w:color w:val="ff0000"/>
          <w:sz w:val="24"/>
          <w:szCs w:val="24"/>
          <w:highlight w:val="none"/>
          <w:lang w:val="en-US" w:eastAsia="zh-CN"/>
        </w:rPr>
        <w:outlineLvl w:val="9"/>
      </w:pPr>
      <w:r>
        <w:rPr>
          <w:rFonts w:hint="eastAsia" w:ascii="宋体" w:hAnsi="宋体" w:eastAsia="宋体" w:cs="宋体"/>
          <w:b/>
          <w:bCs w:val="0"/>
          <w:color w:val="ff0000"/>
          <w:sz w:val="24"/>
          <w:szCs w:val="24"/>
          <w:highlight w:val="none"/>
          <w:lang w:val="en-US" w:eastAsia="zh-CN"/>
        </w:rPr>
        <w:t xml:space="preserve">注：为便于评审，请供应商自行列出食品检验机构资质认定证书及附表中对应检验检测项目所在的页码或位置，提供索引表。</w:t>
      </w:r>
      <w:r>
        <w:rPr>
          <w:rFonts w:hint="eastAsia" w:ascii="宋体" w:hAnsi="宋体" w:eastAsia="宋体" w:cs="宋体"/>
          <w:b/>
          <w:bCs w:val="0"/>
          <w:color w:val="ff0000"/>
          <w:sz w:val="24"/>
          <w:szCs w:val="24"/>
          <w:highlight w:val="none"/>
          <w:lang w:val="en-US" w:eastAsia="zh-CN"/>
        </w:rPr>
      </w:r>
      <w:r/>
    </w:p>
    <w:p>
      <w:pPr>
        <w:pStyle w:val="937"/>
        <w:spacing w:after="0" w:line="320" w:lineRule="exact"/>
        <w:tabs>
          <w:tab w:val="left" w:pos="567" w:leader="none"/>
        </w:tabs>
        <w:rPr>
          <w:rFonts w:ascii="Arial" w:hAnsi="Arial" w:eastAsia="Arial" w:cs="Arial"/>
          <w:szCs w:val="21"/>
        </w:rPr>
        <w:sectPr>
          <w:footnotePr/>
          <w:endnotePr/>
          <w:type w:val="nextPage"/>
          <w:pgSz w:w="16838" w:h="11905" w:orient="landscape"/>
          <w:pgMar w:top="1803" w:right="1440" w:bottom="1803" w:left="1440" w:header="851" w:footer="992" w:gutter="0"/>
          <w:cols w:num="1" w:sep="0" w:space="1701" w:equalWidth="1"/>
          <w:docGrid w:linePitch="360"/>
        </w:sectPr>
      </w:pPr>
      <w:r>
        <w:rPr>
          <w:rFonts w:ascii="Arial" w:hAnsi="Arial" w:eastAsia="Arial" w:cs="Arial"/>
          <w:szCs w:val="21"/>
        </w:rPr>
      </w:r>
      <w:r/>
    </w:p>
    <w:p>
      <w:pPr>
        <w:pStyle w:val="937"/>
        <w:ind w:firstLine="400"/>
        <w:jc w:val="center"/>
        <w:spacing w:after="0" w:line="320" w:lineRule="exact"/>
        <w:tabs>
          <w:tab w:val="left" w:pos="567" w:leader="none"/>
        </w:tabs>
        <w:rPr>
          <w:b/>
          <w:color w:val="000000"/>
          <w:sz w:val="36"/>
          <w:szCs w:val="36"/>
        </w:rPr>
      </w:pPr>
      <w:r>
        <w:rPr>
          <w:b/>
          <w:color w:val="000000"/>
          <w:sz w:val="36"/>
          <w:szCs w:val="36"/>
        </w:rPr>
      </w:r>
      <w:r/>
    </w:p>
    <w:p>
      <w:pPr>
        <w:pStyle w:val="937"/>
        <w:ind w:firstLine="400"/>
        <w:jc w:val="center"/>
        <w:spacing w:after="0" w:line="320" w:lineRule="exact"/>
        <w:tabs>
          <w:tab w:val="left" w:pos="567" w:leader="none"/>
        </w:tabs>
        <w:rPr>
          <w:b/>
          <w:color w:val="000000"/>
          <w:sz w:val="36"/>
          <w:szCs w:val="36"/>
        </w:rPr>
      </w:pPr>
      <w:r>
        <w:rPr>
          <w:b/>
          <w:color w:val="000000"/>
          <w:sz w:val="36"/>
          <w:szCs w:val="36"/>
        </w:rPr>
        <w:t xml:space="preserve">第五章   合同</w:t>
      </w:r>
      <w:r>
        <w:rPr>
          <w:rFonts w:hint="eastAsia"/>
          <w:b/>
          <w:color w:val="000000"/>
          <w:sz w:val="36"/>
          <w:szCs w:val="36"/>
        </w:rPr>
        <w:t xml:space="preserve">主要</w:t>
      </w:r>
      <w:r>
        <w:rPr>
          <w:b/>
          <w:color w:val="000000"/>
          <w:sz w:val="36"/>
          <w:szCs w:val="36"/>
        </w:rPr>
        <w:t xml:space="preserve">条款</w:t>
      </w:r>
      <w:bookmarkEnd w:id="662"/>
      <w:r/>
      <w:bookmarkEnd w:id="663"/>
      <w:r>
        <w:rPr>
          <w:b/>
          <w:color w:val="000000"/>
          <w:sz w:val="36"/>
          <w:szCs w:val="36"/>
        </w:rPr>
      </w:r>
      <w:r/>
    </w:p>
    <w:p>
      <w:pPr>
        <w:pStyle w:val="1006"/>
        <w:contextualSpacing/>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方：常州市市场监督管理局</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注册地址/住所地：常州市新北区太湖东路105号</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统一社会信用代码：11320400MB1681397W    </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    方：……</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注册地址/住所地：……</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5"/>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合同编号：……</w:t>
      </w:r>
      <w:r>
        <w:rPr>
          <w:rFonts w:hint="eastAsia" w:ascii="宋体" w:hAnsi="宋体" w:eastAsia="宋体" w:cs="宋体"/>
          <w:color w:val="000000"/>
          <w:sz w:val="24"/>
          <w:szCs w:val="24"/>
          <w:highlight w:val="none"/>
          <w:lang w:val="en-US" w:eastAsia="zh-CN" w:bidi="ar-SA"/>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签订地点：江苏常州</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rPr>
          <w:rFonts w:hint="eastAsia" w:ascii="宋体" w:hAnsi="宋体" w:eastAsia="宋体" w:cs="宋体"/>
          <w:color w:val="000000"/>
          <w:sz w:val="24"/>
          <w:szCs w:val="24"/>
          <w:highlight w:val="none"/>
          <w:lang w:val="en-US"/>
        </w:rPr>
        <w:t xml:space="preserve">2026</w:t>
      </w:r>
      <w:r>
        <w:rPr>
          <w:rFonts w:hint="eastAsia" w:ascii="宋体" w:hAnsi="宋体" w:eastAsia="宋体" w:cs="宋体"/>
          <w:color w:val="000000"/>
          <w:sz w:val="24"/>
          <w:szCs w:val="24"/>
          <w:highlight w:val="none"/>
        </w:rPr>
        <w:t xml:space="preserve">年X月X日</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5"/>
        <w:numPr>
          <w:ilvl w:val="0"/>
          <w:numId w:val="14"/>
        </w:numPr>
        <w:ind w:firstLine="480"/>
        <w:jc w:val="both"/>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乙双方本着平等互利的原则，根据《中华人民共和国民法典》《中华人民共和国政府采购法》《中华人民共和国食品安全法》《食品安全抽样检验管理办法》《食品安全监督抽检和风险监测工作规范》《食用农产品抽样检验和核查处置》《常州市2026年食品安全抽检工作意见》以及有关法律、法规的规定，以及本项目</w:t>
      </w:r>
      <w:r>
        <w:rPr>
          <w:rFonts w:hint="eastAsia" w:ascii="宋体" w:hAnsi="宋体" w:eastAsia="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的采购文件、乙方的响应文件及成交通知书，经双方协商一致，签订本合同，达成如下条款：</w:t>
      </w:r>
      <w:r>
        <w:rPr>
          <w:rFonts w:hint="eastAsia" w:ascii="宋体" w:hAnsi="宋体" w:eastAsia="宋体" w:cs="宋体"/>
          <w:color w:val="000000"/>
          <w:sz w:val="24"/>
          <w:szCs w:val="24"/>
          <w:highlight w:val="none"/>
          <w:lang w:val="en-US" w:eastAsia="zh-CN"/>
        </w:rPr>
      </w:r>
      <w:r/>
    </w:p>
    <w:p>
      <w:pPr>
        <w:pStyle w:val="905"/>
        <w:numPr>
          <w:ilvl w:val="0"/>
          <w:numId w:val="0"/>
        </w:numPr>
        <w:ind w:firstLine="480"/>
        <w:jc w:val="both"/>
        <w:keepLines w:val="0"/>
        <w:keepNext w:val="0"/>
        <w:pageBreakBefore w:val="0"/>
        <w:spacing w:line="560" w:lineRule="exac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一、合同期限与内容</w:t>
      </w:r>
      <w:r>
        <w:rPr>
          <w:rFonts w:hint="eastAsia" w:ascii="宋体" w:hAnsi="宋体" w:eastAsia="宋体" w:cs="宋体"/>
          <w:b/>
          <w:color w:val="000000"/>
          <w:sz w:val="24"/>
          <w:szCs w:val="24"/>
          <w:highlight w:val="none"/>
        </w:rPr>
      </w:r>
      <w:r/>
    </w:p>
    <w:p>
      <w:pPr>
        <w:pStyle w:val="905"/>
        <w:ind w:firstLine="645"/>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合同期限</w:t>
      </w:r>
      <w:r>
        <w:rPr>
          <w:rFonts w:hint="eastAsia" w:ascii="宋体" w:hAnsi="宋体" w:eastAsia="宋体" w:cs="宋体"/>
          <w:color w:val="000000"/>
          <w:sz w:val="24"/>
          <w:szCs w:val="24"/>
          <w:highlight w:val="none"/>
        </w:rPr>
      </w:r>
      <w:r/>
    </w:p>
    <w:p>
      <w:pPr>
        <w:pStyle w:val="905"/>
        <w:numPr>
          <w:ilvl w:val="0"/>
          <w:numId w:val="0"/>
        </w:numPr>
        <w:ind w:firstLine="480"/>
        <w:jc w:val="both"/>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自本合同签订之日起，至2027年3月31日前完成（以“国抽系统”录入时间为准）。</w:t>
      </w:r>
      <w:r>
        <w:rPr>
          <w:rFonts w:hint="eastAsia" w:ascii="宋体" w:hAnsi="宋体" w:eastAsia="宋体" w:cs="宋体"/>
          <w:color w:val="000000"/>
          <w:sz w:val="24"/>
          <w:szCs w:val="24"/>
          <w:highlight w:val="none"/>
        </w:rPr>
      </w:r>
      <w:r/>
    </w:p>
    <w:p>
      <w:pPr>
        <w:pStyle w:val="905"/>
        <w:ind w:firstLine="482"/>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合同内容</w:t>
      </w:r>
      <w:r>
        <w:rPr>
          <w:rFonts w:hint="eastAsia" w:ascii="宋体" w:hAnsi="宋体" w:eastAsia="宋体" w:cs="宋体"/>
          <w:color w:val="000000"/>
          <w:sz w:val="24"/>
          <w:szCs w:val="24"/>
          <w:highlight w:val="none"/>
        </w:rPr>
      </w:r>
      <w:r/>
    </w:p>
    <w:p>
      <w:pPr>
        <w:pStyle w:val="905"/>
        <w:numPr>
          <w:ilvl w:val="0"/>
          <w:numId w:val="0"/>
        </w:numPr>
        <w:ind w:firstLine="480"/>
        <w:jc w:val="both"/>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乙方根据甲方需求，提供“2026年食品检测技术服务项目”，具体工作内容、要求及考核标准详见本合同附件。核心内容包括但不限于：</w:t>
      </w:r>
      <w:r>
        <w:rPr>
          <w:rFonts w:hint="eastAsia" w:ascii="宋体" w:hAnsi="宋体" w:eastAsia="宋体" w:cs="宋体"/>
          <w:color w:val="000000"/>
          <w:sz w:val="24"/>
          <w:szCs w:val="24"/>
          <w:highlight w:val="none"/>
          <w:lang w:val="en-US" w:eastAsia="zh-CN" w:bidi="ar-SA"/>
        </w:rPr>
      </w:r>
      <w:r/>
    </w:p>
    <w:p>
      <w:pPr>
        <w:pStyle w:val="905"/>
        <w:numPr>
          <w:ilvl w:val="0"/>
          <w:numId w:val="15"/>
        </w:numPr>
        <w:ind w:firstLine="482"/>
        <w:jc w:val="both"/>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抽检任务：</w:t>
      </w:r>
      <w:r>
        <w:rPr>
          <w:rFonts w:hint="eastAsia" w:ascii="宋体" w:hAnsi="宋体" w:eastAsia="宋体" w:cs="宋体"/>
          <w:color w:val="000000"/>
          <w:sz w:val="24"/>
          <w:szCs w:val="24"/>
          <w:highlight w:val="none"/>
          <w:lang w:val="en-US" w:eastAsia="zh-CN" w:bidi="ar-SA"/>
        </w:rPr>
        <w:t xml:space="preserve">根据中标包号，在常州市指定辖市区完成</w:t>
      </w:r>
      <w:r>
        <w:rPr>
          <w:rFonts w:hint="eastAsia" w:ascii="宋体" w:hAnsi="宋体" w:eastAsia="宋体" w:cs="宋体"/>
          <w:color w:val="000000"/>
          <w:sz w:val="24"/>
          <w:szCs w:val="24"/>
          <w:highlight w:val="none"/>
          <w:u w:val="none"/>
          <w:lang w:val="en-US" w:eastAsia="zh-CN" w:bidi="ar-SA"/>
        </w:rPr>
        <w:t xml:space="preserve">相应批次</w:t>
      </w:r>
      <w:r>
        <w:rPr>
          <w:rFonts w:hint="eastAsia" w:ascii="宋体" w:hAnsi="宋体" w:eastAsia="宋体" w:cs="宋体"/>
          <w:color w:val="000000"/>
          <w:sz w:val="24"/>
          <w:szCs w:val="24"/>
          <w:highlight w:val="none"/>
          <w:lang w:val="en-US" w:eastAsia="zh-CN" w:bidi="ar-SA"/>
        </w:rPr>
        <w:t xml:space="preserve">的食品安全监督抽检任务。任务分配、采购金额、抽检重点等详见附件二。</w:t>
      </w:r>
      <w:r>
        <w:rPr>
          <w:rFonts w:hint="eastAsia" w:ascii="宋体" w:hAnsi="宋体" w:eastAsia="宋体" w:cs="宋体"/>
          <w:color w:val="000000"/>
          <w:sz w:val="24"/>
          <w:szCs w:val="24"/>
          <w:highlight w:val="none"/>
          <w:lang w:val="en-US" w:eastAsia="zh-CN" w:bidi="ar-SA"/>
        </w:rPr>
      </w:r>
      <w:r/>
    </w:p>
    <w:p>
      <w:pPr>
        <w:pStyle w:val="905"/>
        <w:numPr>
          <w:ilvl w:val="0"/>
          <w:numId w:val="15"/>
        </w:numPr>
        <w:ind w:left="0" w:firstLine="482"/>
        <w:jc w:val="both"/>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计划制定：</w:t>
      </w:r>
      <w:r>
        <w:rPr>
          <w:rFonts w:hint="eastAsia" w:ascii="宋体" w:hAnsi="宋体" w:eastAsia="宋体" w:cs="宋体"/>
          <w:color w:val="000000"/>
          <w:sz w:val="24"/>
          <w:szCs w:val="24"/>
          <w:highlight w:val="none"/>
          <w:lang w:val="en-US" w:eastAsia="zh-CN" w:bidi="ar-SA"/>
        </w:rPr>
        <w:t xml:space="preserve">依据甲方抽样计划，编制《检测计划》并经甲方认可后实施。</w:t>
      </w:r>
      <w:r>
        <w:rPr>
          <w:rFonts w:hint="eastAsia" w:ascii="宋体" w:hAnsi="宋体" w:eastAsia="宋体" w:cs="宋体"/>
          <w:color w:val="000000"/>
          <w:sz w:val="24"/>
          <w:szCs w:val="24"/>
          <w:highlight w:val="none"/>
          <w:lang w:val="en-US" w:eastAsia="zh-CN" w:bidi="ar-SA"/>
        </w:rPr>
      </w:r>
      <w:r/>
    </w:p>
    <w:p>
      <w:pPr>
        <w:pStyle w:val="905"/>
        <w:numPr>
          <w:ilvl w:val="0"/>
          <w:numId w:val="15"/>
        </w:numPr>
        <w:ind w:left="0" w:firstLine="482"/>
        <w:jc w:val="both"/>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抽检品种：</w:t>
      </w:r>
      <w:r>
        <w:rPr>
          <w:rFonts w:hint="eastAsia" w:ascii="宋体" w:hAnsi="宋体" w:eastAsia="宋体" w:cs="宋体"/>
          <w:color w:val="000000"/>
          <w:sz w:val="24"/>
          <w:szCs w:val="24"/>
          <w:highlight w:val="none"/>
          <w:lang w:val="en-US" w:eastAsia="zh-CN" w:bidi="ar-SA"/>
        </w:rPr>
        <w:t xml:space="preserve">抽样需覆盖食品生产经营全过程，流通环节中，酱油、食醋、酱卤肉制品、熟肉干制品、新鲜水果、果蔬汁（浆）、固体饮料、方便面、饼干、蔬菜类罐头、酱腌菜、蜜饯、水果干制品、生食水产品、糕点、发酵性豆制品每样不少于5批次（若因客观原因在实际抽样过程中达不到该品种批次要求，需向甲方提交情况说明）。</w:t>
      </w:r>
      <w:r>
        <w:rPr>
          <w:rFonts w:hint="eastAsia" w:ascii="宋体" w:hAnsi="宋体" w:eastAsia="宋体" w:cs="宋体"/>
          <w:color w:val="000000"/>
          <w:sz w:val="24"/>
          <w:szCs w:val="24"/>
          <w:highlight w:val="none"/>
          <w:lang w:val="en-US" w:eastAsia="zh-CN" w:bidi="ar-SA"/>
        </w:rPr>
      </w:r>
      <w:r/>
    </w:p>
    <w:p>
      <w:pPr>
        <w:pStyle w:val="975"/>
        <w:numPr>
          <w:ilvl w:val="0"/>
          <w:numId w:val="15"/>
        </w:numPr>
        <w:ind w:left="0" w:firstLine="482"/>
        <w:keepLines w:val="0"/>
        <w:keepNext w:val="0"/>
        <w:pageBreakBefore w:val="0"/>
        <w:spacing w:line="5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检测项目：</w:t>
      </w:r>
      <w:r>
        <w:rPr>
          <w:rFonts w:hint="eastAsia" w:ascii="宋体" w:hAnsi="宋体" w:eastAsia="宋体" w:cs="宋体"/>
          <w:color w:val="000000"/>
          <w:sz w:val="24"/>
          <w:szCs w:val="24"/>
          <w:highlight w:val="none"/>
          <w:lang w:val="en-US" w:eastAsia="zh-CN" w:bidi="ar-SA"/>
        </w:rPr>
        <w:t xml:space="preserve">对于所抽取的样品，应检验全部必检项目（《常州市2026年食品安全监督抽检品种、项目表》《2026年市、县食用农产品监督抽检必检品种、项目表》），非食用农产品抽检项目应不少于相关规定项目的50%，食用农产品抽检项目应含必检品种、项目，同时选择不少于两个自选项目。</w:t>
      </w:r>
      <w:r>
        <w:rPr>
          <w:rFonts w:hint="eastAsia" w:ascii="宋体" w:hAnsi="宋体" w:eastAsia="宋体" w:cs="宋体"/>
          <w:color w:val="000000"/>
          <w:sz w:val="24"/>
          <w:szCs w:val="24"/>
          <w:highlight w:val="none"/>
          <w:lang w:val="en-US" w:eastAsia="zh-CN" w:bidi="ar-SA"/>
        </w:rPr>
      </w:r>
      <w:r/>
    </w:p>
    <w:p>
      <w:pPr>
        <w:pStyle w:val="975"/>
        <w:numPr>
          <w:ilvl w:val="0"/>
          <w:numId w:val="15"/>
        </w:numPr>
        <w:ind w:left="0" w:firstLine="482"/>
        <w:keepLines w:val="0"/>
        <w:keepNext w:val="0"/>
        <w:pageBreakBefore w:val="0"/>
        <w:spacing w:line="5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人员配备：</w:t>
      </w:r>
      <w:r>
        <w:rPr>
          <w:rFonts w:hint="eastAsia" w:ascii="宋体" w:hAnsi="宋体" w:eastAsia="宋体" w:cs="宋体"/>
          <w:color w:val="000000"/>
          <w:sz w:val="24"/>
          <w:szCs w:val="24"/>
          <w:highlight w:val="none"/>
          <w:lang w:val="en-US" w:eastAsia="zh-CN" w:bidi="ar-SA"/>
        </w:rPr>
        <w:t xml:space="preserve">提供为本项目配备的与食品安全监督抽检和风险抽检工作相匹配的专职抽样人员和检验人员（抽样人员和检验人员不能同时申报），专职抽样人员不少于6人，检验人员不少于14人。</w:t>
      </w:r>
      <w:r>
        <w:rPr>
          <w:rFonts w:hint="eastAsia" w:ascii="宋体" w:hAnsi="宋体" w:eastAsia="宋体" w:cs="宋体"/>
          <w:color w:val="000000"/>
          <w:sz w:val="24"/>
          <w:szCs w:val="24"/>
          <w:highlight w:val="none"/>
          <w:lang w:val="en-US" w:eastAsia="zh-CN" w:bidi="ar-SA"/>
        </w:rPr>
      </w:r>
      <w:r/>
    </w:p>
    <w:p>
      <w:pPr>
        <w:pStyle w:val="975"/>
        <w:ind w:left="0" w:firstLine="482"/>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6.检测要求：</w:t>
      </w:r>
      <w:r>
        <w:rPr>
          <w:rFonts w:hint="eastAsia" w:ascii="宋体" w:hAnsi="宋体" w:eastAsia="宋体" w:cs="宋体"/>
          <w:b w:val="0"/>
          <w:bCs w:val="0"/>
          <w:color w:val="000000"/>
          <w:sz w:val="24"/>
          <w:szCs w:val="24"/>
          <w:highlight w:val="none"/>
          <w:lang w:val="en-US" w:eastAsia="zh-CN" w:bidi="ar-SA"/>
        </w:rPr>
        <w:t xml:space="preserve">乙方应当在接到抽样检验任务后两日内，编制《检测计划》，内容包括抽样环节、抽样方法、检验项目、检验标准、判定原则及依据等。《检测计划》应当经甲方认可后方可实施。</w:t>
      </w:r>
      <w:r>
        <w:rPr>
          <w:rFonts w:hint="eastAsia" w:ascii="宋体" w:hAnsi="宋体" w:eastAsia="宋体" w:cs="宋体"/>
          <w:b w:val="0"/>
          <w:bCs w:val="0"/>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（1）检验项目应依据《2026年常州市食品安全监督抽检品种、项目表》制定。</w:t>
      </w:r>
      <w:r>
        <w:rPr>
          <w:rFonts w:hint="eastAsia" w:ascii="宋体" w:hAnsi="宋体" w:eastAsia="宋体" w:cs="宋体"/>
          <w:b w:val="0"/>
          <w:bCs w:val="0"/>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（2）抽样方法、检验标准、判定原则应依据食品标准（国家标准）以及国家有关食品抽样要求编制，涉及安全性指标的项目不得低于国家强制性标准要求。</w:t>
      </w:r>
      <w:r>
        <w:rPr>
          <w:rFonts w:hint="eastAsia" w:ascii="宋体" w:hAnsi="宋体" w:eastAsia="宋体" w:cs="宋体"/>
          <w:b w:val="0"/>
          <w:bCs w:val="0"/>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检验结论应采用以下用语：样品检验项目全部合格时，其检验结论为“经抽样检验，所检项目符合XX标准要求”；样品检验项目有一项及以上不合格时，其检验结论为“经抽样检验，XX项目不符合XX标准要求，检验结论为不合格”。</w:t>
      </w:r>
      <w:r>
        <w:rPr>
          <w:rFonts w:hint="eastAsia" w:ascii="宋体" w:hAnsi="宋体" w:eastAsia="宋体" w:cs="宋体"/>
          <w:b w:val="0"/>
          <w:bCs w:val="0"/>
          <w:color w:val="000000"/>
          <w:sz w:val="24"/>
          <w:szCs w:val="24"/>
          <w:highlight w:val="none"/>
          <w:lang w:val="en-US" w:eastAsia="zh-CN" w:bidi="ar-SA"/>
        </w:rPr>
      </w:r>
      <w:r/>
    </w:p>
    <w:p>
      <w:pPr>
        <w:pStyle w:val="975"/>
        <w:ind w:left="0" w:firstLine="482"/>
        <w:keepLines w:val="0"/>
        <w:keepNext w:val="0"/>
        <w:pageBreakBefore w:val="0"/>
        <w:spacing w:line="5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7.时间要求：</w:t>
      </w:r>
      <w:r>
        <w:rPr>
          <w:rFonts w:hint="eastAsia" w:ascii="宋体" w:hAnsi="宋体" w:eastAsia="宋体" w:cs="宋体"/>
          <w:color w:val="000000"/>
          <w:sz w:val="24"/>
          <w:szCs w:val="24"/>
          <w:highlight w:val="none"/>
          <w:lang w:val="en-US" w:eastAsia="zh-CN" w:bidi="ar-SA"/>
        </w:rPr>
        <w:t xml:space="preserve">按照计划安排，所有抽样检测工作均在2027年3月31日前完成（以“国抽系统”录入时间为准），因甲方原因造成取样延迟的，不得追究乙方责任；因乙方原因造成取样延迟的，乙方应当按每批次50元/天支付甲方赔偿金。取样完成后，乙方应及时进行检验，并在二十个工作日内出具检验报告，并保证检验结果准确。</w:t>
      </w:r>
      <w:r>
        <w:rPr>
          <w:rFonts w:hint="eastAsia" w:ascii="宋体" w:hAnsi="宋体" w:eastAsia="宋体" w:cs="宋体"/>
          <w:color w:val="000000"/>
          <w:sz w:val="24"/>
          <w:szCs w:val="24"/>
          <w:highlight w:val="none"/>
          <w:lang w:val="en-US" w:eastAsia="zh-CN" w:bidi="ar-SA"/>
        </w:rPr>
      </w:r>
      <w:r/>
    </w:p>
    <w:p>
      <w:pPr>
        <w:pStyle w:val="975"/>
        <w:ind w:left="0" w:firstLine="482"/>
        <w:keepLines w:val="0"/>
        <w:keepNext w:val="0"/>
        <w:pageBreakBefore w:val="0"/>
        <w:spacing w:line="56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8.抽样要求：</w:t>
      </w:r>
      <w:r>
        <w:rPr>
          <w:rFonts w:hint="eastAsia" w:ascii="宋体" w:hAnsi="宋体" w:eastAsia="宋体" w:cs="宋体"/>
          <w:b/>
          <w:bCs/>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甲方根据情况决定是否派出执法人员参加现场抽样，乙方应当至少派两名有资质的工作人员参与抽样，并确保按照国家规定的采样规则和规范进行抽样。具体抽样食品品种根据抽检计划决定，抽样过程填制《食品安全抽样检验抽样单》。</w:t>
      </w:r>
      <w:r>
        <w:rPr>
          <w:rFonts w:hint="eastAsia" w:ascii="宋体" w:hAnsi="宋体" w:eastAsia="宋体" w:cs="宋体"/>
          <w:b w:val="0"/>
          <w:bCs w:val="0"/>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（2）乙方抽样时，应同时抽取能够满足复检需要的足够的备样。检样、备样应当购买，购样费用由乙方支付。抽样后，在甲方监督下按要求封存检样及备样，由乙方的工作人员一同带回并妥善保管。</w:t>
      </w:r>
      <w:r>
        <w:rPr>
          <w:rFonts w:hint="eastAsia" w:ascii="宋体" w:hAnsi="宋体" w:eastAsia="宋体" w:cs="宋体"/>
          <w:b w:val="0"/>
          <w:bCs w:val="0"/>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（3）对于甲方要求的紧急抽样，乙方应在3小时内到达现场。</w:t>
      </w:r>
      <w:r>
        <w:rPr>
          <w:rFonts w:hint="eastAsia" w:ascii="宋体" w:hAnsi="宋体" w:eastAsia="宋体" w:cs="宋体"/>
          <w:b w:val="0"/>
          <w:bCs w:val="0"/>
          <w:color w:val="000000"/>
          <w:sz w:val="24"/>
          <w:szCs w:val="24"/>
          <w:highlight w:val="none"/>
          <w:lang w:val="en-US" w:eastAsia="zh-CN" w:bidi="ar-SA"/>
        </w:rPr>
      </w:r>
      <w:r/>
    </w:p>
    <w:p>
      <w:pPr>
        <w:pStyle w:val="975"/>
        <w:ind w:left="0" w:firstLine="482"/>
        <w:keepLines w:val="0"/>
        <w:keepNext w:val="0"/>
        <w:pageBreakBefore w:val="0"/>
        <w:spacing w:line="56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9.样品保存要求：</w:t>
      </w:r>
      <w:r>
        <w:rPr>
          <w:rFonts w:hint="eastAsia" w:ascii="宋体" w:hAnsi="宋体" w:eastAsia="宋体" w:cs="宋体"/>
          <w:b/>
          <w:bCs/>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食品安全监督抽检的检验结论合格的，乙方应当自检验结论作出之日起3个月内妥善保存复检备份样品；复检备份样品剩余保质期不足3个月的，应当保存至保质期结束。检验结论不合格的，乙方应在检验结论作出后2个工作日内报告甲方，并自检验结论作出之日起6个月内妥善保存复检备份样品；复检备份样品剩余保质期不足6个月的，应当保存至保质期结束。</w:t>
      </w:r>
      <w:r>
        <w:rPr>
          <w:rFonts w:hint="eastAsia" w:ascii="宋体" w:hAnsi="宋体" w:eastAsia="宋体" w:cs="宋体"/>
          <w:b w:val="0"/>
          <w:bCs w:val="0"/>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（2）针对食品抽样过程中对有特殊保存要求的样品管理，乙方应具备相应的速冻及冷藏运输条件。</w:t>
      </w:r>
      <w:r>
        <w:rPr>
          <w:rFonts w:hint="eastAsia" w:ascii="宋体" w:hAnsi="宋体" w:eastAsia="宋体" w:cs="宋体"/>
          <w:b w:val="0"/>
          <w:bCs w:val="0"/>
          <w:color w:val="000000"/>
          <w:sz w:val="24"/>
          <w:szCs w:val="24"/>
          <w:highlight w:val="none"/>
          <w:lang w:val="en-US" w:eastAsia="zh-CN" w:bidi="ar-SA"/>
        </w:rPr>
      </w:r>
      <w:r/>
    </w:p>
    <w:p>
      <w:pPr>
        <w:pStyle w:val="975"/>
        <w:ind w:left="0" w:firstLine="482"/>
        <w:keepLines w:val="0"/>
        <w:keepNext w:val="0"/>
        <w:pageBreakBefore w:val="0"/>
        <w:spacing w:line="56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10.出具检测报告：</w:t>
      </w:r>
      <w:r>
        <w:rPr>
          <w:rFonts w:hint="eastAsia" w:ascii="宋体" w:hAnsi="宋体" w:eastAsia="宋体" w:cs="宋体"/>
          <w:b/>
          <w:bCs/>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（1）检验报告在国抽系统完全提交后，乙方应将不合格报告信息于两个工作日内及时告知甲方。当月实施抽检的结果汇总表（电子版及文字版）等相关材料，乙方于收集完全后2个工作日内统一提交甲方。</w:t>
      </w:r>
      <w:r>
        <w:rPr>
          <w:rFonts w:hint="eastAsia" w:ascii="宋体" w:hAnsi="宋体" w:eastAsia="宋体" w:cs="宋体"/>
          <w:b w:val="0"/>
          <w:bCs w:val="0"/>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（2）检验结果为合格的，检验报告由乙方自己留存；检验结果为不合格的，乙方应印制检验报告，自己留存一份，一份在两个工作日内及时送达甲方。如甲方另有要求的，按甲方要求执行。</w:t>
      </w:r>
      <w:r>
        <w:rPr>
          <w:rFonts w:hint="eastAsia" w:ascii="宋体" w:hAnsi="宋体" w:eastAsia="宋体" w:cs="宋体"/>
          <w:b w:val="0"/>
          <w:bCs w:val="0"/>
          <w:color w:val="000000"/>
          <w:sz w:val="24"/>
          <w:szCs w:val="24"/>
          <w:highlight w:val="none"/>
          <w:lang w:val="en-US" w:eastAsia="zh-CN" w:bidi="ar-SA"/>
        </w:rPr>
      </w:r>
      <w:r/>
    </w:p>
    <w:p>
      <w:pPr>
        <w:pStyle w:val="975"/>
        <w:ind w:left="0" w:firstLine="482"/>
        <w:keepLines w:val="0"/>
        <w:keepNext w:val="0"/>
        <w:pageBreakBefore w:val="0"/>
        <w:spacing w:line="56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11.伴随性服务</w:t>
      </w:r>
      <w:r>
        <w:rPr>
          <w:rFonts w:hint="eastAsia" w:ascii="宋体" w:hAnsi="宋体" w:eastAsia="宋体" w:cs="宋体"/>
          <w:b/>
          <w:bCs/>
          <w:color w:val="000000"/>
          <w:sz w:val="24"/>
          <w:szCs w:val="24"/>
          <w:highlight w:val="none"/>
          <w:lang w:val="en-US" w:eastAsia="zh-CN" w:bidi="ar-SA"/>
        </w:rPr>
      </w:r>
      <w:r/>
    </w:p>
    <w:p>
      <w:pPr>
        <w:pStyle w:val="975"/>
        <w:ind w:left="0" w:firstLine="480"/>
        <w:keepLines w:val="0"/>
        <w:keepNext w:val="0"/>
        <w:pageBreakBefore w:val="0"/>
        <w:spacing w:line="5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乙方必须提供一名专业工作人员，配合抽检监测秘书处完成以下工作：制定食品安全抽检方案并跟踪任务的进展情况；开展信息公示；研究分析食品安全抽检监测结果，配合撰写研究分析报告；完成秘书处交办的其他工作。伴随性服务时长为一年（自合同签订之日起计算）。</w:t>
      </w:r>
      <w:r>
        <w:rPr>
          <w:rFonts w:hint="eastAsia" w:ascii="宋体" w:hAnsi="宋体" w:eastAsia="宋体" w:cs="宋体"/>
          <w:b w:val="0"/>
          <w:bCs w:val="0"/>
          <w:color w:val="000000"/>
          <w:sz w:val="24"/>
          <w:szCs w:val="24"/>
          <w:highlight w:val="none"/>
          <w:lang w:val="en-US" w:eastAsia="zh-CN" w:bidi="ar-SA"/>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二、合同价款与付款方式</w:t>
      </w:r>
      <w:r>
        <w:rPr>
          <w:rFonts w:hint="eastAsia" w:ascii="宋体" w:hAnsi="宋体" w:eastAsia="宋体" w:cs="宋体"/>
          <w:color w:val="000000"/>
          <w:sz w:val="24"/>
          <w:szCs w:val="24"/>
          <w:highlight w:val="none"/>
        </w:rPr>
      </w:r>
      <w:r/>
    </w:p>
    <w:p>
      <w:pPr>
        <w:pStyle w:val="975"/>
        <w:ind w:left="0" w:firstLine="482"/>
        <w:keepLines w:val="0"/>
        <w:keepNext w:val="0"/>
        <w:pageBreakBefore w:val="0"/>
        <w:spacing w:line="56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1.合同价款</w:t>
      </w:r>
      <w:r>
        <w:rPr>
          <w:rFonts w:hint="eastAsia" w:ascii="宋体" w:hAnsi="宋体" w:eastAsia="宋体" w:cs="宋体"/>
          <w:b/>
          <w:bCs/>
          <w:color w:val="000000"/>
          <w:sz w:val="24"/>
          <w:szCs w:val="24"/>
          <w:highlight w:val="none"/>
          <w:lang w:val="en-US" w:eastAsia="zh-CN" w:bidi="ar-SA"/>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合同总金额为人民币大写：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整，小写：¥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该价款包括</w:t>
      </w:r>
      <w:r>
        <w:rPr>
          <w:rFonts w:hint="eastAsia" w:ascii="宋体" w:hAnsi="宋体" w:eastAsia="宋体" w:cs="宋体"/>
          <w:color w:val="000000"/>
          <w:sz w:val="24"/>
          <w:szCs w:val="24"/>
          <w:highlight w:val="none"/>
          <w:lang w:eastAsia="zh-CN"/>
        </w:rPr>
        <w:t xml:space="preserve">检测费用和其他费用。</w:t>
      </w:r>
      <w:r>
        <w:rPr>
          <w:rFonts w:hint="eastAsia" w:ascii="宋体" w:hAnsi="宋体" w:eastAsia="宋体" w:cs="宋体"/>
          <w:color w:val="000000"/>
          <w:sz w:val="24"/>
          <w:szCs w:val="24"/>
          <w:highlight w:val="none"/>
          <w:lang w:eastAsia="zh-CN"/>
        </w:rPr>
        <w:t xml:space="preserve">其中：</w:t>
      </w:r>
      <w:r>
        <w:rPr>
          <w:rFonts w:hint="eastAsia" w:ascii="宋体" w:hAnsi="宋体" w:eastAsia="宋体" w:cs="宋体"/>
          <w:color w:val="000000"/>
          <w:sz w:val="24"/>
          <w:szCs w:val="24"/>
          <w:highlight w:val="none"/>
          <w:lang w:eastAsia="zh-CN"/>
        </w:rPr>
        <w:t xml:space="preserve">检测费用按折扣价标准结算，</w:t>
      </w:r>
      <w:r>
        <w:rPr>
          <w:rFonts w:hint="eastAsia" w:ascii="宋体" w:hAnsi="宋体" w:eastAsia="宋体" w:cs="宋体"/>
          <w:color w:val="000000"/>
          <w:sz w:val="24"/>
          <w:szCs w:val="24"/>
          <w:highlight w:val="none"/>
          <w:lang w:eastAsia="zh-CN"/>
        </w:rPr>
        <w:t xml:space="preserve">项目检测费用为《市场监管部门食品安全抽检监测项目检验费用参考表》的百分之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（小写《市场监管部门食品安全抽检监测项目检验费用参考表》的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其他费用按照单批次</w:t>
      </w:r>
      <w:r>
        <w:rPr>
          <w:rFonts w:hint="eastAsia" w:ascii="宋体" w:hAnsi="宋体" w:eastAsia="宋体" w:cs="宋体"/>
          <w:color w:val="000000"/>
          <w:sz w:val="24"/>
          <w:szCs w:val="24"/>
          <w:highlight w:val="none"/>
          <w:lang w:val="en-US" w:eastAsia="zh-CN"/>
        </w:rPr>
        <w:t xml:space="preserve">200元结算</w:t>
      </w:r>
      <w:r>
        <w:rPr>
          <w:rFonts w:hint="eastAsia" w:ascii="宋体" w:hAnsi="宋体" w:eastAsia="宋体" w:cs="宋体"/>
          <w:color w:val="000000"/>
          <w:sz w:val="24"/>
          <w:szCs w:val="24"/>
          <w:highlight w:val="none"/>
          <w:lang w:eastAsia="zh-CN"/>
        </w:rPr>
        <w:t xml:space="preserve">（包括但不限于样品购买、运输、税费、差旅、伴随服务、利润等）。</w:t>
      </w:r>
      <w:r>
        <w:rPr>
          <w:rFonts w:hint="eastAsia" w:ascii="宋体" w:hAnsi="宋体" w:eastAsia="宋体" w:cs="宋体"/>
          <w:color w:val="000000"/>
          <w:sz w:val="24"/>
          <w:szCs w:val="24"/>
          <w:highlight w:val="none"/>
          <w:lang w:val="en-US" w:eastAsia="zh-CN" w:bidi="ar-SA"/>
        </w:rPr>
        <w:t xml:space="preserve">所有批次项目检测结束后，甲方开展工作验收，根据乙方出具的检验结果和报告数量，按实结算，但</w:t>
      </w:r>
      <w:r>
        <w:rPr>
          <w:rFonts w:hint="eastAsia" w:ascii="宋体" w:hAnsi="宋体" w:eastAsia="宋体" w:cs="宋体"/>
          <w:color w:val="000000"/>
          <w:sz w:val="24"/>
          <w:szCs w:val="24"/>
          <w:highlight w:val="none"/>
          <w:lang w:val="en-US" w:eastAsia="zh-CN"/>
        </w:rPr>
        <w:t xml:space="preserve">总价格不超过合同签订金额</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r>
      <w:r/>
    </w:p>
    <w:p>
      <w:pPr>
        <w:pStyle w:val="975"/>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rPr>
        <w:t xml:space="preserve">    </w:t>
      </w:r>
      <w:r>
        <w:rPr>
          <w:rFonts w:hint="eastAsia" w:ascii="宋体" w:hAnsi="宋体" w:eastAsia="宋体" w:cs="宋体"/>
          <w:b/>
          <w:bCs/>
          <w:color w:val="000000"/>
          <w:sz w:val="24"/>
          <w:szCs w:val="24"/>
          <w:highlight w:val="none"/>
          <w:lang w:val="en-US" w:eastAsia="zh-CN" w:bidi="ar-SA"/>
        </w:rPr>
        <w:t xml:space="preserve">2.付款方式</w:t>
      </w:r>
      <w:r>
        <w:rPr>
          <w:rFonts w:hint="eastAsia" w:ascii="宋体" w:hAnsi="宋体" w:eastAsia="宋体" w:cs="宋体"/>
          <w:b/>
          <w:bCs/>
          <w:color w:val="000000"/>
          <w:sz w:val="24"/>
          <w:szCs w:val="24"/>
          <w:highlight w:val="none"/>
          <w:lang w:val="en-US" w:eastAsia="zh-CN" w:bidi="ar-SA"/>
        </w:rPr>
      </w:r>
      <w:r/>
    </w:p>
    <w:p>
      <w:pPr>
        <w:pStyle w:val="975"/>
        <w:numPr>
          <w:ilvl w:val="0"/>
          <w:numId w:val="0"/>
        </w:numPr>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bidi="ar-SA"/>
        </w:rPr>
        <w:t xml:space="preserve">采取分2次支付的方式进行支付，第2次支付于合同签订次年完成。</w:t>
      </w:r>
      <w:r>
        <w:rPr>
          <w:rFonts w:hint="eastAsia" w:ascii="宋体" w:hAnsi="宋体" w:eastAsia="宋体" w:cs="宋体"/>
          <w:color w:val="000000"/>
          <w:sz w:val="24"/>
          <w:szCs w:val="24"/>
          <w:highlight w:val="none"/>
          <w:lang w:val="en-US" w:eastAsia="zh-CN"/>
        </w:rPr>
      </w:r>
      <w:r/>
    </w:p>
    <w:p>
      <w:pPr>
        <w:pStyle w:val="975"/>
        <w:ind w:left="0" w:firstLine="482"/>
        <w:keepLines w:val="0"/>
        <w:keepNext w:val="0"/>
        <w:pageBreakBefore w:val="0"/>
        <w:spacing w:line="56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3.乙方账户信息</w:t>
      </w:r>
      <w:r>
        <w:rPr>
          <w:rFonts w:hint="eastAsia" w:ascii="宋体" w:hAnsi="宋体" w:eastAsia="宋体" w:cs="宋体"/>
          <w:b/>
          <w:bCs/>
          <w:color w:val="000000"/>
          <w:sz w:val="24"/>
          <w:szCs w:val="24"/>
          <w:highlight w:val="none"/>
          <w:lang w:val="en-US" w:eastAsia="zh-CN" w:bidi="ar-SA"/>
        </w:rPr>
      </w:r>
      <w:r/>
    </w:p>
    <w:p>
      <w:pPr>
        <w:pStyle w:val="975"/>
        <w:numPr>
          <w:ilvl w:val="0"/>
          <w:numId w:val="0"/>
        </w:numPr>
        <w:ind w:firstLine="480"/>
        <w:keepLines w:val="0"/>
        <w:keepNext w:val="0"/>
        <w:pageBreakBefore w:val="0"/>
        <w:spacing w:line="5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w:t>
      </w:r>
      <w:r>
        <w:rPr>
          <w:rFonts w:hint="eastAsia" w:ascii="宋体" w:hAnsi="宋体" w:eastAsia="宋体" w:cs="宋体"/>
          <w:color w:val="000000"/>
          <w:sz w:val="24"/>
          <w:szCs w:val="24"/>
          <w:highlight w:val="none"/>
          <w:lang w:val="en-US" w:eastAsia="zh-CN" w:bidi="ar-SA"/>
        </w:rPr>
      </w:r>
      <w:r/>
    </w:p>
    <w:p>
      <w:pPr>
        <w:pStyle w:val="975"/>
        <w:numPr>
          <w:ilvl w:val="0"/>
          <w:numId w:val="0"/>
        </w:numPr>
        <w:ind w:firstLine="480"/>
        <w:keepLines w:val="0"/>
        <w:keepNext w:val="0"/>
        <w:pageBreakBefore w:val="0"/>
        <w:spacing w:line="5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账号：</w:t>
      </w:r>
      <w:r>
        <w:rPr>
          <w:rFonts w:hint="eastAsia" w:ascii="宋体" w:hAnsi="宋体" w:eastAsia="宋体" w:cs="宋体"/>
          <w:color w:val="000000"/>
          <w:sz w:val="24"/>
          <w:szCs w:val="24"/>
          <w:highlight w:val="none"/>
          <w:lang w:val="en-US" w:eastAsia="zh-CN" w:bidi="ar-SA"/>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三、甲方的权利与义务</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1.有权要求乙方按照本合同的规定提供相关服务。</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2.有权对乙方提供的服务进行监督、提出意见，并依据合同进行履约验收与考核。</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3.应按合同约定及时确认检测结果并支付合同款项。</w:t>
      </w:r>
      <w:r>
        <w:rPr>
          <w:rFonts w:hint="eastAsia" w:ascii="宋体" w:hAnsi="宋体" w:eastAsia="宋体" w:cs="宋体"/>
          <w:color w:val="000000"/>
          <w:sz w:val="24"/>
          <w:szCs w:val="24"/>
          <w:highlight w:val="none"/>
          <w:lang w:val="en-US"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四、乙方的权利与义务</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tabs>
          <w:tab w:val="left" w:pos="14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1.有权按照合同约定收取服务费用。</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tabs>
          <w:tab w:val="left" w:pos="14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2.必须严格按照本合同第一条第2款约定的全部内容、标准和期限完成服务，并对检测程序的合法性、检测结果的准确性承担全部责任。</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tabs>
          <w:tab w:val="left" w:pos="14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3.必须提供满足项目要求的专业人员、设施设备，遵守国家及地方相关法律法规和甲方的工作要求。</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tabs>
          <w:tab w:val="left" w:pos="6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4.未经甲方书面同意，不得将本合同义务部分或全部转让或分包给第三方。</w:t>
      </w:r>
      <w:r>
        <w:rPr>
          <w:rFonts w:hint="eastAsia" w:ascii="宋体" w:hAnsi="宋体" w:eastAsia="宋体" w:cs="宋体"/>
          <w:color w:val="000000"/>
          <w:sz w:val="24"/>
          <w:szCs w:val="24"/>
          <w:highlight w:val="none"/>
        </w:rPr>
      </w:r>
      <w:r/>
    </w:p>
    <w:p>
      <w:pPr>
        <w:pStyle w:val="975"/>
        <w:ind w:left="0" w:firstLine="0"/>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5.承担服务实施过程中的安全责任，如发生安全事故等，均由乙方承担全部责任和费用。</w:t>
      </w:r>
      <w:r>
        <w:rPr>
          <w:rFonts w:hint="eastAsia" w:ascii="宋体" w:hAnsi="宋体" w:eastAsia="宋体" w:cs="宋体"/>
          <w:color w:val="000000"/>
          <w:sz w:val="24"/>
          <w:szCs w:val="24"/>
          <w:highlight w:val="none"/>
          <w:lang w:val="en-US" w:eastAsia="zh-CN"/>
        </w:rPr>
      </w:r>
      <w:r/>
    </w:p>
    <w:p>
      <w:pPr>
        <w:pStyle w:val="975"/>
        <w:ind w:left="0" w:firstLine="0"/>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6.应接受并配合甲方的监督、考核与验收。</w:t>
      </w:r>
      <w:r>
        <w:rPr>
          <w:rFonts w:hint="eastAsia" w:ascii="宋体" w:hAnsi="宋体" w:eastAsia="宋体" w:cs="宋体"/>
          <w:color w:val="000000"/>
          <w:sz w:val="24"/>
          <w:szCs w:val="24"/>
          <w:highlight w:val="none"/>
          <w:lang w:val="en-US"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、保密要求</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tabs>
          <w:tab w:val="left" w:pos="14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对订立合同过程中知悉的对方的商业秘密（包括技术信息和经营信息）以及双方约定的其他保密信息，无论本合同是否成立，均不得泄露或者不正当地使用；任何一方泄露、不正当地使用该商业秘密或者保密信息，给对方造成损失的，应当承担赔偿责任。</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、组成本合同的有关文件</w:t>
      </w:r>
      <w:r>
        <w:rPr>
          <w:rFonts w:hint="eastAsia" w:ascii="宋体" w:hAnsi="宋体" w:eastAsia="宋体" w:cs="宋体"/>
          <w:color w:val="000000"/>
          <w:sz w:val="24"/>
          <w:szCs w:val="24"/>
          <w:highlight w:val="none"/>
        </w:rPr>
      </w:r>
      <w:r/>
    </w:p>
    <w:p>
      <w:pPr>
        <w:pStyle w:val="945"/>
        <w:ind w:firstLine="480"/>
        <w:keepLines w:val="0"/>
        <w:keepNext w:val="0"/>
        <w:pageBreakBefore w:val="0"/>
        <w:spacing w:line="56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lang w:val="en-US" w:eastAsia="zh-CN" w:bidi="ar-SA"/>
        </w:rPr>
      </w:r>
      <w:r/>
    </w:p>
    <w:p>
      <w:pPr>
        <w:pStyle w:val="945"/>
        <w:numPr>
          <w:ilvl w:val="0"/>
          <w:numId w:val="0"/>
        </w:numPr>
        <w:ind w:firstLine="480"/>
        <w:keepLines w:val="0"/>
        <w:keepNext w:val="0"/>
        <w:pageBreakBefore w:val="0"/>
        <w:spacing w:line="56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1.竞争性磋商文件（编号：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45"/>
        <w:numPr>
          <w:ilvl w:val="0"/>
          <w:numId w:val="0"/>
        </w:numPr>
        <w:ind w:firstLine="480"/>
        <w:keepLines w:val="0"/>
        <w:keepNext w:val="0"/>
        <w:pageBreakBefore w:val="0"/>
        <w:spacing w:line="56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2.乙方提供的磋商响应文件；</w:t>
      </w:r>
      <w:r>
        <w:rPr>
          <w:rFonts w:hint="eastAsia" w:ascii="宋体" w:hAnsi="宋体" w:eastAsia="宋体" w:cs="宋体"/>
          <w:color w:val="000000"/>
          <w:sz w:val="24"/>
          <w:szCs w:val="24"/>
          <w:highlight w:val="none"/>
          <w:lang w:val="en-US" w:eastAsia="zh-CN" w:bidi="ar-SA"/>
        </w:rPr>
      </w:r>
      <w:r/>
    </w:p>
    <w:p>
      <w:pPr>
        <w:pStyle w:val="945"/>
        <w:numPr>
          <w:ilvl w:val="0"/>
          <w:numId w:val="0"/>
        </w:numPr>
        <w:ind w:firstLine="480"/>
        <w:keepLines w:val="0"/>
        <w:keepNext w:val="0"/>
        <w:pageBreakBefore w:val="0"/>
        <w:spacing w:line="56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3.成交通知书；</w:t>
      </w:r>
      <w:r>
        <w:rPr>
          <w:rFonts w:hint="eastAsia" w:ascii="宋体" w:hAnsi="宋体" w:eastAsia="宋体" w:cs="宋体"/>
          <w:color w:val="000000"/>
          <w:sz w:val="24"/>
          <w:szCs w:val="24"/>
          <w:highlight w:val="none"/>
          <w:lang w:val="en-US" w:eastAsia="zh-CN" w:bidi="ar-SA"/>
        </w:rPr>
      </w:r>
      <w:r/>
    </w:p>
    <w:p>
      <w:pPr>
        <w:pStyle w:val="945"/>
        <w:numPr>
          <w:ilvl w:val="0"/>
          <w:numId w:val="0"/>
        </w:numPr>
        <w:ind w:firstLine="480"/>
        <w:keepLines w:val="0"/>
        <w:keepNext w:val="0"/>
        <w:pageBreakBefore w:val="0"/>
        <w:spacing w:line="56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4.甲乙双方商定的其他文件等。</w:t>
      </w:r>
      <w:r>
        <w:rPr>
          <w:rFonts w:hint="eastAsia" w:ascii="宋体" w:hAnsi="宋体" w:eastAsia="宋体" w:cs="宋体"/>
          <w:color w:val="000000"/>
          <w:sz w:val="24"/>
          <w:szCs w:val="24"/>
          <w:highlight w:val="none"/>
          <w:lang w:val="en-US" w:eastAsia="zh-CN" w:bidi="ar-SA"/>
        </w:rPr>
      </w:r>
      <w:r/>
    </w:p>
    <w:p>
      <w:pPr>
        <w:pStyle w:val="945"/>
        <w:numPr>
          <w:ilvl w:val="0"/>
          <w:numId w:val="0"/>
        </w:numPr>
        <w:ind w:firstLine="480"/>
        <w:keepLines w:val="0"/>
        <w:keepNext w:val="0"/>
        <w:pageBreakBefore w:val="0"/>
        <w:spacing w:line="56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5.附件1：《2026年常州市食品安全抽检工作委托书》</w:t>
      </w:r>
      <w:r>
        <w:rPr>
          <w:rFonts w:hint="eastAsia" w:ascii="宋体" w:hAnsi="宋体" w:eastAsia="宋体" w:cs="宋体"/>
          <w:color w:val="000000"/>
          <w:sz w:val="24"/>
          <w:szCs w:val="24"/>
          <w:highlight w:val="none"/>
          <w:lang w:val="en-US" w:eastAsia="zh-CN" w:bidi="ar-SA"/>
        </w:rPr>
      </w:r>
      <w:r/>
    </w:p>
    <w:p>
      <w:pPr>
        <w:pStyle w:val="945"/>
        <w:numPr>
          <w:ilvl w:val="0"/>
          <w:numId w:val="0"/>
        </w:numPr>
        <w:ind w:firstLine="480"/>
        <w:keepLines w:val="0"/>
        <w:keepNext w:val="0"/>
        <w:pageBreakBefore w:val="0"/>
        <w:spacing w:line="56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6.附件2：《2026年常州市食品抽样检测工作任务分配及要求》</w:t>
      </w:r>
      <w:r>
        <w:rPr>
          <w:rFonts w:hint="eastAsia" w:ascii="宋体" w:hAnsi="宋体" w:eastAsia="宋体" w:cs="宋体"/>
          <w:color w:val="000000"/>
          <w:sz w:val="24"/>
          <w:szCs w:val="24"/>
          <w:highlight w:val="none"/>
          <w:lang w:val="en-US" w:eastAsia="zh-CN" w:bidi="ar-SA"/>
        </w:rPr>
      </w:r>
      <w:r/>
    </w:p>
    <w:p>
      <w:pPr>
        <w:pStyle w:val="945"/>
        <w:numPr>
          <w:ilvl w:val="0"/>
          <w:numId w:val="0"/>
        </w:numPr>
        <w:ind w:firstLine="480"/>
        <w:keepLines w:val="0"/>
        <w:keepNext w:val="0"/>
        <w:pageBreakBefore w:val="0"/>
        <w:spacing w:line="560" w:lineRule="exact"/>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7.附件3：《2026年常州市食品安全抽检项目承检单位履约验收绩效评价细则》  </w:t>
      </w:r>
      <w:r>
        <w:rPr>
          <w:rFonts w:hint="eastAsia" w:ascii="宋体" w:hAnsi="宋体" w:eastAsia="宋体" w:cs="宋体"/>
          <w:color w:val="000000"/>
          <w:sz w:val="24"/>
          <w:szCs w:val="24"/>
          <w:highlight w:val="none"/>
          <w:lang w:val="en-US" w:eastAsia="zh-CN" w:bidi="ar-SA"/>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履约验收</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w:t>
      </w:r>
      <w:r>
        <w:rPr>
          <w:rFonts w:hint="eastAsia" w:ascii="宋体" w:hAnsi="宋体" w:eastAsia="宋体" w:cs="宋体"/>
          <w:color w:val="000000"/>
          <w:sz w:val="24"/>
          <w:szCs w:val="24"/>
          <w:highlight w:val="none"/>
          <w:lang w:eastAsia="zh-CN"/>
        </w:rPr>
        <w:t xml:space="preserve">在乙方完成合同约定任务后，</w:t>
      </w:r>
      <w:r>
        <w:rPr>
          <w:rFonts w:hint="eastAsia" w:ascii="宋体" w:hAnsi="宋体" w:eastAsia="宋体" w:cs="宋体"/>
          <w:color w:val="000000"/>
          <w:sz w:val="24"/>
          <w:szCs w:val="24"/>
          <w:highlight w:val="none"/>
        </w:rPr>
        <w:t xml:space="preserve">依法组织履约验收工作。</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2.验收具体标准、扣款情形及金额详见本合同“第八条 违约责任及考核”及附件3。</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八、违约责任及考核</w:t>
      </w:r>
      <w:r>
        <w:rPr>
          <w:rFonts w:hint="eastAsia" w:ascii="宋体" w:hAnsi="宋体" w:eastAsia="宋体" w:cs="宋体"/>
          <w:color w:val="000000"/>
          <w:sz w:val="24"/>
          <w:szCs w:val="24"/>
          <w:highlight w:val="none"/>
        </w:rPr>
      </w:r>
      <w:r/>
    </w:p>
    <w:p>
      <w:pPr>
        <w:pStyle w:val="905"/>
        <w:ind w:firstLine="482"/>
        <w:jc w:val="left"/>
        <w:keepLines w:val="0"/>
        <w:keepNext w:val="0"/>
        <w:pageBreakBefore w:val="0"/>
        <w:spacing w:line="56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（一）违约责任</w:t>
      </w:r>
      <w:r>
        <w:rPr>
          <w:rFonts w:hint="eastAsia" w:ascii="宋体" w:hAnsi="宋体" w:eastAsia="宋体" w:cs="宋体"/>
          <w:b/>
          <w:bCs/>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.乙方未按本合同的规定和“服务承诺”提供伴随服务的，甲方有权提前解除本合同，同时乙方应按合同总价款的5%向甲方承担违约责任。</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.乙方有虚假承诺，或是由于乙方的过错造成合同无法继续履行的，应向甲方支付不少于合同总价30%违约金，若该违约金不足以弥补甲方损失，则应当赔偿甲方所有损失。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.因乙方原因造成的检测程序违法、检测结果错误，由此造成甲方在行政复议中被确认违法或行政诉讼败诉，乙方应当承担相关法律责任，包括赔偿甲方损失、支付违约金等，违约金为5万元/批次起。</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.若乙方的工作未达到本次磋商文件要求的（例如：服务响应时间超过招标规定时间要求的），甲方有权要求乙方进行整改，如整改后仍达不到要求的甲方有权要求立即终止合同，并有权追究其违约责任。</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.若国家局、省局以及其他上级部门对服务内容提出新的要求的，乙方应当按照要求履行。无故拒不履行的甲方有权终止合同，并有权追究其违约责任。</w:t>
      </w:r>
      <w:r>
        <w:rPr>
          <w:rFonts w:hint="eastAsia" w:ascii="宋体" w:hAnsi="宋体" w:eastAsia="宋体" w:cs="宋体"/>
          <w:color w:val="000000"/>
          <w:sz w:val="24"/>
          <w:szCs w:val="24"/>
          <w:highlight w:val="none"/>
          <w:lang w:eastAsia="zh-CN"/>
        </w:rPr>
      </w:r>
      <w:r/>
    </w:p>
    <w:p>
      <w:pPr>
        <w:pStyle w:val="905"/>
        <w:ind w:firstLine="482"/>
        <w:jc w:val="left"/>
        <w:keepLines w:val="0"/>
        <w:keepNext w:val="0"/>
        <w:pageBreakBefore w:val="0"/>
        <w:spacing w:line="56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（二）服务考核</w:t>
      </w:r>
      <w:r>
        <w:rPr>
          <w:rFonts w:hint="eastAsia" w:ascii="宋体" w:hAnsi="宋体" w:eastAsia="宋体" w:cs="宋体"/>
          <w:b/>
          <w:bCs/>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甲方于202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b w:val="0"/>
          <w:bCs/>
          <w:color w:val="000000"/>
          <w:spacing w:val="2"/>
          <w:sz w:val="24"/>
          <w:szCs w:val="24"/>
          <w:highlight w:val="none"/>
          <w:lang w:val="en-US" w:eastAsia="zh-CN"/>
        </w:rPr>
        <w:t xml:space="preserve">（以“国抽系统”录入时间为准）。</w:t>
      </w:r>
      <w:r>
        <w:rPr>
          <w:rFonts w:hint="eastAsia" w:ascii="宋体" w:hAnsi="宋体" w:eastAsia="宋体" w:cs="宋体"/>
          <w:color w:val="000000"/>
          <w:sz w:val="24"/>
          <w:szCs w:val="24"/>
          <w:highlight w:val="none"/>
          <w:lang w:eastAsia="zh-CN"/>
        </w:rPr>
        <w:t xml:space="preserve">对批次完成情况进行验收。未完成批次</w:t>
      </w:r>
      <w:r>
        <w:rPr>
          <w:rFonts w:hint="eastAsia" w:ascii="宋体" w:hAnsi="宋体" w:eastAsia="宋体" w:cs="宋体"/>
          <w:color w:val="000000"/>
          <w:sz w:val="24"/>
          <w:szCs w:val="24"/>
          <w:highlight w:val="none"/>
          <w:lang w:val="en-US" w:eastAsia="zh-CN"/>
        </w:rPr>
        <w:t xml:space="preserve">，按照1500元/批次进行扣除，未完成批次达到总任务的10%及以上，所有抽检批次费用按照半价支付。</w:t>
      </w:r>
      <w:r>
        <w:rPr>
          <w:rFonts w:hint="eastAsia" w:ascii="宋体" w:hAnsi="宋体" w:eastAsia="宋体" w:cs="宋体"/>
          <w:color w:val="000000"/>
          <w:sz w:val="24"/>
          <w:szCs w:val="24"/>
          <w:highlight w:val="none"/>
          <w:lang w:val="en-US"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不合格检出率考核以2.5%为基准，每低0.5%，乙方所有抽检批次费用减少</w:t>
      </w: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lang w:eastAsia="zh-CN"/>
        </w:rPr>
        <w:t xml:space="preserve">元/批次，不合格检出率低于1%按照半价支付。</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乙方检验结论为不合格的报告，最终结论被推翻或报告被撤销的，每有一份，扣除结算总价的1%。</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食品国抽系统数据质量被国家总局和省局、市局通报的，每有一起，扣除结算总价的1%。</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甲方根据合同约定，对乙方的履约情况进行绩效评估，若发现有严重违约情况或通知整改而未及时整改到位情况，甲方有权要求立即终止合同，乙方未完成批次，甲方有权交由其他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完成。</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lang w:eastAsia="zh-CN"/>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九、不可抗力与情势变更</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可抗力是指不能预见、不能避免并不能克服的客观情况（注：如自然灾害，一些政府行为，社会异常事件等）。情势变更是指合同生效后至履行完毕期间，订立合同的基础条件有重大变化（除商业风险以外）（注：如政策调整等）。</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2.任何一方因不可抗力或情势变更等原因不能履行合同或者不能完全履行合同的，应当及时向对方通报不能履行或者不能完全履行的理由，以减轻给对方造成的损失；并应当在</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日内向对方提供不可抗力或情势变更发生的证明材料，以部分或者全部免除相应的违约责任。</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3.双方可以根据不可抗力或情势变更的影响情况协商延期履行、部分履行、不履行合同或者解除合同。</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tabs>
          <w:tab w:val="left" w:pos="6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十、争议的解决</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tabs>
          <w:tab w:val="left" w:pos="6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甲、乙双方如因本合同的履行发生争议，应当友好协商解决。如协商不成，任何一方均应向甲方所在地人民法院起诉。</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tabs>
          <w:tab w:val="left" w:pos="6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十一、附则</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1.本合同自甲、乙双方签名（盖章）之日起成立并生效。</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2.本合同附件为本合同不可分割的组成部分，与本合同具有同等效力。</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3.本合同部分条款的无效或者变更不影响其他条款的效力。</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4.甲、乙双方有权以书面形式对本合同进行变更或者补充，变更或者补充合同与本合同具有同等效力。</w:t>
      </w:r>
      <w:r>
        <w:rPr>
          <w:rFonts w:hint="eastAsia" w:ascii="宋体" w:hAnsi="宋体" w:eastAsia="宋体" w:cs="宋体"/>
          <w:color w:val="000000"/>
          <w:sz w:val="24"/>
          <w:szCs w:val="24"/>
          <w:highlight w:val="none"/>
        </w:rPr>
      </w:r>
      <w:r/>
    </w:p>
    <w:p>
      <w:pPr>
        <w:pStyle w:val="905"/>
        <w:ind w:firstLine="480"/>
        <w:jc w:val="left"/>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5.本合同一式</w:t>
      </w:r>
      <w:r>
        <w:rPr>
          <w:rFonts w:hint="eastAsia" w:ascii="宋体" w:hAnsi="宋体" w:eastAsia="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份，其中甲方</w:t>
      </w:r>
      <w:r>
        <w:rPr>
          <w:rFonts w:hint="eastAsia" w:ascii="宋体" w:hAnsi="宋体" w:eastAsia="宋体" w:cs="宋体"/>
          <w:color w:val="000000"/>
          <w:sz w:val="24"/>
          <w:szCs w:val="24"/>
          <w:highlight w:val="none"/>
          <w:lang w:eastAsia="zh-CN"/>
        </w:rPr>
        <w:t xml:space="preserve">贰</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lang w:eastAsia="zh-CN"/>
        </w:rPr>
        <w:t xml:space="preserve">贰</w:t>
      </w:r>
      <w:r>
        <w:rPr>
          <w:rFonts w:hint="eastAsia" w:ascii="宋体" w:hAnsi="宋体" w:eastAsia="宋体" w:cs="宋体"/>
          <w:color w:val="000000"/>
          <w:sz w:val="24"/>
          <w:szCs w:val="24"/>
          <w:highlight w:val="none"/>
        </w:rPr>
        <w:t xml:space="preserve">份，具有同等效力。</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甲方：常州市市场监督管理局    乙方：</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委托代理人（签章）：           法定代表人/委托代理人（签章）：</w:t>
      </w:r>
      <w:r>
        <w:rPr>
          <w:rFonts w:hint="eastAsia" w:ascii="宋体" w:hAnsi="宋体" w:eastAsia="宋体" w:cs="宋体"/>
          <w:color w:val="000000"/>
          <w:sz w:val="24"/>
          <w:szCs w:val="24"/>
          <w:highlight w:val="none"/>
        </w:rPr>
      </w:r>
      <w:r/>
    </w:p>
    <w:p>
      <w:pPr>
        <w:pStyle w:val="905"/>
        <w:jc w:val="left"/>
        <w:keepLines w:val="0"/>
        <w:keepNext w:val="0"/>
        <w:pageBreakBefore w:val="0"/>
        <w:spacing w:line="560" w:lineRule="exact"/>
        <w:widowControl/>
        <w:rPr>
          <w:rFonts w:ascii="Times New Roman"/>
          <w:color w:val="000000"/>
          <w:sz w:val="28"/>
          <w:szCs w:val="28"/>
        </w:rPr>
      </w:pPr>
      <w:r>
        <w:rPr>
          <w:rFonts w:hint="eastAsia" w:ascii="宋体" w:hAnsi="宋体" w:eastAsia="宋体" w:cs="宋体"/>
          <w:color w:val="000000"/>
          <w:sz w:val="24"/>
          <w:szCs w:val="24"/>
          <w:highlight w:val="none"/>
        </w:rPr>
        <w:t xml:space="preserve">签订日期：                    签订日期：     </w:t>
      </w:r>
      <w:r>
        <w:rPr>
          <w:rFonts w:ascii="Times New Roman"/>
          <w:color w:val="000000"/>
          <w:sz w:val="28"/>
          <w:szCs w:val="28"/>
        </w:rPr>
        <w:t xml:space="preserve">     </w:t>
      </w:r>
      <w:r>
        <w:rPr>
          <w:rFonts w:ascii="Times New Roman"/>
          <w:color w:val="000000"/>
          <w:sz w:val="28"/>
          <w:szCs w:val="28"/>
        </w:rPr>
      </w:r>
      <w:r/>
    </w:p>
    <w:p>
      <w:pPr>
        <w:pStyle w:val="905"/>
        <w:jc w:val="left"/>
        <w:keepLines w:val="0"/>
        <w:keepNext w:val="0"/>
        <w:pageBreakBefore w:val="0"/>
        <w:spacing w:line="560" w:lineRule="exact"/>
        <w:widowControl/>
        <w:rPr>
          <w:rFonts w:ascii="Times New Roman"/>
          <w:color w:val="000000"/>
          <w:sz w:val="28"/>
          <w:szCs w:val="28"/>
        </w:rPr>
      </w:pPr>
      <w:r>
        <w:rPr>
          <w:rFonts w:ascii="Times New Roman"/>
          <w:color w:val="000000"/>
          <w:sz w:val="28"/>
          <w:szCs w:val="28"/>
        </w:rPr>
        <w:t xml:space="preserve"> </w:t>
      </w:r>
      <w:r>
        <w:rPr>
          <w:rFonts w:ascii="Times New Roman"/>
          <w:color w:val="000000"/>
          <w:sz w:val="28"/>
          <w:szCs w:val="28"/>
        </w:rPr>
      </w:r>
      <w:r/>
    </w:p>
    <w:p>
      <w:pPr>
        <w:pStyle w:val="905"/>
        <w:keepLines w:val="0"/>
        <w:keepNext w:val="0"/>
        <w:pageBreakBefore w:val="0"/>
        <w:spacing w:line="560" w:lineRule="exact"/>
        <w:rPr>
          <w:color w:val="000000"/>
          <w:sz w:val="28"/>
          <w:szCs w:val="28"/>
        </w:rPr>
      </w:pPr>
      <w:r>
        <w:rPr>
          <w:color w:val="000000"/>
          <w:sz w:val="28"/>
          <w:szCs w:val="28"/>
        </w:rPr>
        <w:br w:type="page" w:clear="all"/>
      </w:r>
      <w:r>
        <w:rPr>
          <w:color w:val="000000"/>
          <w:sz w:val="28"/>
          <w:szCs w:val="28"/>
        </w:rPr>
      </w:r>
      <w:r/>
    </w:p>
    <w:p>
      <w:pPr>
        <w:pStyle w:val="905"/>
        <w:ind w:firstLine="482"/>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eastAsia="宋体" w:cs="宋体"/>
          <w:b/>
          <w:color w:val="000000"/>
          <w:sz w:val="24"/>
          <w:szCs w:val="24"/>
          <w:highlight w:val="none"/>
        </w:rPr>
        <w:t xml:space="preserve">度常州市食品安全抽检工作委托书</w:t>
      </w:r>
      <w:r>
        <w:rPr>
          <w:rFonts w:hint="eastAsia" w:ascii="宋体" w:hAnsi="宋体" w:eastAsia="宋体" w:cs="宋体"/>
          <w:b/>
          <w:color w:val="000000"/>
          <w:sz w:val="24"/>
          <w:szCs w:val="24"/>
          <w:highlight w:val="none"/>
        </w:rPr>
      </w:r>
      <w:r/>
    </w:p>
    <w:p>
      <w:pPr>
        <w:pStyle w:val="905"/>
        <w:jc w:val="center"/>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5"/>
        <w:jc w:val="center"/>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eastAsia="宋体" w:cs="宋体"/>
          <w:b/>
          <w:color w:val="000000"/>
          <w:sz w:val="24"/>
          <w:szCs w:val="24"/>
          <w:highlight w:val="none"/>
        </w:rPr>
        <w:t xml:space="preserve">度常州市食品安全抽检工作委托书</w:t>
      </w:r>
      <w:r>
        <w:rPr>
          <w:rFonts w:hint="eastAsia" w:ascii="宋体" w:hAnsi="宋体" w:eastAsia="宋体" w:cs="宋体"/>
          <w:b/>
          <w:color w:val="000000"/>
          <w:sz w:val="24"/>
          <w:szCs w:val="24"/>
          <w:highlight w:val="none"/>
        </w:rPr>
      </w:r>
      <w:r/>
    </w:p>
    <w:p>
      <w:pPr>
        <w:pStyle w:val="905"/>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05"/>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按照常州市市场监督管理局</w:t>
      </w:r>
      <w:r>
        <w:rPr>
          <w:rFonts w:hint="eastAsia" w:ascii="宋体" w:hAnsi="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rPr>
        <w:t xml:space="preserve">食品安全抽样工作计划和任务，兹委托你单位按照有关法律法规规定，负责常州市相关区域内食品安全监督抽样、检验工作，共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批次，并按双方签订的委托合同内容中承载的要求，完成检验结果上报工作。</w:t>
      </w:r>
      <w:r>
        <w:rPr>
          <w:rFonts w:hint="eastAsia" w:ascii="宋体" w:hAnsi="宋体" w:eastAsia="宋体" w:cs="宋体"/>
          <w:color w:val="000000"/>
          <w:sz w:val="24"/>
          <w:szCs w:val="24"/>
          <w:highlight w:val="none"/>
        </w:rPr>
      </w:r>
      <w:r/>
    </w:p>
    <w:p>
      <w:pPr>
        <w:pStyle w:val="905"/>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5"/>
        <w:ind w:firstLine="5400"/>
        <w:keepLines w:val="0"/>
        <w:keepNext w:val="0"/>
        <w:pageBreakBefore w:val="0"/>
        <w:spacing w:line="360" w:lineRule="auto"/>
        <w:shd w:val="clear" w:color="auto" w:fill="auto"/>
        <w:widowControl w:val="off"/>
        <w:tabs>
          <w:tab w:val="left" w:pos="751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常州市市场监督管理局</w:t>
      </w:r>
      <w:r>
        <w:rPr>
          <w:rFonts w:hint="eastAsia" w:ascii="宋体" w:hAnsi="宋体" w:eastAsia="宋体" w:cs="宋体"/>
          <w:color w:val="000000"/>
          <w:sz w:val="24"/>
          <w:szCs w:val="24"/>
          <w:highlight w:val="none"/>
        </w:rPr>
      </w:r>
      <w:r/>
    </w:p>
    <w:p>
      <w:pPr>
        <w:pStyle w:val="905"/>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rPr>
        <w:t xml:space="preserve"> 月 日</w:t>
      </w:r>
      <w:r>
        <w:rPr>
          <w:rFonts w:hint="eastAsia" w:ascii="宋体" w:hAnsi="宋体" w:eastAsia="宋体" w:cs="宋体"/>
          <w:color w:val="000000"/>
          <w:sz w:val="24"/>
          <w:szCs w:val="24"/>
          <w:highlight w:val="none"/>
        </w:rPr>
      </w:r>
      <w:r/>
    </w:p>
    <w:p>
      <w:pPr>
        <w:pStyle w:val="905"/>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05"/>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lang w:eastAsia="zh-CN"/>
        </w:rPr>
        <w:sectPr>
          <w:footnotePr/>
          <w:endnotePr/>
          <w:type w:val="nextPage"/>
          <w:pgSz w:w="11905"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lang w:eastAsia="zh-CN"/>
        </w:rPr>
      </w:r>
      <w:r/>
    </w:p>
    <w:p>
      <w:pPr>
        <w:pStyle w:val="905"/>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附件2：</w:t>
      </w:r>
      <w:r>
        <w:rPr>
          <w:rFonts w:hint="eastAsia" w:ascii="宋体" w:hAnsi="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eastAsia="宋体" w:cs="宋体"/>
          <w:b/>
          <w:color w:val="000000"/>
          <w:sz w:val="24"/>
          <w:szCs w:val="24"/>
          <w:highlight w:val="none"/>
        </w:rPr>
        <w:t xml:space="preserve">常州市食品抽样检测工作任务分配及要求</w:t>
      </w:r>
      <w:r>
        <w:rPr>
          <w:rFonts w:hint="eastAsia" w:ascii="宋体" w:hAnsi="宋体" w:eastAsia="宋体" w:cs="宋体"/>
          <w:b/>
          <w:color w:val="000000"/>
          <w:sz w:val="24"/>
          <w:szCs w:val="24"/>
          <w:highlight w:val="none"/>
        </w:rPr>
      </w:r>
      <w:r/>
    </w:p>
    <w:p>
      <w:pPr>
        <w:pStyle w:val="905"/>
        <w:jc w:val="center"/>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05"/>
        <w:keepLines w:val="0"/>
        <w:keepNext w:val="0"/>
        <w:pageBreakBefore w:val="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202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eastAsia="宋体" w:cs="宋体"/>
          <w:b/>
          <w:color w:val="000000"/>
          <w:sz w:val="24"/>
          <w:szCs w:val="24"/>
          <w:highlight w:val="none"/>
        </w:rPr>
        <w:t xml:space="preserve">常州市食品抽样检测工作任务分配及要求</w:t>
      </w:r>
      <w:r>
        <w:rPr>
          <w:rFonts w:hint="eastAsia" w:ascii="宋体" w:hAnsi="宋体" w:eastAsia="宋体" w:cs="宋体"/>
          <w:b/>
          <w:color w:val="000000"/>
          <w:sz w:val="24"/>
          <w:szCs w:val="24"/>
          <w:highlight w:val="none"/>
        </w:rPr>
      </w:r>
      <w:r/>
    </w:p>
    <w:tbl>
      <w:tblPr>
        <w:tblW w:w="5353" w:type="pct"/>
        <w:tblInd w:w="-108" w:type="dxa"/>
        <w:tblLayout w:type="fixed"/>
        <w:tblCellMar>
          <w:left w:w="108" w:type="dxa"/>
          <w:top w:w="0" w:type="dxa"/>
          <w:right w:w="108" w:type="dxa"/>
          <w:bottom w:w="0" w:type="dxa"/>
        </w:tblCellMar>
        <w:tblLook w:val="04A0" w:firstRow="1" w:lastRow="0" w:firstColumn="1" w:lastColumn="0" w:noHBand="0" w:noVBand="1"/>
      </w:tblPr>
      <w:tblGrid>
        <w:gridCol w:w="976"/>
        <w:gridCol w:w="3335"/>
        <w:gridCol w:w="886"/>
        <w:gridCol w:w="1049"/>
        <w:gridCol w:w="1540"/>
        <w:gridCol w:w="1330"/>
      </w:tblGrid>
      <w:tr>
        <w:trPr>
          <w:trHeight w:val="283"/>
          <w:tblHeader/>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905"/>
              <w:jc w:val="center"/>
              <w:keepLines w:val="0"/>
              <w:keepNext w:val="0"/>
              <w:pageBreakBefore w:val="0"/>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包号</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采购内容</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地区</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批次数</w:t>
            </w:r>
            <w:r>
              <w:rPr>
                <w:rFonts w:hint="eastAsia" w:ascii="宋体" w:hAnsi="宋体" w:eastAsia="宋体" w:cs="宋体"/>
                <w:b/>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任务详情</w:t>
            </w:r>
            <w:r>
              <w:rPr>
                <w:rFonts w:hint="eastAsia" w:ascii="宋体" w:hAnsi="宋体" w:eastAsia="宋体" w:cs="宋体"/>
                <w:b/>
                <w:bCs w:val="0"/>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采购金额</w:t>
            </w:r>
            <w:r>
              <w:rPr>
                <w:rFonts w:hint="eastAsia" w:ascii="宋体" w:hAnsi="宋体" w:eastAsia="宋体" w:cs="宋体"/>
                <w:b/>
                <w:bCs w:val="0"/>
                <w:color w:val="000000"/>
                <w:sz w:val="24"/>
                <w:szCs w:val="24"/>
                <w:highlight w:val="none"/>
              </w:rPr>
            </w:r>
            <w:r/>
          </w:p>
          <w:p>
            <w:pPr>
              <w:pStyle w:val="905"/>
              <w:jc w:val="center"/>
              <w:keepLines w:val="0"/>
              <w:keepNext w:val="0"/>
              <w:pageBreakBefore w:val="0"/>
              <w:spacing w:line="360" w:lineRule="exact"/>
              <w:shd w:val="clear" w:color="auto" w:fill="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（万元）</w:t>
            </w:r>
            <w:r>
              <w:rPr>
                <w:rFonts w:hint="eastAsia" w:ascii="宋体" w:hAnsi="宋体" w:eastAsia="宋体" w:cs="宋体"/>
                <w:b/>
                <w:bCs w:val="0"/>
                <w:color w:val="000000"/>
                <w:sz w:val="24"/>
                <w:szCs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01</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905"/>
              <w:jc w:val="center"/>
              <w:keepLines w:val="0"/>
              <w:keepNext w:val="0"/>
              <w:pageBreakBefore w:val="0"/>
              <w:spacing w:line="360" w:lineRule="exact"/>
              <w:shd w:val="clear" w:color="auto" w:fill="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溧阳</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05"/>
              <w:jc w:val="center"/>
              <w:keepLines w:val="0"/>
              <w:keepNext w:val="0"/>
              <w:pageBreakBefore w:val="0"/>
              <w:spacing w:line="360" w:lineRule="exact"/>
              <w:shd w:val="clear" w:color="auto" w:fill="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400</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44" w:type="dxa"/>
            <w:vAlign w:val="center"/>
            <w:vMerge w:val="restart"/>
            <w:textDirection w:val="lrTb"/>
            <w:noWrap/>
          </w:tcPr>
          <w:p>
            <w:pPr>
              <w:pStyle w:val="905"/>
              <w:jc w:val="both"/>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任务类型为</w:t>
            </w:r>
            <w:r>
              <w:rPr>
                <w:rFonts w:hint="eastAsia" w:ascii="宋体" w:hAnsi="宋体" w:eastAsia="宋体" w:cs="宋体"/>
                <w:bCs/>
                <w:color w:val="000000"/>
                <w:sz w:val="24"/>
                <w:szCs w:val="24"/>
                <w:highlight w:val="none"/>
              </w:rPr>
              <w:t xml:space="preserve">监督抽检</w:t>
            </w:r>
            <w:r>
              <w:rPr>
                <w:rFonts w:hint="eastAsia" w:ascii="宋体" w:hAnsi="宋体" w:eastAsia="宋体" w:cs="宋体"/>
                <w:bCs/>
                <w:color w:val="000000"/>
                <w:sz w:val="24"/>
                <w:szCs w:val="24"/>
                <w:highlight w:val="none"/>
                <w:lang w:eastAsia="zh-CN"/>
              </w:rPr>
              <w:t xml:space="preserve">，任务时间为</w:t>
            </w:r>
            <w:r>
              <w:rPr>
                <w:rFonts w:hint="eastAsia" w:ascii="宋体" w:hAnsi="宋体" w:eastAsia="宋体" w:cs="宋体"/>
                <w:bCs/>
                <w:color w:val="000000"/>
                <w:sz w:val="24"/>
                <w:szCs w:val="24"/>
                <w:highlight w:val="none"/>
                <w:lang w:val="en-US" w:eastAsia="zh-CN"/>
              </w:rPr>
              <w:t xml:space="preserve">2026年</w:t>
            </w:r>
            <w:r>
              <w:rPr>
                <w:rFonts w:hint="eastAsia" w:ascii="宋体" w:hAnsi="宋体" w:cs="宋体"/>
                <w:bCs/>
                <w:color w:val="000000"/>
                <w:sz w:val="24"/>
                <w:szCs w:val="24"/>
                <w:highlight w:val="none"/>
                <w:lang w:val="en-US" w:eastAsia="zh-CN"/>
              </w:rPr>
              <w:t xml:space="preserve">至2027年3月31日</w:t>
            </w:r>
            <w:r>
              <w:rPr>
                <w:rFonts w:hint="eastAsia" w:ascii="宋体" w:hAnsi="宋体" w:eastAsia="宋体" w:cs="宋体"/>
                <w:b w:val="0"/>
                <w:bCs/>
                <w:color w:val="000000"/>
                <w:spacing w:val="2"/>
                <w:highlight w:val="none"/>
                <w:lang w:val="en-US" w:eastAsia="zh-CN"/>
              </w:rPr>
              <w:t xml:space="preserve">（以“国抽系统”录入时间为准）</w:t>
            </w:r>
            <w:r>
              <w:rPr>
                <w:rFonts w:hint="eastAsia" w:ascii="宋体" w:hAnsi="宋体" w:eastAsia="宋体" w:cs="宋体"/>
                <w:bCs/>
                <w:color w:val="000000"/>
                <w:sz w:val="24"/>
                <w:szCs w:val="24"/>
                <w:highlight w:val="none"/>
                <w:lang w:eastAsia="zh-CN"/>
              </w:rPr>
              <w:t xml:space="preserve">。所抽取的样品包含生产环节和经营环节，最终结算金额不超过</w:t>
            </w:r>
            <w:r>
              <w:rPr>
                <w:rFonts w:hint="eastAsia" w:ascii="宋体" w:hAnsi="宋体" w:eastAsia="宋体" w:cs="宋体"/>
                <w:bCs/>
                <w:color w:val="000000"/>
                <w:sz w:val="24"/>
                <w:szCs w:val="24"/>
                <w:highlight w:val="none"/>
                <w:lang w:val="en-US" w:eastAsia="zh-CN"/>
              </w:rPr>
              <w:t xml:space="preserve">1017元/批次</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905"/>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40.74</w:t>
            </w:r>
            <w:r>
              <w:rPr>
                <w:rFonts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02</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905"/>
              <w:jc w:val="center"/>
              <w:keepLines w:val="0"/>
              <w:keepNext w:val="0"/>
              <w:pageBreakBefore w:val="0"/>
              <w:spacing w:line="360" w:lineRule="exact"/>
              <w:shd w:val="clear" w:color="auto" w:fill="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金坛</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905"/>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03</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武进</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905"/>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04</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新北</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905"/>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天宁</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905"/>
              <w:jc w:val="center"/>
              <w:keepLines w:val="0"/>
              <w:keepNext w:val="0"/>
              <w:pageBreakBefore w:val="0"/>
              <w:widowControl w:val="off"/>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ascii="宋体" w:hAnsi="宋体" w:eastAsia="宋体" w:cs="宋体"/>
                <w:bCs/>
                <w:color w:val="000000"/>
                <w:sz w:val="24"/>
                <w:szCs w:val="24"/>
                <w:highlight w:val="none"/>
                <w:lang w:val="en-US" w:eastAsia="zh-CN"/>
              </w:rPr>
            </w:r>
            <w:r/>
          </w:p>
        </w:tc>
      </w:tr>
      <w:tr>
        <w:trPr>
          <w:trHeight w:val="1899"/>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06</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钟楼</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400</w:t>
            </w:r>
            <w:r>
              <w:rPr>
                <w:rFonts w:hint="eastAsia" w:ascii="宋体" w:hAnsi="宋体" w:eastAsia="宋体" w:cs="宋体"/>
                <w:bCs/>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844"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hint="eastAsia" w:ascii="宋体" w:hAnsi="宋体" w:eastAsia="宋体" w:cs="宋体"/>
                <w:bCs/>
                <w:color w:val="000000"/>
                <w:sz w:val="24"/>
                <w:szCs w:val="24"/>
                <w:highlight w:val="none"/>
                <w:lang w:val="en-US"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07</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9"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2026年常州市市场监督管理局食品检测技术服务</w:t>
            </w:r>
            <w:r>
              <w:rPr>
                <w:rFonts w:hint="eastAsia"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lang w:val="en-US" w:eastAsia="zh-CN"/>
              </w:rPr>
              <w:t xml:space="preserve">经开</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05"/>
              <w:jc w:val="center"/>
              <w:keepLines w:val="0"/>
              <w:keepNext w:val="0"/>
              <w:pageBreakBefore w:val="0"/>
              <w:spacing w:line="360" w:lineRule="exact"/>
              <w:shd w:val="clear" w:color="auto" w:fill="auto"/>
              <w:widowControl/>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400</w:t>
            </w:r>
            <w:r>
              <w:rPr>
                <w:rFonts w:ascii="宋体" w:hAnsi="宋体" w:eastAsia="宋体" w:cs="宋体"/>
                <w:bCs/>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844" w:type="dxa"/>
            <w:vAlign w:val="center"/>
            <w:vMerge w:val="continue"/>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905"/>
              <w:jc w:val="center"/>
              <w:keepLines w:val="0"/>
              <w:keepNext w:val="0"/>
              <w:pageBreakBefore w:val="0"/>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40.71</w:t>
            </w:r>
            <w:r>
              <w:rPr>
                <w:rFonts w:hint="eastAsia" w:ascii="宋体" w:hAnsi="宋体" w:eastAsia="宋体" w:cs="宋体"/>
                <w:bCs/>
                <w:color w:val="000000"/>
                <w:sz w:val="24"/>
                <w:szCs w:val="24"/>
                <w:highlight w:val="none"/>
                <w:lang w:val="en-US" w:eastAsia="zh-CN"/>
              </w:rPr>
            </w:r>
            <w:r/>
          </w:p>
        </w:tc>
      </w:tr>
      <w:tr>
        <w:trPr>
          <w:trHeight w:val="283"/>
        </w:trPr>
        <w:tc>
          <w:tcPr>
            <w:gridSpan w:val="3"/>
            <w:tcBorders>
              <w:top w:val="single" w:color="000000" w:sz="4" w:space="0"/>
              <w:left w:val="single" w:color="000000" w:sz="4" w:space="0"/>
              <w:bottom w:val="single" w:color="000000" w:sz="4" w:space="0"/>
              <w:right w:val="single" w:color="000000" w:sz="4" w:space="0"/>
            </w:tcBorders>
            <w:tcW w:w="5197"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总计</w:t>
            </w: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05"/>
              <w:jc w:val="center"/>
              <w:keepLines w:val="0"/>
              <w:keepNext w:val="0"/>
              <w:pageBreakBefore w:val="0"/>
              <w:spacing w:line="360" w:lineRule="exact"/>
              <w:shd w:val="clear" w:color="auto" w:fill="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2800</w:t>
            </w:r>
            <w:r>
              <w:rPr>
                <w:rFonts w:ascii="宋体" w:hAnsi="宋体" w:eastAsia="宋体" w:cs="宋体"/>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pStyle w:val="905"/>
              <w:jc w:val="center"/>
              <w:keepLines w:val="0"/>
              <w:keepNext w:val="0"/>
              <w:pageBreakBefore w:val="0"/>
              <w:spacing w:line="360" w:lineRule="exact"/>
              <w:shd w:val="clear" w:color="auto" w:fill="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tcPr>
          <w:p>
            <w:pPr>
              <w:pStyle w:val="905"/>
              <w:jc w:val="center"/>
              <w:keepLines w:val="0"/>
              <w:keepNext w:val="0"/>
              <w:pageBreakBefore w:val="0"/>
              <w:spacing w:line="360" w:lineRule="exact"/>
              <w:shd w:val="clear" w:color="auto" w:fill="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285.00</w:t>
            </w:r>
            <w:r>
              <w:rPr>
                <w:rFonts w:ascii="宋体" w:hAnsi="宋体" w:eastAsia="宋体" w:cs="宋体"/>
                <w:bCs/>
                <w:color w:val="000000"/>
                <w:sz w:val="24"/>
                <w:szCs w:val="24"/>
                <w:highlight w:val="none"/>
                <w:lang w:val="en-US" w:eastAsia="zh-CN"/>
              </w:rPr>
            </w:r>
            <w:r/>
          </w:p>
        </w:tc>
      </w:tr>
    </w:tbl>
    <w:p>
      <w:pPr>
        <w:pStyle w:val="905"/>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抽检重点</w:t>
      </w:r>
      <w:r>
        <w:rPr>
          <w:rFonts w:hint="eastAsia" w:ascii="宋体" w:hAnsi="宋体" w:eastAsia="宋体" w:cs="宋体"/>
          <w:color w:val="000000"/>
          <w:sz w:val="24"/>
          <w:szCs w:val="24"/>
          <w:highlight w:val="none"/>
        </w:rPr>
      </w:r>
      <w:r/>
    </w:p>
    <w:p>
      <w:pPr>
        <w:pStyle w:val="905"/>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1.重点产品：要重点抽检举报投诉多、风险隐患多、监督检查中存在问题多，以及体现时令季节性特点和百姓消费特色点的食品。</w:t>
      </w:r>
      <w:r>
        <w:rPr>
          <w:rFonts w:hint="eastAsia" w:ascii="宋体" w:hAnsi="宋体" w:eastAsia="宋体" w:cs="宋体"/>
          <w:color w:val="000000"/>
          <w:sz w:val="24"/>
          <w:szCs w:val="24"/>
          <w:highlight w:val="none"/>
        </w:rPr>
      </w:r>
      <w:r/>
    </w:p>
    <w:p>
      <w:pPr>
        <w:pStyle w:val="905"/>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2.重点区域：涉及食用农产品集中交易市场、食品安全问题多发区、旅游景区、大型集体餐饮场所，以及农村、城乡结合部、中小学校及周边等重点区域。</w:t>
      </w:r>
      <w:r>
        <w:rPr>
          <w:rFonts w:hint="eastAsia" w:ascii="宋体" w:hAnsi="宋体" w:eastAsia="宋体" w:cs="宋体"/>
          <w:color w:val="000000"/>
          <w:sz w:val="24"/>
          <w:szCs w:val="24"/>
          <w:highlight w:val="none"/>
        </w:rPr>
      </w:r>
      <w:r/>
    </w:p>
    <w:p>
      <w:pPr>
        <w:pStyle w:val="905"/>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3.重点对象：流通环节要加大对大型商超以及集贸市场、食用农产品批发市场的抽检检测。</w:t>
      </w:r>
      <w:r>
        <w:rPr>
          <w:rFonts w:hint="eastAsia" w:ascii="宋体" w:hAnsi="宋体" w:eastAsia="宋体" w:cs="宋体"/>
          <w:color w:val="000000"/>
          <w:sz w:val="24"/>
          <w:szCs w:val="24"/>
          <w:highlight w:val="none"/>
        </w:rPr>
      </w:r>
      <w:r/>
    </w:p>
    <w:p>
      <w:pPr>
        <w:pStyle w:val="905"/>
        <w:ind w:firstLine="5400"/>
        <w:keepLines w:val="0"/>
        <w:keepNext w:val="0"/>
        <w:pageBreakBefore w:val="0"/>
        <w:spacing w:line="360" w:lineRule="auto"/>
        <w:shd w:val="clear" w:color="auto" w:fill="auto"/>
        <w:widowControl w:val="off"/>
        <w:tabs>
          <w:tab w:val="left" w:pos="751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常州市市场监督管理局</w:t>
      </w:r>
      <w:r>
        <w:rPr>
          <w:rFonts w:hint="eastAsia" w:ascii="宋体" w:hAnsi="宋体" w:eastAsia="宋体" w:cs="宋体"/>
          <w:color w:val="000000"/>
          <w:sz w:val="24"/>
          <w:szCs w:val="24"/>
          <w:highlight w:val="none"/>
        </w:rPr>
      </w:r>
      <w:r/>
    </w:p>
    <w:p>
      <w:pPr>
        <w:pStyle w:val="905"/>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rPr>
        <w:t xml:space="preserve"> 月 日</w:t>
      </w:r>
      <w:r>
        <w:rPr>
          <w:rFonts w:hint="eastAsia" w:ascii="宋体" w:hAnsi="宋体" w:eastAsia="宋体" w:cs="宋体"/>
          <w:color w:val="000000"/>
          <w:sz w:val="24"/>
          <w:szCs w:val="24"/>
          <w:highlight w:val="none"/>
        </w:rPr>
      </w:r>
      <w:r/>
    </w:p>
    <w:p>
      <w:pPr>
        <w:pStyle w:val="989"/>
        <w:keepLines w:val="0"/>
        <w:keepNext w:val="0"/>
        <w:pageBreakBefore w:val="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05"/>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lang w:eastAsia="zh-CN"/>
        </w:rPr>
        <w:sectPr>
          <w:footnotePr/>
          <w:endnotePr/>
          <w:type w:val="nextPage"/>
          <w:pgSz w:w="11905"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lang w:eastAsia="zh-CN"/>
        </w:rPr>
      </w:r>
      <w:r/>
    </w:p>
    <w:p>
      <w:pPr>
        <w:pStyle w:val="905"/>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附件3：</w:t>
      </w:r>
      <w:r>
        <w:rPr>
          <w:rFonts w:hint="eastAsia" w:ascii="宋体" w:hAnsi="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eastAsia="宋体" w:cs="宋体"/>
          <w:b/>
          <w:color w:val="000000"/>
          <w:sz w:val="24"/>
          <w:szCs w:val="24"/>
          <w:highlight w:val="none"/>
        </w:rPr>
        <w:t xml:space="preserve">常州市食品安全抽检项目承检单位</w:t>
      </w:r>
      <w:r>
        <w:rPr>
          <w:rFonts w:hint="eastAsia" w:ascii="宋体" w:hAnsi="宋体" w:eastAsia="宋体" w:cs="宋体"/>
          <w:b/>
          <w:color w:val="000000"/>
          <w:sz w:val="24"/>
          <w:szCs w:val="24"/>
          <w:highlight w:val="none"/>
          <w:lang w:eastAsia="zh-CN"/>
        </w:rPr>
        <w:t xml:space="preserve">履约</w:t>
      </w:r>
      <w:r>
        <w:rPr>
          <w:rFonts w:hint="eastAsia" w:ascii="宋体" w:hAnsi="宋体" w:eastAsia="宋体" w:cs="宋体"/>
          <w:b/>
          <w:color w:val="000000"/>
          <w:sz w:val="24"/>
          <w:szCs w:val="24"/>
          <w:highlight w:val="none"/>
          <w:lang w:val="en-US" w:eastAsia="zh-CN"/>
        </w:rPr>
        <w:t xml:space="preserve">验收</w:t>
      </w:r>
      <w:r>
        <w:rPr>
          <w:rFonts w:hint="eastAsia" w:ascii="宋体" w:hAnsi="宋体" w:eastAsia="宋体" w:cs="宋体"/>
          <w:b/>
          <w:color w:val="000000"/>
          <w:sz w:val="24"/>
          <w:szCs w:val="24"/>
          <w:highlight w:val="none"/>
        </w:rPr>
        <w:t xml:space="preserve">绩效评价细则</w:t>
      </w:r>
      <w:r>
        <w:rPr>
          <w:rFonts w:hint="eastAsia" w:ascii="宋体" w:hAnsi="宋体" w:eastAsia="宋体" w:cs="宋体"/>
          <w:b/>
          <w:color w:val="000000"/>
          <w:sz w:val="24"/>
          <w:szCs w:val="24"/>
          <w:highlight w:val="none"/>
        </w:rPr>
      </w:r>
      <w:r/>
    </w:p>
    <w:p>
      <w:pPr>
        <w:pStyle w:val="905"/>
        <w:rPr>
          <w:color w:val="000000"/>
        </w:rPr>
      </w:pPr>
      <w:r>
        <w:rPr>
          <w:color w:val="000000"/>
        </w:rPr>
      </w:r>
      <w:r/>
    </w:p>
    <w:p>
      <w:pPr>
        <w:pStyle w:val="905"/>
        <w:jc w:val="center"/>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202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年常州市食品安全抽检项目</w:t>
      </w:r>
      <w:r>
        <w:rPr>
          <w:rFonts w:hint="eastAsia" w:ascii="宋体" w:hAnsi="宋体" w:eastAsia="宋体" w:cs="宋体"/>
          <w:b/>
          <w:color w:val="000000"/>
          <w:sz w:val="24"/>
          <w:szCs w:val="24"/>
          <w:highlight w:val="none"/>
          <w:lang w:eastAsia="zh-CN"/>
        </w:rPr>
      </w:r>
      <w:r/>
    </w:p>
    <w:p>
      <w:pPr>
        <w:pStyle w:val="905"/>
        <w:jc w:val="center"/>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承检单位履约</w:t>
      </w:r>
      <w:r>
        <w:rPr>
          <w:rFonts w:hint="eastAsia" w:ascii="宋体" w:hAnsi="宋体" w:eastAsia="宋体" w:cs="宋体"/>
          <w:b/>
          <w:color w:val="000000"/>
          <w:sz w:val="24"/>
          <w:szCs w:val="24"/>
          <w:highlight w:val="none"/>
          <w:lang w:val="en-US" w:eastAsia="zh-CN"/>
        </w:rPr>
        <w:t xml:space="preserve">验收</w:t>
      </w:r>
      <w:r>
        <w:rPr>
          <w:rFonts w:hint="eastAsia" w:ascii="宋体" w:hAnsi="宋体" w:eastAsia="宋体" w:cs="宋体"/>
          <w:b/>
          <w:color w:val="000000"/>
          <w:sz w:val="24"/>
          <w:szCs w:val="24"/>
          <w:highlight w:val="none"/>
          <w:lang w:eastAsia="zh-CN"/>
        </w:rPr>
        <w:t xml:space="preserve">绩效评价细则</w:t>
      </w:r>
      <w:r>
        <w:rPr>
          <w:rFonts w:hint="eastAsia" w:ascii="宋体" w:hAnsi="宋体" w:eastAsia="宋体" w:cs="宋体"/>
          <w:b/>
          <w:color w:val="000000"/>
          <w:sz w:val="24"/>
          <w:szCs w:val="24"/>
          <w:highlight w:val="none"/>
          <w:lang w:eastAsia="zh-CN"/>
        </w:rPr>
      </w:r>
      <w:r/>
    </w:p>
    <w:tbl>
      <w:tblPr>
        <w:tblpPr w:horzAnchor="page" w:tblpXSpec="center" w:vertAnchor="text" w:tblpY="452" w:leftFromText="180" w:topFromText="0" w:rightFromText="180" w:bottomFromText="0"/>
        <w:tblW w:w="923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1146"/>
        <w:gridCol w:w="4415"/>
        <w:gridCol w:w="1745"/>
        <w:gridCol w:w="1294"/>
      </w:tblGrid>
      <w:tr>
        <w:trPr>
          <w:trHeight w:val="1000"/>
        </w:trPr>
        <w:tc>
          <w:tcPr>
            <w:gridSpan w:val="5"/>
            <w:tcBorders>
              <w:top w:val="single" w:color="000000" w:sz="8" w:space="0"/>
              <w:left w:val="single" w:color="000000" w:sz="8" w:space="0"/>
              <w:bottom w:val="single" w:color="000000" w:sz="8" w:space="0"/>
              <w:right w:val="single" w:color="000000" w:sz="8" w:space="0"/>
            </w:tcBorders>
            <w:tcW w:w="9230" w:type="dxa"/>
            <w:vAlign w:val="center"/>
            <w:textDirection w:val="lrTb"/>
            <w:noWrap/>
          </w:tcPr>
          <w:p>
            <w:pPr>
              <w:pStyle w:val="905"/>
              <w:jc w:val="left"/>
              <w:keepLines w:val="0"/>
              <w:keepNext w:val="0"/>
              <w:widowControl/>
              <w:rPr>
                <w:rFonts w:ascii="宋体" w:hAnsi="宋体" w:eastAsia="宋体" w:cs="宋体"/>
                <w:i w:val="0"/>
                <w:iCs w:val="0"/>
                <w:color w:val="000000"/>
                <w:sz w:val="24"/>
                <w:szCs w:val="24"/>
                <w:u w:val="none"/>
                <w:lang w:val="en-US"/>
              </w:rPr>
              <w:framePr w:vAnchor="text" w:hAnchor="page" w:xAlign="center" w:y="452"/>
              <w:suppressLineNumbers w:val="0"/>
            </w:pPr>
            <w:r>
              <w:rPr>
                <w:rFonts w:hint="eastAsia" w:ascii="宋体" w:hAnsi="宋体" w:eastAsia="宋体" w:cs="宋体"/>
                <w:i w:val="0"/>
                <w:iCs w:val="0"/>
                <w:color w:val="000000"/>
                <w:sz w:val="24"/>
                <w:szCs w:val="24"/>
                <w:u w:val="none"/>
                <w:lang w:val="en-US" w:eastAsia="zh-CN" w:bidi="ar"/>
              </w:rPr>
              <w:t xml:space="preserve">承检机构名称:  </w:t>
            </w:r>
            <w:r>
              <w:rPr>
                <w:rStyle w:val="1183"/>
                <w:color w:val="000000"/>
                <w:lang w:val="en-US" w:eastAsia="zh-CN" w:bidi="ar"/>
              </w:rPr>
              <w:t xml:space="preserve">                     </w:t>
            </w:r>
            <w:r>
              <w:rPr>
                <w:rStyle w:val="1183"/>
                <w:rFonts w:hint="eastAsia"/>
                <w:color w:val="000000"/>
                <w:lang w:val="en-US" w:eastAsia="zh-CN" w:bidi="ar"/>
              </w:rPr>
              <w:t xml:space="preserve">      </w:t>
            </w:r>
            <w:r>
              <w:rPr>
                <w:rFonts w:ascii="宋体" w:hAnsi="宋体" w:eastAsia="宋体" w:cs="宋体"/>
                <w:i w:val="0"/>
                <w:iCs w:val="0"/>
                <w:color w:val="000000"/>
                <w:sz w:val="24"/>
                <w:szCs w:val="24"/>
                <w:u w:val="none"/>
                <w:lang w:val="en-US"/>
              </w:rPr>
            </w:r>
            <w:r/>
          </w:p>
        </w:tc>
      </w:tr>
      <w:tr>
        <w:trPr>
          <w:trHeight w:val="960"/>
        </w:trPr>
        <w:tc>
          <w:tcPr>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gridSpan w:val="2"/>
            <w:tcBorders>
              <w:top w:val="single" w:color="000000" w:sz="8" w:space="0"/>
              <w:left w:val="single" w:color="000000" w:sz="8" w:space="0"/>
              <w:bottom w:val="single" w:color="000000" w:sz="8" w:space="0"/>
              <w:right w:val="single" w:color="000000" w:sz="8" w:space="0"/>
            </w:tcBorders>
            <w:tcW w:w="5561"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验收内容</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lang w:val="en-US" w:eastAsia="zh-CN" w:bidi="ar"/>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是否满足</w:t>
            </w:r>
            <w:r>
              <w:rPr>
                <w:rFonts w:hint="eastAsia" w:ascii="宋体" w:hAnsi="宋体" w:eastAsia="宋体" w:cs="宋体"/>
                <w:b/>
                <w:bCs/>
                <w:i w:val="0"/>
                <w:iCs w:val="0"/>
                <w:color w:val="000000"/>
                <w:sz w:val="24"/>
                <w:szCs w:val="24"/>
                <w:u w:val="none"/>
                <w:lang w:val="en-US" w:eastAsia="zh-CN" w:bidi="ar"/>
              </w:rPr>
            </w:r>
            <w:r/>
          </w:p>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合同要求</w:t>
            </w:r>
            <w:r>
              <w:rPr>
                <w:rFonts w:hint="eastAsia" w:ascii="宋体" w:hAnsi="宋体" w:eastAsia="宋体" w:cs="宋体"/>
                <w:b/>
                <w:bCs/>
                <w:i w:val="0"/>
                <w:iCs w:val="0"/>
                <w:color w:val="000000"/>
                <w:sz w:val="24"/>
                <w:szCs w:val="24"/>
                <w:u w:val="none"/>
                <w:lang w:val="en-US" w:eastAsia="zh-CN" w:bidi="ar"/>
              </w:rPr>
              <w:br w:type="textWrapping" w:clear="all"/>
            </w:r>
            <w:r>
              <w:rPr>
                <w:rFonts w:hint="eastAsia" w:ascii="宋体" w:hAnsi="宋体" w:eastAsia="宋体" w:cs="宋体"/>
                <w:b/>
                <w:bCs/>
                <w:i w:val="0"/>
                <w:iCs w:val="0"/>
                <w:color w:val="000000"/>
                <w:sz w:val="24"/>
                <w:szCs w:val="24"/>
                <w:u w:val="none"/>
                <w:lang w:val="en-US" w:eastAsia="zh-CN" w:bidi="ar"/>
              </w:rPr>
              <w:t xml:space="preserve">（是/否）</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备注（验收扣款情况）</w:t>
            </w:r>
            <w:r>
              <w:rPr>
                <w:rFonts w:hint="eastAsia" w:ascii="宋体" w:hAnsi="宋体" w:eastAsia="宋体" w:cs="宋体"/>
                <w:b/>
                <w:bCs/>
                <w:i w:val="0"/>
                <w:iCs w:val="0"/>
                <w:color w:val="000000"/>
                <w:sz w:val="24"/>
                <w:szCs w:val="24"/>
                <w:u w:val="none"/>
              </w:rPr>
            </w:r>
            <w:r/>
          </w:p>
        </w:tc>
      </w:tr>
      <w:tr>
        <w:trPr>
          <w:trHeight w:val="1480"/>
        </w:trPr>
        <w:tc>
          <w:tcPr>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146" w:type="dxa"/>
            <w:vAlign w:val="center"/>
            <w:vMerge w:val="restart"/>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lang w:val="en-US" w:eastAsia="zh-CN" w:bidi="ar"/>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违约</w:t>
            </w:r>
            <w:r>
              <w:rPr>
                <w:rFonts w:hint="eastAsia" w:ascii="宋体" w:hAnsi="宋体" w:eastAsia="宋体" w:cs="宋体"/>
                <w:b/>
                <w:bCs/>
                <w:i w:val="0"/>
                <w:iCs w:val="0"/>
                <w:color w:val="000000"/>
                <w:sz w:val="24"/>
                <w:szCs w:val="24"/>
                <w:u w:val="none"/>
                <w:lang w:val="en-US" w:eastAsia="zh-CN" w:bidi="ar"/>
              </w:rPr>
            </w:r>
            <w:r/>
          </w:p>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责任</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val="false"/>
          </w:tcPr>
          <w:p>
            <w:pPr>
              <w:pStyle w:val="905"/>
              <w:jc w:val="left"/>
              <w:keepLines w:val="0"/>
              <w:keepNext w:val="0"/>
              <w:widowControl/>
              <w:rPr>
                <w:rFonts w:hint="eastAsia" w:ascii="宋体" w:hAnsi="宋体" w:eastAsia="宋体" w:cs="宋体"/>
                <w:i w:val="0"/>
                <w:iCs w:val="0"/>
                <w:color w:val="000000"/>
                <w:sz w:val="21"/>
                <w:szCs w:val="21"/>
                <w:u w:val="none"/>
              </w:rPr>
              <w:framePr w:vAnchor="text" w:hAnchor="page" w:xAlign="center" w:y="452"/>
              <w:suppressLineNumbers w:val="0"/>
            </w:pPr>
            <w:r>
              <w:rPr>
                <w:rFonts w:hint="eastAsia" w:ascii="宋体" w:hAnsi="宋体" w:eastAsia="宋体" w:cs="宋体"/>
                <w:i w:val="0"/>
                <w:iCs w:val="0"/>
                <w:color w:val="000000"/>
                <w:sz w:val="21"/>
                <w:szCs w:val="21"/>
                <w:u w:val="none"/>
                <w:lang w:val="en-US" w:eastAsia="zh-CN" w:bidi="ar"/>
              </w:rPr>
              <w:t xml:space="preserve">乙方未按合同的规定和“服务承诺”提供伴随服务的，甲方有权提前解除本合同，同时乙方应按合同总价款的5%向甲方承担违约责任。</w:t>
            </w: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pStyle w:val="905"/>
              <w:jc w:val="left"/>
              <w:keepLines w:val="0"/>
              <w:keepNext w:val="0"/>
              <w:pageBreakBefore w:val="0"/>
              <w:spacing w:line="360" w:lineRule="exact"/>
              <w:widowControl w:val="off"/>
              <w:rPr>
                <w:rFonts w:ascii="Times New Roman" w:hAnsi="Times New Roman" w:eastAsia="宋体" w:cs="Times New Roman"/>
                <w:color w:val="000000"/>
                <w:sz w:val="24"/>
                <w:szCs w:val="24"/>
                <w:highlight w:val="none"/>
                <w:u w:val="none"/>
                <w:lang w:val="en-US" w:eastAsia="zh-CN"/>
              </w:rPr>
              <w:framePr w:vAnchor="text" w:hAnchor="page" w:xAlign="center" w:y="452"/>
            </w:pPr>
            <w:r>
              <w:rPr>
                <w:rFonts w:ascii="Times New Roman" w:hAnsi="Times New Roman" w:eastAsia="宋体" w:cs="Times New Roman"/>
                <w:color w:val="000000"/>
                <w:sz w:val="24"/>
                <w:szCs w:val="24"/>
                <w:highlight w:val="none"/>
                <w:u w:val="none"/>
                <w:lang w:val="en-US" w:eastAsia="zh-CN"/>
              </w:rPr>
            </w:r>
            <w:r/>
          </w:p>
          <w:p>
            <w:pPr>
              <w:pStyle w:val="905"/>
              <w:ind w:firstLine="240"/>
              <w:jc w:val="left"/>
              <w:keepLines w:val="0"/>
              <w:keepNext w:val="0"/>
              <w:pageBreakBefore w:val="0"/>
              <w:spacing w:line="360" w:lineRule="exact"/>
              <w:widowControl w:val="off"/>
              <w:rPr>
                <w:rFonts w:ascii="Times New Roman" w:hAnsi="Times New Roman" w:eastAsia="宋体" w:cs="Times New Roman"/>
                <w:color w:val="000000"/>
                <w:sz w:val="24"/>
                <w:szCs w:val="24"/>
                <w:highlight w:val="none"/>
                <w:u w:val="none"/>
                <w:lang w:val="en-US" w:eastAsia="zh-CN"/>
              </w:rPr>
              <w:framePr w:vAnchor="text" w:hAnchor="page" w:xAlign="center" w:y="452"/>
            </w:pPr>
            <w:r>
              <w:rPr>
                <w:rFonts w:ascii="Times New Roman" w:hAnsi="Times New Roman" w:eastAsia="宋体" w:cs="Times New Roman"/>
                <w:color w:val="000000"/>
                <w:sz w:val="24"/>
                <w:szCs w:val="24"/>
                <w:highlight w:val="none"/>
                <w:u w:val="none"/>
                <w:lang w:val="en-US" w:eastAsia="zh-CN"/>
              </w:rPr>
              <w:t xml:space="preserve">是</w:t>
            </w:r>
            <w:r>
              <w:rPr>
                <w:rFonts w:ascii="Wingdings 2" w:hAnsi="Wingdings 2" w:eastAsia="Wingdings 2" w:cs="Wingdings 2"/>
                <w:color w:val="000000"/>
                <w:sz w:val="24"/>
                <w:szCs w:val="24"/>
                <w:highlight w:val="none"/>
                <w:u w:val="none"/>
                <w:lang w:val="en-US" w:eastAsia="zh-CN"/>
              </w:rPr>
              <w:t xml:space="preserve">£</w:t>
            </w:r>
            <w:r>
              <w:rPr>
                <w:rFonts w:hint="eastAsia"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否</w:t>
            </w:r>
            <w:r>
              <w:rPr>
                <w:rFonts w:ascii="Wingdings 2" w:hAnsi="Wingdings 2" w:eastAsia="Wingdings 2" w:cs="Wingdings 2"/>
                <w:color w:val="000000"/>
                <w:sz w:val="24"/>
                <w:szCs w:val="24"/>
                <w:highlight w:val="none"/>
                <w:u w:val="none"/>
                <w:lang w:val="en-US" w:eastAsia="zh-CN"/>
              </w:rPr>
              <w:t xml:space="preserve">£</w:t>
            </w:r>
            <w:r>
              <w:rPr>
                <w:rFonts w:ascii="Times New Roman" w:hAnsi="Times New Roman" w:eastAsia="宋体" w:cs="Times New Roman"/>
                <w:color w:val="000000"/>
                <w:sz w:val="24"/>
                <w:szCs w:val="24"/>
                <w:highlight w:val="none"/>
                <w:u w:val="none"/>
                <w:lang w:val="en-US" w:eastAsia="zh-CN"/>
              </w:rPr>
            </w:r>
            <w:r/>
          </w:p>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r>
      <w:tr>
        <w:trPr>
          <w:trHeight w:val="2181"/>
        </w:trPr>
        <w:tc>
          <w:tcPr>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146" w:type="dxa"/>
            <w:vAlign w:val="center"/>
            <w:vMerge w:val="continue"/>
            <w:textDirection w:val="lrTb"/>
            <w:noWrap w:val="false"/>
          </w:tcPr>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val="false"/>
          </w:tcPr>
          <w:p>
            <w:pPr>
              <w:pStyle w:val="905"/>
              <w:jc w:val="left"/>
              <w:keepLines w:val="0"/>
              <w:keepNext w:val="0"/>
              <w:widowControl/>
              <w:rPr>
                <w:rFonts w:hint="eastAsia" w:ascii="宋体" w:hAnsi="宋体" w:eastAsia="宋体" w:cs="宋体"/>
                <w:i w:val="0"/>
                <w:iCs w:val="0"/>
                <w:color w:val="000000"/>
                <w:sz w:val="21"/>
                <w:szCs w:val="21"/>
                <w:u w:val="none"/>
              </w:rPr>
              <w:framePr w:vAnchor="text" w:hAnchor="page" w:xAlign="center" w:y="452"/>
              <w:suppressLineNumbers w:val="0"/>
            </w:pPr>
            <w:r>
              <w:rPr>
                <w:rFonts w:hint="eastAsia" w:ascii="宋体" w:hAnsi="宋体" w:eastAsia="宋体" w:cs="宋体"/>
                <w:i w:val="0"/>
                <w:iCs w:val="0"/>
                <w:color w:val="000000"/>
                <w:sz w:val="21"/>
                <w:szCs w:val="21"/>
                <w:u w:val="none"/>
                <w:lang w:val="en-US" w:eastAsia="zh-CN" w:bidi="ar"/>
              </w:rPr>
              <w:t xml:space="preserve">因乙方原因造成的检测程序违法、检测结果错误，由此造成甲方在行政复议中被确认违法或行政诉讼败诉，乙方应当承担相关法律责任，包括赔偿甲方损失、支付违约金等，违约金为5万元/批次起。</w:t>
            </w: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pStyle w:val="905"/>
              <w:ind w:firstLine="240"/>
              <w:jc w:val="left"/>
              <w:keepLines w:val="0"/>
              <w:keepNext w:val="0"/>
              <w:pageBreakBefore w:val="0"/>
              <w:spacing w:line="360" w:lineRule="exact"/>
              <w:widowControl w:val="off"/>
              <w:rPr>
                <w:rFonts w:ascii="Times New Roman" w:hAnsi="Times New Roman" w:eastAsia="宋体" w:cs="Times New Roman"/>
                <w:color w:val="000000"/>
                <w:sz w:val="24"/>
                <w:szCs w:val="24"/>
                <w:highlight w:val="none"/>
                <w:u w:val="none"/>
                <w:lang w:val="en-US" w:eastAsia="zh-CN"/>
              </w:rPr>
              <w:framePr w:vAnchor="text" w:hAnchor="page" w:xAlign="center" w:y="452"/>
            </w:pPr>
            <w:r>
              <w:rPr>
                <w:rFonts w:ascii="Times New Roman" w:hAnsi="Times New Roman" w:eastAsia="宋体" w:cs="Times New Roman"/>
                <w:color w:val="000000"/>
                <w:sz w:val="24"/>
                <w:szCs w:val="24"/>
                <w:highlight w:val="none"/>
                <w:u w:val="none"/>
                <w:lang w:val="en-US" w:eastAsia="zh-CN"/>
              </w:rPr>
              <w:t xml:space="preserve">是</w:t>
            </w:r>
            <w:r>
              <w:rPr>
                <w:rFonts w:ascii="Wingdings 2" w:hAnsi="Wingdings 2" w:eastAsia="Wingdings 2" w:cs="Wingdings 2"/>
                <w:color w:val="000000"/>
                <w:sz w:val="24"/>
                <w:szCs w:val="24"/>
                <w:highlight w:val="none"/>
                <w:u w:val="none"/>
                <w:lang w:val="en-US" w:eastAsia="zh-CN"/>
              </w:rPr>
              <w:t xml:space="preserve">£</w:t>
            </w:r>
            <w:r>
              <w:rPr>
                <w:rFonts w:hint="eastAsia"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否</w:t>
            </w:r>
            <w:r>
              <w:rPr>
                <w:rFonts w:ascii="Wingdings 2" w:hAnsi="Wingdings 2" w:eastAsia="Wingdings 2" w:cs="Wingdings 2"/>
                <w:color w:val="000000"/>
                <w:sz w:val="24"/>
                <w:szCs w:val="24"/>
                <w:highlight w:val="none"/>
                <w:u w:val="none"/>
                <w:lang w:val="en-US" w:eastAsia="zh-CN"/>
              </w:rPr>
              <w:t xml:space="preserve">£</w:t>
            </w:r>
            <w:r>
              <w:rPr>
                <w:rFonts w:ascii="Times New Roman" w:hAnsi="Times New Roman" w:eastAsia="宋体" w:cs="Times New Roman"/>
                <w:color w:val="000000"/>
                <w:sz w:val="24"/>
                <w:szCs w:val="24"/>
                <w:highlight w:val="none"/>
                <w:u w:val="none"/>
                <w:lang w:val="en-US" w:eastAsia="zh-CN"/>
              </w:rPr>
            </w:r>
            <w:r/>
          </w:p>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r>
      <w:tr>
        <w:trPr>
          <w:trHeight w:val="1440"/>
        </w:trPr>
        <w:tc>
          <w:tcPr>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3</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146" w:type="dxa"/>
            <w:vAlign w:val="center"/>
            <w:vMerge w:val="restart"/>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lang w:val="en-US" w:eastAsia="zh-CN" w:bidi="ar"/>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服务</w:t>
            </w:r>
            <w:r>
              <w:rPr>
                <w:rFonts w:hint="eastAsia" w:ascii="宋体" w:hAnsi="宋体" w:eastAsia="宋体" w:cs="宋体"/>
                <w:b/>
                <w:bCs/>
                <w:i w:val="0"/>
                <w:iCs w:val="0"/>
                <w:color w:val="000000"/>
                <w:sz w:val="24"/>
                <w:szCs w:val="24"/>
                <w:u w:val="none"/>
                <w:lang w:val="en-US" w:eastAsia="zh-CN" w:bidi="ar"/>
              </w:rPr>
            </w:r>
            <w:r/>
          </w:p>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考核</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val="false"/>
          </w:tcPr>
          <w:p>
            <w:pPr>
              <w:pStyle w:val="905"/>
              <w:jc w:val="left"/>
              <w:keepLines w:val="0"/>
              <w:keepNext w:val="0"/>
              <w:widowControl/>
              <w:rPr>
                <w:rFonts w:hint="eastAsia" w:ascii="宋体" w:hAnsi="宋体" w:eastAsia="宋体" w:cs="宋体"/>
                <w:i w:val="0"/>
                <w:iCs w:val="0"/>
                <w:color w:val="000000"/>
                <w:sz w:val="21"/>
                <w:szCs w:val="21"/>
                <w:u w:val="none"/>
              </w:rPr>
              <w:framePr w:vAnchor="text" w:hAnchor="page" w:xAlign="center" w:y="452"/>
              <w:suppressLineNumbers w:val="0"/>
            </w:pPr>
            <w:r>
              <w:rPr>
                <w:rFonts w:hint="eastAsia" w:ascii="宋体" w:hAnsi="宋体" w:eastAsia="宋体" w:cs="宋体"/>
                <w:i w:val="0"/>
                <w:iCs w:val="0"/>
                <w:color w:val="000000"/>
                <w:sz w:val="21"/>
                <w:szCs w:val="21"/>
                <w:u w:val="none"/>
                <w:lang w:val="en-US" w:eastAsia="zh-CN" w:bidi="ar"/>
              </w:rPr>
              <w:t xml:space="preserve">未完成批次，按照1500元/批次进行扣除，未完成批次达到总任务的10%及以上，所有抽检批次费用按照半价支付。</w:t>
            </w: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pStyle w:val="905"/>
              <w:ind w:firstLine="240"/>
              <w:jc w:val="left"/>
              <w:keepLines w:val="0"/>
              <w:keepNext w:val="0"/>
              <w:pageBreakBefore w:val="0"/>
              <w:spacing w:line="360" w:lineRule="exact"/>
              <w:widowControl w:val="off"/>
              <w:rPr>
                <w:rFonts w:ascii="Times New Roman" w:hAnsi="Times New Roman" w:eastAsia="宋体" w:cs="Times New Roman"/>
                <w:color w:val="000000"/>
                <w:sz w:val="24"/>
                <w:szCs w:val="24"/>
                <w:highlight w:val="none"/>
                <w:u w:val="none"/>
                <w:lang w:val="en-US" w:eastAsia="zh-CN"/>
              </w:rPr>
              <w:framePr w:vAnchor="text" w:hAnchor="page" w:xAlign="center" w:y="452"/>
            </w:pPr>
            <w:r>
              <w:rPr>
                <w:rFonts w:ascii="Times New Roman" w:hAnsi="Times New Roman" w:eastAsia="宋体" w:cs="Times New Roman"/>
                <w:color w:val="000000"/>
                <w:sz w:val="24"/>
                <w:szCs w:val="24"/>
                <w:highlight w:val="none"/>
                <w:u w:val="none"/>
                <w:lang w:val="en-US" w:eastAsia="zh-CN"/>
              </w:rPr>
              <w:t xml:space="preserve">是</w:t>
            </w:r>
            <w:r>
              <w:rPr>
                <w:rFonts w:ascii="Wingdings 2" w:hAnsi="Wingdings 2" w:eastAsia="Wingdings 2" w:cs="Wingdings 2"/>
                <w:color w:val="000000"/>
                <w:sz w:val="24"/>
                <w:szCs w:val="24"/>
                <w:highlight w:val="none"/>
                <w:u w:val="none"/>
                <w:lang w:val="en-US" w:eastAsia="zh-CN"/>
              </w:rPr>
              <w:t xml:space="preserve">£</w:t>
            </w:r>
            <w:r>
              <w:rPr>
                <w:rFonts w:hint="eastAsia"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否</w:t>
            </w:r>
            <w:r>
              <w:rPr>
                <w:rFonts w:ascii="Wingdings 2" w:hAnsi="Wingdings 2" w:eastAsia="Wingdings 2" w:cs="Wingdings 2"/>
                <w:color w:val="000000"/>
                <w:sz w:val="24"/>
                <w:szCs w:val="24"/>
                <w:highlight w:val="none"/>
                <w:u w:val="none"/>
                <w:lang w:val="en-US" w:eastAsia="zh-CN"/>
              </w:rPr>
              <w:t xml:space="preserve">£</w:t>
            </w:r>
            <w:r>
              <w:rPr>
                <w:rFonts w:ascii="Times New Roman" w:hAnsi="Times New Roman" w:eastAsia="宋体" w:cs="Times New Roman"/>
                <w:color w:val="000000"/>
                <w:sz w:val="24"/>
                <w:szCs w:val="24"/>
                <w:highlight w:val="none"/>
                <w:u w:val="none"/>
                <w:lang w:val="en-US" w:eastAsia="zh-CN"/>
              </w:rPr>
            </w:r>
            <w:r/>
          </w:p>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r>
      <w:tr>
        <w:trPr>
          <w:trHeight w:val="1590"/>
        </w:trPr>
        <w:tc>
          <w:tcPr>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146" w:type="dxa"/>
            <w:vAlign w:val="center"/>
            <w:vMerge w:val="continue"/>
            <w:textDirection w:val="lrTb"/>
            <w:noWrap w:val="false"/>
          </w:tcPr>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val="false"/>
          </w:tcPr>
          <w:p>
            <w:pPr>
              <w:pStyle w:val="905"/>
              <w:jc w:val="left"/>
              <w:keepLines w:val="0"/>
              <w:keepNext w:val="0"/>
              <w:widowControl/>
              <w:rPr>
                <w:rFonts w:hint="eastAsia" w:ascii="宋体" w:hAnsi="宋体" w:eastAsia="宋体" w:cs="宋体"/>
                <w:i w:val="0"/>
                <w:iCs w:val="0"/>
                <w:color w:val="000000"/>
                <w:sz w:val="21"/>
                <w:szCs w:val="21"/>
                <w:u w:val="none"/>
              </w:rPr>
              <w:framePr w:vAnchor="text" w:hAnchor="page" w:xAlign="center" w:y="452"/>
              <w:suppressLineNumbers w:val="0"/>
            </w:pPr>
            <w:r>
              <w:rPr>
                <w:rFonts w:hint="eastAsia" w:ascii="宋体" w:hAnsi="宋体" w:eastAsia="宋体" w:cs="宋体"/>
                <w:i w:val="0"/>
                <w:iCs w:val="0"/>
                <w:color w:val="000000"/>
                <w:sz w:val="21"/>
                <w:szCs w:val="21"/>
                <w:u w:val="none"/>
                <w:lang w:val="en-US" w:eastAsia="zh-CN" w:bidi="ar"/>
              </w:rPr>
              <w:t xml:space="preserve">不合格检出率考核以2.5%为基准，每低0.5%，乙方所有抽检批次费用减少150元/批次，不合格检出率低于1%按照半价支付。</w:t>
            </w: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pStyle w:val="905"/>
              <w:ind w:firstLine="240"/>
              <w:jc w:val="left"/>
              <w:keepLines w:val="0"/>
              <w:keepNext w:val="0"/>
              <w:pageBreakBefore w:val="0"/>
              <w:spacing w:line="360" w:lineRule="exact"/>
              <w:widowControl w:val="off"/>
              <w:rPr>
                <w:rFonts w:ascii="Times New Roman" w:hAnsi="Times New Roman" w:eastAsia="宋体" w:cs="Times New Roman"/>
                <w:color w:val="000000"/>
                <w:sz w:val="24"/>
                <w:szCs w:val="24"/>
                <w:highlight w:val="none"/>
                <w:u w:val="none"/>
                <w:lang w:val="en-US" w:eastAsia="zh-CN"/>
              </w:rPr>
              <w:framePr w:vAnchor="text" w:hAnchor="page" w:xAlign="center" w:y="452"/>
            </w:pPr>
            <w:r>
              <w:rPr>
                <w:rFonts w:ascii="Times New Roman" w:hAnsi="Times New Roman" w:eastAsia="宋体" w:cs="Times New Roman"/>
                <w:color w:val="000000"/>
                <w:sz w:val="24"/>
                <w:szCs w:val="24"/>
                <w:highlight w:val="none"/>
                <w:u w:val="none"/>
                <w:lang w:val="en-US" w:eastAsia="zh-CN"/>
              </w:rPr>
              <w:t xml:space="preserve">是</w:t>
            </w:r>
            <w:r>
              <w:rPr>
                <w:rFonts w:ascii="Wingdings 2" w:hAnsi="Wingdings 2" w:eastAsia="Wingdings 2" w:cs="Wingdings 2"/>
                <w:color w:val="000000"/>
                <w:sz w:val="24"/>
                <w:szCs w:val="24"/>
                <w:highlight w:val="none"/>
                <w:u w:val="none"/>
                <w:lang w:val="en-US" w:eastAsia="zh-CN"/>
              </w:rPr>
              <w:t xml:space="preserve">£</w:t>
            </w:r>
            <w:r>
              <w:rPr>
                <w:rFonts w:hint="eastAsia"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否</w:t>
            </w:r>
            <w:r>
              <w:rPr>
                <w:rFonts w:ascii="Wingdings 2" w:hAnsi="Wingdings 2" w:eastAsia="Wingdings 2" w:cs="Wingdings 2"/>
                <w:color w:val="000000"/>
                <w:sz w:val="24"/>
                <w:szCs w:val="24"/>
                <w:highlight w:val="none"/>
                <w:u w:val="none"/>
                <w:lang w:val="en-US" w:eastAsia="zh-CN"/>
              </w:rPr>
              <w:t xml:space="preserve">£</w:t>
            </w:r>
            <w:r>
              <w:rPr>
                <w:rFonts w:ascii="Times New Roman" w:hAnsi="Times New Roman" w:eastAsia="宋体" w:cs="Times New Roman"/>
                <w:color w:val="000000"/>
                <w:sz w:val="24"/>
                <w:szCs w:val="24"/>
                <w:highlight w:val="none"/>
                <w:u w:val="none"/>
                <w:lang w:val="en-US" w:eastAsia="zh-CN"/>
              </w:rPr>
            </w:r>
            <w:r/>
          </w:p>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r>
      <w:tr>
        <w:trPr>
          <w:trHeight w:val="1000"/>
        </w:trPr>
        <w:tc>
          <w:tcPr>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146" w:type="dxa"/>
            <w:vAlign w:val="center"/>
            <w:vMerge w:val="continue"/>
            <w:textDirection w:val="lrTb"/>
            <w:noWrap w:val="false"/>
          </w:tcPr>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val="false"/>
          </w:tcPr>
          <w:p>
            <w:pPr>
              <w:pStyle w:val="905"/>
              <w:jc w:val="left"/>
              <w:keepLines w:val="0"/>
              <w:keepNext w:val="0"/>
              <w:widowControl/>
              <w:rPr>
                <w:rFonts w:hint="eastAsia" w:ascii="宋体" w:hAnsi="宋体" w:eastAsia="宋体" w:cs="宋体"/>
                <w:i w:val="0"/>
                <w:iCs w:val="0"/>
                <w:color w:val="000000"/>
                <w:sz w:val="21"/>
                <w:szCs w:val="21"/>
                <w:u w:val="none"/>
              </w:rPr>
              <w:framePr w:vAnchor="text" w:hAnchor="page" w:xAlign="center" w:y="452"/>
              <w:suppressLineNumbers w:val="0"/>
            </w:pPr>
            <w:r>
              <w:rPr>
                <w:rFonts w:hint="eastAsia" w:ascii="宋体" w:hAnsi="宋体" w:eastAsia="宋体" w:cs="宋体"/>
                <w:i w:val="0"/>
                <w:iCs w:val="0"/>
                <w:color w:val="000000"/>
                <w:sz w:val="21"/>
                <w:szCs w:val="21"/>
                <w:u w:val="none"/>
                <w:lang w:val="en-US" w:eastAsia="zh-CN" w:bidi="ar"/>
              </w:rPr>
              <w:t xml:space="preserve">乙方检验结论为不合格的报告，最终结论被推翻或报告被撤销的，每有一份，扣除结算总价的1%。</w:t>
            </w: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pStyle w:val="905"/>
              <w:ind w:firstLine="240"/>
              <w:jc w:val="left"/>
              <w:keepLines w:val="0"/>
              <w:keepNext w:val="0"/>
              <w:pageBreakBefore w:val="0"/>
              <w:spacing w:line="360" w:lineRule="exact"/>
              <w:widowControl w:val="off"/>
              <w:rPr>
                <w:rFonts w:ascii="Times New Roman" w:hAnsi="Times New Roman" w:eastAsia="宋体" w:cs="Times New Roman"/>
                <w:color w:val="000000"/>
                <w:sz w:val="24"/>
                <w:szCs w:val="24"/>
                <w:highlight w:val="none"/>
                <w:u w:val="none"/>
                <w:lang w:val="en-US" w:eastAsia="zh-CN"/>
              </w:rPr>
              <w:framePr w:vAnchor="text" w:hAnchor="page" w:xAlign="center" w:y="452"/>
            </w:pPr>
            <w:r>
              <w:rPr>
                <w:rFonts w:ascii="Times New Roman" w:hAnsi="Times New Roman" w:eastAsia="宋体" w:cs="Times New Roman"/>
                <w:color w:val="000000"/>
                <w:sz w:val="24"/>
                <w:szCs w:val="24"/>
                <w:highlight w:val="none"/>
                <w:u w:val="none"/>
                <w:lang w:val="en-US" w:eastAsia="zh-CN"/>
              </w:rPr>
              <w:t xml:space="preserve">是</w:t>
            </w:r>
            <w:r>
              <w:rPr>
                <w:rFonts w:ascii="Wingdings 2" w:hAnsi="Wingdings 2" w:eastAsia="Wingdings 2" w:cs="Wingdings 2"/>
                <w:color w:val="000000"/>
                <w:sz w:val="24"/>
                <w:szCs w:val="24"/>
                <w:highlight w:val="none"/>
                <w:u w:val="none"/>
                <w:lang w:val="en-US" w:eastAsia="zh-CN"/>
              </w:rPr>
              <w:t xml:space="preserve">£</w:t>
            </w:r>
            <w:r>
              <w:rPr>
                <w:rFonts w:hint="eastAsia"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否</w:t>
            </w:r>
            <w:r>
              <w:rPr>
                <w:rFonts w:ascii="Wingdings 2" w:hAnsi="Wingdings 2" w:eastAsia="Wingdings 2" w:cs="Wingdings 2"/>
                <w:color w:val="000000"/>
                <w:sz w:val="24"/>
                <w:szCs w:val="24"/>
                <w:highlight w:val="none"/>
                <w:u w:val="none"/>
                <w:lang w:val="en-US" w:eastAsia="zh-CN"/>
              </w:rPr>
              <w:t xml:space="preserve">£</w:t>
            </w:r>
            <w:r>
              <w:rPr>
                <w:rFonts w:ascii="Times New Roman" w:hAnsi="Times New Roman" w:eastAsia="宋体" w:cs="Times New Roman"/>
                <w:color w:val="000000"/>
                <w:sz w:val="24"/>
                <w:szCs w:val="24"/>
                <w:highlight w:val="none"/>
                <w:u w:val="none"/>
                <w:lang w:val="en-US" w:eastAsia="zh-CN"/>
              </w:rPr>
            </w:r>
            <w:r/>
          </w:p>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r>
      <w:tr>
        <w:trPr>
          <w:trHeight w:val="1000"/>
        </w:trPr>
        <w:tc>
          <w:tcPr>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6</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146" w:type="dxa"/>
            <w:vAlign w:val="center"/>
            <w:vMerge w:val="continue"/>
            <w:textDirection w:val="lrTb"/>
            <w:noWrap w:val="false"/>
          </w:tcPr>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val="false"/>
          </w:tcPr>
          <w:p>
            <w:pPr>
              <w:pStyle w:val="905"/>
              <w:jc w:val="left"/>
              <w:keepLines w:val="0"/>
              <w:keepNext w:val="0"/>
              <w:widowControl/>
              <w:rPr>
                <w:rFonts w:hint="eastAsia" w:ascii="宋体" w:hAnsi="宋体" w:eastAsia="宋体" w:cs="宋体"/>
                <w:i w:val="0"/>
                <w:iCs w:val="0"/>
                <w:color w:val="000000"/>
                <w:sz w:val="21"/>
                <w:szCs w:val="21"/>
                <w:u w:val="none"/>
              </w:rPr>
              <w:framePr w:vAnchor="text" w:hAnchor="page" w:xAlign="center" w:y="452"/>
              <w:suppressLineNumbers w:val="0"/>
            </w:pPr>
            <w:r>
              <w:rPr>
                <w:rFonts w:hint="eastAsia" w:ascii="宋体" w:hAnsi="宋体" w:eastAsia="宋体" w:cs="宋体"/>
                <w:i w:val="0"/>
                <w:iCs w:val="0"/>
                <w:color w:val="000000"/>
                <w:sz w:val="21"/>
                <w:szCs w:val="21"/>
                <w:u w:val="none"/>
                <w:lang w:val="en-US" w:eastAsia="zh-CN" w:bidi="ar"/>
              </w:rPr>
              <w:t xml:space="preserve">食品国抽系统数据质量被国家总局和省局、市局通报的，每有一起，扣除结算总价的1%。</w:t>
            </w: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pStyle w:val="905"/>
              <w:ind w:firstLine="240"/>
              <w:jc w:val="left"/>
              <w:keepLines w:val="0"/>
              <w:keepNext w:val="0"/>
              <w:pageBreakBefore w:val="0"/>
              <w:spacing w:line="360" w:lineRule="exact"/>
              <w:widowControl w:val="off"/>
              <w:rPr>
                <w:rFonts w:ascii="Times New Roman" w:hAnsi="Times New Roman" w:eastAsia="宋体" w:cs="Times New Roman"/>
                <w:color w:val="000000"/>
                <w:sz w:val="24"/>
                <w:szCs w:val="24"/>
                <w:highlight w:val="none"/>
                <w:u w:val="none"/>
                <w:lang w:val="en-US" w:eastAsia="zh-CN"/>
              </w:rPr>
              <w:framePr w:vAnchor="text" w:hAnchor="page" w:xAlign="center" w:y="452"/>
            </w:pPr>
            <w:r>
              <w:rPr>
                <w:rFonts w:ascii="Times New Roman" w:hAnsi="Times New Roman" w:eastAsia="宋体" w:cs="Times New Roman"/>
                <w:color w:val="000000"/>
                <w:sz w:val="24"/>
                <w:szCs w:val="24"/>
                <w:highlight w:val="none"/>
                <w:u w:val="none"/>
                <w:lang w:val="en-US" w:eastAsia="zh-CN"/>
              </w:rPr>
              <w:t xml:space="preserve">是</w:t>
            </w:r>
            <w:r>
              <w:rPr>
                <w:rFonts w:ascii="Wingdings 2" w:hAnsi="Wingdings 2" w:eastAsia="Wingdings 2" w:cs="Wingdings 2"/>
                <w:color w:val="000000"/>
                <w:sz w:val="24"/>
                <w:szCs w:val="24"/>
                <w:highlight w:val="none"/>
                <w:u w:val="none"/>
                <w:lang w:val="en-US" w:eastAsia="zh-CN"/>
              </w:rPr>
              <w:t xml:space="preserve">£</w:t>
            </w:r>
            <w:r>
              <w:rPr>
                <w:rFonts w:hint="eastAsia"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否</w:t>
            </w:r>
            <w:r>
              <w:rPr>
                <w:rFonts w:ascii="Wingdings 2" w:hAnsi="Wingdings 2" w:eastAsia="Wingdings 2" w:cs="Wingdings 2"/>
                <w:color w:val="000000"/>
                <w:sz w:val="24"/>
                <w:szCs w:val="24"/>
                <w:highlight w:val="none"/>
                <w:u w:val="none"/>
                <w:lang w:val="en-US" w:eastAsia="zh-CN"/>
              </w:rPr>
              <w:t xml:space="preserve">£</w:t>
            </w:r>
            <w:r>
              <w:rPr>
                <w:rFonts w:ascii="Times New Roman" w:hAnsi="Times New Roman" w:eastAsia="宋体" w:cs="Times New Roman"/>
                <w:color w:val="000000"/>
                <w:sz w:val="24"/>
                <w:szCs w:val="24"/>
                <w:highlight w:val="none"/>
                <w:u w:val="none"/>
                <w:lang w:val="en-US" w:eastAsia="zh-CN"/>
              </w:rPr>
            </w:r>
            <w:r/>
          </w:p>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r>
      <w:tr>
        <w:trPr>
          <w:trHeight w:val="1680"/>
        </w:trPr>
        <w:tc>
          <w:tcPr>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7</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146" w:type="dxa"/>
            <w:vAlign w:val="center"/>
            <w:vMerge w:val="continue"/>
            <w:textDirection w:val="lrTb"/>
            <w:noWrap w:val="false"/>
          </w:tcPr>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val="false"/>
          </w:tcPr>
          <w:p>
            <w:pPr>
              <w:pStyle w:val="905"/>
              <w:jc w:val="left"/>
              <w:keepLines w:val="0"/>
              <w:keepNext w:val="0"/>
              <w:widowControl/>
              <w:rPr>
                <w:rFonts w:hint="eastAsia" w:ascii="宋体" w:hAnsi="宋体" w:eastAsia="宋体" w:cs="宋体"/>
                <w:i w:val="0"/>
                <w:iCs w:val="0"/>
                <w:color w:val="000000"/>
                <w:sz w:val="21"/>
                <w:szCs w:val="21"/>
                <w:u w:val="none"/>
              </w:rPr>
              <w:framePr w:vAnchor="text" w:hAnchor="page" w:xAlign="center" w:y="452"/>
              <w:suppressLineNumbers w:val="0"/>
            </w:pPr>
            <w:r>
              <w:rPr>
                <w:rFonts w:hint="eastAsia" w:ascii="宋体" w:hAnsi="宋体" w:eastAsia="宋体" w:cs="宋体"/>
                <w:i w:val="0"/>
                <w:iCs w:val="0"/>
                <w:color w:val="000000"/>
                <w:sz w:val="21"/>
                <w:szCs w:val="21"/>
                <w:u w:val="none"/>
                <w:lang w:val="en-US" w:eastAsia="zh-CN" w:bidi="ar"/>
              </w:rPr>
              <w:t xml:space="preserve">流通环节抽样中，酱油、食醋、酱卤肉制品、熟肉干制品、果、蔬汁饮料、固体饮料、调味面制品、饼干、果蔬罐头、酱腌菜、蜜饯、水果干制品、生食水产品、糕点、发酵性豆制品每样抽取不少于5批次。每缺少1批次，按照合同单价扣除。</w:t>
            </w: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pStyle w:val="905"/>
              <w:ind w:firstLine="240"/>
              <w:jc w:val="left"/>
              <w:keepLines w:val="0"/>
              <w:keepNext w:val="0"/>
              <w:pageBreakBefore w:val="0"/>
              <w:spacing w:line="360" w:lineRule="exact"/>
              <w:widowControl w:val="off"/>
              <w:rPr>
                <w:rFonts w:ascii="Times New Roman" w:hAnsi="Times New Roman" w:eastAsia="宋体" w:cs="Times New Roman"/>
                <w:color w:val="000000"/>
                <w:sz w:val="24"/>
                <w:szCs w:val="24"/>
                <w:highlight w:val="none"/>
                <w:u w:val="none"/>
                <w:lang w:val="en-US" w:eastAsia="zh-CN"/>
              </w:rPr>
              <w:framePr w:vAnchor="text" w:hAnchor="page" w:xAlign="center" w:y="452"/>
            </w:pPr>
            <w:r>
              <w:rPr>
                <w:rFonts w:ascii="Times New Roman" w:hAnsi="Times New Roman" w:eastAsia="宋体" w:cs="Times New Roman"/>
                <w:color w:val="000000"/>
                <w:sz w:val="24"/>
                <w:szCs w:val="24"/>
                <w:highlight w:val="none"/>
                <w:u w:val="none"/>
                <w:lang w:val="en-US" w:eastAsia="zh-CN"/>
              </w:rPr>
              <w:t xml:space="preserve">是</w:t>
            </w:r>
            <w:r>
              <w:rPr>
                <w:rFonts w:ascii="Wingdings 2" w:hAnsi="Wingdings 2" w:eastAsia="Wingdings 2" w:cs="Wingdings 2"/>
                <w:color w:val="000000"/>
                <w:sz w:val="24"/>
                <w:szCs w:val="24"/>
                <w:highlight w:val="none"/>
                <w:u w:val="none"/>
                <w:lang w:val="en-US" w:eastAsia="zh-CN"/>
              </w:rPr>
              <w:t xml:space="preserve">£</w:t>
            </w:r>
            <w:r>
              <w:rPr>
                <w:rFonts w:hint="eastAsia"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否</w:t>
            </w:r>
            <w:r>
              <w:rPr>
                <w:rFonts w:ascii="Wingdings 2" w:hAnsi="Wingdings 2" w:eastAsia="Wingdings 2" w:cs="Wingdings 2"/>
                <w:color w:val="000000"/>
                <w:sz w:val="24"/>
                <w:szCs w:val="24"/>
                <w:highlight w:val="none"/>
                <w:u w:val="none"/>
                <w:lang w:val="en-US" w:eastAsia="zh-CN"/>
              </w:rPr>
              <w:t xml:space="preserve">£</w:t>
            </w:r>
            <w:r>
              <w:rPr>
                <w:rFonts w:ascii="Times New Roman" w:hAnsi="Times New Roman" w:eastAsia="宋体" w:cs="Times New Roman"/>
                <w:color w:val="000000"/>
                <w:sz w:val="24"/>
                <w:szCs w:val="24"/>
                <w:highlight w:val="none"/>
                <w:u w:val="none"/>
                <w:lang w:val="en-US" w:eastAsia="zh-CN"/>
              </w:rPr>
            </w:r>
            <w:r/>
          </w:p>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r>
      <w:tr>
        <w:trPr>
          <w:trHeight w:val="1680"/>
        </w:trPr>
        <w:tc>
          <w:tcPr>
            <w:tcBorders>
              <w:top w:val="single" w:color="000000" w:sz="8" w:space="0"/>
              <w:left w:val="single" w:color="000000" w:sz="8" w:space="0"/>
              <w:bottom w:val="single" w:color="000000" w:sz="8" w:space="0"/>
              <w:right w:val="single" w:color="000000" w:sz="8" w:space="0"/>
            </w:tcBorders>
            <w:tcW w:w="630"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8</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146" w:type="dxa"/>
            <w:vAlign w:val="center"/>
            <w:vMerge w:val="continue"/>
            <w:textDirection w:val="lrTb"/>
            <w:noWrap w:val="false"/>
          </w:tcPr>
          <w:p>
            <w:pPr>
              <w:pStyle w:val="905"/>
              <w:jc w:val="center"/>
              <w:rPr>
                <w:rFonts w:hint="eastAsia" w:ascii="宋体" w:hAnsi="宋体" w:eastAsia="宋体" w:cs="宋体"/>
                <w:b/>
                <w:bCs/>
                <w:i w:val="0"/>
                <w:iCs w:val="0"/>
                <w:color w:val="000000"/>
                <w:sz w:val="24"/>
                <w:szCs w:val="24"/>
                <w:u w:val="none"/>
              </w:rPr>
              <w:framePr w:vAnchor="text" w:hAnchor="page" w:xAlign="center" w:y="452"/>
            </w:pP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val="false"/>
          </w:tcPr>
          <w:p>
            <w:pPr>
              <w:pStyle w:val="905"/>
              <w:jc w:val="left"/>
              <w:keepLines w:val="0"/>
              <w:keepNext w:val="0"/>
              <w:widowControl/>
              <w:rPr>
                <w:rFonts w:hint="eastAsia" w:ascii="宋体" w:hAnsi="宋体" w:eastAsia="宋体" w:cs="宋体"/>
                <w:i w:val="0"/>
                <w:iCs w:val="0"/>
                <w:color w:val="000000"/>
                <w:sz w:val="21"/>
                <w:szCs w:val="21"/>
                <w:u w:val="none"/>
              </w:rPr>
              <w:framePr w:vAnchor="text" w:hAnchor="page" w:xAlign="center" w:y="452"/>
              <w:suppressLineNumbers w:val="0"/>
            </w:pPr>
            <w:r>
              <w:rPr>
                <w:rFonts w:hint="eastAsia" w:ascii="宋体" w:hAnsi="宋体" w:eastAsia="宋体" w:cs="宋体"/>
                <w:i w:val="0"/>
                <w:iCs w:val="0"/>
                <w:color w:val="000000"/>
                <w:sz w:val="21"/>
                <w:szCs w:val="21"/>
                <w:u w:val="none"/>
                <w:lang w:val="en-US" w:eastAsia="zh-CN" w:bidi="ar"/>
              </w:rPr>
              <w:t xml:space="preserve">检验检测费：抽检各项目费用折扣后总价是否达到合同总价，如未超过，按照实际发生价格计算。</w:t>
            </w: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val="false"/>
          </w:tcPr>
          <w:p>
            <w:pPr>
              <w:pStyle w:val="905"/>
              <w:ind w:firstLine="240"/>
              <w:jc w:val="left"/>
              <w:keepLines w:val="0"/>
              <w:keepNext w:val="0"/>
              <w:pageBreakBefore w:val="0"/>
              <w:spacing w:line="360" w:lineRule="exact"/>
              <w:widowControl w:val="off"/>
              <w:rPr>
                <w:rFonts w:ascii="Times New Roman" w:hAnsi="Times New Roman" w:eastAsia="宋体" w:cs="Times New Roman"/>
                <w:color w:val="000000"/>
                <w:sz w:val="24"/>
                <w:szCs w:val="24"/>
                <w:highlight w:val="none"/>
                <w:u w:val="none"/>
                <w:lang w:val="en-US" w:eastAsia="zh-CN"/>
              </w:rPr>
              <w:framePr w:vAnchor="text" w:hAnchor="page" w:xAlign="center" w:y="452"/>
            </w:pPr>
            <w:r>
              <w:rPr>
                <w:rFonts w:ascii="Times New Roman" w:hAnsi="Times New Roman" w:eastAsia="宋体" w:cs="Times New Roman"/>
                <w:color w:val="000000"/>
                <w:sz w:val="24"/>
                <w:szCs w:val="24"/>
                <w:highlight w:val="none"/>
                <w:u w:val="none"/>
                <w:lang w:val="en-US" w:eastAsia="zh-CN"/>
              </w:rPr>
              <w:t xml:space="preserve">是</w:t>
            </w:r>
            <w:r>
              <w:rPr>
                <w:rFonts w:ascii="Wingdings 2" w:hAnsi="Wingdings 2" w:eastAsia="Wingdings 2" w:cs="Wingdings 2"/>
                <w:color w:val="000000"/>
                <w:sz w:val="24"/>
                <w:szCs w:val="24"/>
                <w:highlight w:val="none"/>
                <w:u w:val="none"/>
                <w:lang w:val="en-US" w:eastAsia="zh-CN"/>
              </w:rPr>
              <w:t xml:space="preserve">£</w:t>
            </w:r>
            <w:r>
              <w:rPr>
                <w:rFonts w:hint="eastAsia"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highlight w:val="none"/>
                <w:u w:val="none"/>
                <w:lang w:val="en-US" w:eastAsia="zh-CN"/>
              </w:rPr>
              <w:t xml:space="preserve">否</w:t>
            </w:r>
            <w:r>
              <w:rPr>
                <w:rFonts w:ascii="Wingdings 2" w:hAnsi="Wingdings 2" w:eastAsia="Wingdings 2" w:cs="Wingdings 2"/>
                <w:color w:val="000000"/>
                <w:sz w:val="24"/>
                <w:szCs w:val="24"/>
                <w:highlight w:val="none"/>
                <w:u w:val="none"/>
                <w:lang w:val="en-US" w:eastAsia="zh-CN"/>
              </w:rPr>
              <w:t xml:space="preserve">£</w:t>
            </w:r>
            <w:r>
              <w:rPr>
                <w:rFonts w:ascii="Times New Roman" w:hAnsi="Times New Roman" w:eastAsia="宋体" w:cs="Times New Roman"/>
                <w:color w:val="000000"/>
                <w:sz w:val="24"/>
                <w:szCs w:val="24"/>
                <w:highlight w:val="none"/>
                <w:u w:val="none"/>
                <w:lang w:val="en-US" w:eastAsia="zh-CN"/>
              </w:rPr>
            </w:r>
            <w:r/>
          </w:p>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val="false"/>
          </w:tcPr>
          <w:p>
            <w:pPr>
              <w:pStyle w:val="905"/>
              <w:jc w:val="center"/>
              <w:rPr>
                <w:rFonts w:hint="eastAsia" w:ascii="宋体" w:hAnsi="宋体" w:eastAsia="宋体" w:cs="宋体"/>
                <w:i w:val="0"/>
                <w:iCs w:val="0"/>
                <w:color w:val="000000"/>
                <w:sz w:val="20"/>
                <w:szCs w:val="20"/>
                <w:u w:val="none"/>
              </w:rPr>
              <w:framePr w:vAnchor="text" w:hAnchor="page" w:xAlign="center" w:y="452"/>
            </w:pPr>
            <w:r>
              <w:rPr>
                <w:rFonts w:hint="eastAsia" w:ascii="宋体" w:hAnsi="宋体" w:eastAsia="宋体" w:cs="宋体"/>
                <w:i w:val="0"/>
                <w:iCs w:val="0"/>
                <w:color w:val="000000"/>
                <w:sz w:val="20"/>
                <w:szCs w:val="20"/>
                <w:u w:val="none"/>
              </w:rPr>
            </w:r>
            <w:r/>
          </w:p>
        </w:tc>
      </w:tr>
      <w:tr>
        <w:trPr>
          <w:trHeight w:val="1080"/>
        </w:trPr>
        <w:tc>
          <w:tcPr>
            <w:gridSpan w:val="2"/>
            <w:tcBorders>
              <w:top w:val="single" w:color="000000" w:sz="8" w:space="0"/>
              <w:left w:val="single" w:color="000000" w:sz="8" w:space="0"/>
              <w:bottom w:val="single" w:color="000000" w:sz="8" w:space="0"/>
              <w:right w:val="single" w:color="000000" w:sz="8" w:space="0"/>
            </w:tcBorders>
            <w:tcW w:w="1776" w:type="dxa"/>
            <w:vAlign w:val="center"/>
            <w:textDirection w:val="lrTb"/>
            <w:noWrap/>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验收结论</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tcPr>
          <w:p>
            <w:pPr>
              <w:pStyle w:val="905"/>
              <w:jc w:val="left"/>
              <w:keepLines w:val="0"/>
              <w:keepNext w:val="0"/>
              <w:widowControl/>
              <w:rPr>
                <w:rFonts w:hint="eastAsia" w:ascii="宋体" w:hAnsi="宋体" w:eastAsia="宋体" w:cs="宋体"/>
                <w:i w:val="0"/>
                <w:iCs w:val="0"/>
                <w:color w:val="000000"/>
                <w:sz w:val="21"/>
                <w:szCs w:val="21"/>
                <w:u w:val="none"/>
              </w:rPr>
              <w:framePr w:vAnchor="text" w:hAnchor="page" w:xAlign="center" w:y="452"/>
              <w:suppressLineNumbers w:val="0"/>
            </w:pPr>
            <w:r>
              <w:rPr>
                <w:rFonts w:hint="eastAsia" w:ascii="宋体" w:hAnsi="宋体" w:eastAsia="宋体" w:cs="宋体"/>
                <w:i w:val="0"/>
                <w:iCs w:val="0"/>
                <w:color w:val="000000"/>
                <w:sz w:val="21"/>
                <w:szCs w:val="21"/>
                <w:u w:val="none"/>
                <w:lang w:val="en-US" w:eastAsia="zh-CN" w:bidi="ar"/>
              </w:rPr>
              <w:t xml:space="preserve">经综合验收评估后，最终结算金额。</w:t>
            </w:r>
            <w:r>
              <w:rPr>
                <w:rFonts w:hint="eastAsia" w:ascii="宋体" w:hAnsi="宋体" w:eastAsia="宋体" w:cs="宋体"/>
                <w:i w:val="0"/>
                <w:iCs w:val="0"/>
                <w:color w:val="000000"/>
                <w:sz w:val="21"/>
                <w:szCs w:val="21"/>
                <w:u w:val="none"/>
              </w:rPr>
            </w:r>
            <w:r/>
          </w:p>
        </w:tc>
        <w:tc>
          <w:tcPr>
            <w:tcBorders>
              <w:top w:val="single" w:color="000000" w:sz="8" w:space="0"/>
              <w:left w:val="single" w:color="000000" w:sz="8" w:space="0"/>
              <w:bottom w:val="single" w:color="000000" w:sz="8" w:space="0"/>
              <w:right w:val="single" w:color="000000" w:sz="8" w:space="0"/>
            </w:tcBorders>
            <w:tcW w:w="1745" w:type="dxa"/>
            <w:vAlign w:val="center"/>
            <w:textDirection w:val="lrTb"/>
            <w:noWrap/>
          </w:tcPr>
          <w:p>
            <w:pPr>
              <w:pStyle w:val="905"/>
              <w:jc w:val="center"/>
              <w:keepLines w:val="0"/>
              <w:keepNext w:val="0"/>
              <w:widowControl/>
              <w:rPr>
                <w:rFonts w:hint="eastAsia" w:ascii="宋体" w:hAnsi="宋体" w:eastAsia="宋体" w:cs="宋体"/>
                <w:i w:val="0"/>
                <w:iCs w:val="0"/>
                <w:color w:val="000000"/>
                <w:sz w:val="24"/>
                <w:szCs w:val="24"/>
                <w:u w:val="none"/>
              </w:rPr>
              <w:framePr w:vAnchor="text" w:hAnchor="page" w:xAlign="center" w:y="452"/>
              <w:suppressLineNumbers w:val="0"/>
            </w:pPr>
            <w:r>
              <w:rPr>
                <w:rFonts w:hint="eastAsia" w:ascii="宋体" w:hAnsi="宋体" w:eastAsia="宋体" w:cs="宋体"/>
                <w:i w:val="0"/>
                <w:iCs w:val="0"/>
                <w:color w:val="000000"/>
                <w:sz w:val="24"/>
                <w:szCs w:val="24"/>
                <w:u w:val="none"/>
                <w:lang w:val="en-US" w:eastAsia="zh-CN" w:bidi="ar"/>
              </w:rPr>
              <w:t xml:space="preserve">______  元</w:t>
            </w:r>
            <w:r>
              <w:rPr>
                <w:rFonts w:hint="eastAsia" w:ascii="宋体" w:hAnsi="宋体" w:eastAsia="宋体" w:cs="宋体"/>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1294" w:type="dxa"/>
            <w:vAlign w:val="center"/>
            <w:textDirection w:val="lrTb"/>
            <w:noWrap/>
          </w:tcPr>
          <w:p>
            <w:pPr>
              <w:pStyle w:val="905"/>
              <w:rPr>
                <w:rFonts w:hint="eastAsia" w:ascii="宋体" w:hAnsi="宋体" w:eastAsia="宋体" w:cs="宋体"/>
                <w:i w:val="0"/>
                <w:iCs w:val="0"/>
                <w:color w:val="000000"/>
                <w:sz w:val="24"/>
                <w:szCs w:val="24"/>
                <w:u w:val="none"/>
              </w:rPr>
              <w:framePr w:vAnchor="text" w:hAnchor="page" w:xAlign="center" w:y="452"/>
            </w:pPr>
            <w:r>
              <w:rPr>
                <w:rFonts w:hint="eastAsia" w:ascii="宋体" w:hAnsi="宋体" w:eastAsia="宋体" w:cs="宋体"/>
                <w:i w:val="0"/>
                <w:iCs w:val="0"/>
                <w:color w:val="000000"/>
                <w:sz w:val="24"/>
                <w:szCs w:val="24"/>
                <w:u w:val="none"/>
              </w:rPr>
            </w:r>
            <w:r/>
          </w:p>
        </w:tc>
      </w:tr>
      <w:tr>
        <w:trPr>
          <w:trHeight w:val="1080"/>
        </w:trPr>
        <w:tc>
          <w:tcPr>
            <w:gridSpan w:val="2"/>
            <w:tcBorders>
              <w:top w:val="single" w:color="000000" w:sz="8" w:space="0"/>
              <w:left w:val="single" w:color="000000" w:sz="8" w:space="0"/>
              <w:bottom w:val="single" w:color="000000" w:sz="8" w:space="0"/>
              <w:right w:val="single" w:color="000000" w:sz="8" w:space="0"/>
            </w:tcBorders>
            <w:tcW w:w="1776" w:type="dxa"/>
            <w:vAlign w:val="center"/>
            <w:textDirection w:val="lrTb"/>
            <w:noWrap/>
          </w:tcPr>
          <w:p>
            <w:pPr>
              <w:pStyle w:val="905"/>
              <w:jc w:val="center"/>
              <w:keepLines w:val="0"/>
              <w:keepNext w:val="0"/>
              <w:widowControl/>
              <w:rPr>
                <w:rFonts w:hint="eastAsia" w:ascii="宋体" w:hAnsi="宋体" w:eastAsia="宋体" w:cs="宋体"/>
                <w:b/>
                <w:bCs/>
                <w:i w:val="0"/>
                <w:iCs w:val="0"/>
                <w:color w:val="000000"/>
                <w:sz w:val="24"/>
                <w:szCs w:val="24"/>
                <w:u w:val="none"/>
              </w:rPr>
              <w:framePr w:vAnchor="text" w:hAnchor="page" w:xAlign="center" w:y="452"/>
              <w:suppressLineNumbers w:val="0"/>
            </w:pPr>
            <w:r>
              <w:rPr>
                <w:rFonts w:hint="eastAsia" w:ascii="宋体" w:hAnsi="宋体" w:eastAsia="宋体" w:cs="宋体"/>
                <w:b/>
                <w:bCs/>
                <w:i w:val="0"/>
                <w:iCs w:val="0"/>
                <w:color w:val="000000"/>
                <w:sz w:val="24"/>
                <w:szCs w:val="24"/>
                <w:u w:val="none"/>
                <w:lang w:val="en-US" w:eastAsia="zh-CN" w:bidi="ar"/>
              </w:rPr>
              <w:t xml:space="preserve">验收单位</w:t>
            </w:r>
            <w:r>
              <w:rPr>
                <w:rFonts w:hint="eastAsia" w:ascii="宋体" w:hAnsi="宋体" w:eastAsia="宋体" w:cs="宋体"/>
                <w:b/>
                <w:bCs/>
                <w:i w:val="0"/>
                <w:iCs w:val="0"/>
                <w:color w:val="000000"/>
                <w:sz w:val="24"/>
                <w:szCs w:val="24"/>
                <w:u w:val="none"/>
              </w:rPr>
            </w:r>
            <w:r/>
          </w:p>
        </w:tc>
        <w:tc>
          <w:tcPr>
            <w:tcBorders>
              <w:top w:val="single" w:color="000000" w:sz="8" w:space="0"/>
              <w:left w:val="single" w:color="000000" w:sz="8" w:space="0"/>
              <w:bottom w:val="single" w:color="000000" w:sz="8" w:space="0"/>
              <w:right w:val="single" w:color="000000" w:sz="8" w:space="0"/>
            </w:tcBorders>
            <w:tcW w:w="4415" w:type="dxa"/>
            <w:vAlign w:val="center"/>
            <w:textDirection w:val="lrTb"/>
            <w:noWrap w:val="false"/>
          </w:tcPr>
          <w:p>
            <w:pPr>
              <w:pStyle w:val="905"/>
              <w:jc w:val="center"/>
              <w:keepLines w:val="0"/>
              <w:keepNext w:val="0"/>
              <w:widowControl/>
              <w:rPr>
                <w:rFonts w:hint="eastAsia" w:ascii="宋体" w:hAnsi="宋体" w:eastAsia="宋体" w:cs="宋体"/>
                <w:b/>
                <w:bCs/>
                <w:i w:val="0"/>
                <w:iCs w:val="0"/>
                <w:color w:val="000000"/>
                <w:sz w:val="21"/>
                <w:szCs w:val="21"/>
                <w:u w:val="none"/>
              </w:rPr>
              <w:framePr w:vAnchor="text" w:hAnchor="page" w:xAlign="center" w:y="452"/>
              <w:suppressLineNumbers w:val="0"/>
            </w:pPr>
            <w:r>
              <w:rPr>
                <w:rFonts w:hint="eastAsia" w:ascii="宋体" w:hAnsi="宋体" w:eastAsia="宋体" w:cs="宋体"/>
                <w:b/>
                <w:bCs/>
                <w:i w:val="0"/>
                <w:iCs w:val="0"/>
                <w:color w:val="000000"/>
                <w:sz w:val="21"/>
                <w:szCs w:val="21"/>
                <w:u w:val="none"/>
                <w:lang w:val="en-US" w:eastAsia="zh-CN" w:bidi="ar"/>
              </w:rPr>
              <w:t xml:space="preserve">常州市市场监督管理局</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食品药品安全抽检监测处</w:t>
            </w:r>
            <w:r>
              <w:rPr>
                <w:rFonts w:hint="eastAsia" w:ascii="宋体" w:hAnsi="宋体" w:eastAsia="宋体" w:cs="宋体"/>
                <w:b/>
                <w:bCs/>
                <w:i w:val="0"/>
                <w:iCs w:val="0"/>
                <w:color w:val="000000"/>
                <w:sz w:val="21"/>
                <w:szCs w:val="21"/>
                <w:u w:val="none"/>
              </w:rPr>
            </w:r>
            <w:r/>
          </w:p>
        </w:tc>
        <w:tc>
          <w:tcPr>
            <w:gridSpan w:val="2"/>
            <w:tcBorders>
              <w:top w:val="single" w:color="000000" w:sz="8" w:space="0"/>
              <w:left w:val="single" w:color="000000" w:sz="8" w:space="0"/>
              <w:bottom w:val="single" w:color="000000" w:sz="8" w:space="0"/>
              <w:right w:val="single" w:color="000000" w:sz="8" w:space="0"/>
            </w:tcBorders>
            <w:tcW w:w="3039" w:type="dxa"/>
            <w:vAlign w:val="center"/>
            <w:textDirection w:val="lrTb"/>
            <w:noWrap/>
          </w:tcPr>
          <w:p>
            <w:pPr>
              <w:pStyle w:val="905"/>
              <w:jc w:val="left"/>
              <w:keepLines w:val="0"/>
              <w:keepNext w:val="0"/>
              <w:widowControl/>
              <w:rPr>
                <w:rFonts w:hint="eastAsia" w:ascii="宋体" w:hAnsi="宋体" w:eastAsia="宋体" w:cs="宋体"/>
                <w:i w:val="0"/>
                <w:iCs w:val="0"/>
                <w:color w:val="000000"/>
                <w:sz w:val="24"/>
                <w:szCs w:val="24"/>
                <w:u w:val="none"/>
              </w:rPr>
              <w:framePr w:vAnchor="text" w:hAnchor="page" w:xAlign="center" w:y="452"/>
              <w:suppressLineNumbers w:val="0"/>
            </w:pPr>
            <w:r>
              <w:rPr>
                <w:rFonts w:hint="eastAsia" w:ascii="宋体" w:hAnsi="宋体" w:eastAsia="宋体" w:cs="宋体"/>
                <w:i w:val="0"/>
                <w:iCs w:val="0"/>
                <w:color w:val="000000"/>
                <w:sz w:val="24"/>
                <w:szCs w:val="24"/>
                <w:u w:val="none"/>
                <w:lang w:val="en-US" w:eastAsia="zh-CN" w:bidi="ar"/>
              </w:rPr>
              <w:t xml:space="preserve">   盖章：</w:t>
            </w:r>
            <w:r>
              <w:rPr>
                <w:rFonts w:hint="eastAsia" w:ascii="宋体" w:hAnsi="宋体" w:eastAsia="宋体" w:cs="宋体"/>
                <w:i w:val="0"/>
                <w:iCs w:val="0"/>
                <w:color w:val="000000"/>
                <w:sz w:val="24"/>
                <w:szCs w:val="24"/>
                <w:u w:val="none"/>
              </w:rPr>
            </w:r>
            <w:r/>
          </w:p>
        </w:tc>
      </w:tr>
    </w:tbl>
    <w:p>
      <w:pPr>
        <w:pStyle w:val="905"/>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5"/>
        <w:rPr>
          <w:color w:val="000000"/>
        </w:rPr>
      </w:pPr>
      <w:r>
        <w:rPr>
          <w:color w:val="000000"/>
        </w:rPr>
      </w:r>
      <w:r/>
    </w:p>
    <w:p>
      <w:pPr>
        <w:pStyle w:val="905"/>
        <w:rPr>
          <w:color w:val="000000"/>
        </w:rPr>
      </w:pPr>
      <w:r>
        <w:rPr>
          <w:color w:val="000000"/>
        </w:rPr>
      </w:r>
      <w:r/>
    </w:p>
    <w:p>
      <w:pPr>
        <w:pStyle w:val="975"/>
        <w:ind w:left="0" w:firstLine="0"/>
        <w:rPr>
          <w:color w:val="000000"/>
        </w:rPr>
      </w:pPr>
      <w:r>
        <w:rPr>
          <w:color w:val="000000"/>
        </w:rPr>
      </w:r>
      <w:r/>
    </w:p>
    <w:p>
      <w:pPr>
        <w:pStyle w:val="905"/>
        <w:numPr>
          <w:ilvl w:val="0"/>
          <w:numId w:val="0"/>
        </w:numPr>
        <w:ind w:right="0"/>
        <w:jc w:val="both"/>
        <w:keepLines w:val="0"/>
        <w:keepNext w:val="0"/>
        <w:pageBreakBefore w:val="0"/>
        <w:spacing w:before="0" w:beforeAutospacing="0" w:after="0" w:afterAutospacing="0" w:line="360" w:lineRule="auto"/>
        <w:widowControl w:val="off"/>
        <w:rPr>
          <w:b/>
          <w:color w:val="000000"/>
          <w:sz w:val="36"/>
          <w:szCs w:val="36"/>
        </w:rPr>
        <w:suppressLineNumbers w:val="0"/>
      </w:pPr>
      <w:r>
        <w:rPr>
          <w:b/>
          <w:color w:val="000000"/>
          <w:sz w:val="36"/>
          <w:szCs w:val="36"/>
        </w:rPr>
      </w:r>
      <w:r/>
    </w:p>
    <w:p>
      <w:pPr>
        <w:pStyle w:val="905"/>
        <w:jc w:val="center"/>
        <w:spacing w:line="360" w:lineRule="auto"/>
        <w:rPr>
          <w:b/>
          <w:color w:val="000000"/>
          <w:sz w:val="36"/>
          <w:szCs w:val="36"/>
        </w:rPr>
        <w:outlineLvl w:val="0"/>
      </w:pPr>
      <w:r/>
      <w:bookmarkStart w:id="664" w:name="_Toc104818930"/>
      <w:r>
        <w:rPr>
          <w:b/>
          <w:color w:val="000000"/>
          <w:sz w:val="36"/>
          <w:szCs w:val="36"/>
        </w:rPr>
      </w:r>
      <w:r/>
    </w:p>
    <w:p>
      <w:pPr>
        <w:pStyle w:val="905"/>
        <w:jc w:val="center"/>
        <w:spacing w:line="360" w:lineRule="auto"/>
        <w:rPr>
          <w:b/>
          <w:color w:val="000000"/>
          <w:sz w:val="36"/>
          <w:szCs w:val="36"/>
        </w:rPr>
        <w:outlineLvl w:val="0"/>
      </w:pPr>
      <w:r>
        <w:rPr>
          <w:b/>
          <w:color w:val="000000"/>
          <w:sz w:val="36"/>
          <w:szCs w:val="36"/>
        </w:rPr>
      </w:r>
      <w:r/>
    </w:p>
    <w:p>
      <w:pPr>
        <w:pStyle w:val="905"/>
        <w:jc w:val="center"/>
        <w:spacing w:line="360" w:lineRule="auto"/>
        <w:rPr>
          <w:b/>
          <w:color w:val="000000"/>
          <w:sz w:val="36"/>
          <w:szCs w:val="36"/>
        </w:rPr>
        <w:outlineLvl w:val="0"/>
      </w:pPr>
      <w:r>
        <w:rPr>
          <w:b/>
          <w:color w:val="000000"/>
          <w:sz w:val="36"/>
          <w:szCs w:val="36"/>
        </w:rPr>
      </w:r>
      <w:r/>
    </w:p>
    <w:p>
      <w:pPr>
        <w:pStyle w:val="905"/>
        <w:jc w:val="center"/>
        <w:spacing w:line="360" w:lineRule="auto"/>
        <w:rPr>
          <w:b/>
          <w:color w:val="000000"/>
          <w:sz w:val="36"/>
          <w:szCs w:val="36"/>
        </w:rPr>
        <w:outlineLvl w:val="0"/>
      </w:pPr>
      <w:r>
        <w:rPr>
          <w:b/>
          <w:color w:val="000000"/>
          <w:sz w:val="36"/>
          <w:szCs w:val="36"/>
        </w:rPr>
      </w:r>
      <w:r/>
    </w:p>
    <w:p>
      <w:pPr>
        <w:pStyle w:val="905"/>
        <w:jc w:val="center"/>
        <w:spacing w:line="360" w:lineRule="auto"/>
        <w:rPr>
          <w:b/>
          <w:color w:val="000000"/>
          <w:sz w:val="36"/>
          <w:szCs w:val="36"/>
        </w:rPr>
        <w:outlineLvl w:val="0"/>
      </w:pPr>
      <w:r>
        <w:rPr>
          <w:b/>
          <w:color w:val="000000"/>
          <w:sz w:val="36"/>
          <w:szCs w:val="36"/>
        </w:rPr>
      </w:r>
      <w:r/>
    </w:p>
    <w:p>
      <w:pPr>
        <w:pStyle w:val="905"/>
        <w:jc w:val="center"/>
        <w:spacing w:line="360" w:lineRule="auto"/>
        <w:rPr>
          <w:b/>
          <w:color w:val="000000"/>
          <w:sz w:val="36"/>
          <w:szCs w:val="36"/>
        </w:rPr>
        <w:outlineLvl w:val="0"/>
      </w:pPr>
      <w:r>
        <w:rPr>
          <w:b/>
          <w:color w:val="000000"/>
          <w:sz w:val="36"/>
          <w:szCs w:val="36"/>
        </w:rPr>
      </w:r>
      <w:r/>
    </w:p>
    <w:p>
      <w:pPr>
        <w:pStyle w:val="905"/>
        <w:jc w:val="center"/>
        <w:spacing w:line="360" w:lineRule="auto"/>
        <w:rPr>
          <w:b/>
          <w:color w:val="000000"/>
          <w:sz w:val="36"/>
          <w:szCs w:val="36"/>
        </w:rPr>
        <w:outlineLvl w:val="0"/>
      </w:pPr>
      <w:r>
        <w:rPr>
          <w:b/>
          <w:color w:val="000000"/>
          <w:sz w:val="36"/>
          <w:szCs w:val="36"/>
        </w:rPr>
      </w:r>
      <w:r/>
    </w:p>
    <w:p>
      <w:pPr>
        <w:pStyle w:val="905"/>
        <w:jc w:val="center"/>
        <w:spacing w:line="360" w:lineRule="auto"/>
        <w:rPr>
          <w:b/>
          <w:color w:val="000000"/>
          <w:sz w:val="36"/>
          <w:szCs w:val="36"/>
        </w:rPr>
        <w:outlineLvl w:val="0"/>
      </w:pPr>
      <w:r>
        <w:rPr>
          <w:b/>
          <w:color w:val="000000"/>
          <w:sz w:val="36"/>
          <w:szCs w:val="36"/>
        </w:rPr>
      </w:r>
      <w:r/>
    </w:p>
    <w:p>
      <w:pPr>
        <w:pStyle w:val="905"/>
        <w:jc w:val="center"/>
        <w:spacing w:line="360" w:lineRule="auto"/>
        <w:rPr>
          <w:b/>
          <w:color w:val="000000"/>
          <w:sz w:val="36"/>
          <w:szCs w:val="36"/>
        </w:rPr>
        <w:outlineLvl w:val="0"/>
      </w:pPr>
      <w:r>
        <w:rPr>
          <w:b/>
          <w:color w:val="000000"/>
          <w:sz w:val="36"/>
          <w:szCs w:val="36"/>
        </w:rPr>
      </w:r>
      <w:r/>
    </w:p>
    <w:p>
      <w:pPr>
        <w:pStyle w:val="905"/>
        <w:jc w:val="center"/>
        <w:spacing w:line="360" w:lineRule="auto"/>
        <w:rPr>
          <w:b/>
          <w:color w:val="000000"/>
          <w:sz w:val="36"/>
          <w:szCs w:val="36"/>
        </w:rPr>
        <w:outlineLvl w:val="0"/>
      </w:pPr>
      <w:r>
        <w:rPr>
          <w:b/>
          <w:color w:val="000000"/>
          <w:sz w:val="36"/>
          <w:szCs w:val="36"/>
        </w:rPr>
      </w:r>
      <w:r/>
    </w:p>
    <w:p>
      <w:pPr>
        <w:pStyle w:val="905"/>
        <w:jc w:val="center"/>
        <w:spacing w:line="360" w:lineRule="auto"/>
        <w:rPr>
          <w:b/>
          <w:color w:val="000000"/>
          <w:sz w:val="36"/>
          <w:szCs w:val="36"/>
        </w:rPr>
        <w:outlineLvl w:val="0"/>
      </w:pPr>
      <w:r>
        <w:rPr>
          <w:b/>
          <w:color w:val="000000"/>
          <w:sz w:val="36"/>
          <w:szCs w:val="36"/>
        </w:rPr>
        <w:t xml:space="preserve">第六章   响应文件格式</w:t>
      </w:r>
      <w:bookmarkEnd w:id="664"/>
      <w:r>
        <w:rPr>
          <w:b/>
          <w:color w:val="000000"/>
          <w:sz w:val="36"/>
          <w:szCs w:val="36"/>
        </w:rPr>
      </w:r>
      <w:r/>
    </w:p>
    <w:p>
      <w:pPr>
        <w:pStyle w:val="905"/>
        <w:jc w:val="left"/>
        <w:spacing w:line="360" w:lineRule="auto"/>
        <w:widowControl/>
        <w:rPr>
          <w:b/>
          <w:color w:val="000000"/>
          <w:sz w:val="24"/>
        </w:rPr>
      </w:pPr>
      <w:r>
        <w:rPr>
          <w:b/>
          <w:color w:val="000000"/>
          <w:sz w:val="24"/>
        </w:rPr>
      </w:r>
      <w:r/>
    </w:p>
    <w:p>
      <w:pPr>
        <w:pStyle w:val="905"/>
        <w:jc w:val="left"/>
        <w:spacing w:line="360" w:lineRule="auto"/>
        <w:widowControl/>
        <w:rPr>
          <w:b/>
          <w:color w:val="000000"/>
          <w:sz w:val="24"/>
        </w:rPr>
      </w:pPr>
      <w:r>
        <w:rPr>
          <w:b/>
          <w:color w:val="000000"/>
          <w:sz w:val="24"/>
        </w:rPr>
      </w:r>
      <w:r/>
    </w:p>
    <w:p>
      <w:pPr>
        <w:pStyle w:val="905"/>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905"/>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905"/>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905"/>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905"/>
        <w:ind w:left="142"/>
        <w:spacing w:line="360" w:lineRule="auto"/>
        <w:tabs>
          <w:tab w:val="left" w:pos="900" w:leader="none"/>
          <w:tab w:val="left" w:pos="1980" w:leader="none"/>
        </w:tabs>
        <w:rPr>
          <w:color w:val="000000"/>
          <w:sz w:val="24"/>
        </w:rPr>
      </w:pPr>
      <w:r>
        <w:rPr>
          <w:rFonts w:hint="eastAsia"/>
          <w:color w:val="000000"/>
          <w:sz w:val="24"/>
        </w:rPr>
        <w:t xml:space="preserve">4、按照磋商文件要求，加盖公章、签名。</w:t>
      </w:r>
      <w:r>
        <w:rPr>
          <w:color w:val="000000"/>
          <w:sz w:val="24"/>
        </w:rPr>
      </w:r>
      <w:r/>
    </w:p>
    <w:p>
      <w:pPr>
        <w:pStyle w:val="905"/>
        <w:jc w:val="left"/>
        <w:widowControl/>
        <w:rPr>
          <w:color w:val="000000"/>
          <w:sz w:val="24"/>
        </w:rPr>
      </w:pPr>
      <w:r>
        <w:rPr>
          <w:color w:val="000000"/>
          <w:sz w:val="24"/>
        </w:rPr>
        <w:br w:type="page" w:clear="all"/>
      </w:r>
      <w:r>
        <w:rPr>
          <w:color w:val="000000"/>
          <w:sz w:val="24"/>
        </w:rPr>
      </w:r>
      <w:r/>
    </w:p>
    <w:p>
      <w:pPr>
        <w:pStyle w:val="905"/>
        <w:rPr>
          <w:b/>
          <w:color w:val="000000"/>
          <w:spacing w:val="20"/>
          <w:szCs w:val="21"/>
        </w:rPr>
      </w:pPr>
      <w:r>
        <w:rPr>
          <w:b/>
          <w:color w:val="000000"/>
          <w:spacing w:val="20"/>
          <w:szCs w:val="21"/>
        </w:rPr>
      </w:r>
      <w:r/>
    </w:p>
    <w:p>
      <w:pPr>
        <w:pStyle w:val="905"/>
        <w:rPr>
          <w:b/>
          <w:color w:val="000000"/>
          <w:sz w:val="24"/>
        </w:rPr>
      </w:pPr>
      <w:r>
        <w:rPr>
          <w:b/>
          <w:color w:val="000000"/>
          <w:spacing w:val="20"/>
          <w:sz w:val="24"/>
        </w:rPr>
        <w:t xml:space="preserve">响应文件</w:t>
      </w:r>
      <w:r>
        <w:rPr>
          <w:b/>
          <w:color w:val="000000"/>
          <w:sz w:val="24"/>
        </w:rPr>
        <w:t xml:space="preserve">封面（非实质性格式）</w:t>
      </w:r>
      <w:r>
        <w:rPr>
          <w:b/>
          <w:color w:val="000000"/>
          <w:sz w:val="24"/>
        </w:rPr>
      </w:r>
      <w:r/>
    </w:p>
    <w:p>
      <w:pPr>
        <w:pStyle w:val="905"/>
        <w:jc w:val="center"/>
        <w:rPr>
          <w:color w:val="000000"/>
          <w:szCs w:val="21"/>
        </w:rPr>
      </w:pPr>
      <w:r>
        <w:rPr>
          <w:color w:val="000000"/>
          <w:szCs w:val="21"/>
        </w:rPr>
      </w:r>
      <w:r/>
    </w:p>
    <w:p>
      <w:pPr>
        <w:pStyle w:val="905"/>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905"/>
        <w:jc w:val="center"/>
        <w:rPr>
          <w:b/>
          <w:color w:val="000000"/>
          <w:spacing w:val="60"/>
          <w:sz w:val="52"/>
          <w:szCs w:val="52"/>
        </w:rPr>
      </w:pPr>
      <w:r>
        <w:rPr>
          <w:b/>
          <w:color w:val="000000"/>
          <w:spacing w:val="60"/>
          <w:sz w:val="52"/>
          <w:szCs w:val="52"/>
        </w:rPr>
      </w:r>
      <w:r/>
    </w:p>
    <w:p>
      <w:pPr>
        <w:pStyle w:val="905"/>
        <w:ind w:firstLine="542"/>
        <w:rPr>
          <w:b/>
          <w:color w:val="000000"/>
          <w:spacing w:val="20"/>
          <w:sz w:val="32"/>
          <w:szCs w:val="32"/>
        </w:rPr>
      </w:pPr>
      <w:r>
        <w:rPr>
          <w:b/>
          <w:color w:val="000000"/>
          <w:spacing w:val="20"/>
          <w:sz w:val="32"/>
          <w:szCs w:val="32"/>
        </w:rPr>
      </w:r>
      <w:r/>
    </w:p>
    <w:p>
      <w:pPr>
        <w:pStyle w:val="905"/>
        <w:ind w:firstLine="542"/>
        <w:rPr>
          <w:b/>
          <w:color w:val="000000"/>
          <w:spacing w:val="20"/>
          <w:sz w:val="32"/>
          <w:szCs w:val="32"/>
        </w:rPr>
      </w:pPr>
      <w:r>
        <w:rPr>
          <w:b/>
          <w:color w:val="000000"/>
          <w:spacing w:val="20"/>
          <w:sz w:val="32"/>
          <w:szCs w:val="32"/>
        </w:rPr>
      </w:r>
      <w:r/>
    </w:p>
    <w:p>
      <w:pPr>
        <w:pStyle w:val="905"/>
        <w:ind w:firstLine="1084"/>
        <w:rPr>
          <w:rFonts w:ascii="宋体" w:hAnsi="宋体"/>
          <w:b/>
          <w:color w:val="000000"/>
          <w:sz w:val="36"/>
        </w:rPr>
      </w:pPr>
      <w:r>
        <w:rPr>
          <w:rFonts w:hint="eastAsia" w:ascii="宋体" w:hAnsi="宋体"/>
          <w:b/>
          <w:color w:val="000000"/>
          <w:sz w:val="36"/>
        </w:rPr>
        <w:t xml:space="preserve">项 目 名 称：</w:t>
      </w:r>
      <w:r>
        <w:rPr>
          <w:rFonts w:ascii="宋体" w:hAnsi="宋体"/>
          <w:b/>
          <w:color w:val="000000"/>
          <w:sz w:val="36"/>
        </w:rPr>
      </w:r>
      <w:r/>
    </w:p>
    <w:p>
      <w:pPr>
        <w:pStyle w:val="905"/>
        <w:ind w:firstLine="1084"/>
        <w:rPr>
          <w:rFonts w:ascii="宋体" w:hAnsi="宋体"/>
          <w:b/>
          <w:color w:val="000000"/>
          <w:sz w:val="36"/>
          <w:u w:val="single"/>
        </w:rPr>
      </w:pPr>
      <w:r>
        <w:rPr>
          <w:rFonts w:hint="eastAsia" w:ascii="宋体" w:hAnsi="宋体"/>
          <w:b/>
          <w:color w:val="000000"/>
          <w:sz w:val="36"/>
        </w:rPr>
        <w:t xml:space="preserve">项 目 编 号：</w:t>
      </w:r>
      <w:r>
        <w:rPr>
          <w:rFonts w:ascii="宋体" w:hAnsi="宋体"/>
          <w:b/>
          <w:color w:val="000000"/>
          <w:sz w:val="36"/>
          <w:u w:val="single"/>
        </w:rPr>
      </w:r>
      <w:r/>
    </w:p>
    <w:p>
      <w:pPr>
        <w:pStyle w:val="905"/>
        <w:rPr>
          <w:rFonts w:ascii="宋体" w:hAnsi="宋体"/>
          <w:b/>
          <w:color w:val="000000"/>
          <w:sz w:val="36"/>
          <w:u w:val="single"/>
        </w:rPr>
      </w:pPr>
      <w:r>
        <w:rPr>
          <w:rFonts w:hint="eastAsia" w:ascii="宋体" w:hAnsi="宋体"/>
          <w:b/>
          <w:color w:val="000000"/>
          <w:sz w:val="36"/>
        </w:rPr>
        <w:t xml:space="preserve">      供应商名称 ：</w:t>
      </w:r>
      <w:r>
        <w:rPr>
          <w:rFonts w:ascii="宋体" w:hAnsi="宋体"/>
          <w:b/>
          <w:color w:val="000000"/>
          <w:sz w:val="36"/>
          <w:u w:val="single"/>
        </w:rPr>
      </w:r>
      <w:r/>
    </w:p>
    <w:p>
      <w:pPr>
        <w:pStyle w:val="905"/>
        <w:rPr>
          <w:rFonts w:ascii="宋体" w:hAnsi="宋体"/>
          <w:b/>
          <w:color w:val="000000"/>
          <w:sz w:val="36"/>
        </w:rPr>
      </w:pPr>
      <w:r>
        <w:rPr>
          <w:rFonts w:hint="eastAsia" w:ascii="宋体" w:hAnsi="宋体"/>
          <w:b/>
          <w:color w:val="000000"/>
          <w:sz w:val="36"/>
        </w:rPr>
        <w:t xml:space="preserve">      日      期 ：</w:t>
      </w:r>
      <w:r>
        <w:rPr>
          <w:rFonts w:ascii="宋体" w:hAnsi="宋体"/>
          <w:b/>
          <w:color w:val="000000"/>
          <w:sz w:val="36"/>
        </w:rPr>
      </w:r>
      <w:r/>
    </w:p>
    <w:p>
      <w:pPr>
        <w:pStyle w:val="905"/>
        <w:jc w:val="center"/>
        <w:rPr>
          <w:b/>
          <w:color w:val="000000"/>
          <w:sz w:val="32"/>
          <w:szCs w:val="32"/>
        </w:rPr>
      </w:pPr>
      <w:r>
        <w:rPr>
          <w:b/>
          <w:color w:val="000000"/>
          <w:sz w:val="32"/>
          <w:szCs w:val="32"/>
        </w:rPr>
      </w:r>
      <w:r/>
    </w:p>
    <w:p>
      <w:pPr>
        <w:pStyle w:val="905"/>
        <w:rPr>
          <w:b/>
          <w:color w:val="000000"/>
        </w:rPr>
      </w:pPr>
      <w:r>
        <w:rPr>
          <w:b/>
          <w:color w:val="000000"/>
          <w:spacing w:val="20"/>
          <w:sz w:val="32"/>
          <w:szCs w:val="32"/>
        </w:rPr>
        <w:br w:type="page" w:clear="all"/>
      </w:r>
      <w:r>
        <w:rPr>
          <w:b/>
          <w:color w:val="000000"/>
        </w:rPr>
      </w:r>
      <w:r/>
    </w:p>
    <w:p>
      <w:pPr>
        <w:pStyle w:val="905"/>
        <w:rPr>
          <w:b/>
          <w:color w:val="000000"/>
        </w:rPr>
      </w:pPr>
      <w:r>
        <w:rPr>
          <w:b/>
          <w:color w:val="000000"/>
        </w:rPr>
      </w:r>
      <w:r/>
    </w:p>
    <w:p>
      <w:pPr>
        <w:pStyle w:val="905"/>
        <w:spacing w:line="360" w:lineRule="auto"/>
        <w:rPr>
          <w:color w:val="000000"/>
          <w:sz w:val="24"/>
          <w:szCs w:val="20"/>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szCs w:val="20"/>
        </w:rPr>
      </w:r>
      <w:r/>
    </w:p>
    <w:p>
      <w:pPr>
        <w:pStyle w:val="908"/>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905"/>
        <w:jc w:val="center"/>
        <w:spacing w:before="120" w:line="360" w:lineRule="auto"/>
        <w:widowControl/>
        <w:rPr>
          <w:rFonts w:ascii="宋体" w:hAnsi="宋体" w:cs="宋体"/>
          <w:b/>
          <w:color w:val="000000"/>
          <w:sz w:val="28"/>
          <w:szCs w:val="28"/>
        </w:rPr>
      </w:pPr>
      <w:r>
        <w:rPr>
          <w:rFonts w:ascii="宋体" w:hAnsi="宋体" w:cs="宋体"/>
          <w:b/>
          <w:color w:val="000000"/>
          <w:sz w:val="28"/>
          <w:szCs w:val="28"/>
        </w:rPr>
      </w:r>
      <w:r/>
    </w:p>
    <w:p>
      <w:pPr>
        <w:pStyle w:val="905"/>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919"/>
        <w:ind w:firstLine="480"/>
        <w:spacing w:line="460" w:lineRule="exact"/>
        <w:rPr>
          <w:color w:val="000000"/>
        </w:rPr>
      </w:pPr>
      <w:r>
        <w:rPr>
          <w:color w:val="000000"/>
        </w:rPr>
      </w:r>
      <w:r/>
    </w:p>
    <w:p>
      <w:pPr>
        <w:pStyle w:val="919"/>
        <w:ind w:firstLine="480"/>
        <w:spacing w:line="460" w:lineRule="exact"/>
        <w:rPr>
          <w:color w:val="000000"/>
          <w:highlight w:val="none"/>
        </w:rPr>
      </w:pPr>
      <w:r>
        <w:rPr>
          <w:rFonts w:hint="eastAsia"/>
          <w:color w:val="000000"/>
          <w:highlight w:val="none"/>
        </w:rPr>
        <w:t xml:space="preserve">致：常州正衡招投标有限公司</w:t>
      </w:r>
      <w:r>
        <w:rPr>
          <w:color w:val="000000"/>
          <w:highlight w:val="none"/>
        </w:rPr>
      </w:r>
      <w:r/>
    </w:p>
    <w:p>
      <w:pPr>
        <w:pStyle w:val="919"/>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19"/>
        <w:ind w:firstLine="480"/>
        <w:spacing w:line="460" w:lineRule="exact"/>
        <w:rPr>
          <w:color w:val="000000"/>
          <w:highlight w:val="none"/>
        </w:rPr>
      </w:pP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w:t>
      </w:r>
      <w:r>
        <w:rPr>
          <w:rFonts w:hint="eastAsia"/>
          <w:color w:val="000000"/>
          <w:highlight w:val="none"/>
        </w:rPr>
        <w:t xml:space="preserve">（或参与设计）</w:t>
      </w:r>
      <w:r>
        <w:rPr>
          <w:color w:val="000000"/>
          <w:highlight w:val="none"/>
        </w:rPr>
        <w:t xml:space="preserve">、规范编制或者项目管理、监理、检测等服务的供应商。</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919"/>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19"/>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19"/>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19"/>
        <w:ind w:firstLine="480"/>
        <w:spacing w:line="460" w:lineRule="exact"/>
        <w:rPr>
          <w:color w:val="000000"/>
          <w:highlight w:val="none"/>
        </w:rPr>
      </w:pP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19"/>
        <w:ind w:firstLine="480"/>
        <w:spacing w:line="460" w:lineRule="exact"/>
        <w:rPr>
          <w:color w:val="000000"/>
          <w:highlight w:val="none"/>
        </w:rPr>
      </w:pP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919"/>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19"/>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05"/>
        <w:spacing w:line="360" w:lineRule="auto"/>
        <w:rPr>
          <w:rFonts w:hint="eastAsia"/>
          <w:color w:val="000000"/>
          <w:sz w:val="24"/>
          <w:highlight w:val="none"/>
        </w:rPr>
      </w:pPr>
      <w:r>
        <w:rPr>
          <w:rFonts w:hint="eastAsia"/>
          <w:color w:val="000000"/>
          <w:sz w:val="24"/>
          <w:highlight w:val="none"/>
        </w:rPr>
      </w:r>
      <w:r/>
    </w:p>
    <w:p>
      <w:pPr>
        <w:pStyle w:val="90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05"/>
        <w:spacing w:line="360" w:lineRule="auto"/>
        <w:rPr>
          <w:rFonts w:hint="eastAsia" w:eastAsia="宋体"/>
          <w:color w:val="000000"/>
          <w:sz w:val="24"/>
          <w:lang w:val="en-US" w:eastAsia="zh-CN"/>
        </w:rPr>
        <w:outlineLvl w:val="2"/>
      </w:pPr>
      <w:r>
        <w:rPr>
          <w:color w:val="000000"/>
        </w:rPr>
        <w:br w:type="page" w:clear="all"/>
      </w:r>
      <w:r>
        <w:rPr>
          <w:rFonts w:hint="eastAsia"/>
          <w:color w:val="000000"/>
          <w:sz w:val="24"/>
        </w:rPr>
        <w:t xml:space="preserve">1-2营业执照</w:t>
      </w:r>
      <w:r>
        <w:rPr>
          <w:rFonts w:hint="eastAsia"/>
          <w:color w:val="000000"/>
          <w:sz w:val="24"/>
          <w:lang w:val="en-US" w:eastAsia="zh-CN"/>
        </w:rPr>
        <w:t xml:space="preserve">副本</w:t>
      </w:r>
      <w:r>
        <w:rPr>
          <w:color w:val="000000"/>
          <w:sz w:val="24"/>
          <w:szCs w:val="20"/>
        </w:rPr>
        <w:t xml:space="preserve">（实质性格式）</w:t>
      </w:r>
      <w:r>
        <w:rPr>
          <w:rFonts w:hint="eastAsia" w:eastAsia="宋体"/>
          <w:color w:val="000000"/>
          <w:sz w:val="24"/>
          <w:lang w:val="en-US" w:eastAsia="zh-CN"/>
        </w:rPr>
      </w:r>
      <w:r/>
    </w:p>
    <w:p>
      <w:pPr>
        <w:pStyle w:val="905"/>
        <w:spacing w:line="360" w:lineRule="auto"/>
        <w:rPr>
          <w:rFonts w:hint="eastAsia" w:ascii="宋体" w:hAnsi="宋体" w:cs="宋体"/>
          <w:i/>
          <w:iCs/>
          <w:color w:val="000000"/>
          <w:sz w:val="24"/>
          <w:highlight w:val="none"/>
          <w:u w:val="single"/>
        </w:rPr>
      </w:pPr>
      <w:r>
        <w:rPr>
          <w:rFonts w:hint="eastAsia" w:ascii="宋体" w:hAnsi="宋体" w:cs="宋体"/>
          <w:i/>
          <w:iCs/>
          <w:color w:val="000000"/>
          <w:sz w:val="24"/>
          <w:highlight w:val="none"/>
          <w:u w:val="single"/>
        </w:rPr>
      </w:r>
      <w:r/>
    </w:p>
    <w:p>
      <w:pPr>
        <w:pStyle w:val="905"/>
        <w:ind w:right="1560"/>
        <w:jc w:val="both"/>
        <w:spacing w:line="588" w:lineRule="exact"/>
        <w:tabs>
          <w:tab w:val="left" w:pos="4860" w:leader="none"/>
        </w:tabs>
        <w:rPr>
          <w:rFonts w:hint="eastAsia" w:ascii="宋体" w:hAnsi="宋体" w:cs="宋体"/>
          <w:color w:val="000000"/>
          <w:sz w:val="24"/>
          <w:lang w:eastAsia="zh-CN"/>
        </w:rPr>
      </w:pPr>
      <w:r>
        <w:rPr>
          <w:rFonts w:hint="eastAsia" w:ascii="宋体" w:hAnsi="宋体" w:cs="宋体"/>
          <w:color w:val="000000"/>
          <w:sz w:val="24"/>
          <w:lang w:val="en-US" w:eastAsia="zh-CN"/>
        </w:rPr>
        <w:t xml:space="preserve">如是事业单位则提供</w:t>
      </w:r>
      <w:r>
        <w:rPr>
          <w:rFonts w:hint="eastAsia" w:ascii="宋体" w:hAnsi="宋体" w:cs="宋体"/>
          <w:color w:val="000000"/>
          <w:sz w:val="24"/>
          <w:lang w:eastAsia="zh-CN"/>
        </w:rPr>
        <w:t xml:space="preserve">《</w:t>
      </w:r>
      <w:r>
        <w:rPr>
          <w:rFonts w:hint="eastAsia" w:ascii="宋体" w:hAnsi="宋体" w:cs="宋体"/>
          <w:color w:val="000000"/>
          <w:sz w:val="24"/>
        </w:rPr>
        <w:t xml:space="preserve">事业单位法人证书</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905"/>
        <w:jc w:val="left"/>
        <w:widowControl/>
        <w:rPr>
          <w:color w:val="000000"/>
          <w:sz w:val="24"/>
          <w:szCs w:val="20"/>
        </w:rPr>
      </w:pPr>
      <w:r>
        <w:rPr>
          <w:rFonts w:hint="eastAsia" w:ascii="宋体" w:hAnsi="宋体" w:cs="宋体"/>
          <w:color w:val="000000"/>
          <w:sz w:val="24"/>
          <w:lang w:eastAsia="zh-CN"/>
        </w:rPr>
        <w:br w:type="page" w:clear="all"/>
      </w:r>
      <w:r>
        <w:rPr>
          <w:rFonts w:hint="eastAsia" w:ascii="Times New Roman" w:hAnsi="Times New Roman" w:eastAsia="宋体" w:cs="Times New Roman"/>
          <w:color w:val="000000"/>
          <w:sz w:val="24"/>
          <w:lang w:val="en-US" w:eastAsia="zh-CN"/>
        </w:rPr>
        <w:t xml:space="preserve">1-3  </w:t>
      </w:r>
      <w:r>
        <w:rPr>
          <w:rFonts w:ascii="Times New Roman" w:hAnsi="Times New Roman" w:eastAsia="宋体" w:cs="Times New Roman"/>
          <w:color w:val="000000"/>
          <w:sz w:val="24"/>
        </w:rPr>
        <w:t xml:space="preserve">本项目</w:t>
      </w:r>
      <w:r>
        <w:rPr>
          <w:color w:val="000000"/>
          <w:sz w:val="24"/>
        </w:rPr>
        <w:t xml:space="preserve">的特定资格要求</w:t>
      </w:r>
      <w:r>
        <w:rPr>
          <w:color w:val="000000"/>
          <w:sz w:val="24"/>
          <w:szCs w:val="20"/>
        </w:rPr>
        <w:t xml:space="preserve">（如有）</w:t>
      </w:r>
      <w:r>
        <w:rPr>
          <w:color w:val="000000"/>
          <w:sz w:val="24"/>
          <w:szCs w:val="20"/>
        </w:rPr>
      </w:r>
      <w:r/>
    </w:p>
    <w:p>
      <w:pPr>
        <w:pStyle w:val="905"/>
        <w:ind w:right="1560"/>
        <w:jc w:val="both"/>
        <w:spacing w:line="588" w:lineRule="exact"/>
        <w:tabs>
          <w:tab w:val="left" w:pos="4860" w:leader="none"/>
        </w:tabs>
        <w:rPr>
          <w:color w:val="000000"/>
          <w:sz w:val="24"/>
          <w:szCs w:val="20"/>
        </w:rPr>
      </w:pPr>
      <w:r>
        <w:rPr>
          <w:color w:val="000000"/>
          <w:sz w:val="24"/>
          <w:szCs w:val="20"/>
        </w:rPr>
        <w:br w:type="page" w:clear="all"/>
      </w:r>
      <w:r>
        <w:rPr>
          <w:color w:val="000000"/>
          <w:sz w:val="24"/>
          <w:szCs w:val="20"/>
        </w:rPr>
      </w:r>
      <w:r/>
    </w:p>
    <w:p>
      <w:pPr>
        <w:pStyle w:val="905"/>
        <w:jc w:val="left"/>
        <w:widowControl/>
        <w:rPr>
          <w:color w:val="000000"/>
          <w:sz w:val="24"/>
        </w:rPr>
      </w:pPr>
      <w:r>
        <w:rPr>
          <w:color w:val="000000"/>
          <w:sz w:val="24"/>
        </w:rPr>
      </w:r>
      <w:r/>
    </w:p>
    <w:p>
      <w:pPr>
        <w:pStyle w:val="905"/>
        <w:spacing w:line="360" w:lineRule="auto"/>
        <w:rPr>
          <w:color w:val="000000"/>
          <w:sz w:val="24"/>
          <w:szCs w:val="20"/>
        </w:rPr>
        <w:outlineLvl w:val="2"/>
      </w:pPr>
      <w:r/>
      <w:bookmarkStart w:id="665" w:name="_Toc520356218"/>
      <w:r/>
      <w:bookmarkStart w:id="666" w:name="_Toc226337253"/>
      <w:r/>
      <w:bookmarkStart w:id="667" w:name="_Toc305158825"/>
      <w:r/>
      <w:bookmarkStart w:id="668" w:name="_Toc264969247"/>
      <w:r/>
      <w:bookmarkStart w:id="669" w:name="_Toc150480795"/>
      <w:r/>
      <w:bookmarkStart w:id="670" w:name="_Toc127151557"/>
      <w:r/>
      <w:bookmarkStart w:id="671" w:name="_Toc226965747"/>
      <w:r/>
      <w:bookmarkStart w:id="672" w:name="_Toc480942350"/>
      <w:r/>
      <w:bookmarkStart w:id="673" w:name="_Ref467988705"/>
      <w:r/>
      <w:bookmarkStart w:id="674" w:name="_Toc226309801"/>
      <w:r/>
      <w:bookmarkStart w:id="675" w:name="_Toc150774762"/>
      <w:r/>
      <w:bookmarkStart w:id="676" w:name="_Toc195842922"/>
      <w:r/>
      <w:bookmarkStart w:id="677" w:name="_Toc305158899"/>
      <w:r/>
      <w:bookmarkStart w:id="678" w:name="_Toc142311059"/>
      <w:r/>
      <w:bookmarkStart w:id="679" w:name="_Toc265228395"/>
      <w:r/>
      <w:bookmarkStart w:id="680" w:name="_Toc226965830"/>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905"/>
        <w:spacing w:line="360" w:lineRule="auto"/>
        <w:tabs>
          <w:tab w:val="left" w:pos="5580" w:leader="none"/>
        </w:tabs>
        <w:rPr>
          <w:color w:val="000000"/>
          <w:sz w:val="24"/>
        </w:rPr>
      </w:pPr>
      <w:r>
        <w:rPr>
          <w:color w:val="000000"/>
          <w:sz w:val="24"/>
        </w:rPr>
      </w:r>
      <w:r/>
    </w:p>
    <w:p>
      <w:pPr>
        <w:pStyle w:val="905"/>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905"/>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05"/>
        <w:spacing w:line="360" w:lineRule="auto"/>
        <w:tabs>
          <w:tab w:val="left" w:pos="5580" w:leader="none"/>
        </w:tabs>
        <w:rPr>
          <w:color w:val="000000"/>
          <w:sz w:val="24"/>
          <w:szCs w:val="20"/>
        </w:rPr>
      </w:pPr>
      <w:r>
        <w:rPr>
          <w:color w:val="000000"/>
          <w:sz w:val="24"/>
          <w:szCs w:val="20"/>
        </w:rPr>
      </w:r>
      <w:r/>
    </w:p>
    <w:p>
      <w:pPr>
        <w:pStyle w:val="905"/>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905"/>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905"/>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905"/>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905"/>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05"/>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905"/>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05"/>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905"/>
        <w:ind w:left="420"/>
        <w:spacing w:line="360" w:lineRule="auto"/>
        <w:tabs>
          <w:tab w:val="left" w:pos="5580" w:leader="none"/>
        </w:tabs>
        <w:rPr>
          <w:color w:val="000000"/>
          <w:sz w:val="24"/>
          <w:szCs w:val="20"/>
        </w:rPr>
      </w:pPr>
      <w:r>
        <w:rPr>
          <w:color w:val="000000"/>
          <w:sz w:val="24"/>
          <w:szCs w:val="20"/>
        </w:rPr>
      </w:r>
      <w:r/>
    </w:p>
    <w:p>
      <w:pPr>
        <w:pStyle w:val="905"/>
        <w:ind w:left="420"/>
        <w:spacing w:line="360" w:lineRule="auto"/>
        <w:tabs>
          <w:tab w:val="left" w:pos="5580" w:leader="none"/>
        </w:tabs>
        <w:rPr>
          <w:color w:val="000000"/>
          <w:sz w:val="24"/>
          <w:szCs w:val="24"/>
        </w:rPr>
      </w:pPr>
      <w:r>
        <w:rPr>
          <w:color w:val="000000"/>
          <w:sz w:val="24"/>
          <w:szCs w:val="20"/>
        </w:rPr>
        <w:t xml:space="preserve">地址_________________________     </w:t>
      </w:r>
      <w:r>
        <w:rPr>
          <w:color w:val="000000"/>
          <w:sz w:val="24"/>
          <w:szCs w:val="20"/>
        </w:rPr>
      </w:r>
    </w:p>
    <w:p>
      <w:pPr>
        <w:ind w:left="420"/>
        <w:spacing w:line="360" w:lineRule="auto"/>
        <w:tabs>
          <w:tab w:val="left" w:pos="5580" w:leader="none"/>
        </w:tabs>
        <w:rPr>
          <w:color w:val="000000"/>
          <w:sz w:val="24"/>
          <w:szCs w:val="24"/>
        </w:rPr>
      </w:pPr>
      <w:r>
        <w:rPr>
          <w:color w:val="000000"/>
          <w:sz w:val="24"/>
          <w:szCs w:val="20"/>
        </w:rPr>
        <w:t xml:space="preserve">传真____________________________</w:t>
      </w:r>
      <w:r/>
      <w:r/>
    </w:p>
    <w:p>
      <w:pPr>
        <w:pStyle w:val="905"/>
        <w:ind w:left="420"/>
        <w:spacing w:line="360" w:lineRule="auto"/>
        <w:tabs>
          <w:tab w:val="left" w:pos="5580" w:leader="none"/>
        </w:tabs>
        <w:rPr>
          <w:color w:val="000000"/>
          <w:sz w:val="24"/>
          <w:szCs w:val="24"/>
        </w:rPr>
      </w:pPr>
      <w:r>
        <w:rPr>
          <w:color w:val="000000"/>
          <w:sz w:val="24"/>
          <w:szCs w:val="20"/>
        </w:rPr>
        <w:t xml:space="preserve">电话_________________________     </w:t>
      </w:r>
      <w:r>
        <w:rPr>
          <w:color w:val="000000"/>
          <w:sz w:val="24"/>
          <w:szCs w:val="20"/>
        </w:rPr>
      </w:r>
    </w:p>
    <w:p>
      <w:pPr>
        <w:ind w:left="420"/>
        <w:spacing w:line="360" w:lineRule="auto"/>
        <w:tabs>
          <w:tab w:val="left" w:pos="5580" w:leader="none"/>
        </w:tabs>
        <w:rPr>
          <w:color w:val="000000"/>
          <w:sz w:val="24"/>
          <w:szCs w:val="24"/>
        </w:rPr>
      </w:pPr>
      <w:r>
        <w:rPr>
          <w:color w:val="000000"/>
          <w:sz w:val="24"/>
          <w:szCs w:val="20"/>
        </w:rPr>
        <w:t xml:space="preserve">电子函件________________________</w:t>
      </w:r>
      <w:r/>
      <w:r/>
    </w:p>
    <w:p>
      <w:pPr>
        <w:pStyle w:val="905"/>
        <w:ind w:left="420"/>
        <w:spacing w:line="360" w:lineRule="auto"/>
        <w:tabs>
          <w:tab w:val="left" w:pos="5580" w:leader="none"/>
        </w:tabs>
        <w:rPr>
          <w:color w:val="000000"/>
          <w:sz w:val="24"/>
          <w:szCs w:val="20"/>
        </w:rPr>
      </w:pPr>
      <w:r>
        <w:rPr>
          <w:color w:val="000000"/>
          <w:sz w:val="24"/>
          <w:szCs w:val="20"/>
        </w:rPr>
      </w:r>
      <w:r/>
    </w:p>
    <w:p>
      <w:pPr>
        <w:pStyle w:val="905"/>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905"/>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905"/>
        <w:ind w:left="420"/>
        <w:spacing w:line="360" w:lineRule="auto"/>
        <w:tabs>
          <w:tab w:val="left" w:pos="5580" w:leader="none"/>
        </w:tabs>
        <w:rPr>
          <w:color w:val="000000"/>
          <w:sz w:val="24"/>
          <w:szCs w:val="20"/>
          <w:u w:val="single"/>
        </w:rPr>
      </w:pPr>
      <w:r>
        <w:rPr>
          <w:color w:val="000000"/>
          <w:sz w:val="24"/>
          <w:szCs w:val="20"/>
          <w:u w:val="single"/>
        </w:rPr>
      </w:r>
      <w:r/>
    </w:p>
    <w:p>
      <w:pPr>
        <w:pStyle w:val="905"/>
        <w:jc w:val="left"/>
        <w:widowControl/>
        <w:rPr>
          <w:color w:val="000000"/>
          <w:sz w:val="24"/>
        </w:rPr>
      </w:pPr>
      <w:r/>
      <w:bookmarkStart w:id="681" w:name="_Hlt520356243"/>
      <w:r/>
      <w:bookmarkEnd w:id="681"/>
      <w:r/>
      <w:bookmarkStart w:id="682" w:name="_Hlt520355938"/>
      <w:r/>
      <w:bookmarkEnd w:id="682"/>
      <w:r>
        <w:rPr>
          <w:color w:val="000000"/>
          <w:sz w:val="24"/>
        </w:rPr>
        <w:br w:type="page" w:clear="all"/>
      </w:r>
      <w:r>
        <w:rPr>
          <w:color w:val="000000"/>
          <w:sz w:val="24"/>
        </w:rPr>
      </w:r>
      <w:r/>
    </w:p>
    <w:p>
      <w:pPr>
        <w:pStyle w:val="905"/>
        <w:jc w:val="left"/>
        <w:widowControl/>
        <w:rPr>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color w:val="000000"/>
          <w:sz w:val="24"/>
        </w:rPr>
      </w:r>
      <w:r/>
    </w:p>
    <w:p>
      <w:pPr>
        <w:pStyle w:val="905"/>
        <w:jc w:val="center"/>
        <w:spacing w:line="360" w:lineRule="auto"/>
        <w:rPr>
          <w:rFonts w:ascii="宋体" w:hAnsi="宋体"/>
          <w:b/>
          <w:color w:val="000000"/>
          <w:sz w:val="32"/>
          <w:szCs w:val="32"/>
        </w:rPr>
      </w:pPr>
      <w:r>
        <w:rPr>
          <w:rFonts w:ascii="宋体" w:hAnsi="宋体"/>
          <w:b/>
          <w:color w:val="000000"/>
          <w:sz w:val="32"/>
          <w:szCs w:val="32"/>
        </w:rPr>
      </w:r>
      <w:r/>
    </w:p>
    <w:p>
      <w:pPr>
        <w:pStyle w:val="905"/>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905"/>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905"/>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905"/>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905"/>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905"/>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905"/>
        <w:spacing w:line="560" w:lineRule="exact"/>
        <w:rPr>
          <w:rFonts w:ascii="宋体" w:hAnsi="宋体"/>
          <w:color w:val="000000"/>
          <w:sz w:val="24"/>
        </w:rPr>
      </w:pPr>
      <w:r>
        <w:rPr>
          <w:rFonts w:ascii="宋体" w:hAnsi="宋体"/>
          <w:color w:val="000000"/>
          <w:sz w:val="24"/>
        </w:rPr>
      </w:r>
      <w:r/>
    </w:p>
    <w:p>
      <w:pPr>
        <w:pStyle w:val="937"/>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05"/>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919"/>
        <w:ind w:firstLine="480"/>
        <w:spacing w:line="460" w:lineRule="exact"/>
        <w:rPr>
          <w:color w:val="000000"/>
        </w:rPr>
      </w:pPr>
      <w:r>
        <w:rPr>
          <w:rFonts w:hint="eastAsia" w:hAnsi="宋体"/>
          <w:color w:val="000000"/>
        </w:rPr>
        <w:t xml:space="preserve">                   </w:t>
      </w:r>
      <w:r>
        <w:rPr>
          <w:rFonts w:hint="eastAsia"/>
          <w:color w:val="000000"/>
        </w:rPr>
        <w:t xml:space="preserve">法定代表人签字或盖章：</w:t>
      </w:r>
      <w:r>
        <w:rPr>
          <w:color w:val="000000"/>
        </w:rPr>
      </w:r>
      <w:r/>
    </w:p>
    <w:p>
      <w:pPr>
        <w:pStyle w:val="905"/>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905"/>
        <w:jc w:val="left"/>
        <w:widowControl/>
        <w:rPr>
          <w:color w:val="000000"/>
          <w:sz w:val="24"/>
        </w:rPr>
      </w:pPr>
      <w:r>
        <w:rPr>
          <w:color w:val="000000"/>
          <w:sz w:val="24"/>
        </w:rPr>
      </w:r>
      <w:r/>
    </w:p>
    <w:p>
      <w:pPr>
        <w:pStyle w:val="905"/>
        <w:jc w:val="left"/>
        <w:widowControl/>
        <w:rPr>
          <w:color w:val="000000"/>
          <w:sz w:val="24"/>
        </w:rPr>
      </w:pPr>
      <w:r>
        <w:rPr>
          <w:color w:val="000000"/>
          <w:sz w:val="24"/>
        </w:rPr>
      </w:r>
      <w:r/>
    </w:p>
    <w:p>
      <w:pPr>
        <w:pStyle w:val="905"/>
        <w:jc w:val="left"/>
        <w:widowControl/>
        <w:rPr>
          <w:color w:val="000000"/>
          <w:sz w:val="24"/>
        </w:rPr>
      </w:pPr>
      <w:r>
        <w:rPr>
          <w:color w:val="000000"/>
          <w:sz w:val="24"/>
        </w:rPr>
      </w:r>
      <w:r/>
    </w:p>
    <w:p>
      <w:pPr>
        <w:pStyle w:val="90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0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24"/>
          <w:szCs w:val="20"/>
        </w:rPr>
      </w:r>
      <w:r/>
    </w:p>
    <w:p>
      <w:pPr>
        <w:pStyle w:val="905"/>
        <w:jc w:val="both"/>
        <w:spacing w:line="240" w:lineRule="atLeast"/>
        <w:rPr>
          <w:rFonts w:hint="eastAsia" w:ascii="宋体" w:hAnsi="宋体"/>
          <w:color w:val="000000"/>
          <w:sz w:val="24"/>
        </w:rPr>
      </w:pPr>
      <w:r>
        <w:rPr>
          <w:rFonts w:hint="eastAsia" w:ascii="宋体" w:hAnsi="宋体"/>
          <w:color w:val="000000"/>
          <w:sz w:val="24"/>
        </w:rPr>
      </w:r>
      <w:r/>
    </w:p>
    <w:p>
      <w:pPr>
        <w:pStyle w:val="905"/>
        <w:jc w:val="left"/>
        <w:widowControl/>
        <w:rPr>
          <w:color w:val="000000"/>
          <w:sz w:val="24"/>
        </w:rPr>
      </w:pPr>
      <w:r>
        <w:rPr>
          <w:color w:val="000000"/>
          <w:sz w:val="24"/>
        </w:rPr>
      </w:r>
      <w:r/>
    </w:p>
    <w:p>
      <w:pPr>
        <w:pStyle w:val="905"/>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en-US" w:eastAsia="zh-CN"/>
        </w:rPr>
        <w:t xml:space="preserve">项目编号：    </w:t>
      </w:r>
      <w:r>
        <w:rPr>
          <w:rFonts w:hint="eastAsia" w:ascii="宋体" w:hAnsi="宋体" w:cs="宋体"/>
          <w:color w:val="000000"/>
          <w:sz w:val="24"/>
          <w:highlight w:val="none"/>
        </w:rPr>
        <w:t xml:space="preserve">）项目投标的合法代理人，全权负责参加本次政府采购项目的投标、签订合约以及与之相关的各项工作。本投标人对代理人的签名负全部责任。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905"/>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37"/>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905"/>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05"/>
        <w:spacing w:line="240" w:lineRule="atLeast"/>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color w:val="000000"/>
          <w:spacing w:val="-3"/>
          <w:sz w:val="24"/>
          <w:szCs w:val="24"/>
          <w:highlight w:val="none"/>
          <w:lang w:val="en-US" w:eastAsia="zh-CN" w:bidi="ar-SA"/>
        </w:rPr>
        <w:t xml:space="preserve">（复印件）粘贴处</w:t>
      </w:r>
      <w:r>
        <w:rPr>
          <w:rFonts w:hint="eastAsia" w:ascii="宋体" w:hAnsi="宋体" w:eastAsia="宋体" w:cs="宋体"/>
          <w:color w:val="000000"/>
          <w:spacing w:val="-3"/>
          <w:sz w:val="24"/>
          <w:szCs w:val="24"/>
          <w:highlight w:val="none"/>
          <w:lang w:val="en-US" w:eastAsia="zh-CN" w:bidi="ar-SA"/>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90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0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0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90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0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05"/>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905"/>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905"/>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905"/>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905"/>
        <w:jc w:val="left"/>
        <w:widowControl/>
        <w:rPr>
          <w:color w:val="000000"/>
          <w:sz w:val="24"/>
        </w:rPr>
      </w:pPr>
      <w:r>
        <w:rPr>
          <w:rFonts w:hint="eastAsia"/>
          <w:color w:val="000000"/>
          <w:sz w:val="24"/>
        </w:rPr>
        <w:br w:type="page" w:clear="all"/>
      </w:r>
      <w:r>
        <w:rPr>
          <w:color w:val="000000"/>
          <w:sz w:val="24"/>
        </w:rPr>
      </w:r>
      <w:r/>
    </w:p>
    <w:p>
      <w:pPr>
        <w:pStyle w:val="905"/>
        <w:jc w:val="left"/>
        <w:widowControl/>
        <w:rPr>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color w:val="000000"/>
          <w:sz w:val="24"/>
        </w:rPr>
      </w:r>
      <w:r/>
    </w:p>
    <w:p>
      <w:pPr>
        <w:pStyle w:val="905"/>
        <w:ind w:firstLine="321"/>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pStyle w:val="905"/>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905"/>
        <w:ind w:firstLine="640"/>
        <w:rPr>
          <w:color w:val="000000"/>
        </w:rPr>
      </w:pPr>
      <w:r>
        <w:rPr>
          <w:color w:val="000000"/>
        </w:rPr>
      </w:r>
      <w:r/>
    </w:p>
    <w:p>
      <w:pPr>
        <w:pStyle w:val="905"/>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905"/>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158"/>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9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5"/>
        <w:spacing w:line="360" w:lineRule="auto"/>
        <w:rPr>
          <w:color w:val="000000"/>
          <w:sz w:val="24"/>
          <w:szCs w:val="20"/>
        </w:rPr>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中小企业声明函</w:t>
      </w:r>
      <w:r>
        <w:rPr>
          <w:color w:val="000000"/>
          <w:sz w:val="24"/>
          <w:szCs w:val="20"/>
        </w:rPr>
      </w:r>
      <w:r/>
    </w:p>
    <w:p>
      <w:pPr>
        <w:pStyle w:val="905"/>
        <w:spacing w:line="360" w:lineRule="auto"/>
        <w:tabs>
          <w:tab w:val="left" w:pos="5580" w:leader="none"/>
        </w:tabs>
        <w:rPr>
          <w:color w:val="000000"/>
          <w:sz w:val="24"/>
        </w:rPr>
      </w:pPr>
      <w:r>
        <w:rPr>
          <w:rFonts w:hint="eastAsia"/>
          <w:color w:val="000000"/>
          <w:sz w:val="24"/>
        </w:rPr>
        <w:t xml:space="preserve">说明：</w:t>
      </w:r>
      <w:r>
        <w:rPr>
          <w:color w:val="000000"/>
          <w:sz w:val="24"/>
        </w:rPr>
      </w:r>
      <w:r/>
    </w:p>
    <w:p>
      <w:pPr>
        <w:pStyle w:val="905"/>
        <w:spacing w:line="360" w:lineRule="auto"/>
        <w:tabs>
          <w:tab w:val="left" w:pos="5580" w:leader="none"/>
        </w:tabs>
        <w:rPr>
          <w:color w:val="000000"/>
          <w:sz w:val="24"/>
        </w:rPr>
      </w:pPr>
      <w:r>
        <w:rPr>
          <w:rFonts w:hint="eastAsia"/>
          <w:color w:val="000000"/>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color w:val="000000"/>
          <w:sz w:val="24"/>
        </w:rPr>
      </w:r>
      <w:r/>
    </w:p>
    <w:p>
      <w:pPr>
        <w:pStyle w:val="905"/>
        <w:spacing w:line="360" w:lineRule="auto"/>
        <w:tabs>
          <w:tab w:val="left" w:pos="5580" w:leader="none"/>
        </w:tabs>
        <w:rPr>
          <w:color w:val="000000"/>
          <w:sz w:val="24"/>
        </w:rPr>
      </w:pPr>
      <w:r>
        <w:rPr>
          <w:rFonts w:hint="eastAsia"/>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rPr>
      </w:r>
      <w:r/>
    </w:p>
    <w:p>
      <w:pPr>
        <w:pStyle w:val="905"/>
        <w:spacing w:line="360" w:lineRule="auto"/>
        <w:tabs>
          <w:tab w:val="left" w:pos="5580" w:leader="none"/>
        </w:tabs>
        <w:rPr>
          <w:rFonts w:hint="eastAsia"/>
          <w:color w:val="000000"/>
          <w:sz w:val="24"/>
        </w:rPr>
      </w:pPr>
      <w:r>
        <w:rPr>
          <w:rFonts w:hint="eastAsia"/>
          <w:color w:val="000000"/>
          <w:sz w:val="24"/>
        </w:rPr>
        <w:t xml:space="preserve">3）对于多标的的采购项目，供应商应充分、准确地了解所投产品制造企业信息。对相关情况了解不清楚的，不建议填报本声明函。</w:t>
      </w:r>
      <w:r>
        <w:rPr>
          <w:rFonts w:hint="eastAsia"/>
          <w:color w:val="000000"/>
          <w:sz w:val="24"/>
        </w:rPr>
      </w:r>
      <w:r/>
    </w:p>
    <w:p>
      <w:pPr>
        <w:pStyle w:val="905"/>
        <w:spacing w:line="360" w:lineRule="auto"/>
        <w:tabs>
          <w:tab w:val="left" w:pos="5580" w:leader="none"/>
        </w:tabs>
        <w:rPr>
          <w:color w:val="000000"/>
          <w:sz w:val="24"/>
        </w:rPr>
      </w:pPr>
      <w:r>
        <w:rPr>
          <w:rFonts w:hint="eastAsia"/>
          <w:color w:val="000000"/>
          <w:sz w:val="24"/>
        </w:rPr>
        <w:t xml:space="preserve">4）中小企业认定标准以《关于印发中小企业划型标准规定的通知》（工信部联企业〔2011〕300号）文件规定为准。</w:t>
      </w:r>
      <w:r>
        <w:rPr>
          <w:color w:val="000000"/>
          <w:sz w:val="24"/>
        </w:rPr>
      </w:r>
      <w:r/>
    </w:p>
    <w:p>
      <w:pPr>
        <w:pStyle w:val="905"/>
        <w:spacing w:line="360" w:lineRule="auto"/>
        <w:tabs>
          <w:tab w:val="left" w:pos="5580" w:leader="none"/>
        </w:tabs>
        <w:rPr>
          <w:rFonts w:hint="eastAsia"/>
          <w:color w:val="000000"/>
          <w:sz w:val="24"/>
        </w:rPr>
      </w:pPr>
      <w:r>
        <w:rPr>
          <w:rFonts w:hint="eastAsia"/>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000000"/>
          <w:sz w:val="24"/>
        </w:rPr>
        <w:fldChar w:fldCharType="begin"/>
      </w:r>
      <w:r>
        <w:rPr>
          <w:color w:val="000000"/>
          <w:sz w:val="24"/>
        </w:rPr>
        <w:instrText xml:space="preserve"> HYPERLINK "http://202.106.120.146/baosong/appweb/orgScale.html" </w:instrText>
      </w:r>
      <w:r>
        <w:rPr>
          <w:color w:val="000000"/>
          <w:sz w:val="24"/>
        </w:rPr>
        <w:fldChar w:fldCharType="separate"/>
      </w:r>
      <w:r>
        <w:rPr>
          <w:rStyle w:val="983"/>
          <w:color w:val="000000"/>
          <w:sz w:val="24"/>
        </w:rPr>
        <w:t xml:space="preserve">http://202.106.120.146/baosong/appweb/orgScale.html</w:t>
      </w:r>
      <w:r>
        <w:rPr>
          <w:color w:val="000000"/>
          <w:sz w:val="24"/>
        </w:rPr>
        <w:fldChar w:fldCharType="end"/>
      </w:r>
      <w:r>
        <w:rPr>
          <w:rFonts w:hint="eastAsia"/>
          <w:color w:val="000000"/>
          <w:sz w:val="24"/>
        </w:rPr>
        <w:t xml:space="preserve">）</w:t>
      </w:r>
      <w:r>
        <w:rPr>
          <w:rFonts w:hint="eastAsia"/>
          <w:color w:val="000000"/>
          <w:sz w:val="24"/>
        </w:rPr>
      </w:r>
      <w:r/>
    </w:p>
    <w:p>
      <w:pPr>
        <w:pStyle w:val="905"/>
        <w:spacing w:line="360" w:lineRule="auto"/>
        <w:tabs>
          <w:tab w:val="left" w:pos="5580" w:leader="none"/>
        </w:tabs>
        <w:rPr>
          <w:rFonts w:hint="eastAsia" w:ascii="宋体" w:hAnsi="宋体"/>
          <w:b/>
          <w:color w:val="000000"/>
          <w:sz w:val="24"/>
        </w:rPr>
      </w:pPr>
      <w:r>
        <w:rPr>
          <w:rFonts w:hint="eastAsia"/>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905"/>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905"/>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905"/>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905"/>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905"/>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905"/>
        <w:ind w:firstLine="504"/>
        <w:spacing w:line="360" w:lineRule="auto"/>
        <w:rPr>
          <w:color w:val="000000"/>
          <w:spacing w:val="6"/>
          <w:sz w:val="24"/>
        </w:rPr>
      </w:pPr>
      <w:r>
        <w:rPr>
          <w:color w:val="000000"/>
          <w:spacing w:val="6"/>
          <w:sz w:val="24"/>
        </w:rPr>
      </w:r>
      <w:r/>
    </w:p>
    <w:p>
      <w:pPr>
        <w:pStyle w:val="905"/>
        <w:ind w:firstLine="504"/>
        <w:spacing w:line="360" w:lineRule="auto"/>
        <w:rPr>
          <w:color w:val="000000"/>
          <w:spacing w:val="6"/>
          <w:sz w:val="24"/>
        </w:rPr>
      </w:pPr>
      <w:r>
        <w:rPr>
          <w:color w:val="000000"/>
          <w:spacing w:val="6"/>
          <w:sz w:val="24"/>
        </w:rPr>
        <w:t xml:space="preserve">……</w:t>
      </w:r>
      <w:r>
        <w:rPr>
          <w:color w:val="000000"/>
          <w:spacing w:val="6"/>
          <w:sz w:val="24"/>
        </w:rPr>
      </w:r>
      <w:r/>
    </w:p>
    <w:p>
      <w:pPr>
        <w:pStyle w:val="905"/>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905"/>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905"/>
        <w:ind w:right="360" w:firstLine="480"/>
        <w:jc w:val="right"/>
        <w:spacing w:line="360" w:lineRule="auto"/>
        <w:rPr>
          <w:color w:val="000000"/>
          <w:sz w:val="24"/>
        </w:rPr>
      </w:pPr>
      <w:r>
        <w:rPr>
          <w:color w:val="000000"/>
          <w:sz w:val="24"/>
        </w:rPr>
      </w:r>
      <w:r/>
    </w:p>
    <w:p>
      <w:pPr>
        <w:pStyle w:val="905"/>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05"/>
        <w:ind w:right="360" w:firstLine="480"/>
        <w:jc w:val="right"/>
        <w:spacing w:line="360" w:lineRule="auto"/>
        <w:rPr>
          <w:color w:val="000000"/>
          <w:sz w:val="24"/>
        </w:rPr>
      </w:pPr>
      <w:r>
        <w:rPr>
          <w:color w:val="000000"/>
          <w:sz w:val="24"/>
        </w:rPr>
        <w:t xml:space="preserve">日 期：________</w:t>
      </w:r>
      <w:r>
        <w:rPr>
          <w:color w:val="000000"/>
          <w:sz w:val="24"/>
        </w:rPr>
      </w:r>
      <w:r/>
    </w:p>
    <w:p>
      <w:pPr>
        <w:pStyle w:val="905"/>
        <w:jc w:val="left"/>
        <w:rPr>
          <w:color w:val="000000"/>
          <w:sz w:val="24"/>
          <w:szCs w:val="21"/>
        </w:rPr>
      </w:pPr>
      <w:r>
        <w:rPr>
          <w:color w:val="000000"/>
          <w:sz w:val="24"/>
          <w:szCs w:val="21"/>
        </w:rPr>
      </w:r>
      <w:r/>
    </w:p>
    <w:p>
      <w:pPr>
        <w:pStyle w:val="905"/>
        <w:jc w:val="left"/>
        <w:rPr>
          <w:color w:val="000000"/>
          <w:sz w:val="24"/>
          <w:szCs w:val="21"/>
        </w:rPr>
      </w:pPr>
      <w:r>
        <w:rPr>
          <w:color w:val="000000"/>
          <w:sz w:val="24"/>
          <w:szCs w:val="21"/>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3"/>
      </w:tblGrid>
      <w:tr>
        <w:trPr/>
        <w:tc>
          <w:tcPr>
            <w:tcW w:w="8946" w:type="dxa"/>
            <w:vAlign w:val="top"/>
            <w:textDirection w:val="lrTb"/>
            <w:noWrap w:val="false"/>
          </w:tcPr>
          <w:p>
            <w:pPr>
              <w:pStyle w:val="905"/>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05"/>
        <w:jc w:val="left"/>
        <w:rPr>
          <w:color w:val="000000"/>
          <w:szCs w:val="21"/>
          <w:vertAlign w:val="superscript"/>
        </w:rPr>
      </w:pPr>
      <w:r>
        <w:rPr>
          <w:color w:val="000000"/>
          <w:szCs w:val="21"/>
          <w:vertAlign w:val="superscript"/>
        </w:rPr>
      </w:r>
      <w:r/>
    </w:p>
    <w:p>
      <w:pPr>
        <w:pStyle w:val="905"/>
        <w:ind w:firstLine="482"/>
        <w:jc w:val="left"/>
        <w:spacing w:line="360" w:lineRule="auto"/>
        <w:rPr>
          <w:color w:val="000000"/>
          <w:sz w:val="24"/>
        </w:rPr>
      </w:pPr>
      <w:r>
        <w:rPr>
          <w:color w:val="000000"/>
          <w:sz w:val="24"/>
        </w:rPr>
      </w:r>
      <w:r/>
    </w:p>
    <w:p>
      <w:pPr>
        <w:pStyle w:val="905"/>
        <w:ind w:firstLine="482"/>
        <w:spacing w:line="360" w:lineRule="auto"/>
        <w:rPr>
          <w:color w:val="000000"/>
          <w:sz w:val="24"/>
        </w:rPr>
      </w:pPr>
      <w:r>
        <w:rPr>
          <w:color w:val="000000"/>
          <w:sz w:val="24"/>
        </w:rPr>
      </w:r>
      <w:r/>
    </w:p>
    <w:p>
      <w:pPr>
        <w:pStyle w:val="905"/>
        <w:ind w:firstLine="482"/>
        <w:spacing w:before="319" w:after="319" w:line="360" w:lineRule="auto"/>
        <w:rPr>
          <w:color w:val="000000"/>
          <w:sz w:val="24"/>
        </w:rPr>
      </w:pPr>
      <w:r>
        <w:rPr>
          <w:color w:val="000000"/>
          <w:sz w:val="24"/>
        </w:rPr>
        <w:t xml:space="preserve"> </w:t>
      </w:r>
      <w:r>
        <w:rPr>
          <w:color w:val="000000"/>
          <w:sz w:val="24"/>
        </w:rPr>
      </w:r>
      <w:r/>
    </w:p>
    <w:p>
      <w:pPr>
        <w:pStyle w:val="905"/>
        <w:jc w:val="both"/>
        <w:spacing w:before="159"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905"/>
        <w:jc w:val="center"/>
        <w:spacing w:before="159" w:line="360" w:lineRule="auto"/>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 </w:t>
      </w:r>
      <w:r>
        <w:rPr>
          <w:rFonts w:hint="eastAsia" w:ascii="宋体" w:hAnsi="宋体" w:cs="宋体"/>
          <w:b/>
          <w:color w:val="000000"/>
          <w:sz w:val="28"/>
          <w:szCs w:val="28"/>
        </w:rPr>
      </w:r>
      <w:r/>
    </w:p>
    <w:p>
      <w:pPr>
        <w:pStyle w:val="905"/>
        <w:ind w:firstLine="504"/>
        <w:spacing w:line="360" w:lineRule="auto"/>
        <w:rPr>
          <w:color w:val="000000"/>
          <w:spacing w:val="6"/>
          <w:sz w:val="24"/>
        </w:rPr>
      </w:pPr>
      <w:r>
        <w:rPr>
          <w:color w:val="000000"/>
          <w:spacing w:val="6"/>
          <w:sz w:val="24"/>
        </w:rPr>
        <w:t xml:space="preserve">本单位郑重声明，根据《财政部 民政部 中国残疾人联合会关于促进残疾人就业政府采购政策的通知》（财库</w:t>
      </w:r>
      <w:r>
        <w:rPr>
          <w:color w:val="000000"/>
          <w:sz w:val="24"/>
        </w:rPr>
        <w:t xml:space="preserve">〔2017〕141</w:t>
      </w:r>
      <w:r>
        <w:rPr>
          <w:color w:val="000000"/>
          <w:spacing w:val="6"/>
          <w:sz w:val="24"/>
        </w:rPr>
        <w:t xml:space="preserve">号）的规定，本单位</w:t>
      </w:r>
      <w:r>
        <w:rPr>
          <w:b/>
          <w:color w:val="000000"/>
          <w:sz w:val="24"/>
        </w:rPr>
        <w:t xml:space="preserve">（请进行勾选）</w:t>
      </w:r>
      <w:r>
        <w:rPr>
          <w:color w:val="000000"/>
          <w:spacing w:val="6"/>
          <w:sz w:val="24"/>
        </w:rPr>
        <w:t xml:space="preserve">：</w:t>
      </w:r>
      <w:r>
        <w:rPr>
          <w:color w:val="000000"/>
          <w:spacing w:val="6"/>
          <w:sz w:val="24"/>
        </w:rPr>
      </w:r>
      <w:r/>
    </w:p>
    <w:p>
      <w:pPr>
        <w:pStyle w:val="905"/>
        <w:ind w:firstLine="482"/>
        <w:spacing w:line="360" w:lineRule="auto"/>
        <w:rPr>
          <w:b/>
          <w:color w:val="000000"/>
          <w:spacing w:val="6"/>
          <w:sz w:val="24"/>
        </w:rPr>
      </w:pPr>
      <w:r>
        <w:rPr>
          <w:b/>
          <w:color w:val="000000"/>
          <w:sz w:val="24"/>
        </w:rPr>
        <w:t xml:space="preserve">□</w:t>
      </w:r>
      <w:r>
        <w:rPr>
          <w:b/>
          <w:color w:val="000000"/>
          <w:spacing w:val="6"/>
          <w:sz w:val="24"/>
        </w:rPr>
        <w:t xml:space="preserve">不属于符合条件的残疾人福利性单位。</w:t>
      </w:r>
      <w:r>
        <w:rPr>
          <w:b/>
          <w:color w:val="000000"/>
          <w:spacing w:val="6"/>
          <w:sz w:val="24"/>
        </w:rPr>
      </w:r>
      <w:r/>
    </w:p>
    <w:p>
      <w:pPr>
        <w:pStyle w:val="905"/>
        <w:ind w:firstLine="482"/>
        <w:spacing w:line="360" w:lineRule="auto"/>
        <w:rPr>
          <w:color w:val="000000"/>
          <w:spacing w:val="6"/>
          <w:sz w:val="24"/>
        </w:rPr>
      </w:pPr>
      <w:r>
        <w:rPr>
          <w:b/>
          <w:color w:val="000000"/>
          <w:sz w:val="24"/>
        </w:rPr>
        <w:t xml:space="preserve">□</w:t>
      </w:r>
      <w:r>
        <w:rPr>
          <w:b/>
          <w:color w:val="000000"/>
          <w:spacing w:val="6"/>
          <w:sz w:val="24"/>
        </w:rPr>
        <w:t xml:space="preserve">属于符合条件的残疾人福利性单位，</w:t>
      </w:r>
      <w:r>
        <w:rPr>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rPr>
      </w:r>
      <w:r/>
    </w:p>
    <w:p>
      <w:pPr>
        <w:pStyle w:val="905"/>
        <w:ind w:firstLine="506"/>
        <w:spacing w:line="360" w:lineRule="auto"/>
        <w:rPr>
          <w:color w:val="000000"/>
          <w:spacing w:val="6"/>
          <w:sz w:val="24"/>
        </w:rPr>
      </w:pPr>
      <w:r>
        <w:rPr>
          <w:b/>
          <w:color w:val="000000"/>
          <w:spacing w:val="6"/>
          <w:sz w:val="24"/>
        </w:rPr>
        <w:t xml:space="preserve">本单位对上述声明的真实性负责。如有虚假，将依法承担相应责任。</w:t>
      </w:r>
      <w:r>
        <w:rPr>
          <w:color w:val="000000"/>
          <w:spacing w:val="6"/>
          <w:sz w:val="24"/>
        </w:rPr>
      </w:r>
      <w:r/>
    </w:p>
    <w:p>
      <w:pPr>
        <w:pStyle w:val="905"/>
        <w:ind w:firstLine="504"/>
        <w:spacing w:line="360" w:lineRule="auto"/>
        <w:rPr>
          <w:color w:val="000000"/>
          <w:spacing w:val="6"/>
          <w:sz w:val="24"/>
        </w:rPr>
      </w:pPr>
      <w:r>
        <w:rPr>
          <w:color w:val="000000"/>
          <w:spacing w:val="6"/>
          <w:sz w:val="24"/>
        </w:rPr>
      </w:r>
      <w:r/>
    </w:p>
    <w:p>
      <w:pPr>
        <w:pStyle w:val="905"/>
        <w:ind w:firstLine="504"/>
        <w:spacing w:line="360" w:lineRule="auto"/>
        <w:rPr>
          <w:color w:val="000000"/>
          <w:spacing w:val="6"/>
          <w:sz w:val="24"/>
        </w:rPr>
      </w:pPr>
      <w:r>
        <w:rPr>
          <w:color w:val="000000"/>
          <w:spacing w:val="6"/>
          <w:sz w:val="24"/>
        </w:rPr>
      </w:r>
      <w:r/>
    </w:p>
    <w:p>
      <w:pPr>
        <w:pStyle w:val="905"/>
        <w:ind w:right="1560" w:firstLine="504"/>
        <w:jc w:val="center"/>
        <w:spacing w:line="360" w:lineRule="auto"/>
        <w:tabs>
          <w:tab w:val="left" w:pos="4860" w:leader="none"/>
        </w:tabs>
        <w:rPr>
          <w:color w:val="000000"/>
          <w:spacing w:val="6"/>
          <w:sz w:val="24"/>
        </w:rPr>
      </w:pPr>
      <w:r>
        <w:rPr>
          <w:color w:val="000000"/>
          <w:spacing w:val="6"/>
          <w:sz w:val="24"/>
        </w:rPr>
        <w:t xml:space="preserve">               单位名称（加盖公章）：</w:t>
      </w:r>
      <w:r>
        <w:rPr>
          <w:color w:val="000000"/>
          <w:spacing w:val="6"/>
          <w:sz w:val="24"/>
        </w:rPr>
      </w:r>
      <w:r/>
    </w:p>
    <w:p>
      <w:pPr>
        <w:pStyle w:val="905"/>
        <w:ind w:right="1560" w:firstLine="504"/>
        <w:jc w:val="center"/>
        <w:spacing w:line="360" w:lineRule="auto"/>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905"/>
        <w:spacing w:line="360" w:lineRule="auto"/>
        <w:rPr>
          <w:b/>
          <w:color w:val="000000"/>
          <w:sz w:val="24"/>
        </w:rPr>
        <w:outlineLvl w:val="2"/>
      </w:pPr>
      <w:r>
        <w:rPr>
          <w:b/>
          <w:color w:val="000000"/>
          <w:sz w:val="24"/>
        </w:rPr>
      </w:r>
      <w:r/>
    </w:p>
    <w:p>
      <w:pPr>
        <w:pStyle w:val="905"/>
        <w:spacing w:line="360" w:lineRule="auto"/>
        <w:rPr>
          <w:color w:val="000000"/>
          <w:sz w:val="24"/>
          <w:szCs w:val="20"/>
        </w:rPr>
        <w:outlineLvl w:val="2"/>
      </w:pPr>
      <w:r>
        <w:rPr>
          <w:color w:val="000000"/>
          <w:sz w:val="24"/>
          <w:szCs w:val="20"/>
        </w:rPr>
        <w:br w:type="page" w:clear="all"/>
      </w:r>
      <w:r>
        <w:rPr>
          <w:color w:val="000000"/>
          <w:sz w:val="24"/>
          <w:szCs w:val="20"/>
        </w:rPr>
      </w:r>
      <w:r/>
    </w:p>
    <w:p>
      <w:pPr>
        <w:pStyle w:val="905"/>
        <w:spacing w:line="360" w:lineRule="auto"/>
        <w:rPr>
          <w:color w:val="000000"/>
          <w:sz w:val="24"/>
          <w:szCs w:val="20"/>
        </w:rPr>
        <w:outlineLvl w:val="2"/>
      </w:pPr>
      <w:r>
        <w:rPr>
          <w:rFonts w:hint="eastAsia"/>
          <w:color w:val="000000"/>
          <w:sz w:val="24"/>
          <w:szCs w:val="20"/>
        </w:rPr>
        <w:t xml:space="preserve">6  </w:t>
      </w:r>
      <w:r>
        <w:rPr>
          <w:color w:val="000000"/>
          <w:sz w:val="24"/>
          <w:szCs w:val="20"/>
        </w:rPr>
        <w:t xml:space="preserve">报价一览表</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Pr>
          <w:color w:val="000000"/>
          <w:sz w:val="24"/>
          <w:szCs w:val="20"/>
        </w:rPr>
      </w:r>
      <w:r/>
    </w:p>
    <w:p>
      <w:pPr>
        <w:pStyle w:val="905"/>
        <w:jc w:val="center"/>
        <w:rPr>
          <w:b/>
          <w:color w:val="000000"/>
          <w:sz w:val="36"/>
          <w:szCs w:val="36"/>
        </w:rPr>
      </w:pPr>
      <w:r/>
      <w:bookmarkStart w:id="683" w:name="_Toc265228396"/>
      <w:r/>
      <w:bookmarkStart w:id="684" w:name="_Toc305158826"/>
      <w:r/>
      <w:bookmarkStart w:id="685" w:name="_Toc226309802"/>
      <w:r/>
      <w:bookmarkStart w:id="686" w:name="_Toc164608827"/>
      <w:r/>
      <w:bookmarkStart w:id="687" w:name="_Toc264969248"/>
      <w:r/>
      <w:bookmarkStart w:id="688" w:name="_Toc226965748"/>
      <w:r/>
      <w:bookmarkStart w:id="689" w:name="_Toc195842923"/>
      <w:r/>
      <w:bookmarkStart w:id="690" w:name="_Toc164608672"/>
      <w:r/>
      <w:bookmarkStart w:id="691" w:name="_Toc226337254"/>
      <w:r/>
      <w:bookmarkStart w:id="692" w:name="_Toc305158900"/>
      <w:r/>
      <w:bookmarkStart w:id="693" w:name="_Toc226965831"/>
      <w:r>
        <w:rPr>
          <w:rFonts w:hint="eastAsia"/>
          <w:b/>
          <w:color w:val="000000"/>
          <w:sz w:val="36"/>
          <w:szCs w:val="36"/>
        </w:rPr>
        <w:t xml:space="preserve">报价一览表</w:t>
      </w:r>
      <w:bookmarkEnd w:id="683"/>
      <w:r/>
      <w:bookmarkEnd w:id="684"/>
      <w:r/>
      <w:bookmarkEnd w:id="685"/>
      <w:r/>
      <w:bookmarkEnd w:id="686"/>
      <w:r/>
      <w:bookmarkEnd w:id="687"/>
      <w:r/>
      <w:bookmarkEnd w:id="688"/>
      <w:r/>
      <w:bookmarkEnd w:id="689"/>
      <w:r/>
      <w:bookmarkEnd w:id="690"/>
      <w:r/>
      <w:bookmarkEnd w:id="691"/>
      <w:r/>
      <w:bookmarkEnd w:id="692"/>
      <w:r/>
      <w:bookmarkEnd w:id="693"/>
      <w:r>
        <w:rPr>
          <w:b/>
          <w:color w:val="000000"/>
          <w:sz w:val="36"/>
          <w:szCs w:val="36"/>
        </w:rPr>
      </w:r>
      <w:r/>
    </w:p>
    <w:p>
      <w:pPr>
        <w:pStyle w:val="905"/>
        <w:jc w:val="left"/>
        <w:spacing w:line="360" w:lineRule="auto"/>
        <w:tabs>
          <w:tab w:val="left" w:pos="1800" w:leader="none"/>
          <w:tab w:val="left" w:pos="5580" w:leader="none"/>
        </w:tabs>
        <w:rPr>
          <w:color w:val="000000"/>
          <w:sz w:val="24"/>
        </w:rPr>
      </w:pPr>
      <w:r>
        <w:rPr>
          <w:color w:val="000000"/>
          <w:sz w:val="24"/>
        </w:rPr>
      </w:r>
      <w:r/>
    </w:p>
    <w:p>
      <w:pPr>
        <w:pStyle w:val="905"/>
        <w:ind w:firstLine="240"/>
        <w:jc w:val="left"/>
        <w:spacing w:line="360" w:lineRule="auto"/>
        <w:tabs>
          <w:tab w:val="left" w:pos="1800" w:leader="none"/>
          <w:tab w:val="left" w:pos="5580" w:leader="none"/>
        </w:tabs>
        <w:rPr>
          <w:color w:val="000000"/>
          <w:sz w:val="24"/>
        </w:rPr>
      </w:pPr>
      <w:r>
        <w:rPr>
          <w:color w:val="000000"/>
          <w:sz w:val="24"/>
        </w:rPr>
        <w:t xml:space="preserve">项目编号/包号：_____________________    </w:t>
      </w:r>
      <w:r>
        <w:rPr>
          <w:color w:val="000000"/>
          <w:sz w:val="24"/>
        </w:rPr>
      </w:r>
      <w:r/>
    </w:p>
    <w:p>
      <w:pPr>
        <w:pStyle w:val="905"/>
        <w:ind w:firstLine="240"/>
        <w:jc w:val="left"/>
        <w:spacing w:line="360" w:lineRule="auto"/>
        <w:tabs>
          <w:tab w:val="left" w:pos="1800" w:leader="none"/>
          <w:tab w:val="left" w:pos="5580" w:leader="none"/>
        </w:tabs>
        <w:rPr>
          <w:color w:val="000000"/>
          <w:sz w:val="24"/>
        </w:rPr>
      </w:pPr>
      <w:r>
        <w:rPr>
          <w:color w:val="000000"/>
          <w:sz w:val="24"/>
        </w:rPr>
        <w:t xml:space="preserve">项目名称：_______________________</w:t>
      </w:r>
      <w:r>
        <w:rPr>
          <w:color w:val="000000"/>
          <w:sz w:val="24"/>
        </w:rPr>
      </w:r>
      <w:r/>
    </w:p>
    <w:p>
      <w:pPr>
        <w:pStyle w:val="905"/>
        <w:ind w:firstLine="240"/>
        <w:jc w:val="left"/>
        <w:spacing w:line="360" w:lineRule="auto"/>
        <w:tabs>
          <w:tab w:val="left" w:pos="1800" w:leader="none"/>
          <w:tab w:val="left" w:pos="5580" w:leader="none"/>
        </w:tabs>
        <w:rPr>
          <w:color w:val="000000"/>
          <w:sz w:val="24"/>
        </w:rPr>
      </w:pPr>
      <w:r>
        <w:rPr>
          <w:rFonts w:hint="eastAsia"/>
          <w:color w:val="000000"/>
          <w:sz w:val="24"/>
        </w:rPr>
        <w:t xml:space="preserve">单位：元</w:t>
      </w:r>
      <w:r>
        <w:rPr>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trHeight w:val="531"/>
        </w:trPr>
        <w:tc>
          <w:tcPr>
            <w:tcW w:w="812" w:type="dxa"/>
            <w:vAlign w:val="center"/>
            <w:vMerge w:val="restart"/>
            <w:textDirection w:val="lrTb"/>
            <w:noWrap w:val="false"/>
          </w:tcPr>
          <w:p>
            <w:pPr>
              <w:pStyle w:val="905"/>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3204" w:type="dxa"/>
            <w:vAlign w:val="center"/>
            <w:vMerge w:val="restart"/>
            <w:textDirection w:val="lrTb"/>
            <w:noWrap w:val="false"/>
          </w:tcPr>
          <w:p>
            <w:pPr>
              <w:pStyle w:val="905"/>
              <w:jc w:val="center"/>
              <w:tabs>
                <w:tab w:val="left" w:pos="5580" w:leader="none"/>
              </w:tabs>
              <w:rPr>
                <w:b/>
                <w:color w:val="000000"/>
                <w:sz w:val="24"/>
              </w:rPr>
            </w:pPr>
            <w:r>
              <w:rPr>
                <w:rFonts w:hint="eastAsia"/>
                <w:b/>
                <w:color w:val="000000"/>
                <w:sz w:val="24"/>
              </w:rPr>
              <w:t xml:space="preserve">名称</w:t>
            </w:r>
            <w:r>
              <w:rPr>
                <w:b/>
                <w:color w:val="000000"/>
                <w:sz w:val="24"/>
              </w:rPr>
            </w:r>
            <w:r/>
          </w:p>
        </w:tc>
        <w:tc>
          <w:tcPr>
            <w:gridSpan w:val="2"/>
            <w:tcW w:w="4156" w:type="dxa"/>
            <w:vAlign w:val="center"/>
            <w:textDirection w:val="lrTb"/>
            <w:noWrap w:val="false"/>
          </w:tcPr>
          <w:p>
            <w:pPr>
              <w:pStyle w:val="905"/>
              <w:jc w:val="center"/>
              <w:tabs>
                <w:tab w:val="left" w:pos="5580" w:leader="none"/>
              </w:tabs>
              <w:rPr>
                <w:b/>
                <w:color w:val="000000"/>
                <w:sz w:val="24"/>
              </w:rPr>
            </w:pPr>
            <w:r>
              <w:rPr>
                <w:rFonts w:hint="eastAsia"/>
                <w:b/>
                <w:color w:val="000000"/>
                <w:sz w:val="24"/>
                <w:highlight w:val="none"/>
                <w:lang w:val="en-US" w:eastAsia="zh-CN"/>
              </w:rPr>
              <w:t xml:space="preserve">优惠</w:t>
            </w:r>
            <w:r>
              <w:rPr>
                <w:rFonts w:hint="eastAsia"/>
                <w:b/>
                <w:color w:val="000000"/>
                <w:sz w:val="24"/>
                <w:highlight w:val="none"/>
              </w:rPr>
              <w:t xml:space="preserve">率（%）</w:t>
            </w:r>
            <w:r>
              <w:rPr>
                <w:b/>
                <w:color w:val="000000"/>
                <w:sz w:val="24"/>
              </w:rPr>
            </w:r>
            <w:r/>
          </w:p>
        </w:tc>
      </w:tr>
      <w:tr>
        <w:trPr>
          <w:trHeight w:val="674"/>
        </w:trPr>
        <w:tc>
          <w:tcPr>
            <w:tcW w:w="812" w:type="dxa"/>
            <w:vAlign w:val="center"/>
            <w:vMerge w:val="continue"/>
            <w:textDirection w:val="lrTb"/>
            <w:noWrap w:val="false"/>
          </w:tcPr>
          <w:p>
            <w:pPr>
              <w:pStyle w:val="905"/>
              <w:jc w:val="left"/>
              <w:widowControl/>
              <w:rPr>
                <w:b/>
                <w:color w:val="000000"/>
                <w:sz w:val="24"/>
              </w:rPr>
            </w:pPr>
            <w:r>
              <w:rPr>
                <w:b/>
                <w:color w:val="000000"/>
                <w:sz w:val="24"/>
              </w:rPr>
            </w:r>
            <w:r/>
          </w:p>
        </w:tc>
        <w:tc>
          <w:tcPr>
            <w:tcW w:w="3204" w:type="dxa"/>
            <w:vAlign w:val="center"/>
            <w:vMerge w:val="continue"/>
            <w:textDirection w:val="lrTb"/>
            <w:noWrap w:val="false"/>
          </w:tcPr>
          <w:p>
            <w:pPr>
              <w:pStyle w:val="905"/>
              <w:jc w:val="left"/>
              <w:widowControl/>
              <w:rPr>
                <w:b/>
                <w:color w:val="000000"/>
                <w:sz w:val="24"/>
              </w:rPr>
            </w:pPr>
            <w:r>
              <w:rPr>
                <w:b/>
                <w:color w:val="000000"/>
                <w:sz w:val="24"/>
              </w:rPr>
            </w:r>
            <w:r/>
          </w:p>
        </w:tc>
        <w:tc>
          <w:tcPr>
            <w:tcW w:w="2025" w:type="dxa"/>
            <w:vAlign w:val="center"/>
            <w:textDirection w:val="lrTb"/>
            <w:noWrap w:val="false"/>
          </w:tcPr>
          <w:p>
            <w:pPr>
              <w:pStyle w:val="905"/>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2131" w:type="dxa"/>
            <w:vAlign w:val="center"/>
            <w:textDirection w:val="lrTb"/>
            <w:noWrap w:val="false"/>
          </w:tcPr>
          <w:p>
            <w:pPr>
              <w:pStyle w:val="905"/>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812" w:type="dxa"/>
            <w:vAlign w:val="center"/>
            <w:textDirection w:val="lrTb"/>
            <w:noWrap w:val="false"/>
          </w:tcPr>
          <w:p>
            <w:pPr>
              <w:pStyle w:val="905"/>
              <w:jc w:val="center"/>
              <w:tabs>
                <w:tab w:val="left" w:pos="5580" w:leader="none"/>
              </w:tabs>
              <w:rPr>
                <w:color w:val="000000"/>
                <w:sz w:val="24"/>
              </w:rPr>
            </w:pPr>
            <w:r>
              <w:rPr>
                <w:color w:val="000000"/>
                <w:sz w:val="24"/>
              </w:rPr>
            </w:r>
            <w:r/>
          </w:p>
        </w:tc>
        <w:tc>
          <w:tcPr>
            <w:tcW w:w="3204" w:type="dxa"/>
            <w:vAlign w:val="center"/>
            <w:textDirection w:val="lrTb"/>
            <w:noWrap w:val="false"/>
          </w:tcPr>
          <w:p>
            <w:pPr>
              <w:pStyle w:val="905"/>
              <w:jc w:val="center"/>
              <w:tabs>
                <w:tab w:val="left" w:pos="5580" w:leader="none"/>
              </w:tabs>
              <w:rPr>
                <w:color w:val="000000"/>
                <w:sz w:val="24"/>
              </w:rPr>
            </w:pPr>
            <w:r>
              <w:rPr>
                <w:color w:val="000000"/>
                <w:sz w:val="24"/>
              </w:rPr>
            </w:r>
            <w:r/>
          </w:p>
        </w:tc>
        <w:tc>
          <w:tcPr>
            <w:tcW w:w="2025" w:type="dxa"/>
            <w:vAlign w:val="center"/>
            <w:textDirection w:val="lrTb"/>
            <w:noWrap w:val="false"/>
          </w:tcPr>
          <w:p>
            <w:pPr>
              <w:pStyle w:val="905"/>
              <w:jc w:val="center"/>
              <w:tabs>
                <w:tab w:val="left" w:pos="5580" w:leader="none"/>
              </w:tabs>
              <w:rPr>
                <w:color w:val="000000"/>
                <w:sz w:val="24"/>
              </w:rPr>
            </w:pPr>
            <w:r>
              <w:rPr>
                <w:color w:val="000000"/>
                <w:sz w:val="24"/>
              </w:rPr>
            </w:r>
            <w:r/>
          </w:p>
        </w:tc>
        <w:tc>
          <w:tcPr>
            <w:tcW w:w="2131" w:type="dxa"/>
            <w:vAlign w:val="center"/>
            <w:textDirection w:val="lrTb"/>
            <w:noWrap w:val="false"/>
          </w:tcPr>
          <w:p>
            <w:pPr>
              <w:pStyle w:val="905"/>
              <w:jc w:val="center"/>
              <w:tabs>
                <w:tab w:val="left" w:pos="5580" w:leader="none"/>
              </w:tabs>
              <w:rPr>
                <w:color w:val="000000"/>
                <w:sz w:val="24"/>
              </w:rPr>
            </w:pPr>
            <w:r>
              <w:rPr>
                <w:color w:val="000000"/>
                <w:sz w:val="24"/>
              </w:rPr>
            </w:r>
            <w:r/>
          </w:p>
        </w:tc>
      </w:tr>
    </w:tbl>
    <w:p>
      <w:pPr>
        <w:pStyle w:val="905"/>
        <w:jc w:val="left"/>
        <w:rPr>
          <w:rFonts w:hint="eastAsia" w:eastAsia="宋体"/>
          <w:color w:val="000000"/>
          <w:sz w:val="24"/>
          <w:lang w:val="en-US" w:eastAsia="zh-CN"/>
        </w:rPr>
      </w:pPr>
      <w:r>
        <w:rPr>
          <w:rFonts w:hint="eastAsia"/>
          <w:color w:val="000000"/>
          <w:sz w:val="24"/>
          <w:lang w:val="en-US" w:eastAsia="zh-CN"/>
        </w:rPr>
        <w:t xml:space="preserve"> </w:t>
      </w:r>
      <w:r>
        <w:rPr>
          <w:rFonts w:hint="eastAsia" w:eastAsia="宋体"/>
          <w:color w:val="000000"/>
          <w:sz w:val="24"/>
          <w:lang w:val="en-US" w:eastAsia="zh-CN"/>
        </w:rPr>
      </w:r>
      <w:r/>
    </w:p>
    <w:p>
      <w:pPr>
        <w:pStyle w:val="905"/>
        <w:spacing w:before="25" w:after="25" w:line="360" w:lineRule="auto"/>
        <w:rPr>
          <w:rFonts w:hint="eastAsia" w:ascii="宋体" w:hAnsi="宋体" w:eastAsia="宋体" w:cs="宋体"/>
          <w:b/>
          <w:bCs/>
          <w:color w:val="000000"/>
          <w:sz w:val="24"/>
          <w:szCs w:val="24"/>
          <w:highlight w:val="none"/>
          <w:lang w:val="en-US" w:eastAsia="zh-CN"/>
        </w:rPr>
        <w:outlineLvl w:val="9"/>
      </w:pPr>
      <w:r>
        <w:rPr>
          <w:color w:val="000000"/>
          <w:sz w:val="24"/>
          <w:lang w:val="zh-CN"/>
        </w:rPr>
        <w:t xml:space="preserve"> </w:t>
      </w:r>
      <w:r>
        <w:rPr>
          <w:rFonts w:hint="eastAsia" w:ascii="宋体" w:hAnsi="宋体" w:eastAsia="宋体" w:cs="宋体"/>
          <w:b/>
          <w:bCs/>
          <w:color w:val="000000"/>
          <w:sz w:val="24"/>
          <w:szCs w:val="24"/>
          <w:highlight w:val="none"/>
          <w:lang w:val="zh-CN" w:eastAsia="zh-CN"/>
        </w:rPr>
        <w:t xml:space="preserve">   </w:t>
      </w:r>
      <w:r>
        <w:rPr>
          <w:rFonts w:hint="eastAsia" w:ascii="宋体" w:hAnsi="宋体" w:eastAsia="宋体" w:cs="宋体"/>
          <w:b/>
          <w:bCs/>
          <w:color w:val="000000"/>
          <w:sz w:val="24"/>
          <w:szCs w:val="24"/>
          <w:highlight w:val="none"/>
          <w:lang w:val="en-US" w:eastAsia="zh-CN"/>
        </w:rPr>
        <w:t xml:space="preserve">注：1.磋商优惠率最多保留两位小数。</w:t>
      </w:r>
      <w:r>
        <w:rPr>
          <w:rFonts w:hint="eastAsia" w:ascii="宋体" w:hAnsi="宋体" w:eastAsia="宋体" w:cs="宋体"/>
          <w:b/>
          <w:bCs/>
          <w:color w:val="000000"/>
          <w:sz w:val="24"/>
          <w:szCs w:val="24"/>
          <w:highlight w:val="none"/>
          <w:lang w:val="en-US" w:eastAsia="zh-CN"/>
        </w:rPr>
      </w:r>
      <w:r/>
    </w:p>
    <w:p>
      <w:pPr>
        <w:pStyle w:val="905"/>
        <w:ind w:firstLine="964"/>
        <w:spacing w:before="25" w:after="25" w:line="360" w:lineRule="auto"/>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2.二次报价即最</w:t>
      </w:r>
      <w:r>
        <w:rPr>
          <w:rFonts w:hint="eastAsia" w:ascii="宋体" w:hAnsi="宋体" w:eastAsia="宋体" w:cs="宋体"/>
          <w:b/>
          <w:bCs/>
          <w:color w:val="000000"/>
          <w:sz w:val="24"/>
          <w:szCs w:val="24"/>
          <w:highlight w:val="none"/>
          <w:lang w:val="en-US" w:eastAsia="zh-CN"/>
        </w:rPr>
        <w:t xml:space="preserve">终报价，系统里填报</w:t>
      </w:r>
      <w:r>
        <w:rPr>
          <w:rFonts w:hint="eastAsia"/>
          <w:b/>
          <w:color w:val="000000"/>
          <w:sz w:val="24"/>
          <w:highlight w:val="none"/>
          <w:lang w:val="en-US" w:eastAsia="zh-CN"/>
        </w:rPr>
        <w:t xml:space="preserve">优惠</w:t>
      </w:r>
      <w:r>
        <w:rPr>
          <w:rFonts w:hint="eastAsia"/>
          <w:b/>
          <w:color w:val="000000"/>
          <w:sz w:val="24"/>
          <w:highlight w:val="none"/>
        </w:rPr>
        <w:t xml:space="preserve">率</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905"/>
        <w:spacing w:before="25" w:after="25" w:line="360" w:lineRule="auto"/>
        <w:rPr>
          <w:color w:val="000000"/>
          <w:sz w:val="24"/>
          <w:lang w:val="zh-CN"/>
        </w:rPr>
      </w:pPr>
      <w:r>
        <w:rPr>
          <w:color w:val="000000"/>
          <w:sz w:val="24"/>
          <w:lang w:val="zh-CN"/>
        </w:rPr>
        <w:t xml:space="preserve">       </w:t>
      </w:r>
      <w:r>
        <w:rPr>
          <w:rFonts w:hint="eastAsia" w:ascii="宋体" w:hAnsi="宋体" w:eastAsia="宋体" w:cs="宋体"/>
          <w:b/>
          <w:bCs/>
          <w:color w:val="000000"/>
          <w:sz w:val="24"/>
          <w:szCs w:val="24"/>
          <w:highlight w:val="none"/>
          <w:lang w:val="zh-CN" w:eastAsia="zh-CN"/>
        </w:rPr>
        <w:t xml:space="preserve"> </w:t>
      </w:r>
      <w:r>
        <w:rPr>
          <w:rFonts w:hint="eastAsia" w:ascii="宋体" w:hAnsi="宋体" w:eastAsia="宋体" w:cs="宋体"/>
          <w:b/>
          <w:bCs/>
          <w:color w:val="000000"/>
          <w:sz w:val="24"/>
          <w:szCs w:val="24"/>
          <w:highlight w:val="none"/>
          <w:lang w:val="en-US" w:eastAsia="zh-CN"/>
        </w:rPr>
        <w:t xml:space="preserve">3.优惠率结算方式：单个项目检测费用=《市场监管部门食品安全抽检监测项目检验费用参考表》中收费标准*（1-成交优惠率）</w:t>
      </w:r>
      <w:r>
        <w:rPr>
          <w:rFonts w:hint="eastAsia" w:ascii="宋体" w:hAnsi="宋体" w:eastAsia="宋体" w:cs="宋体"/>
          <w:b/>
          <w:bCs/>
          <w:color w:val="000000"/>
          <w:sz w:val="24"/>
          <w:szCs w:val="24"/>
          <w:highlight w:val="none"/>
          <w:lang w:val="zh-CN" w:eastAsia="zh-CN"/>
        </w:rPr>
        <w:t xml:space="preserve"> </w:t>
      </w:r>
      <w:r>
        <w:rPr>
          <w:color w:val="000000"/>
          <w:sz w:val="24"/>
          <w:lang w:val="zh-CN"/>
        </w:rPr>
        <w:t xml:space="preserve">   </w:t>
      </w:r>
      <w:r>
        <w:rPr>
          <w:color w:val="000000"/>
          <w:sz w:val="24"/>
          <w:lang w:val="zh-CN"/>
        </w:rPr>
      </w:r>
      <w:r/>
    </w:p>
    <w:p>
      <w:pPr>
        <w:pStyle w:val="9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5"/>
        <w:jc w:val="left"/>
        <w:widowControl/>
        <w:rPr>
          <w:color w:val="000000"/>
        </w:rPr>
      </w:pPr>
      <w:r/>
      <w:bookmarkStart w:id="694" w:name="_Toc305158904"/>
      <w:r/>
      <w:bookmarkStart w:id="695" w:name="_Toc142311062"/>
      <w:r/>
      <w:bookmarkStart w:id="696" w:name="_Toc150480798"/>
      <w:r/>
      <w:bookmarkStart w:id="697" w:name="_Toc305158830"/>
      <w:r/>
      <w:bookmarkStart w:id="698" w:name="_Toc150774765"/>
      <w:r/>
      <w:bookmarkStart w:id="699" w:name="_Toc265228400"/>
      <w:r/>
      <w:bookmarkStart w:id="700" w:name="_Toc195842927"/>
      <w:r/>
      <w:bookmarkStart w:id="701" w:name="_Toc226965835"/>
      <w:r/>
      <w:bookmarkStart w:id="702" w:name="_Toc226965752"/>
      <w:r/>
      <w:bookmarkStart w:id="703" w:name="_Toc226337258"/>
      <w:r/>
      <w:bookmarkStart w:id="704" w:name="_Toc264969252"/>
      <w:r/>
      <w:bookmarkStart w:id="705" w:name="_Toc226309806"/>
      <w:r/>
      <w:bookmarkStart w:id="706" w:name="_Toc127151562"/>
      <w:r/>
      <w:bookmarkStart w:id="707" w:name="_Toc226965834"/>
      <w:r/>
      <w:bookmarkStart w:id="708" w:name="_Toc195842926"/>
      <w:r/>
      <w:bookmarkStart w:id="709" w:name="_Toc226337257"/>
      <w:r/>
      <w:bookmarkStart w:id="710" w:name="_Toc142311061"/>
      <w:r/>
      <w:bookmarkStart w:id="711" w:name="_Toc226965751"/>
      <w:r/>
      <w:bookmarkStart w:id="712" w:name="_Toc127151561"/>
      <w:r/>
      <w:bookmarkStart w:id="713" w:name="_Toc305158829"/>
      <w:r/>
      <w:bookmarkStart w:id="714" w:name="_Toc264969251"/>
      <w:r/>
      <w:bookmarkStart w:id="715" w:name="_Toc265228399"/>
      <w:r/>
      <w:bookmarkStart w:id="716" w:name="_Toc150774764"/>
      <w:r/>
      <w:bookmarkStart w:id="717" w:name="_Toc150480797"/>
      <w:r/>
      <w:bookmarkStart w:id="718" w:name="_Toc226309805"/>
      <w:r/>
      <w:bookmarkStart w:id="719" w:name="_Toc305158903"/>
      <w:r>
        <w:rPr>
          <w:color w:val="000000"/>
        </w:rPr>
      </w:r>
      <w:r/>
    </w:p>
    <w:p>
      <w:pPr>
        <w:pStyle w:val="905"/>
        <w:jc w:val="left"/>
        <w:spacing w:before="240" w:after="240"/>
        <w:rPr>
          <w:color w:val="000000"/>
          <w:sz w:val="24"/>
          <w:szCs w:val="20"/>
        </w:rPr>
      </w:pPr>
      <w:r>
        <w:rPr>
          <w:rFonts w:hint="eastAsia"/>
          <w:color w:val="000000"/>
          <w:sz w:val="24"/>
          <w:szCs w:val="20"/>
          <w:lang w:val="en-US" w:eastAsia="zh-CN"/>
        </w:rPr>
        <w:br w:type="column"/>
      </w:r>
      <w:r>
        <w:rPr>
          <w:rFonts w:hint="eastAsia"/>
          <w:color w:val="000000"/>
          <w:sz w:val="24"/>
          <w:szCs w:val="20"/>
          <w:lang w:val="en-US" w:eastAsia="zh-CN"/>
        </w:rPr>
        <w:t xml:space="preserve">7 </w:t>
      </w:r>
      <w:r>
        <w:rPr>
          <w:color w:val="000000"/>
          <w:sz w:val="24"/>
          <w:szCs w:val="20"/>
        </w:rPr>
        <w:t xml:space="preserve">合同条款偏离表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color w:val="000000"/>
          <w:sz w:val="24"/>
          <w:szCs w:val="20"/>
        </w:rPr>
      </w:r>
      <w:r/>
    </w:p>
    <w:p>
      <w:pPr>
        <w:pStyle w:val="905"/>
        <w:spacing w:line="360" w:lineRule="auto"/>
        <w:rPr>
          <w:color w:val="000000"/>
          <w:sz w:val="24"/>
          <w:szCs w:val="20"/>
        </w:rPr>
      </w:pPr>
      <w:r>
        <w:rPr>
          <w:color w:val="000000"/>
          <w:sz w:val="24"/>
          <w:szCs w:val="20"/>
        </w:rPr>
      </w:r>
      <w:r/>
    </w:p>
    <w:p>
      <w:pPr>
        <w:pStyle w:val="905"/>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905"/>
        <w:jc w:val="center"/>
        <w:rPr>
          <w:color w:val="000000"/>
          <w:sz w:val="36"/>
          <w:szCs w:val="36"/>
        </w:rPr>
      </w:pPr>
      <w:r>
        <w:rPr>
          <w:color w:val="000000"/>
          <w:sz w:val="36"/>
          <w:szCs w:val="36"/>
        </w:rPr>
      </w:r>
      <w:r/>
    </w:p>
    <w:p>
      <w:pPr>
        <w:pStyle w:val="905"/>
        <w:spacing w:line="360" w:lineRule="auto"/>
        <w:rPr>
          <w:color w:val="000000"/>
          <w:sz w:val="24"/>
          <w:szCs w:val="20"/>
        </w:rPr>
      </w:pPr>
      <w:r>
        <w:rPr>
          <w:color w:val="000000"/>
          <w:sz w:val="24"/>
          <w:szCs w:val="20"/>
        </w:rPr>
      </w:r>
      <w:r/>
    </w:p>
    <w:p>
      <w:pPr>
        <w:pStyle w:val="905"/>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905"/>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905"/>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05"/>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8" w:type="dxa"/>
            <w:vAlign w:val="center"/>
            <w:textDirection w:val="lrTb"/>
            <w:noWrap w:val="false"/>
          </w:tcPr>
          <w:p>
            <w:pPr>
              <w:pStyle w:val="905"/>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905"/>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905"/>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905"/>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905"/>
              <w:jc w:val="center"/>
              <w:rPr>
                <w:color w:val="000000"/>
                <w:sz w:val="24"/>
              </w:rPr>
            </w:pPr>
            <w:r>
              <w:rPr>
                <w:color w:val="000000"/>
                <w:sz w:val="24"/>
              </w:rPr>
              <w:t xml:space="preserve">偏离情况</w:t>
            </w:r>
            <w:r>
              <w:rPr>
                <w:color w:val="000000"/>
                <w:sz w:val="24"/>
              </w:rPr>
            </w:r>
            <w:r/>
          </w:p>
          <w:p>
            <w:pPr>
              <w:pStyle w:val="905"/>
              <w:jc w:val="center"/>
              <w:rPr>
                <w:color w:val="000000"/>
                <w:sz w:val="24"/>
              </w:rPr>
            </w:pPr>
            <w:r>
              <w:rPr>
                <w:color w:val="000000"/>
                <w:sz w:val="24"/>
              </w:rPr>
              <w:t xml:space="preserve">（据实填写）</w:t>
            </w:r>
            <w:r>
              <w:rPr>
                <w:color w:val="000000"/>
                <w:sz w:val="24"/>
              </w:rPr>
            </w:r>
            <w:r/>
          </w:p>
        </w:tc>
        <w:tc>
          <w:tcPr>
            <w:tcW w:w="782" w:type="dxa"/>
            <w:vAlign w:val="center"/>
            <w:textDirection w:val="lrTb"/>
            <w:noWrap w:val="false"/>
          </w:tcPr>
          <w:p>
            <w:pPr>
              <w:pStyle w:val="905"/>
              <w:jc w:val="center"/>
              <w:rPr>
                <w:color w:val="000000"/>
                <w:sz w:val="24"/>
              </w:rPr>
            </w:pPr>
            <w:r>
              <w:rPr>
                <w:color w:val="000000"/>
                <w:sz w:val="24"/>
              </w:rPr>
              <w:t xml:space="preserve">说明</w:t>
            </w:r>
            <w:r>
              <w:rPr>
                <w:color w:val="000000"/>
                <w:sz w:val="24"/>
              </w:rPr>
            </w:r>
            <w:r/>
          </w:p>
        </w:tc>
      </w:tr>
      <w:tr>
        <w:trPr>
          <w:trHeight w:val="930"/>
        </w:trPr>
        <w:tc>
          <w:tcPr>
            <w:tcW w:w="828" w:type="dxa"/>
            <w:vAlign w:val="center"/>
            <w:textDirection w:val="lrTb"/>
            <w:noWrap w:val="false"/>
          </w:tcPr>
          <w:p>
            <w:pPr>
              <w:pStyle w:val="905"/>
              <w:jc w:val="center"/>
              <w:rPr>
                <w:color w:val="000000"/>
                <w:sz w:val="24"/>
              </w:rPr>
            </w:pPr>
            <w:r>
              <w:rPr>
                <w:color w:val="000000"/>
                <w:sz w:val="24"/>
              </w:rPr>
            </w:r>
            <w:r/>
          </w:p>
        </w:tc>
        <w:tc>
          <w:tcPr>
            <w:tcW w:w="1290" w:type="dxa"/>
            <w:vAlign w:val="center"/>
            <w:textDirection w:val="lrTb"/>
            <w:noWrap w:val="false"/>
          </w:tcPr>
          <w:p>
            <w:pPr>
              <w:pStyle w:val="905"/>
              <w:jc w:val="center"/>
              <w:rPr>
                <w:color w:val="000000"/>
                <w:sz w:val="24"/>
              </w:rPr>
            </w:pPr>
            <w:r>
              <w:rPr>
                <w:color w:val="000000"/>
                <w:sz w:val="24"/>
              </w:rPr>
            </w:r>
            <w:r/>
          </w:p>
        </w:tc>
        <w:tc>
          <w:tcPr>
            <w:tcW w:w="1980" w:type="dxa"/>
            <w:vAlign w:val="center"/>
            <w:textDirection w:val="lrTb"/>
            <w:noWrap w:val="false"/>
          </w:tcPr>
          <w:p>
            <w:pPr>
              <w:pStyle w:val="905"/>
              <w:jc w:val="center"/>
              <w:rPr>
                <w:color w:val="000000"/>
                <w:sz w:val="24"/>
              </w:rPr>
            </w:pPr>
            <w:r>
              <w:rPr>
                <w:color w:val="000000"/>
                <w:sz w:val="24"/>
              </w:rPr>
            </w:r>
            <w:r/>
          </w:p>
        </w:tc>
        <w:tc>
          <w:tcPr>
            <w:tcW w:w="1981" w:type="dxa"/>
            <w:vAlign w:val="center"/>
            <w:textDirection w:val="lrTb"/>
            <w:noWrap w:val="false"/>
          </w:tcPr>
          <w:p>
            <w:pPr>
              <w:pStyle w:val="905"/>
              <w:jc w:val="center"/>
              <w:rPr>
                <w:color w:val="000000"/>
                <w:sz w:val="24"/>
              </w:rPr>
            </w:pPr>
            <w:r>
              <w:rPr>
                <w:color w:val="000000"/>
                <w:sz w:val="24"/>
              </w:rPr>
            </w:r>
            <w:r/>
          </w:p>
        </w:tc>
        <w:tc>
          <w:tcPr>
            <w:tcW w:w="2427" w:type="dxa"/>
            <w:vAlign w:val="center"/>
            <w:textDirection w:val="lrTb"/>
            <w:noWrap w:val="false"/>
          </w:tcPr>
          <w:p>
            <w:pPr>
              <w:pStyle w:val="905"/>
              <w:jc w:val="center"/>
              <w:rPr>
                <w:color w:val="000000"/>
                <w:sz w:val="24"/>
              </w:rPr>
            </w:pPr>
            <w:r>
              <w:rPr>
                <w:color w:val="000000"/>
                <w:sz w:val="24"/>
              </w:rPr>
            </w:r>
            <w:r/>
          </w:p>
        </w:tc>
        <w:tc>
          <w:tcPr>
            <w:tcW w:w="782" w:type="dxa"/>
            <w:vAlign w:val="center"/>
            <w:textDirection w:val="lrTb"/>
            <w:noWrap w:val="false"/>
          </w:tcPr>
          <w:p>
            <w:pPr>
              <w:pStyle w:val="905"/>
              <w:jc w:val="center"/>
              <w:rPr>
                <w:color w:val="000000"/>
                <w:sz w:val="24"/>
              </w:rPr>
            </w:pPr>
            <w:r>
              <w:rPr>
                <w:color w:val="000000"/>
                <w:sz w:val="24"/>
              </w:rPr>
            </w:r>
            <w:r/>
          </w:p>
        </w:tc>
      </w:tr>
      <w:tr>
        <w:trPr>
          <w:trHeight w:val="930"/>
        </w:trPr>
        <w:tc>
          <w:tcPr>
            <w:tcW w:w="828" w:type="dxa"/>
            <w:vAlign w:val="center"/>
            <w:textDirection w:val="lrTb"/>
            <w:noWrap w:val="false"/>
          </w:tcPr>
          <w:p>
            <w:pPr>
              <w:pStyle w:val="905"/>
              <w:jc w:val="center"/>
              <w:rPr>
                <w:color w:val="000000"/>
                <w:sz w:val="24"/>
              </w:rPr>
            </w:pPr>
            <w:r>
              <w:rPr>
                <w:color w:val="000000"/>
                <w:sz w:val="24"/>
              </w:rPr>
            </w:r>
            <w:r/>
          </w:p>
        </w:tc>
        <w:tc>
          <w:tcPr>
            <w:tcW w:w="1290" w:type="dxa"/>
            <w:vAlign w:val="center"/>
            <w:textDirection w:val="lrTb"/>
            <w:noWrap w:val="false"/>
          </w:tcPr>
          <w:p>
            <w:pPr>
              <w:pStyle w:val="905"/>
              <w:jc w:val="center"/>
              <w:rPr>
                <w:color w:val="000000"/>
                <w:sz w:val="24"/>
              </w:rPr>
            </w:pPr>
            <w:r>
              <w:rPr>
                <w:color w:val="000000"/>
                <w:sz w:val="24"/>
              </w:rPr>
            </w:r>
            <w:r/>
          </w:p>
        </w:tc>
        <w:tc>
          <w:tcPr>
            <w:tcW w:w="1980" w:type="dxa"/>
            <w:vAlign w:val="center"/>
            <w:textDirection w:val="lrTb"/>
            <w:noWrap w:val="false"/>
          </w:tcPr>
          <w:p>
            <w:pPr>
              <w:pStyle w:val="905"/>
              <w:jc w:val="center"/>
              <w:rPr>
                <w:color w:val="000000"/>
                <w:sz w:val="24"/>
              </w:rPr>
            </w:pPr>
            <w:r>
              <w:rPr>
                <w:color w:val="000000"/>
                <w:sz w:val="24"/>
              </w:rPr>
            </w:r>
            <w:r/>
          </w:p>
        </w:tc>
        <w:tc>
          <w:tcPr>
            <w:tcW w:w="1981" w:type="dxa"/>
            <w:vAlign w:val="center"/>
            <w:textDirection w:val="lrTb"/>
            <w:noWrap w:val="false"/>
          </w:tcPr>
          <w:p>
            <w:pPr>
              <w:pStyle w:val="905"/>
              <w:jc w:val="center"/>
              <w:rPr>
                <w:color w:val="000000"/>
                <w:sz w:val="24"/>
              </w:rPr>
            </w:pPr>
            <w:r>
              <w:rPr>
                <w:color w:val="000000"/>
                <w:sz w:val="24"/>
              </w:rPr>
            </w:r>
            <w:r/>
          </w:p>
        </w:tc>
        <w:tc>
          <w:tcPr>
            <w:tcW w:w="2427" w:type="dxa"/>
            <w:vAlign w:val="center"/>
            <w:textDirection w:val="lrTb"/>
            <w:noWrap w:val="false"/>
          </w:tcPr>
          <w:p>
            <w:pPr>
              <w:pStyle w:val="905"/>
              <w:jc w:val="center"/>
              <w:rPr>
                <w:color w:val="000000"/>
                <w:sz w:val="24"/>
              </w:rPr>
            </w:pPr>
            <w:r>
              <w:rPr>
                <w:color w:val="000000"/>
                <w:sz w:val="24"/>
              </w:rPr>
            </w:r>
            <w:r/>
          </w:p>
        </w:tc>
        <w:tc>
          <w:tcPr>
            <w:tcW w:w="782" w:type="dxa"/>
            <w:vAlign w:val="center"/>
            <w:textDirection w:val="lrTb"/>
            <w:noWrap w:val="false"/>
          </w:tcPr>
          <w:p>
            <w:pPr>
              <w:pStyle w:val="905"/>
              <w:jc w:val="center"/>
              <w:rPr>
                <w:color w:val="000000"/>
                <w:sz w:val="24"/>
              </w:rPr>
            </w:pPr>
            <w:r>
              <w:rPr>
                <w:color w:val="000000"/>
                <w:sz w:val="24"/>
              </w:rPr>
            </w:r>
            <w:r/>
          </w:p>
        </w:tc>
      </w:tr>
      <w:tr>
        <w:trPr>
          <w:trHeight w:val="930"/>
        </w:trPr>
        <w:tc>
          <w:tcPr>
            <w:tcW w:w="828" w:type="dxa"/>
            <w:vAlign w:val="center"/>
            <w:textDirection w:val="lrTb"/>
            <w:noWrap w:val="false"/>
          </w:tcPr>
          <w:p>
            <w:pPr>
              <w:pStyle w:val="905"/>
              <w:jc w:val="center"/>
              <w:rPr>
                <w:color w:val="000000"/>
                <w:sz w:val="24"/>
              </w:rPr>
            </w:pPr>
            <w:r>
              <w:rPr>
                <w:color w:val="000000"/>
                <w:sz w:val="24"/>
              </w:rPr>
            </w:r>
            <w:r/>
          </w:p>
        </w:tc>
        <w:tc>
          <w:tcPr>
            <w:tcW w:w="1290" w:type="dxa"/>
            <w:vAlign w:val="center"/>
            <w:textDirection w:val="lrTb"/>
            <w:noWrap w:val="false"/>
          </w:tcPr>
          <w:p>
            <w:pPr>
              <w:pStyle w:val="905"/>
              <w:jc w:val="center"/>
              <w:rPr>
                <w:color w:val="000000"/>
                <w:sz w:val="24"/>
              </w:rPr>
            </w:pPr>
            <w:r>
              <w:rPr>
                <w:color w:val="000000"/>
                <w:sz w:val="24"/>
              </w:rPr>
            </w:r>
            <w:r/>
          </w:p>
        </w:tc>
        <w:tc>
          <w:tcPr>
            <w:tcW w:w="1980" w:type="dxa"/>
            <w:vAlign w:val="center"/>
            <w:textDirection w:val="lrTb"/>
            <w:noWrap w:val="false"/>
          </w:tcPr>
          <w:p>
            <w:pPr>
              <w:pStyle w:val="905"/>
              <w:jc w:val="center"/>
              <w:rPr>
                <w:color w:val="000000"/>
                <w:sz w:val="24"/>
              </w:rPr>
            </w:pPr>
            <w:r>
              <w:rPr>
                <w:color w:val="000000"/>
                <w:sz w:val="24"/>
              </w:rPr>
            </w:r>
            <w:r/>
          </w:p>
        </w:tc>
        <w:tc>
          <w:tcPr>
            <w:tcW w:w="1981" w:type="dxa"/>
            <w:vAlign w:val="center"/>
            <w:textDirection w:val="lrTb"/>
            <w:noWrap w:val="false"/>
          </w:tcPr>
          <w:p>
            <w:pPr>
              <w:pStyle w:val="905"/>
              <w:jc w:val="center"/>
              <w:rPr>
                <w:color w:val="000000"/>
                <w:sz w:val="24"/>
              </w:rPr>
            </w:pPr>
            <w:r>
              <w:rPr>
                <w:color w:val="000000"/>
                <w:sz w:val="24"/>
              </w:rPr>
            </w:r>
            <w:r/>
          </w:p>
        </w:tc>
        <w:tc>
          <w:tcPr>
            <w:tcW w:w="2427" w:type="dxa"/>
            <w:vAlign w:val="center"/>
            <w:textDirection w:val="lrTb"/>
            <w:noWrap w:val="false"/>
          </w:tcPr>
          <w:p>
            <w:pPr>
              <w:pStyle w:val="905"/>
              <w:jc w:val="center"/>
              <w:rPr>
                <w:color w:val="000000"/>
                <w:sz w:val="24"/>
              </w:rPr>
            </w:pPr>
            <w:r>
              <w:rPr>
                <w:color w:val="000000"/>
                <w:sz w:val="24"/>
              </w:rPr>
            </w:r>
            <w:r/>
          </w:p>
        </w:tc>
        <w:tc>
          <w:tcPr>
            <w:tcW w:w="782" w:type="dxa"/>
            <w:vAlign w:val="center"/>
            <w:textDirection w:val="lrTb"/>
            <w:noWrap w:val="false"/>
          </w:tcPr>
          <w:p>
            <w:pPr>
              <w:pStyle w:val="905"/>
              <w:jc w:val="center"/>
              <w:rPr>
                <w:color w:val="000000"/>
                <w:sz w:val="24"/>
              </w:rPr>
            </w:pPr>
            <w:r>
              <w:rPr>
                <w:color w:val="000000"/>
                <w:sz w:val="24"/>
              </w:rPr>
            </w:r>
            <w:r/>
          </w:p>
        </w:tc>
      </w:tr>
      <w:tr>
        <w:trPr>
          <w:trHeight w:val="930"/>
        </w:trPr>
        <w:tc>
          <w:tcPr>
            <w:tcW w:w="828" w:type="dxa"/>
            <w:vAlign w:val="center"/>
            <w:textDirection w:val="lrTb"/>
            <w:noWrap w:val="false"/>
          </w:tcPr>
          <w:p>
            <w:pPr>
              <w:pStyle w:val="905"/>
              <w:jc w:val="center"/>
              <w:rPr>
                <w:color w:val="000000"/>
                <w:sz w:val="24"/>
              </w:rPr>
            </w:pPr>
            <w:r>
              <w:rPr>
                <w:color w:val="000000"/>
                <w:sz w:val="24"/>
              </w:rPr>
            </w:r>
            <w:r/>
          </w:p>
        </w:tc>
        <w:tc>
          <w:tcPr>
            <w:tcW w:w="1290" w:type="dxa"/>
            <w:vAlign w:val="center"/>
            <w:textDirection w:val="lrTb"/>
            <w:noWrap w:val="false"/>
          </w:tcPr>
          <w:p>
            <w:pPr>
              <w:pStyle w:val="905"/>
              <w:jc w:val="center"/>
              <w:rPr>
                <w:color w:val="000000"/>
                <w:sz w:val="24"/>
              </w:rPr>
            </w:pPr>
            <w:r>
              <w:rPr>
                <w:color w:val="000000"/>
                <w:sz w:val="24"/>
              </w:rPr>
            </w:r>
            <w:r/>
          </w:p>
        </w:tc>
        <w:tc>
          <w:tcPr>
            <w:tcW w:w="1980" w:type="dxa"/>
            <w:vAlign w:val="center"/>
            <w:textDirection w:val="lrTb"/>
            <w:noWrap w:val="false"/>
          </w:tcPr>
          <w:p>
            <w:pPr>
              <w:pStyle w:val="905"/>
              <w:jc w:val="center"/>
              <w:rPr>
                <w:color w:val="000000"/>
                <w:sz w:val="24"/>
              </w:rPr>
            </w:pPr>
            <w:r>
              <w:rPr>
                <w:color w:val="000000"/>
                <w:sz w:val="24"/>
              </w:rPr>
            </w:r>
            <w:r/>
          </w:p>
        </w:tc>
        <w:tc>
          <w:tcPr>
            <w:tcW w:w="1981" w:type="dxa"/>
            <w:vAlign w:val="center"/>
            <w:textDirection w:val="lrTb"/>
            <w:noWrap w:val="false"/>
          </w:tcPr>
          <w:p>
            <w:pPr>
              <w:pStyle w:val="905"/>
              <w:jc w:val="center"/>
              <w:rPr>
                <w:color w:val="000000"/>
                <w:sz w:val="24"/>
              </w:rPr>
            </w:pPr>
            <w:r>
              <w:rPr>
                <w:color w:val="000000"/>
                <w:sz w:val="24"/>
              </w:rPr>
            </w:r>
            <w:r/>
          </w:p>
        </w:tc>
        <w:tc>
          <w:tcPr>
            <w:tcW w:w="2427" w:type="dxa"/>
            <w:vAlign w:val="center"/>
            <w:textDirection w:val="lrTb"/>
            <w:noWrap w:val="false"/>
          </w:tcPr>
          <w:p>
            <w:pPr>
              <w:pStyle w:val="905"/>
              <w:jc w:val="center"/>
              <w:rPr>
                <w:color w:val="000000"/>
                <w:sz w:val="24"/>
              </w:rPr>
            </w:pPr>
            <w:r>
              <w:rPr>
                <w:color w:val="000000"/>
                <w:sz w:val="24"/>
              </w:rPr>
            </w:r>
            <w:r/>
          </w:p>
        </w:tc>
        <w:tc>
          <w:tcPr>
            <w:tcW w:w="782" w:type="dxa"/>
            <w:vAlign w:val="center"/>
            <w:textDirection w:val="lrTb"/>
            <w:noWrap w:val="false"/>
          </w:tcPr>
          <w:p>
            <w:pPr>
              <w:pStyle w:val="905"/>
              <w:jc w:val="center"/>
              <w:rPr>
                <w:color w:val="000000"/>
                <w:sz w:val="24"/>
              </w:rPr>
            </w:pPr>
            <w:r>
              <w:rPr>
                <w:color w:val="000000"/>
                <w:sz w:val="24"/>
              </w:rPr>
            </w:r>
            <w:r/>
          </w:p>
        </w:tc>
      </w:tr>
    </w:tbl>
    <w:p>
      <w:pPr>
        <w:pStyle w:val="905"/>
        <w:jc w:val="left"/>
        <w:tabs>
          <w:tab w:val="left" w:pos="1800" w:leader="none"/>
          <w:tab w:val="left" w:pos="5580" w:leader="none"/>
        </w:tabs>
        <w:rPr>
          <w:color w:val="000000"/>
          <w:sz w:val="24"/>
        </w:rPr>
      </w:pPr>
      <w:r>
        <w:rPr>
          <w:color w:val="000000"/>
          <w:sz w:val="24"/>
        </w:rPr>
      </w:r>
      <w:r/>
    </w:p>
    <w:p>
      <w:pPr>
        <w:pStyle w:val="905"/>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905"/>
        <w:jc w:val="left"/>
        <w:tabs>
          <w:tab w:val="left" w:pos="1800" w:leader="none"/>
          <w:tab w:val="left" w:pos="5580" w:leader="none"/>
        </w:tabs>
        <w:rPr>
          <w:color w:val="000000"/>
          <w:sz w:val="24"/>
        </w:rPr>
      </w:pPr>
      <w:r>
        <w:rPr>
          <w:color w:val="000000"/>
          <w:sz w:val="24"/>
        </w:rPr>
        <w:t xml:space="preserve">1. </w:t>
      </w:r>
      <w:r>
        <w:rPr>
          <w:rFonts w:hint="eastAsia"/>
          <w:color w:val="000000"/>
          <w:sz w:val="24"/>
        </w:rPr>
        <w:t xml:space="preserve">对合同条款中的所有要求，除本表所列明的所有偏离外，均视作供应商已对之理解和响应。</w:t>
      </w:r>
      <w:r>
        <w:rPr>
          <w:color w:val="000000"/>
          <w:sz w:val="24"/>
        </w:rPr>
      </w:r>
      <w:r/>
    </w:p>
    <w:p>
      <w:pPr>
        <w:pStyle w:val="905"/>
        <w:jc w:val="left"/>
        <w:tabs>
          <w:tab w:val="left" w:pos="1800" w:leader="none"/>
          <w:tab w:val="left" w:pos="5580" w:leader="none"/>
        </w:tabs>
        <w:rPr>
          <w:color w:val="000000"/>
          <w:sz w:val="24"/>
        </w:rPr>
      </w:pPr>
      <w:r>
        <w:rPr>
          <w:color w:val="000000"/>
          <w:sz w:val="24"/>
        </w:rPr>
        <w:t xml:space="preserve">2. </w:t>
      </w:r>
      <w:r>
        <w:rPr>
          <w:rFonts w:hint="eastAsia"/>
          <w:color w:val="000000"/>
          <w:sz w:val="24"/>
        </w:rPr>
        <w:t xml:space="preserve">“偏离情况”列应据实填写“正偏离”或“负偏离”。</w:t>
      </w:r>
      <w:r>
        <w:rPr>
          <w:color w:val="000000"/>
          <w:sz w:val="24"/>
        </w:rPr>
      </w:r>
      <w:r/>
    </w:p>
    <w:p>
      <w:pPr>
        <w:pStyle w:val="905"/>
        <w:spacing w:line="360" w:lineRule="auto"/>
        <w:rPr>
          <w:color w:val="000000"/>
          <w:sz w:val="24"/>
          <w:szCs w:val="20"/>
        </w:rPr>
      </w:pPr>
      <w:r>
        <w:rPr>
          <w:color w:val="000000"/>
          <w:sz w:val="24"/>
          <w:szCs w:val="20"/>
        </w:rPr>
      </w:r>
      <w:r/>
    </w:p>
    <w:p>
      <w:pPr>
        <w:pStyle w:val="9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5"/>
        <w:spacing w:before="25" w:after="25" w:line="360" w:lineRule="auto"/>
        <w:rPr>
          <w:color w:val="000000"/>
          <w:sz w:val="24"/>
          <w:lang w:val="zh-CN"/>
        </w:rPr>
      </w:pPr>
      <w:r>
        <w:rPr>
          <w:color w:val="000000"/>
          <w:sz w:val="24"/>
        </w:rPr>
        <w:t xml:space="preserve">供应商名称（加盖公章）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9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5"/>
        <w:spacing w:line="360" w:lineRule="auto"/>
        <w:rPr>
          <w:color w:val="000000"/>
          <w:sz w:val="24"/>
          <w:szCs w:val="20"/>
        </w:rPr>
        <w:outlineLvl w:val="2"/>
      </w:pPr>
      <w:r>
        <w:rPr>
          <w:color w:val="000000"/>
          <w:sz w:val="24"/>
          <w:szCs w:val="20"/>
        </w:rPr>
        <w:br w:type="page" w:clear="all"/>
      </w:r>
      <w:r>
        <w:rPr>
          <w:color w:val="000000"/>
          <w:sz w:val="24"/>
          <w:szCs w:val="20"/>
        </w:rPr>
      </w:r>
      <w:r/>
    </w:p>
    <w:p>
      <w:pPr>
        <w:pStyle w:val="905"/>
        <w:spacing w:line="360" w:lineRule="auto"/>
        <w:rPr>
          <w:color w:val="000000"/>
          <w:sz w:val="24"/>
          <w:szCs w:val="20"/>
        </w:rPr>
        <w:outlineLvl w:val="2"/>
      </w:pPr>
      <w:r>
        <w:rPr>
          <w:rFonts w:hint="eastAsia"/>
          <w:color w:val="000000"/>
          <w:sz w:val="24"/>
          <w:szCs w:val="20"/>
          <w:lang w:val="en-US" w:eastAsia="zh-CN"/>
        </w:rPr>
        <w:t xml:space="preserve">8</w:t>
      </w:r>
      <w:r>
        <w:rPr>
          <w:color w:val="000000"/>
          <w:sz w:val="24"/>
          <w:szCs w:val="20"/>
        </w:rPr>
        <w:t xml:space="preserve"> </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color w:val="000000"/>
          <w:sz w:val="24"/>
          <w:szCs w:val="20"/>
        </w:rPr>
        <w:t xml:space="preserve">采购需求偏离表</w:t>
      </w:r>
      <w:r>
        <w:rPr>
          <w:color w:val="000000"/>
          <w:sz w:val="24"/>
          <w:szCs w:val="20"/>
        </w:rPr>
      </w:r>
      <w:r/>
    </w:p>
    <w:p>
      <w:pPr>
        <w:pStyle w:val="905"/>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905"/>
        <w:jc w:val="center"/>
        <w:rPr>
          <w:color w:val="000000"/>
          <w:sz w:val="36"/>
          <w:szCs w:val="36"/>
        </w:rPr>
      </w:pPr>
      <w:r>
        <w:rPr>
          <w:color w:val="000000"/>
          <w:sz w:val="36"/>
          <w:szCs w:val="36"/>
        </w:rPr>
      </w:r>
      <w:r/>
    </w:p>
    <w:p>
      <w:pPr>
        <w:pStyle w:val="905"/>
        <w:ind w:firstLine="360"/>
        <w:jc w:val="left"/>
        <w:spacing w:line="360" w:lineRule="auto"/>
        <w:tabs>
          <w:tab w:val="left" w:pos="1800" w:leader="none"/>
          <w:tab w:val="left" w:pos="5580" w:leader="none"/>
        </w:tabs>
        <w:rPr>
          <w:color w:val="000000"/>
          <w:sz w:val="24"/>
          <w:szCs w:val="24"/>
        </w:rPr>
      </w:pPr>
      <w:r>
        <w:rPr>
          <w:color w:val="000000"/>
          <w:sz w:val="24"/>
        </w:rPr>
        <w:t xml:space="preserve">项目编号/包号：_____________________     </w:t>
      </w:r>
      <w:r>
        <w:rPr>
          <w:color w:val="000000"/>
          <w:sz w:val="24"/>
          <w:u w:val="single"/>
        </w:rPr>
      </w:r>
    </w:p>
    <w:p>
      <w:pPr>
        <w:ind w:firstLine="360"/>
        <w:jc w:val="left"/>
        <w:spacing w:line="360" w:lineRule="auto"/>
        <w:tabs>
          <w:tab w:val="left" w:pos="1800" w:leader="none"/>
          <w:tab w:val="left" w:pos="5580" w:leader="none"/>
        </w:tabs>
        <w:rPr>
          <w:color w:val="000000"/>
          <w:sz w:val="24"/>
          <w:szCs w:val="24"/>
          <w:u w:val="single"/>
        </w:rPr>
      </w:pPr>
      <w:r>
        <w:rPr>
          <w:color w:val="000000"/>
          <w:sz w:val="24"/>
        </w:rPr>
        <w:t xml:space="preserve">项目名称：_______________________</w:t>
      </w: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5"/>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905"/>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905"/>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905"/>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905"/>
              <w:jc w:val="center"/>
              <w:rPr>
                <w:color w:val="000000"/>
                <w:sz w:val="24"/>
              </w:rPr>
            </w:pPr>
            <w:r>
              <w:rPr>
                <w:color w:val="000000"/>
                <w:sz w:val="24"/>
              </w:rPr>
              <w:t xml:space="preserve">偏离情况</w:t>
            </w:r>
            <w:r>
              <w:rPr>
                <w:color w:val="000000"/>
                <w:sz w:val="24"/>
              </w:rPr>
            </w:r>
            <w:r/>
          </w:p>
          <w:p>
            <w:pPr>
              <w:pStyle w:val="905"/>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905"/>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905"/>
              <w:jc w:val="center"/>
              <w:rPr>
                <w:color w:val="000000"/>
                <w:sz w:val="24"/>
              </w:rPr>
            </w:pPr>
            <w:r>
              <w:rPr>
                <w:color w:val="000000"/>
                <w:sz w:val="24"/>
              </w:rPr>
            </w:r>
            <w:r/>
          </w:p>
        </w:tc>
        <w:tc>
          <w:tcPr>
            <w:tcW w:w="1482" w:type="dxa"/>
            <w:vAlign w:val="center"/>
            <w:textDirection w:val="lrTb"/>
            <w:noWrap w:val="false"/>
          </w:tcPr>
          <w:p>
            <w:pPr>
              <w:pStyle w:val="905"/>
              <w:jc w:val="center"/>
              <w:rPr>
                <w:color w:val="000000"/>
                <w:sz w:val="24"/>
              </w:rPr>
            </w:pPr>
            <w:r>
              <w:rPr>
                <w:color w:val="000000"/>
                <w:sz w:val="24"/>
              </w:rPr>
            </w:r>
            <w:r/>
          </w:p>
        </w:tc>
        <w:tc>
          <w:tcPr>
            <w:tcW w:w="2384" w:type="dxa"/>
            <w:vAlign w:val="center"/>
            <w:textDirection w:val="lrTb"/>
            <w:noWrap w:val="false"/>
          </w:tcPr>
          <w:p>
            <w:pPr>
              <w:pStyle w:val="905"/>
              <w:jc w:val="center"/>
              <w:rPr>
                <w:color w:val="000000"/>
                <w:sz w:val="24"/>
              </w:rPr>
            </w:pPr>
            <w:r>
              <w:rPr>
                <w:color w:val="000000"/>
                <w:sz w:val="24"/>
              </w:rPr>
            </w:r>
            <w:r/>
          </w:p>
        </w:tc>
        <w:tc>
          <w:tcPr>
            <w:tcW w:w="2126" w:type="dxa"/>
            <w:vAlign w:val="center"/>
            <w:textDirection w:val="lrTb"/>
            <w:noWrap w:val="false"/>
          </w:tcPr>
          <w:p>
            <w:pPr>
              <w:pStyle w:val="905"/>
              <w:jc w:val="center"/>
              <w:rPr>
                <w:color w:val="000000"/>
                <w:sz w:val="24"/>
              </w:rPr>
            </w:pPr>
            <w:r>
              <w:rPr>
                <w:color w:val="000000"/>
                <w:sz w:val="24"/>
              </w:rPr>
            </w:r>
            <w:r/>
          </w:p>
        </w:tc>
        <w:tc>
          <w:tcPr>
            <w:tcW w:w="1875" w:type="dxa"/>
            <w:vAlign w:val="center"/>
            <w:textDirection w:val="lrTb"/>
            <w:noWrap w:val="false"/>
          </w:tcPr>
          <w:p>
            <w:pPr>
              <w:pStyle w:val="905"/>
              <w:jc w:val="center"/>
              <w:rPr>
                <w:color w:val="000000"/>
                <w:sz w:val="24"/>
              </w:rPr>
            </w:pPr>
            <w:r>
              <w:rPr>
                <w:color w:val="000000"/>
                <w:sz w:val="24"/>
              </w:rPr>
            </w:r>
            <w:r/>
          </w:p>
        </w:tc>
        <w:tc>
          <w:tcPr>
            <w:tcW w:w="1009" w:type="dxa"/>
            <w:vAlign w:val="center"/>
            <w:textDirection w:val="lrTb"/>
            <w:noWrap w:val="false"/>
          </w:tcPr>
          <w:p>
            <w:pPr>
              <w:pStyle w:val="905"/>
              <w:jc w:val="center"/>
              <w:rPr>
                <w:color w:val="000000"/>
                <w:sz w:val="24"/>
              </w:rPr>
            </w:pPr>
            <w:r>
              <w:rPr>
                <w:color w:val="000000"/>
                <w:sz w:val="24"/>
              </w:rPr>
            </w:r>
            <w:r/>
          </w:p>
        </w:tc>
      </w:tr>
      <w:tr>
        <w:trPr>
          <w:trHeight w:val="930"/>
        </w:trPr>
        <w:tc>
          <w:tcPr>
            <w:tcW w:w="775" w:type="dxa"/>
            <w:vAlign w:val="center"/>
            <w:textDirection w:val="lrTb"/>
            <w:noWrap w:val="false"/>
          </w:tcPr>
          <w:p>
            <w:pPr>
              <w:pStyle w:val="905"/>
              <w:jc w:val="center"/>
              <w:rPr>
                <w:color w:val="000000"/>
                <w:sz w:val="24"/>
              </w:rPr>
            </w:pPr>
            <w:r>
              <w:rPr>
                <w:color w:val="000000"/>
                <w:sz w:val="24"/>
              </w:rPr>
            </w:r>
            <w:r/>
          </w:p>
        </w:tc>
        <w:tc>
          <w:tcPr>
            <w:tcW w:w="1482" w:type="dxa"/>
            <w:vAlign w:val="center"/>
            <w:textDirection w:val="lrTb"/>
            <w:noWrap w:val="false"/>
          </w:tcPr>
          <w:p>
            <w:pPr>
              <w:pStyle w:val="905"/>
              <w:jc w:val="center"/>
              <w:rPr>
                <w:color w:val="000000"/>
                <w:sz w:val="24"/>
              </w:rPr>
            </w:pPr>
            <w:r>
              <w:rPr>
                <w:color w:val="000000"/>
                <w:sz w:val="24"/>
              </w:rPr>
            </w:r>
            <w:r/>
          </w:p>
        </w:tc>
        <w:tc>
          <w:tcPr>
            <w:tcW w:w="2384" w:type="dxa"/>
            <w:vAlign w:val="center"/>
            <w:textDirection w:val="lrTb"/>
            <w:noWrap w:val="false"/>
          </w:tcPr>
          <w:p>
            <w:pPr>
              <w:pStyle w:val="905"/>
              <w:jc w:val="center"/>
              <w:rPr>
                <w:color w:val="000000"/>
                <w:sz w:val="24"/>
              </w:rPr>
            </w:pPr>
            <w:r>
              <w:rPr>
                <w:color w:val="000000"/>
                <w:sz w:val="24"/>
              </w:rPr>
            </w:r>
            <w:r/>
          </w:p>
        </w:tc>
        <w:tc>
          <w:tcPr>
            <w:tcW w:w="2126" w:type="dxa"/>
            <w:vAlign w:val="center"/>
            <w:textDirection w:val="lrTb"/>
            <w:noWrap w:val="false"/>
          </w:tcPr>
          <w:p>
            <w:pPr>
              <w:pStyle w:val="905"/>
              <w:jc w:val="center"/>
              <w:rPr>
                <w:color w:val="000000"/>
                <w:sz w:val="24"/>
              </w:rPr>
            </w:pPr>
            <w:r>
              <w:rPr>
                <w:color w:val="000000"/>
                <w:sz w:val="24"/>
              </w:rPr>
            </w:r>
            <w:r/>
          </w:p>
        </w:tc>
        <w:tc>
          <w:tcPr>
            <w:tcW w:w="1875" w:type="dxa"/>
            <w:vAlign w:val="center"/>
            <w:textDirection w:val="lrTb"/>
            <w:noWrap w:val="false"/>
          </w:tcPr>
          <w:p>
            <w:pPr>
              <w:pStyle w:val="905"/>
              <w:jc w:val="center"/>
              <w:rPr>
                <w:color w:val="000000"/>
                <w:sz w:val="24"/>
              </w:rPr>
            </w:pPr>
            <w:r>
              <w:rPr>
                <w:color w:val="000000"/>
                <w:sz w:val="24"/>
              </w:rPr>
            </w:r>
            <w:r/>
          </w:p>
        </w:tc>
        <w:tc>
          <w:tcPr>
            <w:tcW w:w="1009" w:type="dxa"/>
            <w:vAlign w:val="center"/>
            <w:textDirection w:val="lrTb"/>
            <w:noWrap w:val="false"/>
          </w:tcPr>
          <w:p>
            <w:pPr>
              <w:pStyle w:val="905"/>
              <w:jc w:val="center"/>
              <w:rPr>
                <w:color w:val="000000"/>
                <w:sz w:val="24"/>
              </w:rPr>
            </w:pPr>
            <w:r>
              <w:rPr>
                <w:color w:val="000000"/>
                <w:sz w:val="24"/>
              </w:rPr>
            </w:r>
            <w:r/>
          </w:p>
        </w:tc>
      </w:tr>
      <w:tr>
        <w:trPr>
          <w:trHeight w:val="930"/>
        </w:trPr>
        <w:tc>
          <w:tcPr>
            <w:tcW w:w="775" w:type="dxa"/>
            <w:vAlign w:val="center"/>
            <w:textDirection w:val="lrTb"/>
            <w:noWrap w:val="false"/>
          </w:tcPr>
          <w:p>
            <w:pPr>
              <w:pStyle w:val="905"/>
              <w:jc w:val="center"/>
              <w:rPr>
                <w:color w:val="000000"/>
                <w:sz w:val="24"/>
              </w:rPr>
            </w:pPr>
            <w:r>
              <w:rPr>
                <w:color w:val="000000"/>
                <w:sz w:val="24"/>
              </w:rPr>
            </w:r>
            <w:r/>
          </w:p>
        </w:tc>
        <w:tc>
          <w:tcPr>
            <w:tcW w:w="1482" w:type="dxa"/>
            <w:vAlign w:val="center"/>
            <w:textDirection w:val="lrTb"/>
            <w:noWrap w:val="false"/>
          </w:tcPr>
          <w:p>
            <w:pPr>
              <w:pStyle w:val="905"/>
              <w:jc w:val="center"/>
              <w:rPr>
                <w:color w:val="000000"/>
                <w:sz w:val="24"/>
              </w:rPr>
            </w:pPr>
            <w:r>
              <w:rPr>
                <w:color w:val="000000"/>
                <w:sz w:val="24"/>
              </w:rPr>
            </w:r>
            <w:r/>
          </w:p>
        </w:tc>
        <w:tc>
          <w:tcPr>
            <w:tcW w:w="2384" w:type="dxa"/>
            <w:vAlign w:val="center"/>
            <w:textDirection w:val="lrTb"/>
            <w:noWrap w:val="false"/>
          </w:tcPr>
          <w:p>
            <w:pPr>
              <w:pStyle w:val="905"/>
              <w:jc w:val="center"/>
              <w:rPr>
                <w:color w:val="000000"/>
                <w:sz w:val="24"/>
              </w:rPr>
            </w:pPr>
            <w:r>
              <w:rPr>
                <w:color w:val="000000"/>
                <w:sz w:val="24"/>
              </w:rPr>
            </w:r>
            <w:r/>
          </w:p>
        </w:tc>
        <w:tc>
          <w:tcPr>
            <w:tcW w:w="2126" w:type="dxa"/>
            <w:vAlign w:val="center"/>
            <w:textDirection w:val="lrTb"/>
            <w:noWrap w:val="false"/>
          </w:tcPr>
          <w:p>
            <w:pPr>
              <w:pStyle w:val="905"/>
              <w:jc w:val="center"/>
              <w:rPr>
                <w:color w:val="000000"/>
                <w:sz w:val="24"/>
              </w:rPr>
            </w:pPr>
            <w:r>
              <w:rPr>
                <w:color w:val="000000"/>
                <w:sz w:val="24"/>
              </w:rPr>
            </w:r>
            <w:r/>
          </w:p>
        </w:tc>
        <w:tc>
          <w:tcPr>
            <w:tcW w:w="1875" w:type="dxa"/>
            <w:vAlign w:val="center"/>
            <w:textDirection w:val="lrTb"/>
            <w:noWrap w:val="false"/>
          </w:tcPr>
          <w:p>
            <w:pPr>
              <w:pStyle w:val="905"/>
              <w:jc w:val="center"/>
              <w:rPr>
                <w:color w:val="000000"/>
                <w:sz w:val="24"/>
              </w:rPr>
            </w:pPr>
            <w:r>
              <w:rPr>
                <w:color w:val="000000"/>
                <w:sz w:val="24"/>
              </w:rPr>
            </w:r>
            <w:r/>
          </w:p>
        </w:tc>
        <w:tc>
          <w:tcPr>
            <w:tcW w:w="1009" w:type="dxa"/>
            <w:vAlign w:val="center"/>
            <w:textDirection w:val="lrTb"/>
            <w:noWrap w:val="false"/>
          </w:tcPr>
          <w:p>
            <w:pPr>
              <w:pStyle w:val="905"/>
              <w:jc w:val="center"/>
              <w:rPr>
                <w:color w:val="000000"/>
                <w:sz w:val="24"/>
              </w:rPr>
            </w:pPr>
            <w:r>
              <w:rPr>
                <w:color w:val="000000"/>
                <w:sz w:val="24"/>
              </w:rPr>
            </w:r>
            <w:r/>
          </w:p>
        </w:tc>
      </w:tr>
      <w:tr>
        <w:trPr>
          <w:trHeight w:val="930"/>
        </w:trPr>
        <w:tc>
          <w:tcPr>
            <w:tcW w:w="775" w:type="dxa"/>
            <w:vAlign w:val="center"/>
            <w:textDirection w:val="lrTb"/>
            <w:noWrap w:val="false"/>
          </w:tcPr>
          <w:p>
            <w:pPr>
              <w:pStyle w:val="905"/>
              <w:jc w:val="center"/>
              <w:rPr>
                <w:color w:val="000000"/>
                <w:sz w:val="24"/>
              </w:rPr>
            </w:pPr>
            <w:r>
              <w:rPr>
                <w:color w:val="000000"/>
                <w:sz w:val="24"/>
              </w:rPr>
            </w:r>
            <w:r/>
          </w:p>
        </w:tc>
        <w:tc>
          <w:tcPr>
            <w:tcW w:w="1482" w:type="dxa"/>
            <w:vAlign w:val="center"/>
            <w:textDirection w:val="lrTb"/>
            <w:noWrap w:val="false"/>
          </w:tcPr>
          <w:p>
            <w:pPr>
              <w:pStyle w:val="905"/>
              <w:jc w:val="center"/>
              <w:rPr>
                <w:color w:val="000000"/>
                <w:sz w:val="24"/>
              </w:rPr>
            </w:pPr>
            <w:r>
              <w:rPr>
                <w:color w:val="000000"/>
                <w:sz w:val="24"/>
              </w:rPr>
            </w:r>
            <w:r/>
          </w:p>
        </w:tc>
        <w:tc>
          <w:tcPr>
            <w:tcW w:w="2384" w:type="dxa"/>
            <w:vAlign w:val="center"/>
            <w:textDirection w:val="lrTb"/>
            <w:noWrap w:val="false"/>
          </w:tcPr>
          <w:p>
            <w:pPr>
              <w:pStyle w:val="905"/>
              <w:jc w:val="center"/>
              <w:rPr>
                <w:color w:val="000000"/>
                <w:sz w:val="24"/>
              </w:rPr>
            </w:pPr>
            <w:r>
              <w:rPr>
                <w:color w:val="000000"/>
                <w:sz w:val="24"/>
              </w:rPr>
            </w:r>
            <w:r/>
          </w:p>
        </w:tc>
        <w:tc>
          <w:tcPr>
            <w:tcW w:w="2126" w:type="dxa"/>
            <w:vAlign w:val="center"/>
            <w:textDirection w:val="lrTb"/>
            <w:noWrap w:val="false"/>
          </w:tcPr>
          <w:p>
            <w:pPr>
              <w:pStyle w:val="905"/>
              <w:jc w:val="center"/>
              <w:rPr>
                <w:color w:val="000000"/>
                <w:sz w:val="24"/>
              </w:rPr>
            </w:pPr>
            <w:r>
              <w:rPr>
                <w:color w:val="000000"/>
                <w:sz w:val="24"/>
              </w:rPr>
            </w:r>
            <w:r/>
          </w:p>
        </w:tc>
        <w:tc>
          <w:tcPr>
            <w:tcW w:w="1875" w:type="dxa"/>
            <w:vAlign w:val="center"/>
            <w:textDirection w:val="lrTb"/>
            <w:noWrap w:val="false"/>
          </w:tcPr>
          <w:p>
            <w:pPr>
              <w:pStyle w:val="905"/>
              <w:jc w:val="center"/>
              <w:rPr>
                <w:color w:val="000000"/>
                <w:sz w:val="24"/>
              </w:rPr>
            </w:pPr>
            <w:r>
              <w:rPr>
                <w:color w:val="000000"/>
                <w:sz w:val="24"/>
              </w:rPr>
            </w:r>
            <w:r/>
          </w:p>
        </w:tc>
        <w:tc>
          <w:tcPr>
            <w:tcW w:w="1009" w:type="dxa"/>
            <w:vAlign w:val="center"/>
            <w:textDirection w:val="lrTb"/>
            <w:noWrap w:val="false"/>
          </w:tcPr>
          <w:p>
            <w:pPr>
              <w:pStyle w:val="905"/>
              <w:jc w:val="center"/>
              <w:rPr>
                <w:color w:val="000000"/>
                <w:sz w:val="24"/>
              </w:rPr>
            </w:pPr>
            <w:r>
              <w:rPr>
                <w:color w:val="000000"/>
                <w:sz w:val="24"/>
              </w:rPr>
            </w:r>
            <w:r/>
          </w:p>
        </w:tc>
      </w:tr>
      <w:tr>
        <w:trPr>
          <w:trHeight w:val="930"/>
        </w:trPr>
        <w:tc>
          <w:tcPr>
            <w:tcW w:w="775" w:type="dxa"/>
            <w:vAlign w:val="center"/>
            <w:textDirection w:val="lrTb"/>
            <w:noWrap w:val="false"/>
          </w:tcPr>
          <w:p>
            <w:pPr>
              <w:pStyle w:val="905"/>
              <w:jc w:val="center"/>
              <w:rPr>
                <w:color w:val="000000"/>
                <w:sz w:val="24"/>
              </w:rPr>
            </w:pPr>
            <w:r>
              <w:rPr>
                <w:color w:val="000000"/>
                <w:sz w:val="24"/>
              </w:rPr>
            </w:r>
            <w:r/>
          </w:p>
        </w:tc>
        <w:tc>
          <w:tcPr>
            <w:tcW w:w="1482" w:type="dxa"/>
            <w:vAlign w:val="center"/>
            <w:textDirection w:val="lrTb"/>
            <w:noWrap w:val="false"/>
          </w:tcPr>
          <w:p>
            <w:pPr>
              <w:pStyle w:val="905"/>
              <w:jc w:val="center"/>
              <w:rPr>
                <w:color w:val="000000"/>
                <w:sz w:val="24"/>
              </w:rPr>
            </w:pPr>
            <w:r>
              <w:rPr>
                <w:color w:val="000000"/>
                <w:sz w:val="24"/>
              </w:rPr>
            </w:r>
            <w:r/>
          </w:p>
        </w:tc>
        <w:tc>
          <w:tcPr>
            <w:tcW w:w="2384" w:type="dxa"/>
            <w:vAlign w:val="center"/>
            <w:textDirection w:val="lrTb"/>
            <w:noWrap w:val="false"/>
          </w:tcPr>
          <w:p>
            <w:pPr>
              <w:pStyle w:val="905"/>
              <w:jc w:val="center"/>
              <w:rPr>
                <w:color w:val="000000"/>
                <w:sz w:val="24"/>
              </w:rPr>
            </w:pPr>
            <w:r>
              <w:rPr>
                <w:color w:val="000000"/>
                <w:sz w:val="24"/>
              </w:rPr>
            </w:r>
            <w:r/>
          </w:p>
        </w:tc>
        <w:tc>
          <w:tcPr>
            <w:tcW w:w="2126" w:type="dxa"/>
            <w:vAlign w:val="center"/>
            <w:textDirection w:val="lrTb"/>
            <w:noWrap w:val="false"/>
          </w:tcPr>
          <w:p>
            <w:pPr>
              <w:pStyle w:val="905"/>
              <w:jc w:val="center"/>
              <w:rPr>
                <w:color w:val="000000"/>
                <w:sz w:val="24"/>
              </w:rPr>
            </w:pPr>
            <w:r>
              <w:rPr>
                <w:color w:val="000000"/>
                <w:sz w:val="24"/>
              </w:rPr>
            </w:r>
            <w:r/>
          </w:p>
        </w:tc>
        <w:tc>
          <w:tcPr>
            <w:tcW w:w="1875" w:type="dxa"/>
            <w:vAlign w:val="center"/>
            <w:textDirection w:val="lrTb"/>
            <w:noWrap w:val="false"/>
          </w:tcPr>
          <w:p>
            <w:pPr>
              <w:pStyle w:val="905"/>
              <w:jc w:val="center"/>
              <w:rPr>
                <w:color w:val="000000"/>
                <w:sz w:val="24"/>
              </w:rPr>
            </w:pPr>
            <w:r>
              <w:rPr>
                <w:color w:val="000000"/>
                <w:sz w:val="24"/>
              </w:rPr>
            </w:r>
            <w:r/>
          </w:p>
        </w:tc>
        <w:tc>
          <w:tcPr>
            <w:tcW w:w="1009" w:type="dxa"/>
            <w:vAlign w:val="center"/>
            <w:textDirection w:val="lrTb"/>
            <w:noWrap w:val="false"/>
          </w:tcPr>
          <w:p>
            <w:pPr>
              <w:pStyle w:val="905"/>
              <w:jc w:val="center"/>
              <w:rPr>
                <w:color w:val="000000"/>
                <w:sz w:val="24"/>
              </w:rPr>
            </w:pPr>
            <w:r>
              <w:rPr>
                <w:color w:val="000000"/>
                <w:sz w:val="24"/>
              </w:rPr>
            </w:r>
            <w:r/>
          </w:p>
        </w:tc>
      </w:tr>
      <w:tr>
        <w:trPr>
          <w:trHeight w:val="930"/>
        </w:trPr>
        <w:tc>
          <w:tcPr>
            <w:tcW w:w="775" w:type="dxa"/>
            <w:vAlign w:val="center"/>
            <w:textDirection w:val="lrTb"/>
            <w:noWrap w:val="false"/>
          </w:tcPr>
          <w:p>
            <w:pPr>
              <w:pStyle w:val="905"/>
              <w:jc w:val="center"/>
              <w:rPr>
                <w:color w:val="000000"/>
                <w:sz w:val="24"/>
              </w:rPr>
            </w:pPr>
            <w:r>
              <w:rPr>
                <w:color w:val="000000"/>
                <w:sz w:val="24"/>
              </w:rPr>
            </w:r>
            <w:r/>
          </w:p>
        </w:tc>
        <w:tc>
          <w:tcPr>
            <w:tcW w:w="1482" w:type="dxa"/>
            <w:vAlign w:val="center"/>
            <w:textDirection w:val="lrTb"/>
            <w:noWrap w:val="false"/>
          </w:tcPr>
          <w:p>
            <w:pPr>
              <w:pStyle w:val="905"/>
              <w:jc w:val="center"/>
              <w:rPr>
                <w:color w:val="000000"/>
                <w:sz w:val="24"/>
              </w:rPr>
            </w:pPr>
            <w:r>
              <w:rPr>
                <w:color w:val="000000"/>
                <w:sz w:val="24"/>
              </w:rPr>
            </w:r>
            <w:r/>
          </w:p>
        </w:tc>
        <w:tc>
          <w:tcPr>
            <w:tcW w:w="2384" w:type="dxa"/>
            <w:vAlign w:val="center"/>
            <w:textDirection w:val="lrTb"/>
            <w:noWrap w:val="false"/>
          </w:tcPr>
          <w:p>
            <w:pPr>
              <w:pStyle w:val="905"/>
              <w:jc w:val="center"/>
              <w:rPr>
                <w:color w:val="000000"/>
                <w:sz w:val="24"/>
              </w:rPr>
            </w:pPr>
            <w:r>
              <w:rPr>
                <w:color w:val="000000"/>
                <w:sz w:val="24"/>
              </w:rPr>
            </w:r>
            <w:r/>
          </w:p>
        </w:tc>
        <w:tc>
          <w:tcPr>
            <w:tcW w:w="2126" w:type="dxa"/>
            <w:vAlign w:val="center"/>
            <w:textDirection w:val="lrTb"/>
            <w:noWrap w:val="false"/>
          </w:tcPr>
          <w:p>
            <w:pPr>
              <w:pStyle w:val="905"/>
              <w:jc w:val="center"/>
              <w:rPr>
                <w:color w:val="000000"/>
                <w:sz w:val="24"/>
              </w:rPr>
            </w:pPr>
            <w:r>
              <w:rPr>
                <w:color w:val="000000"/>
                <w:sz w:val="24"/>
              </w:rPr>
            </w:r>
            <w:r/>
          </w:p>
        </w:tc>
        <w:tc>
          <w:tcPr>
            <w:tcW w:w="1875" w:type="dxa"/>
            <w:vAlign w:val="center"/>
            <w:textDirection w:val="lrTb"/>
            <w:noWrap w:val="false"/>
          </w:tcPr>
          <w:p>
            <w:pPr>
              <w:pStyle w:val="905"/>
              <w:jc w:val="center"/>
              <w:rPr>
                <w:color w:val="000000"/>
                <w:sz w:val="24"/>
              </w:rPr>
            </w:pPr>
            <w:r>
              <w:rPr>
                <w:color w:val="000000"/>
                <w:sz w:val="24"/>
              </w:rPr>
            </w:r>
            <w:r/>
          </w:p>
        </w:tc>
        <w:tc>
          <w:tcPr>
            <w:tcW w:w="1009" w:type="dxa"/>
            <w:vAlign w:val="center"/>
            <w:textDirection w:val="lrTb"/>
            <w:noWrap w:val="false"/>
          </w:tcPr>
          <w:p>
            <w:pPr>
              <w:pStyle w:val="905"/>
              <w:jc w:val="center"/>
              <w:rPr>
                <w:color w:val="000000"/>
                <w:sz w:val="24"/>
              </w:rPr>
            </w:pPr>
            <w:r>
              <w:rPr>
                <w:color w:val="000000"/>
                <w:sz w:val="24"/>
              </w:rPr>
            </w:r>
            <w:r/>
          </w:p>
        </w:tc>
      </w:tr>
    </w:tbl>
    <w:p>
      <w:pPr>
        <w:pStyle w:val="905"/>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05"/>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905"/>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05"/>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对磋商文件中的所有商务、技术要求，除本表所列明的所有偏离外，均视作供应商已对之理解和</w:t>
      </w:r>
      <w:r>
        <w:rPr>
          <w:rFonts w:hint="eastAsia"/>
          <w:color w:val="000000"/>
          <w:sz w:val="24"/>
        </w:rPr>
        <w:t xml:space="preserve">响应</w:t>
      </w:r>
      <w:r>
        <w:rPr>
          <w:color w:val="000000"/>
          <w:sz w:val="24"/>
        </w:rPr>
        <w:t xml:space="preserve">。此表中若无任何文字说明，内容为空白，则</w:t>
      </w:r>
      <w:r>
        <w:rPr>
          <w:b/>
          <w:color w:val="000000"/>
          <w:sz w:val="24"/>
        </w:rPr>
        <w:t xml:space="preserve">响应无效</w:t>
      </w:r>
      <w:r>
        <w:rPr>
          <w:color w:val="000000"/>
          <w:sz w:val="24"/>
        </w:rPr>
        <w:t xml:space="preserve">。</w:t>
      </w:r>
      <w:r>
        <w:rPr>
          <w:color w:val="000000"/>
          <w:sz w:val="24"/>
        </w:rPr>
      </w:r>
      <w:r/>
    </w:p>
    <w:p>
      <w:pPr>
        <w:pStyle w:val="905"/>
        <w:jc w:val="left"/>
        <w:tabs>
          <w:tab w:val="left" w:pos="1800" w:leader="none"/>
          <w:tab w:val="left" w:pos="5580" w:leader="none"/>
        </w:tabs>
        <w:rPr>
          <w:color w:val="000000"/>
          <w:sz w:val="24"/>
        </w:rPr>
      </w:pPr>
      <w:r>
        <w:rPr>
          <w:color w:val="000000"/>
          <w:sz w:val="24"/>
        </w:rPr>
        <w:t xml:space="preserve">2.</w:t>
      </w:r>
      <w:r>
        <w:rPr>
          <w:rFonts w:hint="eastAsia"/>
          <w:color w:val="000000"/>
          <w:sz w:val="24"/>
        </w:rPr>
        <w:t xml:space="preserve">“偏离情况”列应据实填写“正偏离”或“负偏离”。</w:t>
      </w:r>
      <w:r>
        <w:rPr>
          <w:color w:val="000000"/>
          <w:sz w:val="24"/>
        </w:rPr>
      </w:r>
      <w:r/>
    </w:p>
    <w:p>
      <w:pPr>
        <w:pStyle w:val="905"/>
        <w:rPr>
          <w:color w:val="000000"/>
          <w:sz w:val="24"/>
          <w:szCs w:val="20"/>
        </w:rPr>
      </w:pPr>
      <w:r>
        <w:rPr>
          <w:color w:val="000000"/>
          <w:sz w:val="24"/>
          <w:szCs w:val="20"/>
        </w:rPr>
      </w:r>
      <w:r/>
    </w:p>
    <w:p>
      <w:pPr>
        <w:pStyle w:val="9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5"/>
        <w:rPr>
          <w:color w:val="000000"/>
          <w:sz w:val="24"/>
          <w:szCs w:val="20"/>
        </w:rPr>
      </w:pPr>
      <w:r>
        <w:rPr>
          <w:color w:val="000000"/>
          <w:sz w:val="24"/>
          <w:szCs w:val="20"/>
        </w:rPr>
      </w:r>
      <w:r/>
    </w:p>
    <w:p>
      <w:pPr>
        <w:pStyle w:val="905"/>
        <w:keepLines w:val="0"/>
        <w:keepNext w:val="0"/>
        <w:pageBreakBefore w:val="0"/>
        <w:spacing w:line="360" w:lineRule="auto"/>
        <w:widowControl w:val="off"/>
        <w:rPr>
          <w:rFonts w:hint="eastAsia"/>
          <w:color w:val="000000"/>
          <w:sz w:val="24"/>
          <w:szCs w:val="20"/>
        </w:rPr>
      </w:pPr>
      <w:r>
        <w:rPr>
          <w:rFonts w:hint="eastAsia"/>
          <w:color w:val="000000"/>
          <w:sz w:val="24"/>
          <w:szCs w:val="20"/>
          <w:lang w:val="en-US" w:eastAsia="zh-CN"/>
        </w:rPr>
        <w:t xml:space="preserve">9 </w:t>
      </w:r>
      <w:r>
        <w:rPr>
          <w:rFonts w:hint="eastAsia"/>
          <w:color w:val="000000"/>
          <w:sz w:val="24"/>
          <w:szCs w:val="20"/>
        </w:rPr>
        <w:t xml:space="preserve">项目服务方案等</w:t>
      </w:r>
      <w:r>
        <w:rPr>
          <w:rFonts w:hint="eastAsia"/>
          <w:color w:val="000000"/>
          <w:sz w:val="24"/>
          <w:szCs w:val="20"/>
        </w:rPr>
      </w:r>
      <w:r/>
    </w:p>
    <w:p>
      <w:pPr>
        <w:pStyle w:val="937"/>
        <w:tabs>
          <w:tab w:val="left" w:pos="567" w:leader="none"/>
        </w:tabs>
        <w:rPr>
          <w:rFonts w:eastAsia="宋体"/>
          <w:color w:val="000000"/>
          <w:lang w:val="en-US" w:eastAsia="zh-CN"/>
        </w:rPr>
      </w:pPr>
      <w:r>
        <w:rPr>
          <w:rFonts w:hint="eastAsia"/>
          <w:color w:val="000000"/>
          <w:sz w:val="24"/>
          <w:szCs w:val="20"/>
          <w:lang w:val="en-US" w:eastAsia="zh-CN"/>
        </w:rPr>
        <w:t xml:space="preserve">可以根据评分标准方案内容填写</w:t>
      </w:r>
      <w:r>
        <w:rPr>
          <w:rFonts w:eastAsia="宋体"/>
          <w:color w:val="000000"/>
          <w:lang w:val="en-US" w:eastAsia="zh-CN"/>
        </w:rPr>
      </w:r>
      <w:r/>
    </w:p>
    <w:p>
      <w:pPr>
        <w:pStyle w:val="905"/>
        <w:keepLines w:val="0"/>
        <w:keepNext w:val="0"/>
        <w:pageBreakBefore w:val="0"/>
        <w:spacing w:line="360" w:lineRule="auto"/>
        <w:widowControl w:val="off"/>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pStyle w:val="937"/>
        <w:tabs>
          <w:tab w:val="left" w:pos="567" w:leader="none"/>
        </w:tabs>
        <w:rPr>
          <w:color w:val="000000"/>
          <w:sz w:val="24"/>
          <w:szCs w:val="20"/>
        </w:rPr>
      </w:pPr>
      <w:r>
        <w:rPr>
          <w:color w:val="000000"/>
          <w:sz w:val="24"/>
          <w:szCs w:val="20"/>
        </w:rPr>
      </w:r>
      <w:r/>
    </w:p>
    <w:p>
      <w:pPr>
        <w:pStyle w:val="905"/>
        <w:rPr>
          <w:color w:val="000000"/>
          <w:sz w:val="24"/>
          <w:szCs w:val="20"/>
        </w:rPr>
      </w:pPr>
      <w:r>
        <w:rPr>
          <w:color w:val="000000"/>
          <w:sz w:val="24"/>
          <w:szCs w:val="20"/>
        </w:rPr>
      </w:r>
      <w:r/>
    </w:p>
    <w:p>
      <w:pPr>
        <w:pStyle w:val="937"/>
        <w:tabs>
          <w:tab w:val="left" w:pos="567" w:leader="none"/>
        </w:tabs>
        <w:rPr>
          <w:color w:val="000000"/>
          <w:sz w:val="24"/>
          <w:szCs w:val="20"/>
        </w:rPr>
      </w:pPr>
      <w:r>
        <w:rPr>
          <w:color w:val="000000"/>
          <w:sz w:val="24"/>
          <w:szCs w:val="20"/>
        </w:rPr>
      </w:r>
      <w:r/>
    </w:p>
    <w:p>
      <w:pPr>
        <w:pStyle w:val="905"/>
        <w:rPr>
          <w:color w:val="000000"/>
          <w:sz w:val="24"/>
          <w:szCs w:val="20"/>
        </w:rPr>
      </w:pPr>
      <w:r>
        <w:rPr>
          <w:color w:val="000000"/>
          <w:sz w:val="24"/>
          <w:szCs w:val="20"/>
        </w:rPr>
      </w:r>
      <w:r/>
    </w:p>
    <w:p>
      <w:pPr>
        <w:pStyle w:val="937"/>
        <w:tabs>
          <w:tab w:val="left" w:pos="567" w:leader="none"/>
        </w:tabs>
        <w:rPr>
          <w:color w:val="000000"/>
        </w:rPr>
      </w:pPr>
      <w:r>
        <w:rPr>
          <w:color w:val="000000"/>
        </w:rPr>
      </w:r>
      <w:r/>
    </w:p>
    <w:p>
      <w:pPr>
        <w:pStyle w:val="905"/>
        <w:spacing w:line="360" w:lineRule="auto"/>
        <w:rPr>
          <w:color w:val="000000"/>
          <w:sz w:val="24"/>
          <w:szCs w:val="20"/>
        </w:rPr>
        <w:outlineLvl w:val="2"/>
      </w:pPr>
      <w:r>
        <w:rPr>
          <w:color w:val="000000"/>
          <w:sz w:val="24"/>
          <w:szCs w:val="20"/>
        </w:rPr>
      </w:r>
      <w:r/>
    </w:p>
    <w:p>
      <w:pPr>
        <w:pStyle w:val="905"/>
        <w:spacing w:line="360" w:lineRule="auto"/>
        <w:rPr>
          <w:color w:val="000000"/>
          <w:sz w:val="24"/>
          <w:szCs w:val="20"/>
        </w:rPr>
        <w:outlineLvl w:val="2"/>
      </w:pPr>
      <w:r>
        <w:rPr>
          <w:color w:val="000000"/>
          <w:sz w:val="24"/>
          <w:szCs w:val="20"/>
        </w:rPr>
      </w:r>
      <w:r/>
    </w:p>
    <w:p>
      <w:pPr>
        <w:spacing w:line="360" w:lineRule="auto"/>
        <w:rPr>
          <w:color w:val="000000"/>
          <w:sz w:val="24"/>
          <w:szCs w:val="24"/>
        </w:rPr>
        <w:outlineLvl w:val="2"/>
      </w:pPr>
      <w:r>
        <w:rPr>
          <w:color w:val="000000"/>
          <w:sz w:val="24"/>
          <w:szCs w:val="20"/>
        </w:rPr>
      </w:r>
      <w:r>
        <w:rPr>
          <w:color w:val="000000"/>
          <w:sz w:val="24"/>
          <w:szCs w:val="20"/>
        </w:rPr>
      </w:r>
    </w:p>
    <w:p>
      <w:pPr>
        <w:spacing w:line="360" w:lineRule="auto"/>
        <w:rPr>
          <w:color w:val="000000"/>
          <w:sz w:val="24"/>
          <w:szCs w:val="24"/>
        </w:rPr>
        <w:outlineLvl w:val="2"/>
      </w:pPr>
      <w:r>
        <w:rPr>
          <w:color w:val="000000"/>
          <w:sz w:val="24"/>
          <w:szCs w:val="24"/>
        </w:rPr>
      </w:r>
      <w:r>
        <w:rPr>
          <w:color w:val="000000"/>
          <w:sz w:val="24"/>
          <w:szCs w:val="24"/>
        </w:rPr>
      </w:r>
    </w:p>
    <w:p>
      <w:pPr>
        <w:pStyle w:val="905"/>
        <w:spacing w:line="360" w:lineRule="auto"/>
        <w:rPr>
          <w:color w:val="000000"/>
          <w:sz w:val="24"/>
          <w:szCs w:val="24"/>
        </w:rPr>
        <w:outlineLvl w:val="2"/>
      </w:pPr>
      <w:r>
        <w:rPr>
          <w:color w:val="000000"/>
          <w:sz w:val="24"/>
          <w:szCs w:val="20"/>
        </w:rPr>
      </w:r>
      <w:r/>
    </w:p>
    <w:p>
      <w:pPr>
        <w:pStyle w:val="905"/>
        <w:rPr>
          <w:color w:val="000000"/>
          <w:sz w:val="24"/>
          <w:szCs w:val="20"/>
        </w:rPr>
      </w:pPr>
      <w:r>
        <w:rPr>
          <w:rFonts w:hint="eastAsia"/>
          <w:color w:val="000000"/>
          <w:sz w:val="24"/>
          <w:szCs w:val="20"/>
          <w:lang w:val="en-US" w:eastAsia="zh-CN"/>
        </w:rPr>
        <w:t xml:space="preserve">10</w:t>
      </w:r>
      <w:r>
        <w:rPr>
          <w:rFonts w:hint="eastAsia"/>
          <w:color w:val="000000"/>
          <w:sz w:val="24"/>
          <w:szCs w:val="20"/>
        </w:rPr>
        <w:t xml:space="preserve"> 参加本项目人员一览表</w:t>
      </w:r>
      <w:r>
        <w:rPr>
          <w:color w:val="000000"/>
          <w:sz w:val="24"/>
          <w:szCs w:val="20"/>
        </w:rPr>
      </w:r>
      <w:r/>
    </w:p>
    <w:p>
      <w:pPr>
        <w:pStyle w:val="905"/>
        <w:jc w:val="center"/>
        <w:spacing w:line="360" w:lineRule="auto"/>
        <w:rPr>
          <w:rFonts w:ascii="宋体" w:hAnsi="宋体"/>
          <w:b/>
          <w:color w:val="000000"/>
          <w:sz w:val="32"/>
          <w:szCs w:val="32"/>
        </w:rPr>
      </w:pPr>
      <w:r>
        <w:rPr>
          <w:rFonts w:ascii="宋体" w:hAnsi="宋体"/>
          <w:b/>
          <w:color w:val="000000"/>
          <w:sz w:val="32"/>
          <w:szCs w:val="32"/>
        </w:rPr>
      </w:r>
      <w:r/>
    </w:p>
    <w:p>
      <w:pPr>
        <w:pStyle w:val="905"/>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905"/>
        <w:spacing w:line="360" w:lineRule="auto"/>
        <w:rPr>
          <w:rFonts w:ascii="宋体" w:hAnsi="宋体"/>
          <w:color w:val="000000"/>
          <w:sz w:val="22"/>
        </w:rPr>
      </w:pPr>
      <w:r>
        <w:rPr>
          <w:rFonts w:ascii="宋体" w:hAnsi="宋体"/>
          <w:color w:val="000000"/>
          <w:sz w:val="22"/>
        </w:rPr>
      </w:r>
      <w:r/>
    </w:p>
    <w:p>
      <w:pPr>
        <w:pStyle w:val="905"/>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905"/>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45"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905"/>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905"/>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905"/>
        <w:spacing w:line="360" w:lineRule="auto"/>
        <w:rPr>
          <w:rFonts w:ascii="宋体" w:hAnsi="宋体"/>
          <w:color w:val="000000"/>
          <w:sz w:val="24"/>
        </w:rPr>
      </w:pPr>
      <w:r>
        <w:rPr>
          <w:rFonts w:ascii="宋体" w:hAnsi="宋体"/>
          <w:color w:val="000000"/>
          <w:sz w:val="24"/>
        </w:rPr>
      </w:r>
      <w:r/>
    </w:p>
    <w:p>
      <w:pPr>
        <w:pStyle w:val="9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5"/>
        <w:rPr>
          <w:color w:val="000000"/>
          <w:sz w:val="22"/>
        </w:rPr>
      </w:pPr>
      <w:r>
        <w:rPr>
          <w:color w:val="000000"/>
          <w:sz w:val="22"/>
        </w:rPr>
        <w:br w:type="page" w:clear="all"/>
      </w:r>
      <w:bookmarkStart w:id="720" w:name="_Toc288738839"/>
      <w:r/>
      <w:bookmarkStart w:id="721" w:name="_Toc288738397"/>
      <w:r>
        <w:rPr>
          <w:color w:val="000000"/>
          <w:sz w:val="22"/>
        </w:rPr>
      </w:r>
      <w:r/>
    </w:p>
    <w:p>
      <w:pPr>
        <w:pStyle w:val="905"/>
        <w:rPr>
          <w:color w:val="000000"/>
          <w:sz w:val="24"/>
          <w:szCs w:val="20"/>
        </w:rPr>
      </w:pPr>
      <w:r>
        <w:rPr>
          <w:rFonts w:hint="eastAsia"/>
          <w:color w:val="000000"/>
          <w:sz w:val="24"/>
          <w:szCs w:val="20"/>
          <w:lang w:val="en-US" w:eastAsia="zh-CN"/>
        </w:rPr>
        <w:t xml:space="preserve">11 </w:t>
      </w:r>
      <w:r>
        <w:rPr>
          <w:rFonts w:hint="eastAsia"/>
          <w:color w:val="000000"/>
          <w:sz w:val="24"/>
          <w:szCs w:val="20"/>
        </w:rPr>
        <w:t xml:space="preserve">相关业绩案例一览表</w:t>
      </w:r>
      <w:r>
        <w:rPr>
          <w:color w:val="000000"/>
          <w:sz w:val="24"/>
          <w:szCs w:val="20"/>
        </w:rPr>
      </w:r>
      <w:r/>
    </w:p>
    <w:p>
      <w:pPr>
        <w:pStyle w:val="905"/>
        <w:rPr>
          <w:color w:val="000000"/>
          <w:sz w:val="24"/>
          <w:szCs w:val="20"/>
        </w:rPr>
      </w:pPr>
      <w:r>
        <w:rPr>
          <w:color w:val="000000"/>
          <w:sz w:val="24"/>
          <w:szCs w:val="20"/>
        </w:rPr>
      </w:r>
      <w:r/>
    </w:p>
    <w:p>
      <w:pPr>
        <w:pStyle w:val="905"/>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20"/>
      <w:r/>
      <w:bookmarkEnd w:id="721"/>
      <w:r>
        <w:rPr>
          <w:rFonts w:ascii="宋体" w:hAnsi="宋体"/>
          <w:b/>
          <w:color w:val="000000"/>
          <w:sz w:val="32"/>
          <w:szCs w:val="32"/>
        </w:rPr>
      </w:r>
      <w:r/>
    </w:p>
    <w:p>
      <w:pPr>
        <w:pStyle w:val="905"/>
        <w:jc w:val="center"/>
        <w:spacing w:line="360" w:lineRule="auto"/>
        <w:rPr>
          <w:rFonts w:ascii="宋体" w:hAnsi="宋体"/>
          <w:b/>
          <w:color w:val="000000"/>
          <w:sz w:val="28"/>
          <w:szCs w:val="30"/>
        </w:rPr>
      </w:pPr>
      <w:r>
        <w:rPr>
          <w:rFonts w:ascii="宋体" w:hAnsi="宋体"/>
          <w:b/>
          <w:color w:val="000000"/>
          <w:sz w:val="28"/>
          <w:szCs w:val="30"/>
        </w:rPr>
      </w:r>
      <w:r/>
    </w:p>
    <w:p>
      <w:pPr>
        <w:pStyle w:val="905"/>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5"/>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5"/>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5"/>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5"/>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905"/>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905"/>
        <w:spacing w:line="360" w:lineRule="auto"/>
        <w:rPr>
          <w:rFonts w:ascii="宋体" w:hAnsi="宋体" w:cs="宋体"/>
          <w:color w:val="000000"/>
          <w:sz w:val="24"/>
        </w:rPr>
      </w:pPr>
      <w:r>
        <w:rPr>
          <w:rFonts w:ascii="宋体" w:hAnsi="宋体" w:cs="宋体"/>
          <w:color w:val="000000"/>
          <w:sz w:val="24"/>
        </w:rPr>
      </w:r>
      <w:r/>
    </w:p>
    <w:p>
      <w:pPr>
        <w:pStyle w:val="9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9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05"/>
        <w:spacing w:line="360" w:lineRule="auto"/>
        <w:rPr>
          <w:color w:val="000000"/>
          <w:sz w:val="24"/>
          <w:szCs w:val="20"/>
        </w:rPr>
        <w:sectPr>
          <w:footnotePr/>
          <w:endnotePr/>
          <w:type w:val="nextPage"/>
          <w:pgSz w:w="11905" w:h="16838" w:orient="portrait"/>
          <w:pgMar w:top="1440" w:right="1803" w:bottom="1440" w:left="1803" w:header="851" w:footer="992" w:gutter="0"/>
          <w:cols w:num="1" w:sep="0" w:space="1701" w:equalWidth="1"/>
          <w:docGrid w:linePitch="360"/>
        </w:sectPr>
        <w:outlineLvl w:val="2"/>
      </w:pPr>
      <w:r>
        <w:rPr>
          <w:color w:val="000000"/>
          <w:sz w:val="24"/>
          <w:szCs w:val="20"/>
        </w:rPr>
      </w:r>
      <w:r/>
    </w:p>
    <w:p>
      <w:pPr>
        <w:pStyle w:val="905"/>
        <w:rPr>
          <w:color w:val="000000"/>
        </w:rPr>
      </w:pPr>
      <w:r>
        <w:rPr>
          <w:color w:val="000000"/>
        </w:rPr>
      </w:r>
      <w:r/>
    </w:p>
    <w:p>
      <w:pPr>
        <w:pStyle w:val="905"/>
        <w:rPr>
          <w:b/>
          <w:color w:val="000000"/>
          <w:sz w:val="24"/>
        </w:rPr>
      </w:pPr>
      <w:r>
        <w:rPr>
          <w:b/>
          <w:color w:val="000000"/>
          <w:sz w:val="24"/>
        </w:rPr>
      </w:r>
      <w:r/>
    </w:p>
    <w:p>
      <w:pPr>
        <w:pStyle w:val="905"/>
        <w:spacing w:line="360" w:lineRule="auto"/>
        <w:rPr>
          <w:b/>
          <w:color w:val="000000"/>
          <w:sz w:val="36"/>
          <w:szCs w:val="36"/>
        </w:rPr>
        <w:outlineLvl w:val="2"/>
      </w:pPr>
      <w:r>
        <w:rPr>
          <w:rFonts w:hint="eastAsia"/>
          <w:color w:val="000000"/>
          <w:sz w:val="24"/>
          <w:szCs w:val="20"/>
          <w:lang w:val="en-US" w:eastAsia="zh-CN"/>
        </w:rPr>
        <w:t xml:space="preserve">12 </w:t>
      </w:r>
      <w:r>
        <w:rPr>
          <w:color w:val="000000"/>
          <w:sz w:val="24"/>
          <w:szCs w:val="20"/>
        </w:rPr>
        <w:t xml:space="preserve">磋商文件要求提供或供应商认为应附的其他材</w:t>
      </w:r>
      <w:r>
        <w:rPr>
          <w:rFonts w:hint="eastAsia"/>
          <w:color w:val="000000"/>
          <w:sz w:val="24"/>
          <w:szCs w:val="20"/>
        </w:rPr>
        <w:t xml:space="preserve">料</w:t>
      </w:r>
      <w:r>
        <w:rPr>
          <w:b/>
          <w:color w:val="000000"/>
          <w:sz w:val="36"/>
          <w:szCs w:val="36"/>
        </w:rPr>
      </w:r>
      <w:r/>
    </w:p>
    <w:p>
      <w:pPr>
        <w:pStyle w:val="905"/>
        <w:jc w:val="left"/>
        <w:widowControl/>
        <w:rPr>
          <w:b/>
          <w:color w:val="000000"/>
          <w:sz w:val="36"/>
          <w:szCs w:val="36"/>
        </w:rPr>
      </w:pPr>
      <w:r>
        <w:rPr>
          <w:b/>
          <w:color w:val="000000"/>
          <w:sz w:val="36"/>
          <w:szCs w:val="36"/>
        </w:rPr>
      </w:r>
      <w:r/>
    </w:p>
    <w:p>
      <w:pPr>
        <w:pStyle w:val="905"/>
        <w:jc w:val="left"/>
        <w:widowControl/>
        <w:rPr>
          <w:rFonts w:hint="eastAsia" w:ascii="宋体" w:hAnsi="宋体" w:cs="宋体"/>
          <w:b/>
          <w:color w:val="000000"/>
          <w:sz w:val="24"/>
        </w:rPr>
      </w:pPr>
      <w:r>
        <w:rPr>
          <w:rFonts w:hint="eastAsia" w:ascii="宋体" w:hAnsi="宋体" w:cs="宋体"/>
          <w:b/>
          <w:color w:val="000000"/>
          <w:sz w:val="24"/>
        </w:rPr>
      </w:r>
      <w:r/>
    </w:p>
    <w:p>
      <w:pPr>
        <w:pStyle w:val="905"/>
        <w:jc w:val="left"/>
        <w:widowControl/>
        <w:rPr>
          <w:b/>
          <w:color w:val="000000"/>
          <w:sz w:val="36"/>
          <w:szCs w:val="36"/>
        </w:rPr>
      </w:pPr>
      <w:r>
        <w:rPr>
          <w:b/>
          <w:color w:val="000000"/>
          <w:sz w:val="36"/>
          <w:szCs w:val="36"/>
        </w:rPr>
      </w:r>
      <w:r/>
    </w:p>
    <w:p>
      <w:pPr>
        <w:pStyle w:val="905"/>
        <w:jc w:val="left"/>
        <w:widowControl/>
        <w:rPr>
          <w:b/>
          <w:color w:val="000000"/>
          <w:sz w:val="36"/>
          <w:szCs w:val="36"/>
        </w:rPr>
      </w:pPr>
      <w:r>
        <w:rPr>
          <w:b/>
          <w:color w:val="000000"/>
          <w:sz w:val="36"/>
          <w:szCs w:val="36"/>
        </w:rPr>
      </w:r>
      <w:r/>
    </w:p>
    <w:sectPr>
      <w:headerReference w:type="even" r:id="rId12"/>
      <w:headerReference w:type="first" r:id="rId13"/>
      <w:footerReference w:type="even" r:id="rId21"/>
      <w:footerReference w:type="first" r:id="rId22"/>
      <w:footnotePr/>
      <w:endnotePr/>
      <w:type w:val="nextPage"/>
      <w:pgSz w:w="11905"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方正小标宋_GBK">
    <w:panose1 w:val="020B0503020202020204"/>
  </w:font>
  <w:font w:name="Wingdings 2">
    <w:panose1 w:val="05020102010507070707"/>
  </w:font>
  <w:font w:name="CESI黑体-GB2312">
    <w:panose1 w:val="020B0503020202020204"/>
  </w:font>
  <w:font w:name="Wingdings">
    <w:panose1 w:val="05000000000000000000"/>
  </w:font>
  <w:font w:name="Cambria Math">
    <w:panose1 w:val="02040503050406030204"/>
  </w:font>
  <w:font w:name="MS Gothic">
    <w:panose1 w:val="020B060907020508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80"/>
      </w:rPr>
      <w:framePr w:wrap="around" w:vAnchor="text" w:hAnchor="margin" w:xAlign="center" w:y="1"/>
    </w:pPr>
    <w:r>
      <w:fldChar w:fldCharType="begin"/>
    </w:r>
    <w:r>
      <w:rPr>
        <w:rStyle w:val="980"/>
      </w:rPr>
      <w:instrText xml:space="preserve">PAGE  </w:instrText>
    </w:r>
    <w:r>
      <w:fldChar w:fldCharType="end"/>
    </w:r>
    <w:r>
      <w:rPr>
        <w:rStyle w:val="980"/>
      </w:rPr>
    </w:r>
    <w:r/>
  </w:p>
  <w:p>
    <w:pPr>
      <w:pStyle w:val="95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5"/>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0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both"/>
      <w:tabs>
        <w:tab w:val="center" w:pos="4153" w:leader="none"/>
        <w:tab w:val="right" w:pos="8306" w:leader="none"/>
      </w:tabs>
      <w:rPr>
        <w:rFonts w:ascii="Times New Roman"/>
      </w:rPr>
    </w:pPr>
    <w:r>
      <w:rPr>
        <w:rFonts w:ascii="Times New Roman"/>
      </w:rPr>
    </w:r>
    <w:r/>
  </w:p>
  <w:p>
    <w:pPr>
      <w:pStyle w:val="954"/>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90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905"/>
                    </w:pPr>
                    <w:r/>
                    <w:r/>
                  </w:p>
                </w:txbxContent>
              </v:textbox>
            </v:shape>
          </w:pict>
        </mc:Fallback>
      </mc:AlternateContent>
    </w:r>
    <w:r>
      <w:rPr>
        <w:rFonts w:ascii="Times New Roman"/>
      </w:rPr>
    </w:r>
    <w:r/>
  </w:p>
  <w:p>
    <w:pPr>
      <w:pStyle w:val="954"/>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80"/>
      </w:rPr>
      <w:framePr w:wrap="around" w:vAnchor="text" w:hAnchor="margin" w:xAlign="center" w:y="1"/>
    </w:pPr>
    <w:r>
      <w:rPr>
        <w:rStyle w:val="980"/>
      </w:rPr>
      <w:fldChar w:fldCharType="begin"/>
    </w:r>
    <w:r>
      <w:rPr>
        <w:rStyle w:val="980"/>
      </w:rPr>
      <w:instrText xml:space="preserve">PAGE  </w:instrText>
    </w:r>
    <w:r>
      <w:rPr>
        <w:rStyle w:val="980"/>
      </w:rPr>
      <w:fldChar w:fldCharType="end"/>
    </w:r>
    <w:r>
      <w:rPr>
        <w:rStyle w:val="980"/>
      </w:rPr>
    </w:r>
    <w:r/>
  </w:p>
  <w:p>
    <w:pPr>
      <w:pStyle w:val="954"/>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80"/>
      </w:rPr>
      <w:framePr w:wrap="around" w:vAnchor="text" w:hAnchor="margin" w:xAlign="right" w:y="1"/>
    </w:pPr>
    <w:r>
      <w:rPr>
        <w:rStyle w:val="980"/>
      </w:rPr>
      <w:fldChar w:fldCharType="begin"/>
    </w:r>
    <w:r>
      <w:rPr>
        <w:rStyle w:val="980"/>
      </w:rPr>
      <w:instrText xml:space="preserve">PAGE  </w:instrText>
    </w:r>
    <w:r>
      <w:rPr>
        <w:rStyle w:val="980"/>
      </w:rPr>
      <w:fldChar w:fldCharType="end"/>
    </w:r>
    <w:r>
      <w:rPr>
        <w:rStyle w:val="980"/>
      </w:rPr>
    </w:r>
    <w:r/>
  </w:p>
  <w:p>
    <w:pPr>
      <w:pStyle w:val="954"/>
      <w:ind w:right="360"/>
      <w:tabs>
        <w:tab w:val="center" w:pos="4153" w:leader="none"/>
        <w:tab w:val="right" w:pos="8306" w:leader="none"/>
      </w:tabs>
    </w:pPr>
    <w:r/>
    <w:r/>
  </w:p>
  <w:p>
    <w:pPr>
      <w:pStyle w:val="90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tabs>
        <w:tab w:val="center" w:pos="4153" w:leader="none"/>
        <w:tab w:val="right" w:pos="8306" w:leader="none"/>
      </w:tabs>
    </w:pPr>
    <w:r>
      <w:rPr>
        <w:rFonts w:hint="eastAsia"/>
      </w:rPr>
      <w:t xml:space="preserve">常州正衡招投标有限公司竞争性磋商文件</w:t>
    </w:r>
    <w:r/>
  </w:p>
  <w:p>
    <w:pPr>
      <w:pStyle w:val="957"/>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957"/>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tabs>
        <w:tab w:val="center" w:pos="4153" w:leader="none"/>
        <w:tab w:val="right" w:pos="8306" w:leader="none"/>
      </w:tabs>
    </w:pPr>
    <w:r>
      <w:rPr>
        <w:rFonts w:hint="eastAsia"/>
      </w:rPr>
      <w:t xml:space="preserve">常州正衡招投标有限公司竞争性磋商文件</w:t>
    </w:r>
    <w:r/>
  </w:p>
  <w:p>
    <w:pPr>
      <w:pStyle w:val="957"/>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p>
    <w:pPr>
      <w:pStyle w:val="90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905"/>
        <w:ind w:left="4941" w:hanging="1140"/>
        <w:tabs>
          <w:tab w:val="num" w:pos="4941" w:leader="none"/>
        </w:tabs>
      </w:pPr>
      <w:rPr>
        <w:rFonts w:hint="eastAsia"/>
      </w:rPr>
    </w:lvl>
    <w:lvl w:ilvl="1">
      <w:start w:val="1"/>
      <w:numFmt w:val="lowerLetter"/>
      <w:isLgl w:val="false"/>
      <w:suff w:val="tab"/>
      <w:lvlText w:val="%2)"/>
      <w:lvlJc w:val="left"/>
      <w:pPr>
        <w:pStyle w:val="905"/>
        <w:ind w:left="4641" w:hanging="420"/>
        <w:tabs>
          <w:tab w:val="num" w:pos="4641" w:leader="none"/>
        </w:tabs>
      </w:pPr>
    </w:lvl>
    <w:lvl w:ilvl="2">
      <w:start w:val="1"/>
      <w:numFmt w:val="lowerRoman"/>
      <w:isLgl w:val="false"/>
      <w:suff w:val="tab"/>
      <w:lvlText w:val="%3."/>
      <w:lvlJc w:val="right"/>
      <w:pPr>
        <w:pStyle w:val="905"/>
        <w:ind w:left="5061" w:hanging="420"/>
        <w:tabs>
          <w:tab w:val="num" w:pos="5061" w:leader="none"/>
        </w:tabs>
      </w:pPr>
    </w:lvl>
    <w:lvl w:ilvl="3">
      <w:start w:val="1"/>
      <w:numFmt w:val="decimal"/>
      <w:isLgl w:val="false"/>
      <w:suff w:val="tab"/>
      <w:lvlText w:val="%4."/>
      <w:lvlJc w:val="left"/>
      <w:pPr>
        <w:pStyle w:val="905"/>
        <w:ind w:left="5481" w:hanging="420"/>
        <w:tabs>
          <w:tab w:val="num" w:pos="5481" w:leader="none"/>
        </w:tabs>
      </w:pPr>
    </w:lvl>
    <w:lvl w:ilvl="4">
      <w:start w:val="1"/>
      <w:numFmt w:val="lowerLetter"/>
      <w:isLgl w:val="false"/>
      <w:suff w:val="tab"/>
      <w:lvlText w:val="%5)"/>
      <w:lvlJc w:val="left"/>
      <w:pPr>
        <w:pStyle w:val="905"/>
        <w:ind w:left="5901" w:hanging="420"/>
        <w:tabs>
          <w:tab w:val="num" w:pos="5901" w:leader="none"/>
        </w:tabs>
      </w:pPr>
    </w:lvl>
    <w:lvl w:ilvl="5">
      <w:start w:val="1"/>
      <w:numFmt w:val="lowerRoman"/>
      <w:isLgl w:val="false"/>
      <w:suff w:val="tab"/>
      <w:lvlText w:val="%6."/>
      <w:lvlJc w:val="right"/>
      <w:pPr>
        <w:pStyle w:val="905"/>
        <w:ind w:left="6321" w:hanging="420"/>
        <w:tabs>
          <w:tab w:val="num" w:pos="6321" w:leader="none"/>
        </w:tabs>
      </w:pPr>
    </w:lvl>
    <w:lvl w:ilvl="6">
      <w:start w:val="1"/>
      <w:numFmt w:val="decimal"/>
      <w:isLgl w:val="false"/>
      <w:suff w:val="tab"/>
      <w:lvlText w:val="%7."/>
      <w:lvlJc w:val="left"/>
      <w:pPr>
        <w:pStyle w:val="905"/>
        <w:ind w:left="6741" w:hanging="420"/>
        <w:tabs>
          <w:tab w:val="num" w:pos="6741" w:leader="none"/>
        </w:tabs>
      </w:pPr>
    </w:lvl>
    <w:lvl w:ilvl="7">
      <w:start w:val="1"/>
      <w:numFmt w:val="lowerLetter"/>
      <w:isLgl w:val="false"/>
      <w:suff w:val="tab"/>
      <w:lvlText w:val="%8)"/>
      <w:lvlJc w:val="left"/>
      <w:pPr>
        <w:pStyle w:val="905"/>
        <w:ind w:left="7161" w:hanging="420"/>
        <w:tabs>
          <w:tab w:val="num" w:pos="7161" w:leader="none"/>
        </w:tabs>
      </w:pPr>
    </w:lvl>
    <w:lvl w:ilvl="8">
      <w:start w:val="1"/>
      <w:numFmt w:val="lowerRoman"/>
      <w:isLgl w:val="false"/>
      <w:suff w:val="tab"/>
      <w:lvlText w:val="%9."/>
      <w:lvlJc w:val="right"/>
      <w:pPr>
        <w:pStyle w:val="905"/>
        <w:ind w:left="7581" w:hanging="420"/>
        <w:tabs>
          <w:tab w:val="num" w:pos="7581" w:leader="none"/>
        </w:tabs>
      </w:pPr>
    </w:lvl>
  </w:abstractNum>
  <w:abstractNum w:abstractNumId="4">
    <w:multiLevelType w:val="hybridMultilevel"/>
    <w:lvl w:ilvl="0">
      <w:start w:val="1"/>
      <w:numFmt w:val="decimal"/>
      <w:pStyle w:val="1020"/>
      <w:isLgl w:val="false"/>
      <w:suff w:val="tab"/>
      <w:lvlText w:val="%1."/>
      <w:lvlJc w:val="left"/>
      <w:pPr>
        <w:pStyle w:val="905"/>
        <w:ind w:left="420" w:hanging="420"/>
      </w:pPr>
    </w:lvl>
    <w:lvl w:ilvl="1">
      <w:start w:val="1"/>
      <w:numFmt w:val="decimal"/>
      <w:isLgl w:val="false"/>
      <w:suff w:val="tab"/>
      <w:lvlText w:val="（%2）"/>
      <w:lvlJc w:val="left"/>
      <w:pPr>
        <w:pStyle w:val="905"/>
        <w:ind w:left="1140" w:hanging="720"/>
        <w:tabs>
          <w:tab w:val="num" w:pos="1140" w:leader="none"/>
        </w:tabs>
      </w:pPr>
      <w:rPr>
        <w:rFonts w:hint="eastAsia"/>
      </w:r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5">
    <w:multiLevelType w:val="hybridMultilevel"/>
    <w:lvl w:ilvl="0">
      <w:start w:val="1"/>
      <w:numFmt w:val="lowerLetter"/>
      <w:pStyle w:val="1094"/>
      <w:isLgl w:val="false"/>
      <w:suff w:val="tab"/>
      <w:lvlText w:val="%1)"/>
      <w:lvlJc w:val="left"/>
      <w:pPr>
        <w:pStyle w:val="905"/>
        <w:ind w:left="902" w:hanging="420"/>
      </w:pPr>
      <w:rPr>
        <w:color w:val="000000"/>
      </w:rPr>
    </w:lvl>
    <w:lvl w:ilvl="1">
      <w:start w:val="1"/>
      <w:numFmt w:val="lowerLetter"/>
      <w:isLgl w:val="false"/>
      <w:suff w:val="tab"/>
      <w:lvlText w:val="%2)"/>
      <w:lvlJc w:val="left"/>
      <w:pPr>
        <w:pStyle w:val="905"/>
        <w:ind w:left="1322" w:hanging="420"/>
      </w:pPr>
    </w:lvl>
    <w:lvl w:ilvl="2">
      <w:start w:val="1"/>
      <w:numFmt w:val="lowerRoman"/>
      <w:isLgl w:val="false"/>
      <w:suff w:val="tab"/>
      <w:lvlText w:val="%3."/>
      <w:lvlJc w:val="right"/>
      <w:pPr>
        <w:pStyle w:val="905"/>
        <w:ind w:left="1742" w:hanging="420"/>
      </w:pPr>
    </w:lvl>
    <w:lvl w:ilvl="3">
      <w:start w:val="1"/>
      <w:numFmt w:val="decimal"/>
      <w:isLgl w:val="false"/>
      <w:suff w:val="tab"/>
      <w:lvlText w:val="%4."/>
      <w:lvlJc w:val="left"/>
      <w:pPr>
        <w:pStyle w:val="905"/>
        <w:ind w:left="2162" w:hanging="420"/>
      </w:pPr>
    </w:lvl>
    <w:lvl w:ilvl="4">
      <w:start w:val="1"/>
      <w:numFmt w:val="lowerLetter"/>
      <w:isLgl w:val="false"/>
      <w:suff w:val="tab"/>
      <w:lvlText w:val="%5)"/>
      <w:lvlJc w:val="left"/>
      <w:pPr>
        <w:pStyle w:val="905"/>
        <w:ind w:left="2582" w:hanging="420"/>
      </w:pPr>
    </w:lvl>
    <w:lvl w:ilvl="5">
      <w:start w:val="1"/>
      <w:numFmt w:val="lowerRoman"/>
      <w:isLgl w:val="false"/>
      <w:suff w:val="tab"/>
      <w:lvlText w:val="%6."/>
      <w:lvlJc w:val="right"/>
      <w:pPr>
        <w:pStyle w:val="905"/>
        <w:ind w:left="3002" w:hanging="420"/>
      </w:pPr>
    </w:lvl>
    <w:lvl w:ilvl="6">
      <w:start w:val="1"/>
      <w:numFmt w:val="decimal"/>
      <w:isLgl w:val="false"/>
      <w:suff w:val="tab"/>
      <w:lvlText w:val="%7."/>
      <w:lvlJc w:val="left"/>
      <w:pPr>
        <w:pStyle w:val="905"/>
        <w:ind w:left="3422" w:hanging="420"/>
      </w:pPr>
    </w:lvl>
    <w:lvl w:ilvl="7">
      <w:start w:val="1"/>
      <w:numFmt w:val="lowerLetter"/>
      <w:isLgl w:val="false"/>
      <w:suff w:val="tab"/>
      <w:lvlText w:val="%8)"/>
      <w:lvlJc w:val="left"/>
      <w:pPr>
        <w:pStyle w:val="905"/>
        <w:ind w:left="3842" w:hanging="420"/>
      </w:pPr>
    </w:lvl>
    <w:lvl w:ilvl="8">
      <w:start w:val="1"/>
      <w:numFmt w:val="lowerRoman"/>
      <w:isLgl w:val="false"/>
      <w:suff w:val="tab"/>
      <w:lvlText w:val="%9."/>
      <w:lvlJc w:val="right"/>
      <w:pPr>
        <w:pStyle w:val="905"/>
        <w:ind w:left="4262" w:hanging="420"/>
      </w:pPr>
    </w:lvl>
  </w:abstractNum>
  <w:abstractNum w:abstractNumId="6">
    <w:multiLevelType w:val="hybridMultilevel"/>
    <w:lvl w:ilvl="0">
      <w:start w:val="1"/>
      <w:numFmt w:val="decimal"/>
      <w:pStyle w:val="1065"/>
      <w:isLgl w:val="false"/>
      <w:suff w:val="tab"/>
      <w:lvlText w:val="%1."/>
      <w:lvlJc w:val="left"/>
      <w:pPr>
        <w:pStyle w:val="9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4"/>
      <w:isLgl w:val="false"/>
      <w:suff w:val="nothing"/>
      <w:lvlText w:val="%1　"/>
      <w:lvlJc w:val="left"/>
      <w:pPr>
        <w:pStyle w:val="9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5"/>
        <w:ind w:left="-25" w:firstLine="0"/>
      </w:pPr>
      <w:rPr>
        <w:rFonts w:ascii="Times New Roman" w:hAnsi="Times New Roman" w:eastAsia="黑体"/>
        <w:b/>
        <w:i w:val="0"/>
        <w:sz w:val="28"/>
      </w:rPr>
    </w:lvl>
    <w:lvl w:ilvl="3">
      <w:start w:val="1"/>
      <w:numFmt w:val="decimal"/>
      <w:pStyle w:val="1050"/>
      <w:isLgl w:val="false"/>
      <w:suff w:val="nothing"/>
      <w:lvlText w:val="%1.%2.%3.%4　"/>
      <w:lvlJc w:val="left"/>
      <w:pPr>
        <w:pStyle w:val="9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5"/>
        <w:ind w:left="-25" w:firstLine="0"/>
      </w:pPr>
      <w:rPr>
        <w:rFonts w:ascii="Times New Roman" w:hAnsi="Times New Roman" w:eastAsia="宋体"/>
        <w:b/>
        <w:i w:val="0"/>
        <w:sz w:val="28"/>
      </w:rPr>
    </w:lvl>
    <w:lvl w:ilvl="6">
      <w:start w:val="1"/>
      <w:numFmt w:val="lowerLetter"/>
      <w:pStyle w:val="1071"/>
      <w:isLgl w:val="false"/>
      <w:suff w:val="tab"/>
      <w:lvlText w:val="%7) "/>
      <w:lvlJc w:val="left"/>
      <w:pPr>
        <w:pStyle w:val="905"/>
        <w:ind w:left="-125" w:firstLine="400"/>
        <w:tabs>
          <w:tab w:val="num" w:pos="635" w:leader="none"/>
        </w:tabs>
      </w:pPr>
      <w:rPr>
        <w:rFonts w:ascii="Times New Roman" w:hAnsi="Times New Roman" w:eastAsia="宋体"/>
        <w:b/>
        <w:i w:val="0"/>
        <w:color w:val="000000"/>
        <w:sz w:val="28"/>
        <w:u w:val="none"/>
      </w:rPr>
    </w:lvl>
    <w:lvl w:ilvl="7">
      <w:start w:val="1"/>
      <w:numFmt w:val="decimal"/>
      <w:pStyle w:val="1034"/>
      <w:isLgl w:val="false"/>
      <w:suff w:val="tab"/>
      <w:lvlText w:val="%8) "/>
      <w:lvlJc w:val="left"/>
      <w:pPr>
        <w:pStyle w:val="9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5"/>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905"/>
        <w:ind w:left="768" w:hanging="360"/>
        <w:tabs>
          <w:tab w:val="num" w:pos="768" w:leader="none"/>
        </w:tabs>
      </w:pPr>
      <w:rPr>
        <w:rFonts w:hint="eastAsia"/>
      </w:rPr>
    </w:lvl>
    <w:lvl w:ilvl="1">
      <w:start w:val="1"/>
      <w:numFmt w:val="decimal"/>
      <w:pStyle w:val="1052"/>
      <w:isLgl w:val="false"/>
      <w:suff w:val="tab"/>
      <w:lvlText w:val="%2、"/>
      <w:lvlJc w:val="left"/>
      <w:pPr>
        <w:pStyle w:val="905"/>
        <w:ind w:left="1188" w:hanging="360"/>
        <w:tabs>
          <w:tab w:val="num" w:pos="1188" w:leader="none"/>
        </w:tabs>
      </w:pPr>
      <w:rPr>
        <w:rFonts w:hint="eastAsia"/>
      </w:rPr>
    </w:lvl>
    <w:lvl w:ilvl="2">
      <w:start w:val="1"/>
      <w:numFmt w:val="decimal"/>
      <w:isLgl w:val="false"/>
      <w:suff w:val="tab"/>
      <w:lvlText w:val="（%3）"/>
      <w:lvlJc w:val="left"/>
      <w:pPr>
        <w:pStyle w:val="905"/>
        <w:ind w:left="1968" w:hanging="720"/>
        <w:tabs>
          <w:tab w:val="num" w:pos="1968" w:leader="none"/>
        </w:tabs>
      </w:pPr>
      <w:rPr>
        <w:rFonts w:hint="eastAsia"/>
        <w:u w:val="none"/>
      </w:rPr>
    </w:lvl>
    <w:lvl w:ilvl="3">
      <w:start w:val="1"/>
      <w:numFmt w:val="decimal"/>
      <w:isLgl w:val="false"/>
      <w:suff w:val="tab"/>
      <w:lvlText w:val="%4."/>
      <w:lvlJc w:val="left"/>
      <w:pPr>
        <w:pStyle w:val="905"/>
        <w:ind w:left="2088" w:hanging="420"/>
        <w:tabs>
          <w:tab w:val="num" w:pos="2088" w:leader="none"/>
        </w:tabs>
      </w:pPr>
    </w:lvl>
    <w:lvl w:ilvl="4">
      <w:start w:val="1"/>
      <w:numFmt w:val="lowerLetter"/>
      <w:isLgl w:val="false"/>
      <w:suff w:val="tab"/>
      <w:lvlText w:val="%5)"/>
      <w:lvlJc w:val="left"/>
      <w:pPr>
        <w:pStyle w:val="905"/>
        <w:ind w:left="2508" w:hanging="420"/>
        <w:tabs>
          <w:tab w:val="num" w:pos="2508" w:leader="none"/>
        </w:tabs>
      </w:pPr>
    </w:lvl>
    <w:lvl w:ilvl="5">
      <w:start w:val="1"/>
      <w:numFmt w:val="lowerRoman"/>
      <w:isLgl w:val="false"/>
      <w:suff w:val="tab"/>
      <w:lvlText w:val="%6."/>
      <w:lvlJc w:val="right"/>
      <w:pPr>
        <w:pStyle w:val="905"/>
        <w:ind w:left="2928" w:hanging="420"/>
        <w:tabs>
          <w:tab w:val="num" w:pos="2928" w:leader="none"/>
        </w:tabs>
      </w:pPr>
    </w:lvl>
    <w:lvl w:ilvl="6">
      <w:start w:val="1"/>
      <w:numFmt w:val="decimal"/>
      <w:isLgl w:val="false"/>
      <w:suff w:val="tab"/>
      <w:lvlText w:val="%7."/>
      <w:lvlJc w:val="left"/>
      <w:pPr>
        <w:pStyle w:val="905"/>
        <w:ind w:left="3348" w:hanging="420"/>
        <w:tabs>
          <w:tab w:val="num" w:pos="3348" w:leader="none"/>
        </w:tabs>
      </w:pPr>
    </w:lvl>
    <w:lvl w:ilvl="7">
      <w:start w:val="1"/>
      <w:numFmt w:val="lowerLetter"/>
      <w:isLgl w:val="false"/>
      <w:suff w:val="tab"/>
      <w:lvlText w:val="%8)"/>
      <w:lvlJc w:val="left"/>
      <w:pPr>
        <w:pStyle w:val="905"/>
        <w:ind w:left="3768" w:hanging="420"/>
        <w:tabs>
          <w:tab w:val="num" w:pos="3768" w:leader="none"/>
        </w:tabs>
      </w:pPr>
    </w:lvl>
    <w:lvl w:ilvl="8">
      <w:start w:val="1"/>
      <w:numFmt w:val="lowerRoman"/>
      <w:isLgl w:val="false"/>
      <w:suff w:val="tab"/>
      <w:lvlText w:val="%9."/>
      <w:lvlJc w:val="right"/>
      <w:pPr>
        <w:pStyle w:val="905"/>
        <w:ind w:left="4188" w:hanging="420"/>
        <w:tabs>
          <w:tab w:val="num" w:pos="4188" w:leader="none"/>
        </w:tabs>
      </w:pPr>
    </w:lvl>
  </w:abstractNum>
  <w:abstractNum w:abstractNumId="9">
    <w:multiLevelType w:val="hybridMultilevel"/>
    <w:lvl w:ilvl="0">
      <w:start w:val="1"/>
      <w:numFmt w:val="decimal"/>
      <w:isLgl w:val="false"/>
      <w:suff w:val="tab"/>
      <w:lvlText w:val="%1"/>
      <w:lvlJc w:val="left"/>
      <w:pPr>
        <w:pStyle w:val="905"/>
        <w:ind w:left="900" w:hanging="900"/>
        <w:tabs>
          <w:tab w:val="num" w:pos="900" w:leader="none"/>
        </w:tabs>
      </w:pPr>
      <w:rPr>
        <w:rFonts w:hint="eastAsia"/>
      </w:rPr>
    </w:lvl>
    <w:lvl w:ilvl="1">
      <w:start w:val="1"/>
      <w:numFmt w:val="decimal"/>
      <w:isLgl w:val="false"/>
      <w:suff w:val="tab"/>
      <w:lvlText w:val="%1.%2"/>
      <w:lvlJc w:val="left"/>
      <w:pPr>
        <w:pStyle w:val="9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5"/>
        <w:ind w:left="1980" w:hanging="900"/>
        <w:tabs>
          <w:tab w:val="num" w:pos="1980" w:leader="none"/>
        </w:tabs>
      </w:pPr>
      <w:rPr>
        <w:rFonts w:hint="eastAsia"/>
      </w:rPr>
    </w:lvl>
    <w:lvl w:ilvl="3">
      <w:start w:val="1"/>
      <w:numFmt w:val="decimal"/>
      <w:isLgl w:val="false"/>
      <w:suff w:val="tab"/>
      <w:lvlText w:val="%1.%2.%3.%4"/>
      <w:lvlJc w:val="left"/>
      <w:pPr>
        <w:pStyle w:val="905"/>
        <w:ind w:left="900" w:hanging="900"/>
        <w:tabs>
          <w:tab w:val="num" w:pos="900" w:leader="none"/>
        </w:tabs>
      </w:pPr>
      <w:rPr>
        <w:rFonts w:hint="eastAsia"/>
      </w:rPr>
    </w:lvl>
    <w:lvl w:ilvl="4">
      <w:start w:val="1"/>
      <w:numFmt w:val="decimal"/>
      <w:isLgl w:val="false"/>
      <w:suff w:val="tab"/>
      <w:lvlText w:val="%1.%2.%3.%4.%5"/>
      <w:lvlJc w:val="left"/>
      <w:pPr>
        <w:pStyle w:val="905"/>
        <w:ind w:left="900" w:hanging="900"/>
        <w:tabs>
          <w:tab w:val="num" w:pos="900" w:leader="none"/>
        </w:tabs>
      </w:pPr>
      <w:rPr>
        <w:rFonts w:hint="eastAsia"/>
      </w:rPr>
    </w:lvl>
    <w:lvl w:ilvl="5">
      <w:start w:val="1"/>
      <w:numFmt w:val="decimal"/>
      <w:isLgl w:val="false"/>
      <w:suff w:val="tab"/>
      <w:lvlText w:val="%1.%2.%3.%4.%5.%6"/>
      <w:lvlJc w:val="left"/>
      <w:pPr>
        <w:pStyle w:val="905"/>
        <w:ind w:left="900" w:hanging="900"/>
        <w:tabs>
          <w:tab w:val="num" w:pos="900" w:leader="none"/>
        </w:tabs>
      </w:pPr>
      <w:rPr>
        <w:rFonts w:hint="eastAsia"/>
      </w:rPr>
    </w:lvl>
    <w:lvl w:ilvl="6">
      <w:start w:val="1"/>
      <w:numFmt w:val="decimal"/>
      <w:isLgl w:val="false"/>
      <w:suff w:val="tab"/>
      <w:lvlText w:val="%1.%2.%3.%4.%5.%6.%7"/>
      <w:lvlJc w:val="left"/>
      <w:pPr>
        <w:pStyle w:val="905"/>
        <w:ind w:left="900" w:hanging="900"/>
        <w:tabs>
          <w:tab w:val="num" w:pos="900" w:leader="none"/>
        </w:tabs>
      </w:pPr>
      <w:rPr>
        <w:rFonts w:hint="eastAsia"/>
      </w:rPr>
    </w:lvl>
    <w:lvl w:ilvl="7">
      <w:start w:val="1"/>
      <w:numFmt w:val="decimal"/>
      <w:isLgl w:val="false"/>
      <w:suff w:val="tab"/>
      <w:lvlText w:val="%1.%2.%3.%4.%5.%6.%7.%8"/>
      <w:lvlJc w:val="left"/>
      <w:pPr>
        <w:pStyle w:val="905"/>
        <w:ind w:left="900" w:hanging="900"/>
        <w:tabs>
          <w:tab w:val="num" w:pos="900" w:leader="none"/>
        </w:tabs>
      </w:pPr>
      <w:rPr>
        <w:rFonts w:hint="eastAsia"/>
      </w:rPr>
    </w:lvl>
    <w:lvl w:ilvl="8">
      <w:start w:val="1"/>
      <w:numFmt w:val="decimal"/>
      <w:isLgl w:val="false"/>
      <w:suff w:val="tab"/>
      <w:lvlText w:val="%1.%2.%3.%4.%5.%6.%7.%8.%9"/>
      <w:lvlJc w:val="left"/>
      <w:pPr>
        <w:pStyle w:val="905"/>
        <w:ind w:left="900" w:hanging="900"/>
        <w:tabs>
          <w:tab w:val="num" w:pos="900" w:leader="none"/>
        </w:tabs>
      </w:pPr>
      <w:rPr>
        <w:rFonts w:hint="eastAsia"/>
      </w:rPr>
    </w:lvl>
  </w:abstractNum>
  <w:abstractNum w:abstractNumId="10">
    <w:multiLevelType w:val="hybridMultilevel"/>
    <w:lvl w:ilvl="0">
      <w:start w:val="1"/>
      <w:numFmt w:val="decimal"/>
      <w:pStyle w:val="1019"/>
      <w:isLgl w:val="false"/>
      <w:suff w:val="tab"/>
      <w:lvlText w:val="%1)"/>
      <w:lvlJc w:val="left"/>
      <w:pPr>
        <w:pStyle w:val="905"/>
        <w:ind w:left="420" w:hanging="42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11">
    <w:multiLevelType w:val="hybridMultilevel"/>
    <w:lvl w:ilvl="0">
      <w:start w:val="1"/>
      <w:numFmt w:val="decimal"/>
      <w:pStyle w:val="1119"/>
      <w:isLgl w:val="false"/>
      <w:suff w:val="tab"/>
      <w:lvlText w:val="%1"/>
      <w:lvlJc w:val="left"/>
      <w:pPr>
        <w:pStyle w:val="905"/>
        <w:ind w:left="680" w:hanging="680"/>
      </w:pPr>
      <w:rPr>
        <w:rFonts w:hint="eastAsia" w:ascii="宋体" w:hAnsi="宋体" w:eastAsia="宋体"/>
      </w:rPr>
    </w:lvl>
    <w:lvl w:ilvl="1">
      <w:start w:val="1"/>
      <w:numFmt w:val="decimal"/>
      <w:pStyle w:val="1120"/>
      <w:isLgl w:val="false"/>
      <w:suff w:val="tab"/>
      <w:lvlText w:val="%1.%2"/>
      <w:lvlJc w:val="left"/>
      <w:pPr>
        <w:pStyle w:val="905"/>
        <w:ind w:left="851" w:hanging="851"/>
      </w:pPr>
      <w:rPr>
        <w:rFonts w:hint="eastAsia" w:ascii="宋体" w:hAnsi="宋体" w:eastAsia="宋体"/>
        <w:color w:val="000000"/>
      </w:rPr>
    </w:lvl>
    <w:lvl w:ilvl="2">
      <w:start w:val="1"/>
      <w:numFmt w:val="decimal"/>
      <w:pStyle w:val="1121"/>
      <w:isLgl w:val="false"/>
      <w:suff w:val="tab"/>
      <w:lvlText w:val="%1.%2.%3"/>
      <w:lvlJc w:val="left"/>
      <w:pPr>
        <w:pStyle w:val="905"/>
        <w:ind w:left="851" w:hanging="851"/>
      </w:pPr>
      <w:rPr>
        <w:rFonts w:hint="eastAsia"/>
      </w:rPr>
    </w:lvl>
    <w:lvl w:ilvl="3">
      <w:start w:val="1"/>
      <w:numFmt w:val="decimal"/>
      <w:isLgl w:val="false"/>
      <w:suff w:val="tab"/>
      <w:lvlText w:val="%1.%2.%3.%4"/>
      <w:lvlJc w:val="left"/>
      <w:pPr>
        <w:pStyle w:val="905"/>
        <w:ind w:left="680" w:hanging="680"/>
      </w:pPr>
      <w:rPr>
        <w:rFonts w:hint="eastAsia"/>
      </w:rPr>
    </w:lvl>
    <w:lvl w:ilvl="4">
      <w:start w:val="1"/>
      <w:numFmt w:val="decimal"/>
      <w:isLgl w:val="false"/>
      <w:suff w:val="tab"/>
      <w:lvlText w:val="%1.%2.%3.%4.%5"/>
      <w:lvlJc w:val="left"/>
      <w:pPr>
        <w:pStyle w:val="905"/>
        <w:ind w:left="680" w:hanging="680"/>
      </w:pPr>
      <w:rPr>
        <w:rFonts w:hint="eastAsia"/>
      </w:rPr>
    </w:lvl>
    <w:lvl w:ilvl="5">
      <w:start w:val="1"/>
      <w:numFmt w:val="decimal"/>
      <w:isLgl w:val="false"/>
      <w:suff w:val="tab"/>
      <w:lvlText w:val="%1.%2.%3.%4.%5.%6"/>
      <w:lvlJc w:val="left"/>
      <w:pPr>
        <w:pStyle w:val="905"/>
        <w:ind w:left="680" w:hanging="680"/>
      </w:pPr>
      <w:rPr>
        <w:rFonts w:hint="eastAsia"/>
      </w:rPr>
    </w:lvl>
    <w:lvl w:ilvl="6">
      <w:start w:val="1"/>
      <w:numFmt w:val="decimal"/>
      <w:isLgl w:val="false"/>
      <w:suff w:val="tab"/>
      <w:lvlText w:val="%1.%2.%3.%4.%5.%6.%7"/>
      <w:lvlJc w:val="left"/>
      <w:pPr>
        <w:pStyle w:val="905"/>
        <w:ind w:left="680" w:hanging="680"/>
      </w:pPr>
      <w:rPr>
        <w:rFonts w:hint="eastAsia"/>
      </w:rPr>
    </w:lvl>
    <w:lvl w:ilvl="7">
      <w:start w:val="1"/>
      <w:numFmt w:val="decimal"/>
      <w:isLgl w:val="false"/>
      <w:suff w:val="tab"/>
      <w:lvlText w:val="%1.%2.%3.%4.%5.%6.%7.%8"/>
      <w:lvlJc w:val="left"/>
      <w:pPr>
        <w:pStyle w:val="905"/>
        <w:ind w:left="680" w:hanging="680"/>
      </w:pPr>
      <w:rPr>
        <w:rFonts w:hint="eastAsia"/>
      </w:rPr>
    </w:lvl>
    <w:lvl w:ilvl="8">
      <w:start w:val="1"/>
      <w:numFmt w:val="decimal"/>
      <w:isLgl w:val="false"/>
      <w:suff w:val="tab"/>
      <w:lvlText w:val="%1.%2.%3.%4.%5.%6.%7.%8.%9"/>
      <w:lvlJc w:val="left"/>
      <w:pPr>
        <w:pStyle w:val="905"/>
        <w:ind w:left="680" w:hanging="680"/>
      </w:pPr>
      <w:rPr>
        <w:rFonts w:hint="eastAsia"/>
      </w:rPr>
    </w:lvl>
  </w:abstractNum>
  <w:abstractNum w:abstractNumId="12">
    <w:multiLevelType w:val="hybridMultilevel"/>
    <w:lvl w:ilvl="0">
      <w:start w:val="1"/>
      <w:numFmt w:val="decimal"/>
      <w:isLgl w:val="false"/>
      <w:suff w:val="tab"/>
      <w:lvlText w:val="%1"/>
      <w:lvlJc w:val="left"/>
      <w:pPr>
        <w:pStyle w:val="905"/>
        <w:ind w:left="900" w:hanging="900"/>
        <w:tabs>
          <w:tab w:val="num" w:pos="900" w:leader="none"/>
        </w:tabs>
      </w:pPr>
      <w:rPr>
        <w:rFonts w:hint="eastAsia"/>
      </w:rPr>
    </w:lvl>
    <w:lvl w:ilvl="1">
      <w:start w:val="1"/>
      <w:numFmt w:val="decimal"/>
      <w:isLgl w:val="false"/>
      <w:suff w:val="tab"/>
      <w:lvlText w:val="%1.%2"/>
      <w:lvlJc w:val="left"/>
      <w:pPr>
        <w:pStyle w:val="905"/>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05"/>
        <w:ind w:left="1980" w:hanging="900"/>
        <w:tabs>
          <w:tab w:val="num" w:pos="1980" w:leader="none"/>
        </w:tabs>
      </w:pPr>
      <w:rPr>
        <w:rFonts w:hint="eastAsia"/>
      </w:rPr>
    </w:lvl>
    <w:lvl w:ilvl="3">
      <w:start w:val="1"/>
      <w:numFmt w:val="decimal"/>
      <w:isLgl w:val="false"/>
      <w:suff w:val="tab"/>
      <w:lvlText w:val="%1.%2.%3.%4"/>
      <w:lvlJc w:val="left"/>
      <w:pPr>
        <w:pStyle w:val="905"/>
        <w:ind w:left="900" w:hanging="900"/>
        <w:tabs>
          <w:tab w:val="num" w:pos="900" w:leader="none"/>
        </w:tabs>
      </w:pPr>
      <w:rPr>
        <w:rFonts w:hint="eastAsia"/>
      </w:rPr>
    </w:lvl>
    <w:lvl w:ilvl="4">
      <w:start w:val="1"/>
      <w:numFmt w:val="decimal"/>
      <w:isLgl w:val="false"/>
      <w:suff w:val="tab"/>
      <w:lvlText w:val="%1.%2.%3.%4.%5"/>
      <w:lvlJc w:val="left"/>
      <w:pPr>
        <w:pStyle w:val="905"/>
        <w:ind w:left="900" w:hanging="900"/>
        <w:tabs>
          <w:tab w:val="num" w:pos="900" w:leader="none"/>
        </w:tabs>
      </w:pPr>
      <w:rPr>
        <w:rFonts w:hint="eastAsia"/>
      </w:rPr>
    </w:lvl>
    <w:lvl w:ilvl="5">
      <w:start w:val="1"/>
      <w:numFmt w:val="decimal"/>
      <w:isLgl w:val="false"/>
      <w:suff w:val="tab"/>
      <w:lvlText w:val="%1.%2.%3.%4.%5.%6"/>
      <w:lvlJc w:val="left"/>
      <w:pPr>
        <w:pStyle w:val="905"/>
        <w:ind w:left="900" w:hanging="900"/>
        <w:tabs>
          <w:tab w:val="num" w:pos="900" w:leader="none"/>
        </w:tabs>
      </w:pPr>
      <w:rPr>
        <w:rFonts w:hint="eastAsia"/>
      </w:rPr>
    </w:lvl>
    <w:lvl w:ilvl="6">
      <w:start w:val="1"/>
      <w:numFmt w:val="decimal"/>
      <w:isLgl w:val="false"/>
      <w:suff w:val="tab"/>
      <w:lvlText w:val="%1.%2.%3.%4.%5.%6.%7"/>
      <w:lvlJc w:val="left"/>
      <w:pPr>
        <w:pStyle w:val="905"/>
        <w:ind w:left="900" w:hanging="900"/>
        <w:tabs>
          <w:tab w:val="num" w:pos="900" w:leader="none"/>
        </w:tabs>
      </w:pPr>
      <w:rPr>
        <w:rFonts w:hint="eastAsia"/>
      </w:rPr>
    </w:lvl>
    <w:lvl w:ilvl="7">
      <w:start w:val="1"/>
      <w:numFmt w:val="decimal"/>
      <w:isLgl w:val="false"/>
      <w:suff w:val="tab"/>
      <w:lvlText w:val="%1.%2.%3.%4.%5.%6.%7.%8"/>
      <w:lvlJc w:val="left"/>
      <w:pPr>
        <w:pStyle w:val="905"/>
        <w:ind w:left="900" w:hanging="900"/>
        <w:tabs>
          <w:tab w:val="num" w:pos="900" w:leader="none"/>
        </w:tabs>
      </w:pPr>
      <w:rPr>
        <w:rFonts w:hint="eastAsia"/>
      </w:rPr>
    </w:lvl>
    <w:lvl w:ilvl="8">
      <w:start w:val="1"/>
      <w:numFmt w:val="decimal"/>
      <w:isLgl w:val="false"/>
      <w:suff w:val="tab"/>
      <w:lvlText w:val="%1.%2.%3.%4.%5.%6.%7.%8.%9"/>
      <w:lvlJc w:val="left"/>
      <w:pPr>
        <w:pStyle w:val="90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905"/>
        <w:ind w:left="900" w:hanging="900"/>
        <w:tabs>
          <w:tab w:val="num" w:pos="900" w:leader="none"/>
        </w:tabs>
      </w:pPr>
      <w:rPr>
        <w:rFonts w:hint="eastAsia"/>
      </w:rPr>
    </w:lvl>
    <w:lvl w:ilvl="1">
      <w:start w:val="1"/>
      <w:numFmt w:val="decimal"/>
      <w:isLgl w:val="false"/>
      <w:suff w:val="tab"/>
      <w:lvlText w:val="%1.%2"/>
      <w:lvlJc w:val="left"/>
      <w:pPr>
        <w:pStyle w:val="9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5"/>
        <w:ind w:left="1980" w:hanging="900"/>
        <w:tabs>
          <w:tab w:val="num" w:pos="1980" w:leader="none"/>
        </w:tabs>
      </w:pPr>
      <w:rPr>
        <w:rFonts w:hint="eastAsia"/>
      </w:rPr>
    </w:lvl>
    <w:lvl w:ilvl="3">
      <w:start w:val="1"/>
      <w:numFmt w:val="decimal"/>
      <w:isLgl w:val="false"/>
      <w:suff w:val="tab"/>
      <w:lvlText w:val="%1.%2.%3.%4"/>
      <w:lvlJc w:val="left"/>
      <w:pPr>
        <w:pStyle w:val="905"/>
        <w:ind w:left="900" w:hanging="900"/>
        <w:tabs>
          <w:tab w:val="num" w:pos="900" w:leader="none"/>
        </w:tabs>
      </w:pPr>
      <w:rPr>
        <w:rFonts w:hint="eastAsia"/>
      </w:rPr>
    </w:lvl>
    <w:lvl w:ilvl="4">
      <w:start w:val="1"/>
      <w:numFmt w:val="decimal"/>
      <w:isLgl w:val="false"/>
      <w:suff w:val="tab"/>
      <w:lvlText w:val="%1.%2.%3.%4.%5"/>
      <w:lvlJc w:val="left"/>
      <w:pPr>
        <w:pStyle w:val="905"/>
        <w:ind w:left="900" w:hanging="900"/>
        <w:tabs>
          <w:tab w:val="num" w:pos="900" w:leader="none"/>
        </w:tabs>
      </w:pPr>
      <w:rPr>
        <w:rFonts w:hint="eastAsia"/>
      </w:rPr>
    </w:lvl>
    <w:lvl w:ilvl="5">
      <w:start w:val="1"/>
      <w:numFmt w:val="decimal"/>
      <w:isLgl w:val="false"/>
      <w:suff w:val="tab"/>
      <w:lvlText w:val="%1.%2.%3.%4.%5.%6"/>
      <w:lvlJc w:val="left"/>
      <w:pPr>
        <w:pStyle w:val="905"/>
        <w:ind w:left="900" w:hanging="900"/>
        <w:tabs>
          <w:tab w:val="num" w:pos="900" w:leader="none"/>
        </w:tabs>
      </w:pPr>
      <w:rPr>
        <w:rFonts w:hint="eastAsia"/>
      </w:rPr>
    </w:lvl>
    <w:lvl w:ilvl="6">
      <w:start w:val="1"/>
      <w:numFmt w:val="decimal"/>
      <w:isLgl w:val="false"/>
      <w:suff w:val="tab"/>
      <w:lvlText w:val="%1.%2.%3.%4.%5.%6.%7"/>
      <w:lvlJc w:val="left"/>
      <w:pPr>
        <w:pStyle w:val="905"/>
        <w:ind w:left="900" w:hanging="900"/>
        <w:tabs>
          <w:tab w:val="num" w:pos="900" w:leader="none"/>
        </w:tabs>
      </w:pPr>
      <w:rPr>
        <w:rFonts w:hint="eastAsia"/>
      </w:rPr>
    </w:lvl>
    <w:lvl w:ilvl="7">
      <w:start w:val="1"/>
      <w:numFmt w:val="decimal"/>
      <w:isLgl w:val="false"/>
      <w:suff w:val="tab"/>
      <w:lvlText w:val="%1.%2.%3.%4.%5.%6.%7.%8"/>
      <w:lvlJc w:val="left"/>
      <w:pPr>
        <w:pStyle w:val="905"/>
        <w:ind w:left="900" w:hanging="900"/>
        <w:tabs>
          <w:tab w:val="num" w:pos="900" w:leader="none"/>
        </w:tabs>
      </w:pPr>
      <w:rPr>
        <w:rFonts w:hint="eastAsia"/>
      </w:rPr>
    </w:lvl>
    <w:lvl w:ilvl="8">
      <w:start w:val="1"/>
      <w:numFmt w:val="decimal"/>
      <w:isLgl w:val="false"/>
      <w:suff w:val="tab"/>
      <w:lvlText w:val="%1.%2.%3.%4.%5.%6.%7.%8.%9"/>
      <w:lvlJc w:val="left"/>
      <w:pPr>
        <w:pStyle w:val="905"/>
        <w:ind w:left="900" w:hanging="900"/>
        <w:tabs>
          <w:tab w:val="num" w:pos="900" w:leader="none"/>
        </w:tabs>
      </w:pPr>
      <w:rPr>
        <w:rFonts w:hint="eastAsia"/>
      </w:rPr>
    </w:lvl>
  </w:abstractNum>
  <w:abstractNum w:abstractNumId="14">
    <w:multiLevelType w:val="hybridMultilevel"/>
    <w:lvl w:ilvl="0">
      <w:start w:val="1"/>
      <w:numFmt w:val="ideographTraditional"/>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0"/>
  </w:num>
  <w:num w:numId="4">
    <w:abstractNumId w:val="8"/>
  </w:num>
  <w:num w:numId="5">
    <w:abstractNumId w:val="6"/>
  </w:num>
  <w:num w:numId="6">
    <w:abstractNumId w:val="5"/>
  </w:num>
  <w:num w:numId="7">
    <w:abstractNumId w:val="11"/>
  </w:num>
  <w:num w:numId="8">
    <w:abstractNumId w:val="9"/>
  </w:num>
  <w:num w:numId="9">
    <w:abstractNumId w:val="13"/>
  </w:num>
  <w:num w:numId="10">
    <w:abstractNumId w:val="3"/>
  </w:num>
  <w:num w:numId="11">
    <w:abstractNumId w:val="12"/>
  </w:num>
  <w:num w:numId="12">
    <w:abstractNumId w:val="1"/>
  </w:num>
  <w:num w:numId="13">
    <w:abstractNumId w:val="2"/>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5"/>
    <w:next w:val="9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5"/>
    <w:next w:val="9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5"/>
    <w:next w:val="9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5"/>
    <w:next w:val="9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5"/>
    <w:next w:val="9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5"/>
    <w:next w:val="9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5"/>
    <w:next w:val="9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5"/>
    <w:next w:val="9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5"/>
    <w:next w:val="9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5"/>
    <w:next w:val="9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5"/>
    <w:next w:val="9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5"/>
    <w:next w:val="905"/>
    <w:link w:val="38"/>
    <w:uiPriority w:val="29"/>
    <w:qFormat/>
    <w:pPr>
      <w:ind w:left="720" w:right="720"/>
    </w:pPr>
    <w:rPr>
      <w:i/>
    </w:rPr>
  </w:style>
  <w:style w:type="character" w:styleId="38">
    <w:name w:val="Quote Char"/>
    <w:link w:val="37"/>
    <w:uiPriority w:val="29"/>
    <w:rPr>
      <w:i/>
    </w:rPr>
  </w:style>
  <w:style w:type="paragraph" w:styleId="39">
    <w:name w:val="Intense Quote"/>
    <w:basedOn w:val="905"/>
    <w:next w:val="9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5"/>
    <w:next w:val="9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5"/>
    <w:next w:val="905"/>
    <w:uiPriority w:val="39"/>
    <w:unhideWhenUsed/>
    <w:pPr>
      <w:ind w:left="0" w:right="0" w:firstLine="0"/>
      <w:spacing w:after="57"/>
    </w:pPr>
  </w:style>
  <w:style w:type="paragraph" w:styleId="181">
    <w:name w:val="toc 2"/>
    <w:basedOn w:val="905"/>
    <w:next w:val="905"/>
    <w:uiPriority w:val="39"/>
    <w:unhideWhenUsed/>
    <w:pPr>
      <w:ind w:left="283" w:right="0" w:firstLine="0"/>
      <w:spacing w:after="57"/>
    </w:pPr>
  </w:style>
  <w:style w:type="paragraph" w:styleId="182">
    <w:name w:val="toc 3"/>
    <w:basedOn w:val="905"/>
    <w:next w:val="905"/>
    <w:uiPriority w:val="39"/>
    <w:unhideWhenUsed/>
    <w:pPr>
      <w:ind w:left="567" w:right="0" w:firstLine="0"/>
      <w:spacing w:after="57"/>
    </w:pPr>
  </w:style>
  <w:style w:type="paragraph" w:styleId="183">
    <w:name w:val="toc 4"/>
    <w:basedOn w:val="905"/>
    <w:next w:val="905"/>
    <w:uiPriority w:val="39"/>
    <w:unhideWhenUsed/>
    <w:pPr>
      <w:ind w:left="850" w:right="0" w:firstLine="0"/>
      <w:spacing w:after="57"/>
    </w:pPr>
  </w:style>
  <w:style w:type="paragraph" w:styleId="184">
    <w:name w:val="toc 5"/>
    <w:basedOn w:val="905"/>
    <w:next w:val="905"/>
    <w:uiPriority w:val="39"/>
    <w:unhideWhenUsed/>
    <w:pPr>
      <w:ind w:left="1134" w:right="0" w:firstLine="0"/>
      <w:spacing w:after="57"/>
    </w:pPr>
  </w:style>
  <w:style w:type="paragraph" w:styleId="185">
    <w:name w:val="toc 6"/>
    <w:basedOn w:val="905"/>
    <w:next w:val="905"/>
    <w:uiPriority w:val="39"/>
    <w:unhideWhenUsed/>
    <w:pPr>
      <w:ind w:left="1417" w:right="0" w:firstLine="0"/>
      <w:spacing w:after="57"/>
    </w:pPr>
  </w:style>
  <w:style w:type="paragraph" w:styleId="186">
    <w:name w:val="toc 7"/>
    <w:basedOn w:val="905"/>
    <w:next w:val="905"/>
    <w:uiPriority w:val="39"/>
    <w:unhideWhenUsed/>
    <w:pPr>
      <w:ind w:left="1701" w:right="0" w:firstLine="0"/>
      <w:spacing w:after="57"/>
    </w:pPr>
  </w:style>
  <w:style w:type="paragraph" w:styleId="187">
    <w:name w:val="toc 8"/>
    <w:basedOn w:val="905"/>
    <w:next w:val="905"/>
    <w:uiPriority w:val="39"/>
    <w:unhideWhenUsed/>
    <w:pPr>
      <w:ind w:left="1984" w:right="0" w:firstLine="0"/>
      <w:spacing w:after="57"/>
    </w:pPr>
  </w:style>
  <w:style w:type="paragraph" w:styleId="188">
    <w:name w:val="toc 9"/>
    <w:basedOn w:val="905"/>
    <w:next w:val="9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4"/>
      <w:lang w:val="en-US" w:eastAsia="zh-CN" w:bidi="ar-SA"/>
    </w:rPr>
  </w:style>
  <w:style w:type="paragraph" w:styleId="906">
    <w:name w:val="标题 1"/>
    <w:basedOn w:val="905"/>
    <w:next w:val="905"/>
    <w:link w:val="917"/>
    <w:qFormat/>
    <w:pPr>
      <w:jc w:val="center"/>
      <w:keepLines/>
      <w:keepNext/>
      <w:spacing w:before="240" w:after="120" w:line="300" w:lineRule="auto"/>
      <w:outlineLvl w:val="0"/>
    </w:pPr>
    <w:rPr>
      <w:rFonts w:ascii="宋体"/>
      <w:b/>
      <w:sz w:val="32"/>
      <w:szCs w:val="20"/>
    </w:rPr>
  </w:style>
  <w:style w:type="paragraph" w:styleId="907">
    <w:name w:val="标题 2"/>
    <w:basedOn w:val="905"/>
    <w:next w:val="919"/>
    <w:link w:val="918"/>
    <w:qFormat/>
    <w:pPr>
      <w:jc w:val="center"/>
      <w:keepLines/>
      <w:keepNext/>
      <w:spacing w:before="120" w:line="300" w:lineRule="auto"/>
      <w:outlineLvl w:val="1"/>
    </w:pPr>
    <w:rPr>
      <w:rFonts w:ascii="Arial" w:hAnsi="Arial" w:eastAsia="黑体"/>
      <w:b/>
      <w:sz w:val="30"/>
      <w:szCs w:val="20"/>
    </w:rPr>
  </w:style>
  <w:style w:type="paragraph" w:styleId="908">
    <w:name w:val="标题 3"/>
    <w:basedOn w:val="905"/>
    <w:next w:val="905"/>
    <w:link w:val="921"/>
    <w:qFormat/>
    <w:pPr>
      <w:jc w:val="left"/>
      <w:keepLines/>
      <w:keepNext/>
      <w:spacing w:before="360" w:after="120"/>
      <w:outlineLvl w:val="2"/>
    </w:pPr>
    <w:rPr>
      <w:rFonts w:ascii="宋体"/>
      <w:b/>
      <w:sz w:val="24"/>
      <w:szCs w:val="20"/>
      <w:u w:val="single"/>
    </w:rPr>
  </w:style>
  <w:style w:type="paragraph" w:styleId="909">
    <w:name w:val="标题 4"/>
    <w:basedOn w:val="905"/>
    <w:next w:val="905"/>
    <w:link w:val="922"/>
    <w:qFormat/>
    <w:pPr>
      <w:keepLines/>
      <w:keepNext/>
      <w:spacing w:before="280" w:after="290" w:line="376" w:lineRule="atLeast"/>
      <w:outlineLvl w:val="3"/>
    </w:pPr>
    <w:rPr>
      <w:rFonts w:ascii="Arial" w:hAnsi="Arial" w:eastAsia="黑体"/>
      <w:b/>
      <w:sz w:val="28"/>
      <w:szCs w:val="20"/>
    </w:rPr>
  </w:style>
  <w:style w:type="paragraph" w:styleId="910">
    <w:name w:val="标题 5"/>
    <w:basedOn w:val="905"/>
    <w:next w:val="905"/>
    <w:link w:val="923"/>
    <w:qFormat/>
    <w:pPr>
      <w:keepLines/>
      <w:keepNext/>
      <w:spacing w:before="280" w:after="290" w:line="376" w:lineRule="atLeast"/>
      <w:outlineLvl w:val="4"/>
    </w:pPr>
    <w:rPr>
      <w:b/>
      <w:sz w:val="28"/>
      <w:szCs w:val="20"/>
    </w:rPr>
  </w:style>
  <w:style w:type="paragraph" w:styleId="911">
    <w:name w:val="标题 6"/>
    <w:basedOn w:val="905"/>
    <w:next w:val="905"/>
    <w:link w:val="924"/>
    <w:qFormat/>
    <w:pPr>
      <w:keepLines/>
      <w:keepNext/>
      <w:spacing w:before="240" w:after="64" w:line="320" w:lineRule="atLeast"/>
      <w:outlineLvl w:val="5"/>
    </w:pPr>
    <w:rPr>
      <w:rFonts w:ascii="Arial" w:hAnsi="Arial" w:eastAsia="黑体"/>
      <w:b/>
      <w:sz w:val="24"/>
      <w:szCs w:val="20"/>
    </w:rPr>
  </w:style>
  <w:style w:type="paragraph" w:styleId="912">
    <w:name w:val="标题 7"/>
    <w:basedOn w:val="905"/>
    <w:next w:val="905"/>
    <w:link w:val="925"/>
    <w:qFormat/>
    <w:pPr>
      <w:keepLines/>
      <w:keepNext/>
      <w:spacing w:before="240" w:after="64" w:line="320" w:lineRule="atLeast"/>
      <w:outlineLvl w:val="6"/>
    </w:pPr>
    <w:rPr>
      <w:b/>
      <w:sz w:val="24"/>
      <w:szCs w:val="20"/>
    </w:rPr>
  </w:style>
  <w:style w:type="paragraph" w:styleId="913">
    <w:name w:val="标题 8"/>
    <w:basedOn w:val="905"/>
    <w:next w:val="905"/>
    <w:link w:val="926"/>
    <w:qFormat/>
    <w:pPr>
      <w:keepLines/>
      <w:keepNext/>
      <w:spacing w:before="240" w:after="64" w:line="320" w:lineRule="atLeast"/>
      <w:outlineLvl w:val="7"/>
    </w:pPr>
    <w:rPr>
      <w:rFonts w:ascii="Arial" w:hAnsi="Arial" w:eastAsia="黑体"/>
      <w:sz w:val="24"/>
      <w:szCs w:val="20"/>
    </w:rPr>
  </w:style>
  <w:style w:type="paragraph" w:styleId="914">
    <w:name w:val="标题 9"/>
    <w:basedOn w:val="905"/>
    <w:next w:val="905"/>
    <w:link w:val="927"/>
    <w:qFormat/>
    <w:pPr>
      <w:keepLines/>
      <w:keepNext/>
      <w:spacing w:before="240" w:after="64" w:line="320" w:lineRule="atLeast"/>
      <w:outlineLvl w:val="8"/>
    </w:pPr>
    <w:rPr>
      <w:rFonts w:ascii="Arial" w:hAnsi="Arial" w:eastAsia="黑体"/>
      <w:szCs w:val="20"/>
    </w:rPr>
  </w:style>
  <w:style w:type="character" w:styleId="915">
    <w:name w:val="默认段落字体"/>
    <w:next w:val="915"/>
    <w:link w:val="905"/>
    <w:uiPriority w:val="1"/>
    <w:unhideWhenUsed/>
    <w:qFormat/>
  </w:style>
  <w:style w:type="table" w:styleId="916">
    <w:name w:val="普通表格"/>
    <w:next w:val="916"/>
    <w:link w:val="90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17">
    <w:name w:val="标题 1 Char"/>
    <w:next w:val="917"/>
    <w:link w:val="906"/>
    <w:qFormat/>
    <w:rPr>
      <w:rFonts w:ascii="宋体"/>
      <w:b/>
      <w:sz w:val="32"/>
    </w:rPr>
  </w:style>
  <w:style w:type="character" w:styleId="918">
    <w:name w:val="标题 2 Char1"/>
    <w:next w:val="918"/>
    <w:link w:val="907"/>
    <w:qFormat/>
    <w:rPr>
      <w:rFonts w:ascii="Arial" w:hAnsi="Arial" w:eastAsia="黑体"/>
      <w:b/>
      <w:sz w:val="30"/>
      <w:lang w:val="en-US" w:eastAsia="zh-CN" w:bidi="ar-SA"/>
    </w:rPr>
  </w:style>
  <w:style w:type="paragraph" w:styleId="919">
    <w:name w:val="正文缩进"/>
    <w:basedOn w:val="905"/>
    <w:next w:val="905"/>
    <w:link w:val="920"/>
    <w:qFormat/>
    <w:pPr>
      <w:ind w:firstLine="420"/>
      <w:jc w:val="left"/>
    </w:pPr>
    <w:rPr>
      <w:rFonts w:ascii="宋体"/>
      <w:sz w:val="24"/>
    </w:rPr>
  </w:style>
  <w:style w:type="character" w:styleId="920">
    <w:name w:val="正文缩进 Char1"/>
    <w:next w:val="920"/>
    <w:link w:val="919"/>
    <w:qFormat/>
    <w:rPr>
      <w:rFonts w:ascii="宋体" w:eastAsia="宋体"/>
      <w:sz w:val="24"/>
      <w:szCs w:val="24"/>
      <w:lang w:val="en-US" w:eastAsia="zh-CN" w:bidi="ar-SA"/>
    </w:rPr>
  </w:style>
  <w:style w:type="character" w:styleId="921">
    <w:name w:val="标题 3 Char1"/>
    <w:next w:val="921"/>
    <w:link w:val="908"/>
    <w:qFormat/>
    <w:rPr>
      <w:rFonts w:ascii="宋体" w:eastAsia="宋体"/>
      <w:b/>
      <w:sz w:val="24"/>
      <w:u w:val="single"/>
      <w:lang w:val="en-US" w:eastAsia="zh-CN" w:bidi="ar-SA"/>
    </w:rPr>
  </w:style>
  <w:style w:type="character" w:styleId="922">
    <w:name w:val="标题 4 Char"/>
    <w:next w:val="922"/>
    <w:link w:val="909"/>
    <w:qFormat/>
    <w:rPr>
      <w:rFonts w:ascii="Arial" w:hAnsi="Arial" w:eastAsia="黑体"/>
      <w:b/>
      <w:sz w:val="28"/>
    </w:rPr>
  </w:style>
  <w:style w:type="character" w:styleId="923">
    <w:name w:val="标题 5 Char"/>
    <w:next w:val="923"/>
    <w:link w:val="910"/>
    <w:qFormat/>
    <w:rPr>
      <w:b/>
      <w:sz w:val="28"/>
    </w:rPr>
  </w:style>
  <w:style w:type="character" w:styleId="924">
    <w:name w:val="标题 6 Char"/>
    <w:next w:val="924"/>
    <w:link w:val="911"/>
    <w:qFormat/>
    <w:rPr>
      <w:rFonts w:ascii="Arial" w:hAnsi="Arial" w:eastAsia="黑体"/>
      <w:b/>
      <w:sz w:val="24"/>
    </w:rPr>
  </w:style>
  <w:style w:type="character" w:styleId="925">
    <w:name w:val="标题 7 Char"/>
    <w:next w:val="925"/>
    <w:link w:val="912"/>
    <w:qFormat/>
    <w:rPr>
      <w:b/>
      <w:sz w:val="24"/>
    </w:rPr>
  </w:style>
  <w:style w:type="character" w:styleId="926">
    <w:name w:val="标题 8 Char"/>
    <w:next w:val="926"/>
    <w:link w:val="913"/>
    <w:qFormat/>
    <w:rPr>
      <w:rFonts w:ascii="Arial" w:hAnsi="Arial" w:eastAsia="黑体"/>
      <w:sz w:val="24"/>
    </w:rPr>
  </w:style>
  <w:style w:type="character" w:styleId="927">
    <w:name w:val="标题 9 Char"/>
    <w:next w:val="927"/>
    <w:link w:val="914"/>
    <w:qFormat/>
    <w:rPr>
      <w:rFonts w:ascii="Arial" w:hAnsi="Arial" w:eastAsia="黑体"/>
      <w:sz w:val="21"/>
    </w:rPr>
  </w:style>
  <w:style w:type="paragraph" w:styleId="928">
    <w:name w:val="目录 7"/>
    <w:basedOn w:val="905"/>
    <w:next w:val="905"/>
    <w:link w:val="905"/>
    <w:qFormat/>
    <w:pPr>
      <w:ind w:left="2520"/>
    </w:pPr>
  </w:style>
  <w:style w:type="paragraph" w:styleId="929">
    <w:name w:val="注释标题"/>
    <w:basedOn w:val="905"/>
    <w:next w:val="905"/>
    <w:link w:val="905"/>
    <w:qFormat/>
    <w:rPr>
      <w:rFonts w:ascii="Verdana" w:hAnsi="Verdana"/>
      <w:szCs w:val="20"/>
    </w:rPr>
  </w:style>
  <w:style w:type="paragraph" w:styleId="930">
    <w:name w:val="题注"/>
    <w:basedOn w:val="905"/>
    <w:next w:val="905"/>
    <w:link w:val="905"/>
    <w:qFormat/>
    <w:pPr>
      <w:spacing w:line="480" w:lineRule="auto"/>
    </w:pPr>
    <w:rPr>
      <w:rFonts w:ascii="华文中宋" w:hAnsi="华文中宋" w:eastAsia="华文中宋"/>
      <w:sz w:val="36"/>
      <w:szCs w:val="20"/>
    </w:rPr>
  </w:style>
  <w:style w:type="paragraph" w:styleId="931">
    <w:name w:val="文档结构图"/>
    <w:basedOn w:val="905"/>
    <w:next w:val="931"/>
    <w:link w:val="932"/>
    <w:qFormat/>
    <w:pPr>
      <w:shd w:val="clear" w:color="auto" w:fill="000080"/>
    </w:pPr>
  </w:style>
  <w:style w:type="character" w:styleId="932">
    <w:name w:val="文档结构图 Char"/>
    <w:next w:val="932"/>
    <w:link w:val="931"/>
    <w:qFormat/>
    <w:rPr>
      <w:sz w:val="21"/>
      <w:szCs w:val="24"/>
      <w:shd w:val="clear" w:color="auto" w:fill="000080"/>
    </w:rPr>
  </w:style>
  <w:style w:type="paragraph" w:styleId="933">
    <w:name w:val="批注文字"/>
    <w:basedOn w:val="905"/>
    <w:next w:val="933"/>
    <w:link w:val="934"/>
    <w:uiPriority w:val="99"/>
    <w:qFormat/>
    <w:pPr>
      <w:jc w:val="left"/>
    </w:pPr>
  </w:style>
  <w:style w:type="character" w:styleId="934">
    <w:name w:val="批注文字 Char1"/>
    <w:next w:val="934"/>
    <w:link w:val="933"/>
    <w:uiPriority w:val="99"/>
    <w:qFormat/>
    <w:rPr>
      <w:sz w:val="21"/>
      <w:szCs w:val="24"/>
    </w:rPr>
  </w:style>
  <w:style w:type="paragraph" w:styleId="935">
    <w:name w:val="正文文本 3"/>
    <w:basedOn w:val="905"/>
    <w:next w:val="935"/>
    <w:link w:val="936"/>
    <w:qFormat/>
    <w:pPr>
      <w:spacing w:after="120"/>
    </w:pPr>
    <w:rPr>
      <w:sz w:val="16"/>
      <w:szCs w:val="16"/>
    </w:rPr>
  </w:style>
  <w:style w:type="character" w:styleId="936">
    <w:name w:val="正文文本 3 Char"/>
    <w:next w:val="936"/>
    <w:link w:val="935"/>
    <w:qFormat/>
    <w:rPr>
      <w:sz w:val="16"/>
      <w:szCs w:val="16"/>
    </w:rPr>
  </w:style>
  <w:style w:type="paragraph" w:styleId="937">
    <w:name w:val="正文文本"/>
    <w:basedOn w:val="905"/>
    <w:next w:val="937"/>
    <w:link w:val="938"/>
    <w:qFormat/>
    <w:pPr>
      <w:spacing w:before="120" w:line="22" w:lineRule="atLeast"/>
      <w:tabs>
        <w:tab w:val="left" w:pos="567" w:leader="none"/>
      </w:tabs>
    </w:pPr>
    <w:rPr>
      <w:rFonts w:ascii="宋体" w:hAnsi="宋体"/>
      <w:sz w:val="24"/>
    </w:rPr>
  </w:style>
  <w:style w:type="character" w:styleId="938">
    <w:name w:val="正文文本 Char"/>
    <w:next w:val="938"/>
    <w:link w:val="937"/>
    <w:qFormat/>
    <w:rPr>
      <w:rFonts w:ascii="宋体" w:hAnsi="宋体"/>
      <w:sz w:val="24"/>
      <w:szCs w:val="24"/>
    </w:rPr>
  </w:style>
  <w:style w:type="paragraph" w:styleId="939">
    <w:name w:val="正文文本缩进"/>
    <w:basedOn w:val="905"/>
    <w:next w:val="939"/>
    <w:link w:val="940"/>
    <w:qFormat/>
    <w:pPr>
      <w:ind w:firstLine="570"/>
      <w:spacing w:line="360" w:lineRule="auto"/>
    </w:pPr>
    <w:rPr>
      <w:sz w:val="24"/>
    </w:rPr>
  </w:style>
  <w:style w:type="character" w:styleId="940">
    <w:name w:val="正文文本缩进 Char2"/>
    <w:next w:val="940"/>
    <w:link w:val="939"/>
    <w:qFormat/>
    <w:rPr>
      <w:rFonts w:eastAsia="宋体"/>
      <w:sz w:val="24"/>
      <w:szCs w:val="24"/>
      <w:lang w:val="en-US" w:eastAsia="zh-CN" w:bidi="ar-SA"/>
    </w:rPr>
  </w:style>
  <w:style w:type="paragraph" w:styleId="941">
    <w:name w:val="列表 2"/>
    <w:basedOn w:val="905"/>
    <w:next w:val="941"/>
    <w:link w:val="905"/>
    <w:qFormat/>
    <w:pPr>
      <w:ind w:left="100" w:hanging="200"/>
    </w:pPr>
  </w:style>
  <w:style w:type="paragraph" w:styleId="942">
    <w:name w:val="文本块"/>
    <w:basedOn w:val="905"/>
    <w:next w:val="942"/>
    <w:link w:val="905"/>
    <w:qFormat/>
    <w:pPr>
      <w:ind w:left="480" w:right="-341" w:firstLine="513"/>
      <w:widowControl/>
    </w:pPr>
    <w:rPr>
      <w:sz w:val="24"/>
      <w:szCs w:val="20"/>
    </w:rPr>
  </w:style>
  <w:style w:type="paragraph" w:styleId="943">
    <w:name w:val="目录 5"/>
    <w:basedOn w:val="905"/>
    <w:next w:val="905"/>
    <w:link w:val="905"/>
    <w:qFormat/>
    <w:pPr>
      <w:ind w:left="1680"/>
    </w:pPr>
  </w:style>
  <w:style w:type="paragraph" w:styleId="944">
    <w:name w:val="目录 3"/>
    <w:basedOn w:val="905"/>
    <w:next w:val="905"/>
    <w:link w:val="905"/>
    <w:uiPriority w:val="39"/>
    <w:qFormat/>
    <w:pPr>
      <w:ind w:left="840"/>
    </w:pPr>
  </w:style>
  <w:style w:type="paragraph" w:styleId="945">
    <w:name w:val="纯文本"/>
    <w:basedOn w:val="905"/>
    <w:next w:val="919"/>
    <w:link w:val="946"/>
    <w:qFormat/>
    <w:rPr>
      <w:rFonts w:hint="eastAsia" w:ascii="宋体" w:hAnsi="Courier New"/>
      <w:szCs w:val="20"/>
    </w:rPr>
  </w:style>
  <w:style w:type="character" w:styleId="946">
    <w:name w:val="纯文本 Char"/>
    <w:next w:val="946"/>
    <w:link w:val="945"/>
    <w:qFormat/>
    <w:rPr>
      <w:rFonts w:hint="eastAsia" w:ascii="宋体" w:hAnsi="Courier New" w:eastAsia="宋体" w:cs="宋体"/>
      <w:sz w:val="21"/>
    </w:rPr>
  </w:style>
  <w:style w:type="paragraph" w:styleId="947">
    <w:name w:val="目录 8"/>
    <w:basedOn w:val="905"/>
    <w:next w:val="905"/>
    <w:link w:val="905"/>
    <w:qFormat/>
    <w:pPr>
      <w:ind w:left="2940"/>
    </w:pPr>
  </w:style>
  <w:style w:type="paragraph" w:styleId="948">
    <w:name w:val="日期"/>
    <w:basedOn w:val="905"/>
    <w:next w:val="905"/>
    <w:link w:val="949"/>
    <w:qFormat/>
    <w:pPr>
      <w:ind w:left="100"/>
    </w:pPr>
    <w:rPr>
      <w:rFonts w:ascii="仿宋_GB2312" w:hAnsi="宋体" w:eastAsia="仿宋_GB2312"/>
      <w:color w:val="000000"/>
      <w:sz w:val="24"/>
    </w:rPr>
  </w:style>
  <w:style w:type="character" w:styleId="949">
    <w:name w:val="日期 Char"/>
    <w:next w:val="949"/>
    <w:link w:val="948"/>
    <w:qFormat/>
    <w:rPr>
      <w:rFonts w:ascii="仿宋_GB2312" w:hAnsi="宋体" w:eastAsia="仿宋_GB2312"/>
      <w:color w:val="000000"/>
      <w:sz w:val="24"/>
      <w:szCs w:val="24"/>
    </w:rPr>
  </w:style>
  <w:style w:type="paragraph" w:styleId="950">
    <w:name w:val="正文文本缩进 2"/>
    <w:basedOn w:val="905"/>
    <w:next w:val="950"/>
    <w:link w:val="951"/>
    <w:qFormat/>
    <w:pPr>
      <w:ind w:firstLine="480"/>
    </w:pPr>
    <w:rPr>
      <w:rFonts w:ascii="仿宋_GB2312" w:eastAsia="仿宋_GB2312"/>
      <w:sz w:val="24"/>
    </w:rPr>
  </w:style>
  <w:style w:type="character" w:styleId="951">
    <w:name w:val="正文文本缩进 2 Char"/>
    <w:next w:val="951"/>
    <w:link w:val="950"/>
    <w:qFormat/>
    <w:rPr>
      <w:rFonts w:ascii="仿宋_GB2312" w:eastAsia="仿宋_GB2312"/>
      <w:sz w:val="24"/>
      <w:szCs w:val="24"/>
    </w:rPr>
  </w:style>
  <w:style w:type="paragraph" w:styleId="952">
    <w:name w:val="批注框文本"/>
    <w:basedOn w:val="905"/>
    <w:next w:val="952"/>
    <w:link w:val="953"/>
    <w:qFormat/>
    <w:rPr>
      <w:sz w:val="18"/>
      <w:szCs w:val="18"/>
    </w:rPr>
  </w:style>
  <w:style w:type="character" w:styleId="953">
    <w:name w:val="批注框文本 Char"/>
    <w:next w:val="953"/>
    <w:link w:val="952"/>
    <w:qFormat/>
    <w:rPr>
      <w:sz w:val="18"/>
      <w:szCs w:val="18"/>
    </w:rPr>
  </w:style>
  <w:style w:type="paragraph" w:styleId="954">
    <w:name w:val="页脚"/>
    <w:basedOn w:val="905"/>
    <w:next w:val="954"/>
    <w:link w:val="955"/>
    <w:uiPriority w:val="99"/>
    <w:qFormat/>
    <w:pPr>
      <w:jc w:val="left"/>
      <w:tabs>
        <w:tab w:val="center" w:pos="4153" w:leader="none"/>
        <w:tab w:val="right" w:pos="8306" w:leader="none"/>
      </w:tabs>
    </w:pPr>
    <w:rPr>
      <w:rFonts w:ascii="宋体"/>
      <w:sz w:val="18"/>
      <w:szCs w:val="20"/>
    </w:rPr>
  </w:style>
  <w:style w:type="character" w:styleId="955">
    <w:name w:val="页脚 Char1"/>
    <w:next w:val="955"/>
    <w:link w:val="954"/>
    <w:uiPriority w:val="99"/>
    <w:qFormat/>
    <w:rPr>
      <w:rFonts w:ascii="宋体" w:eastAsia="宋体"/>
      <w:sz w:val="18"/>
      <w:lang w:val="en-US" w:eastAsia="zh-CN" w:bidi="ar-SA"/>
    </w:rPr>
  </w:style>
  <w:style w:type="paragraph" w:styleId="956">
    <w:name w:val="寄信人地址"/>
    <w:basedOn w:val="905"/>
    <w:next w:val="956"/>
    <w:link w:val="905"/>
    <w:qFormat/>
    <w:rPr>
      <w:rFonts w:ascii="Arial" w:hAnsi="Arial"/>
    </w:rPr>
  </w:style>
  <w:style w:type="paragraph" w:styleId="957">
    <w:name w:val="页眉"/>
    <w:basedOn w:val="905"/>
    <w:next w:val="957"/>
    <w:link w:val="958"/>
    <w:qFormat/>
    <w:pPr>
      <w:jc w:val="center"/>
      <w:tabs>
        <w:tab w:val="center" w:pos="4153" w:leader="none"/>
        <w:tab w:val="right" w:pos="8306" w:leader="none"/>
      </w:tabs>
    </w:pPr>
    <w:rPr>
      <w:sz w:val="18"/>
      <w:szCs w:val="18"/>
    </w:rPr>
  </w:style>
  <w:style w:type="character" w:styleId="958">
    <w:name w:val="页眉 Char1"/>
    <w:next w:val="958"/>
    <w:link w:val="957"/>
    <w:qFormat/>
    <w:rPr>
      <w:sz w:val="18"/>
      <w:szCs w:val="18"/>
    </w:rPr>
  </w:style>
  <w:style w:type="paragraph" w:styleId="959">
    <w:name w:val="目录 1"/>
    <w:basedOn w:val="905"/>
    <w:next w:val="905"/>
    <w:link w:val="905"/>
    <w:uiPriority w:val="39"/>
    <w:qFormat/>
    <w:pPr>
      <w:spacing w:line="300" w:lineRule="auto"/>
      <w:tabs>
        <w:tab w:val="left" w:pos="1050" w:leader="none"/>
        <w:tab w:val="right" w:pos="8937" w:leader="dot"/>
      </w:tabs>
    </w:pPr>
    <w:rPr>
      <w:rFonts w:ascii="宋体" w:hAnsi="宋体"/>
      <w:b/>
      <w:sz w:val="24"/>
    </w:rPr>
  </w:style>
  <w:style w:type="paragraph" w:styleId="960">
    <w:name w:val="目录 4"/>
    <w:basedOn w:val="905"/>
    <w:next w:val="905"/>
    <w:link w:val="905"/>
    <w:qFormat/>
    <w:pPr>
      <w:ind w:left="1260"/>
    </w:pPr>
  </w:style>
  <w:style w:type="paragraph" w:styleId="961">
    <w:name w:val="目录 6"/>
    <w:basedOn w:val="905"/>
    <w:next w:val="905"/>
    <w:link w:val="905"/>
    <w:qFormat/>
    <w:pPr>
      <w:ind w:left="2100"/>
    </w:pPr>
  </w:style>
  <w:style w:type="paragraph" w:styleId="962">
    <w:name w:val="正文文本缩进 3"/>
    <w:basedOn w:val="905"/>
    <w:next w:val="962"/>
    <w:link w:val="963"/>
    <w:qFormat/>
    <w:pPr>
      <w:ind w:left="720" w:firstLine="480"/>
      <w:jc w:val="left"/>
      <w:spacing w:before="120" w:line="22" w:lineRule="atLeast"/>
    </w:pPr>
    <w:rPr>
      <w:rFonts w:ascii="宋体"/>
      <w:sz w:val="24"/>
      <w:szCs w:val="20"/>
    </w:rPr>
  </w:style>
  <w:style w:type="character" w:styleId="963">
    <w:name w:val="正文文本缩进 3 Char"/>
    <w:next w:val="963"/>
    <w:link w:val="962"/>
    <w:qFormat/>
    <w:rPr>
      <w:rFonts w:ascii="宋体"/>
      <w:sz w:val="24"/>
    </w:rPr>
  </w:style>
  <w:style w:type="paragraph" w:styleId="964">
    <w:name w:val="目录 2"/>
    <w:basedOn w:val="905"/>
    <w:next w:val="905"/>
    <w:link w:val="905"/>
    <w:uiPriority w:val="39"/>
    <w:qFormat/>
    <w:pPr>
      <w:ind w:left="420"/>
      <w:spacing w:line="312" w:lineRule="auto"/>
      <w:tabs>
        <w:tab w:val="right" w:pos="8937" w:leader="dot"/>
      </w:tabs>
    </w:pPr>
  </w:style>
  <w:style w:type="paragraph" w:styleId="965">
    <w:name w:val="目录 9"/>
    <w:basedOn w:val="905"/>
    <w:next w:val="905"/>
    <w:link w:val="905"/>
    <w:qFormat/>
    <w:pPr>
      <w:ind w:left="3360"/>
    </w:pPr>
  </w:style>
  <w:style w:type="paragraph" w:styleId="966">
    <w:name w:val="HTML 预设格式"/>
    <w:basedOn w:val="905"/>
    <w:next w:val="966"/>
    <w:link w:val="9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7">
    <w:name w:val="HTML 预设格式 Char"/>
    <w:next w:val="967"/>
    <w:link w:val="966"/>
    <w:qFormat/>
    <w:rPr>
      <w:rFonts w:ascii="宋体" w:hAnsi="宋体" w:cs="宋体"/>
      <w:sz w:val="24"/>
      <w:szCs w:val="24"/>
    </w:rPr>
  </w:style>
  <w:style w:type="paragraph" w:styleId="968">
    <w:name w:val="普通(网站)"/>
    <w:basedOn w:val="905"/>
    <w:next w:val="968"/>
    <w:link w:val="905"/>
    <w:uiPriority w:val="99"/>
    <w:unhideWhenUsed/>
    <w:qFormat/>
    <w:pPr>
      <w:jc w:val="left"/>
      <w:spacing w:before="100" w:beforeAutospacing="1" w:after="100" w:afterAutospacing="1"/>
      <w:widowControl/>
    </w:pPr>
    <w:rPr>
      <w:rFonts w:ascii="宋体" w:hAnsi="宋体" w:cs="宋体"/>
      <w:sz w:val="24"/>
    </w:rPr>
  </w:style>
  <w:style w:type="paragraph" w:styleId="969">
    <w:name w:val="索引 1"/>
    <w:basedOn w:val="905"/>
    <w:next w:val="905"/>
    <w:link w:val="905"/>
    <w:qFormat/>
    <w:rPr>
      <w:szCs w:val="20"/>
    </w:rPr>
  </w:style>
  <w:style w:type="paragraph" w:styleId="970">
    <w:name w:val="标题"/>
    <w:basedOn w:val="905"/>
    <w:next w:val="970"/>
    <w:link w:val="971"/>
    <w:qFormat/>
    <w:pPr>
      <w:jc w:val="center"/>
      <w:outlineLvl w:val="0"/>
    </w:pPr>
    <w:rPr>
      <w:b/>
      <w:sz w:val="32"/>
      <w:szCs w:val="20"/>
    </w:rPr>
  </w:style>
  <w:style w:type="character" w:styleId="971">
    <w:name w:val="标题 Char1"/>
    <w:next w:val="971"/>
    <w:link w:val="970"/>
    <w:qFormat/>
    <w:rPr>
      <w:b/>
      <w:sz w:val="32"/>
    </w:rPr>
  </w:style>
  <w:style w:type="paragraph" w:styleId="972">
    <w:name w:val="批注主题"/>
    <w:basedOn w:val="933"/>
    <w:next w:val="933"/>
    <w:link w:val="973"/>
    <w:qFormat/>
    <w:rPr>
      <w:b/>
      <w:bCs/>
      <w:lang w:val="en-US" w:eastAsia="zh-CN"/>
    </w:rPr>
  </w:style>
  <w:style w:type="character" w:styleId="973">
    <w:name w:val="批注主题 Char"/>
    <w:next w:val="973"/>
    <w:link w:val="972"/>
    <w:qFormat/>
    <w:rPr>
      <w:rFonts w:ascii="Times New Roman" w:hAnsi="Times New Roman" w:eastAsia="宋体" w:cs="Times New Roman"/>
      <w:b/>
      <w:bCs/>
      <w:sz w:val="21"/>
      <w:szCs w:val="24"/>
      <w:lang w:val="en-US" w:eastAsia="zh-CN" w:bidi="ar-SA"/>
    </w:rPr>
  </w:style>
  <w:style w:type="paragraph" w:styleId="974">
    <w:name w:val="正文首行缩进"/>
    <w:basedOn w:val="937"/>
    <w:next w:val="905"/>
    <w:link w:val="905"/>
    <w:uiPriority w:val="99"/>
    <w:unhideWhenUsed/>
    <w:qFormat/>
    <w:pPr>
      <w:ind w:firstLine="420"/>
      <w:tabs>
        <w:tab w:val="left" w:pos="567" w:leader="none"/>
      </w:tabs>
    </w:pPr>
    <w:rPr>
      <w:rFonts w:ascii="Times New Roman" w:hAnsi="Times New Roman"/>
      <w:sz w:val="21"/>
    </w:rPr>
  </w:style>
  <w:style w:type="paragraph" w:styleId="975">
    <w:name w:val="正文首行缩进 2"/>
    <w:basedOn w:val="939"/>
    <w:next w:val="975"/>
    <w:link w:val="976"/>
    <w:qFormat/>
    <w:pPr>
      <w:ind w:left="420" w:firstLine="420"/>
      <w:spacing w:after="120" w:line="480" w:lineRule="exact"/>
    </w:pPr>
  </w:style>
  <w:style w:type="character" w:styleId="976">
    <w:name w:val="正文首行缩进 2 Char"/>
    <w:next w:val="976"/>
    <w:link w:val="975"/>
    <w:qFormat/>
    <w:rPr>
      <w:rFonts w:eastAsia="宋体"/>
      <w:sz w:val="24"/>
      <w:szCs w:val="24"/>
      <w:lang w:val="en-US" w:eastAsia="zh-CN" w:bidi="ar-SA"/>
    </w:rPr>
  </w:style>
  <w:style w:type="table" w:styleId="977">
    <w:name w:val="网格型"/>
    <w:basedOn w:val="916"/>
    <w:next w:val="977"/>
    <w:link w:val="905"/>
    <w:uiPriority w:val="39"/>
    <w:qFormat/>
    <w:tblPr/>
  </w:style>
  <w:style w:type="table" w:styleId="978">
    <w:name w:val="中等深浅网格 1 - 强调文字颜色 2"/>
    <w:basedOn w:val="916"/>
    <w:next w:val="978"/>
    <w:link w:val="905"/>
    <w:qFormat/>
    <w:rPr>
      <w:sz w:val="21"/>
      <w:szCs w:val="24"/>
    </w:rPr>
    <w:tblPr/>
  </w:style>
  <w:style w:type="character" w:styleId="979">
    <w:name w:val="要点"/>
    <w:next w:val="979"/>
    <w:link w:val="905"/>
    <w:qFormat/>
    <w:rPr>
      <w:b/>
      <w:bCs/>
    </w:rPr>
  </w:style>
  <w:style w:type="character" w:styleId="980">
    <w:name w:val="页码"/>
    <w:next w:val="980"/>
    <w:link w:val="905"/>
    <w:qFormat/>
  </w:style>
  <w:style w:type="character" w:styleId="981">
    <w:name w:val="已访问的超链接"/>
    <w:next w:val="981"/>
    <w:link w:val="905"/>
    <w:qFormat/>
    <w:rPr>
      <w:color w:val="800080"/>
      <w:u w:val="single"/>
    </w:rPr>
  </w:style>
  <w:style w:type="character" w:styleId="982">
    <w:name w:val="强调"/>
    <w:next w:val="982"/>
    <w:link w:val="905"/>
    <w:qFormat/>
    <w:rPr>
      <w:color w:val="cc0033"/>
    </w:rPr>
  </w:style>
  <w:style w:type="character" w:styleId="983">
    <w:name w:val="超链接"/>
    <w:next w:val="983"/>
    <w:link w:val="905"/>
    <w:uiPriority w:val="99"/>
    <w:qFormat/>
    <w:rPr>
      <w:color w:val="0000ff"/>
      <w:u w:val="single"/>
    </w:rPr>
  </w:style>
  <w:style w:type="character" w:styleId="984">
    <w:name w:val="批注引用"/>
    <w:next w:val="984"/>
    <w:link w:val="905"/>
    <w:uiPriority w:val="99"/>
    <w:qFormat/>
    <w:rPr>
      <w:sz w:val="21"/>
      <w:szCs w:val="21"/>
    </w:rPr>
  </w:style>
  <w:style w:type="character" w:styleId="985">
    <w:name w:val="HTML 引文"/>
    <w:next w:val="985"/>
    <w:link w:val="905"/>
    <w:qFormat/>
    <w:rPr>
      <w:i/>
      <w:iCs/>
    </w:rPr>
  </w:style>
  <w:style w:type="paragraph" w:styleId="986">
    <w:name w:val="正文文本1"/>
    <w:basedOn w:val="905"/>
    <w:next w:val="905"/>
    <w:link w:val="905"/>
    <w:qFormat/>
    <w:pPr>
      <w:spacing w:before="120" w:line="22" w:lineRule="atLeast"/>
      <w:tabs>
        <w:tab w:val="left" w:pos="567" w:leader="none"/>
      </w:tabs>
    </w:pPr>
    <w:rPr>
      <w:rFonts w:ascii="宋体" w:hAnsi="宋体"/>
      <w:sz w:val="24"/>
    </w:rPr>
  </w:style>
  <w:style w:type="paragraph" w:styleId="987">
    <w:name w:val="标题 31"/>
    <w:basedOn w:val="905"/>
    <w:next w:val="905"/>
    <w:link w:val="905"/>
    <w:qFormat/>
    <w:pPr>
      <w:jc w:val="left"/>
      <w:keepLines/>
      <w:keepNext/>
      <w:spacing w:before="360" w:after="120"/>
      <w:outlineLvl w:val="2"/>
    </w:pPr>
    <w:rPr>
      <w:rFonts w:ascii="宋体"/>
      <w:b/>
      <w:sz w:val="24"/>
      <w:szCs w:val="20"/>
      <w:u w:val="single"/>
    </w:rPr>
  </w:style>
  <w:style w:type="paragraph" w:styleId="988">
    <w:name w:val="段"/>
    <w:next w:val="905"/>
    <w:link w:val="905"/>
    <w:unhideWhenUsed/>
    <w:qFormat/>
    <w:pPr>
      <w:ind w:firstLine="200"/>
      <w:jc w:val="both"/>
      <w:spacing w:line="360" w:lineRule="auto"/>
    </w:pPr>
    <w:rPr>
      <w:rFonts w:hint="eastAsia" w:ascii="宋体"/>
      <w:sz w:val="24"/>
      <w:lang w:val="en-US" w:eastAsia="zh-CN" w:bidi="ar-SA"/>
    </w:rPr>
  </w:style>
  <w:style w:type="paragraph" w:styleId="989">
    <w:name w:val="Default"/>
    <w:next w:val="989"/>
    <w:link w:val="905"/>
    <w:qFormat/>
    <w:pPr>
      <w:widowControl w:val="off"/>
    </w:pPr>
    <w:rPr>
      <w:rFonts w:ascii="Symbol" w:hAnsi="Symbol" w:cs="Symbol"/>
      <w:color w:val="000000"/>
      <w:sz w:val="24"/>
      <w:szCs w:val="24"/>
      <w:lang w:val="en-US" w:eastAsia="zh-CN" w:bidi="ar-SA"/>
    </w:rPr>
  </w:style>
  <w:style w:type="character" w:styleId="990">
    <w:name w:val="批注文字 字符"/>
    <w:next w:val="990"/>
    <w:link w:val="905"/>
    <w:uiPriority w:val="99"/>
    <w:qFormat/>
    <w:rPr>
      <w:rFonts w:ascii="Times New Roman" w:hAnsi="Times New Roman" w:eastAsia="宋体" w:cs="Times New Roman"/>
      <w:sz w:val="24"/>
      <w:lang w:val="en-US" w:eastAsia="zh-CN" w:bidi="ar-SA"/>
    </w:rPr>
  </w:style>
  <w:style w:type="character" w:styleId="991">
    <w:name w:val="c21"/>
    <w:next w:val="991"/>
    <w:link w:val="905"/>
    <w:qFormat/>
    <w:rPr>
      <w:rFonts w:ascii="ˎ̥" w:hAnsi="ˎ̥"/>
      <w:color w:val="000000"/>
      <w:sz w:val="20"/>
      <w:szCs w:val="20"/>
      <w:u w:val="none"/>
    </w:rPr>
  </w:style>
  <w:style w:type="character" w:styleId="992">
    <w:name w:val="title4"/>
    <w:next w:val="992"/>
    <w:link w:val="905"/>
    <w:qFormat/>
    <w:rPr>
      <w:b/>
      <w:bCs/>
      <w:color w:val="1d87b3"/>
      <w:sz w:val="15"/>
      <w:szCs w:val="15"/>
    </w:rPr>
  </w:style>
  <w:style w:type="character" w:styleId="993">
    <w:name w:val="标题 2 Char Char"/>
    <w:next w:val="993"/>
    <w:link w:val="905"/>
    <w:qFormat/>
    <w:rPr>
      <w:rFonts w:ascii="Arial" w:hAnsi="Arial" w:eastAsia="黑体"/>
      <w:b/>
      <w:bCs/>
      <w:sz w:val="32"/>
      <w:szCs w:val="32"/>
      <w:lang w:val="en-US" w:eastAsia="zh-CN" w:bidi="ar-SA"/>
    </w:rPr>
  </w:style>
  <w:style w:type="character" w:styleId="994">
    <w:name w:val="black1"/>
    <w:next w:val="994"/>
    <w:link w:val="905"/>
    <w:qFormat/>
    <w:rPr>
      <w:color w:val="000000"/>
    </w:rPr>
  </w:style>
  <w:style w:type="character" w:styleId="995">
    <w:name w:val="street-address"/>
    <w:next w:val="995"/>
    <w:link w:val="905"/>
    <w:qFormat/>
  </w:style>
  <w:style w:type="character" w:styleId="996">
    <w:name w:val="locality"/>
    <w:next w:val="996"/>
    <w:link w:val="905"/>
    <w:qFormat/>
  </w:style>
  <w:style w:type="character" w:styleId="997">
    <w:name w:val="正文文本缩进 Char1"/>
    <w:next w:val="997"/>
    <w:link w:val="998"/>
    <w:qFormat/>
    <w:rPr>
      <w:rFonts w:ascii="宋体" w:hAnsi="宋体" w:eastAsia="宋体"/>
      <w:sz w:val="24"/>
      <w:szCs w:val="24"/>
      <w:lang w:bidi="ar-SA"/>
    </w:rPr>
  </w:style>
  <w:style w:type="paragraph" w:styleId="998">
    <w:name w:val="正文文本缩进1"/>
    <w:basedOn w:val="905"/>
    <w:next w:val="998"/>
    <w:link w:val="997"/>
    <w:qFormat/>
    <w:pPr>
      <w:ind w:firstLine="480"/>
      <w:spacing w:line="480" w:lineRule="exact"/>
    </w:pPr>
    <w:rPr>
      <w:rFonts w:ascii="宋体" w:hAnsi="宋体"/>
      <w:sz w:val="24"/>
    </w:rPr>
  </w:style>
  <w:style w:type="character" w:styleId="999">
    <w:name w:val="Char Char11"/>
    <w:next w:val="999"/>
    <w:link w:val="905"/>
    <w:qFormat/>
    <w:rPr>
      <w:rFonts w:ascii="宋体" w:eastAsia="宋体"/>
      <w:b/>
      <w:sz w:val="24"/>
      <w:u w:val="single"/>
      <w:lang w:val="en-US" w:eastAsia="zh-CN" w:bidi="ar-SA"/>
    </w:rPr>
  </w:style>
  <w:style w:type="character" w:styleId="1000">
    <w:name w:val="txt"/>
    <w:next w:val="1000"/>
    <w:link w:val="905"/>
    <w:qFormat/>
  </w:style>
  <w:style w:type="character" w:styleId="1001">
    <w:name w:val="正文缩进 Char Char"/>
    <w:next w:val="1001"/>
    <w:link w:val="1002"/>
    <w:qFormat/>
    <w:rPr>
      <w:rFonts w:ascii="宋体" w:eastAsia="宋体"/>
      <w:color w:val="000000"/>
      <w:sz w:val="28"/>
      <w:lang w:bidi="ar-SA"/>
    </w:rPr>
  </w:style>
  <w:style w:type="paragraph" w:styleId="1002">
    <w:name w:val="正文缩进1"/>
    <w:basedOn w:val="905"/>
    <w:next w:val="1002"/>
    <w:link w:val="1001"/>
    <w:qFormat/>
    <w:pPr>
      <w:ind w:firstLine="567"/>
      <w:spacing w:line="480" w:lineRule="exact"/>
      <w:widowControl/>
    </w:pPr>
    <w:rPr>
      <w:rFonts w:ascii="宋体"/>
      <w:color w:val="000000"/>
      <w:sz w:val="28"/>
      <w:szCs w:val="20"/>
    </w:rPr>
  </w:style>
  <w:style w:type="character" w:styleId="1003">
    <w:name w:val="普通文字1 Char1"/>
    <w:next w:val="1003"/>
    <w:link w:val="905"/>
    <w:qFormat/>
    <w:rPr>
      <w:rFonts w:ascii="宋体" w:hAnsi="Courier New" w:eastAsia="宋体"/>
      <w:sz w:val="21"/>
      <w:lang w:val="en-US" w:eastAsia="zh-CN" w:bidi="ar-SA"/>
    </w:rPr>
  </w:style>
  <w:style w:type="character" w:styleId="1004">
    <w:name w:val="chanpin1"/>
    <w:next w:val="1004"/>
    <w:link w:val="905"/>
    <w:qFormat/>
    <w:rPr>
      <w:rFonts w:ascii="ˎ̥" w:hAnsi="ˎ̥"/>
      <w:color w:val="000000"/>
      <w:sz w:val="20"/>
      <w:szCs w:val="20"/>
      <w:u w:val="none"/>
    </w:rPr>
  </w:style>
  <w:style w:type="character" w:styleId="1005">
    <w:name w:val="列出段落 Char1"/>
    <w:next w:val="1005"/>
    <w:link w:val="1006"/>
    <w:uiPriority w:val="34"/>
    <w:qFormat/>
    <w:rPr>
      <w:rFonts w:ascii="Calibri" w:hAnsi="Calibri" w:eastAsia="宋体"/>
      <w:sz w:val="21"/>
      <w:szCs w:val="22"/>
      <w:lang w:val="en-US" w:eastAsia="zh-CN" w:bidi="ar-SA"/>
    </w:rPr>
  </w:style>
  <w:style w:type="paragraph" w:styleId="1006">
    <w:name w:val="列出段落"/>
    <w:basedOn w:val="905"/>
    <w:next w:val="1006"/>
    <w:link w:val="1005"/>
    <w:uiPriority w:val="34"/>
    <w:qFormat/>
    <w:pPr>
      <w:ind w:firstLine="420"/>
    </w:pPr>
    <w:rPr>
      <w:rFonts w:ascii="Calibri" w:hAnsi="Calibri"/>
      <w:szCs w:val="22"/>
    </w:rPr>
  </w:style>
  <w:style w:type="character" w:styleId="1007">
    <w:name w:val="标题 3 Char Char"/>
    <w:next w:val="1007"/>
    <w:link w:val="905"/>
    <w:qFormat/>
    <w:rPr>
      <w:rFonts w:eastAsia="宋体"/>
      <w:b/>
      <w:bCs/>
      <w:sz w:val="32"/>
      <w:szCs w:val="32"/>
      <w:lang w:val="en-US" w:eastAsia="zh-CN" w:bidi="ar-SA"/>
    </w:rPr>
  </w:style>
  <w:style w:type="character" w:styleId="1008">
    <w:name w:val="段1 Char"/>
    <w:next w:val="1008"/>
    <w:link w:val="905"/>
    <w:qFormat/>
    <w:rPr>
      <w:rFonts w:ascii="宋体" w:eastAsia="宋体"/>
      <w:sz w:val="24"/>
      <w:lang w:val="en-US" w:eastAsia="zh-CN" w:bidi="ar-SA"/>
    </w:rPr>
  </w:style>
  <w:style w:type="character" w:styleId="1009">
    <w:name w:val="chanpin拷贝"/>
    <w:next w:val="1009"/>
    <w:link w:val="905"/>
    <w:qFormat/>
  </w:style>
  <w:style w:type="character" w:styleId="1010">
    <w:name w:val="纯文本 Char1"/>
    <w:next w:val="1010"/>
    <w:link w:val="905"/>
    <w:qFormat/>
    <w:rPr>
      <w:rFonts w:ascii="宋体" w:hAnsi="Courier New" w:eastAsia="宋体"/>
      <w:sz w:val="21"/>
      <w:lang w:val="en-US" w:eastAsia="zh-CN" w:bidi="ar-SA"/>
    </w:rPr>
  </w:style>
  <w:style w:type="character" w:styleId="1011">
    <w:name w:val="apple-style-span"/>
    <w:next w:val="1011"/>
    <w:link w:val="905"/>
    <w:qFormat/>
    <w:rPr>
      <w:rFonts w:cs="Times New Roman"/>
    </w:rPr>
  </w:style>
  <w:style w:type="paragraph" w:styleId="1012">
    <w:name w:val="二级条标题"/>
    <w:basedOn w:val="1013"/>
    <w:next w:val="905"/>
    <w:link w:val="905"/>
    <w:qFormat/>
    <w:pPr>
      <w:numPr>
        <w:ilvl w:val="0"/>
        <w:numId w:val="0"/>
      </w:numPr>
      <w:ind w:hanging="840"/>
      <w:tabs>
        <w:tab w:val="left" w:pos="360" w:leader="none"/>
        <w:tab w:val="left" w:pos="840" w:leader="none"/>
      </w:tabs>
      <w:outlineLvl w:val="2"/>
    </w:pPr>
    <w:rPr>
      <w:rFonts w:ascii="宋体" w:eastAsia="宋体"/>
      <w:b w:val="0"/>
    </w:rPr>
  </w:style>
  <w:style w:type="paragraph" w:styleId="1013">
    <w:name w:val="一级条标题"/>
    <w:basedOn w:val="1014"/>
    <w:next w:val="905"/>
    <w:link w:val="905"/>
    <w:qFormat/>
    <w:pPr>
      <w:numPr>
        <w:ilvl w:val="1"/>
      </w:numPr>
      <w:ind w:left="0" w:hanging="840"/>
      <w:tabs>
        <w:tab w:val="left" w:pos="360" w:leader="none"/>
        <w:tab w:val="left" w:pos="840" w:leader="none"/>
      </w:tabs>
      <w:outlineLvl w:val="1"/>
    </w:pPr>
  </w:style>
  <w:style w:type="paragraph" w:styleId="1014">
    <w:name w:val="章标题"/>
    <w:next w:val="905"/>
    <w:link w:val="9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5">
    <w:name w:val="font7"/>
    <w:basedOn w:val="905"/>
    <w:next w:val="1015"/>
    <w:link w:val="905"/>
    <w:qFormat/>
    <w:pPr>
      <w:jc w:val="left"/>
      <w:spacing w:before="100" w:beforeAutospacing="1" w:after="100" w:afterAutospacing="1"/>
      <w:widowControl/>
    </w:pPr>
    <w:rPr>
      <w:rFonts w:eastAsia="Arial Unicode MS"/>
      <w:b/>
      <w:bCs/>
      <w:color w:val="000000"/>
      <w:sz w:val="20"/>
      <w:szCs w:val="20"/>
    </w:rPr>
  </w:style>
  <w:style w:type="paragraph" w:styleId="1016">
    <w:name w:val="字元 字元"/>
    <w:basedOn w:val="905"/>
    <w:next w:val="1016"/>
    <w:link w:val="905"/>
    <w:qFormat/>
    <w:rPr>
      <w:rFonts w:ascii="Tahoma" w:hAnsi="Tahoma"/>
      <w:sz w:val="24"/>
      <w:szCs w:val="20"/>
    </w:rPr>
  </w:style>
  <w:style w:type="paragraph" w:styleId="1017">
    <w:name w:val="Char3 Char Char Char"/>
    <w:basedOn w:val="905"/>
    <w:next w:val="1017"/>
    <w:link w:val="905"/>
    <w:qFormat/>
    <w:rPr>
      <w:rFonts w:ascii="Tahoma" w:hAnsi="Tahoma"/>
      <w:sz w:val="24"/>
      <w:szCs w:val="20"/>
    </w:rPr>
  </w:style>
  <w:style w:type="paragraph" w:styleId="1018">
    <w:name w:val="font6"/>
    <w:basedOn w:val="905"/>
    <w:next w:val="1018"/>
    <w:link w:val="905"/>
    <w:qFormat/>
    <w:pPr>
      <w:jc w:val="left"/>
      <w:spacing w:before="100" w:beforeAutospacing="1" w:after="100" w:afterAutospacing="1"/>
      <w:widowControl/>
    </w:pPr>
    <w:rPr>
      <w:rFonts w:ascii="宋体" w:hAnsi="宋体" w:cs="宋体"/>
      <w:sz w:val="20"/>
      <w:szCs w:val="20"/>
    </w:rPr>
  </w:style>
  <w:style w:type="paragraph" w:styleId="1019">
    <w:name w:val="项目编号2"/>
    <w:basedOn w:val="1020"/>
    <w:next w:val="1019"/>
    <w:link w:val="905"/>
    <w:qFormat/>
    <w:pPr>
      <w:numPr>
        <w:numId w:val="3"/>
      </w:numPr>
    </w:pPr>
  </w:style>
  <w:style w:type="paragraph" w:styleId="1020">
    <w:name w:val="项目编号1"/>
    <w:basedOn w:val="905"/>
    <w:next w:val="1020"/>
    <w:link w:val="905"/>
    <w:qFormat/>
    <w:pPr>
      <w:numPr>
        <w:ilvl w:val="0"/>
        <w:numId w:val="2"/>
      </w:numPr>
      <w:spacing w:before="100" w:beforeAutospacing="1" w:after="100" w:afterAutospacing="1" w:line="360" w:lineRule="auto"/>
    </w:pPr>
    <w:rPr>
      <w:sz w:val="24"/>
    </w:rPr>
  </w:style>
  <w:style w:type="paragraph" w:styleId="1021">
    <w:name w:val="图中文字"/>
    <w:basedOn w:val="905"/>
    <w:next w:val="1021"/>
    <w:link w:val="905"/>
    <w:qFormat/>
    <w:pPr>
      <w:jc w:val="center"/>
      <w:spacing w:line="0" w:lineRule="atLeast"/>
    </w:pPr>
    <w:rPr>
      <w:sz w:val="24"/>
      <w:szCs w:val="20"/>
    </w:rPr>
  </w:style>
  <w:style w:type="paragraph" w:styleId="1022">
    <w:name w:val="xl46"/>
    <w:basedOn w:val="905"/>
    <w:next w:val="1022"/>
    <w:link w:val="9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3">
    <w:name w:val="xl25"/>
    <w:basedOn w:val="905"/>
    <w:next w:val="1023"/>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name w:val="Char2"/>
    <w:basedOn w:val="905"/>
    <w:next w:val="1024"/>
    <w:link w:val="905"/>
    <w:qFormat/>
    <w:rPr>
      <w:rFonts w:ascii="Tahoma" w:hAnsi="Tahoma"/>
      <w:sz w:val="24"/>
      <w:szCs w:val="20"/>
    </w:rPr>
  </w:style>
  <w:style w:type="paragraph" w:styleId="1025">
    <w:name w:val="xl35"/>
    <w:basedOn w:val="905"/>
    <w:next w:val="1025"/>
    <w:link w:val="9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6">
    <w:name w:val="xl40"/>
    <w:basedOn w:val="905"/>
    <w:next w:val="1026"/>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7">
    <w:name w:val="xl52"/>
    <w:basedOn w:val="905"/>
    <w:next w:val="1027"/>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8">
    <w:name w:val="xl43"/>
    <w:basedOn w:val="905"/>
    <w:next w:val="1028"/>
    <w:link w:val="9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9">
    <w:name w:val="background1"/>
    <w:basedOn w:val="905"/>
    <w:next w:val="1029"/>
    <w:link w:val="905"/>
    <w:qFormat/>
    <w:pPr>
      <w:jc w:val="left"/>
      <w:spacing w:before="100" w:beforeAutospacing="1" w:after="100" w:afterAutospacing="1"/>
      <w:widowControl/>
    </w:pPr>
    <w:rPr>
      <w:rFonts w:ascii="宋体" w:hAnsi="宋体" w:cs="宋体"/>
      <w:sz w:val="24"/>
    </w:rPr>
  </w:style>
  <w:style w:type="paragraph" w:styleId="1030">
    <w:name w:val="Char Char Char Char Char Char Char"/>
    <w:basedOn w:val="905"/>
    <w:next w:val="1030"/>
    <w:link w:val="905"/>
    <w:qFormat/>
    <w:pPr>
      <w:ind w:firstLine="200"/>
      <w:spacing w:line="360" w:lineRule="auto"/>
    </w:pPr>
    <w:rPr>
      <w:rFonts w:eastAsia="仿宋_GB2312"/>
      <w:sz w:val="24"/>
    </w:rPr>
  </w:style>
  <w:style w:type="paragraph" w:styleId="1031">
    <w:name w:val="xl38"/>
    <w:basedOn w:val="905"/>
    <w:next w:val="1031"/>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2">
    <w:name w:val="xl36"/>
    <w:basedOn w:val="905"/>
    <w:next w:val="1032"/>
    <w:link w:val="9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3">
    <w:name w:val="正文 + 宋体"/>
    <w:basedOn w:val="905"/>
    <w:next w:val="1033"/>
    <w:link w:val="905"/>
    <w:qFormat/>
    <w:pPr>
      <w:ind w:left="360" w:hanging="360"/>
      <w:jc w:val="left"/>
      <w:widowControl/>
    </w:pPr>
    <w:rPr>
      <w:rFonts w:ascii="宋体" w:hAnsi="宋体" w:cs="宋体"/>
      <w:b/>
      <w:bCs/>
      <w:color w:val="000000"/>
      <w:sz w:val="18"/>
      <w:szCs w:val="18"/>
    </w:rPr>
  </w:style>
  <w:style w:type="paragraph" w:styleId="1034">
    <w:name w:val="正文列项_数字"/>
    <w:basedOn w:val="905"/>
    <w:next w:val="1034"/>
    <w:link w:val="905"/>
    <w:qFormat/>
    <w:pPr>
      <w:numPr>
        <w:ilvl w:val="7"/>
        <w:numId w:val="1"/>
      </w:numPr>
      <w:ind w:left="680" w:hanging="150"/>
      <w:spacing w:line="460" w:lineRule="exact"/>
      <w:tabs>
        <w:tab w:val="clear" w:pos="860" w:leader="none"/>
      </w:tabs>
      <w:outlineLvl w:val="7"/>
    </w:pPr>
    <w:rPr>
      <w:rFonts w:ascii="宋体"/>
      <w:sz w:val="28"/>
      <w:szCs w:val="20"/>
    </w:rPr>
  </w:style>
  <w:style w:type="paragraph" w:styleId="1035">
    <w:name w:val="xl39"/>
    <w:basedOn w:val="905"/>
    <w:next w:val="1035"/>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6">
    <w:name w:val="xl37"/>
    <w:basedOn w:val="905"/>
    <w:next w:val="1036"/>
    <w:link w:val="9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7">
    <w:name w:val="xl32"/>
    <w:basedOn w:val="905"/>
    <w:next w:val="1037"/>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8">
    <w:name w:val="font8"/>
    <w:basedOn w:val="905"/>
    <w:next w:val="1038"/>
    <w:link w:val="905"/>
    <w:qFormat/>
    <w:pPr>
      <w:jc w:val="left"/>
      <w:spacing w:before="100" w:beforeAutospacing="1" w:after="100" w:afterAutospacing="1"/>
      <w:widowControl/>
    </w:pPr>
    <w:rPr>
      <w:sz w:val="36"/>
      <w:szCs w:val="36"/>
    </w:rPr>
  </w:style>
  <w:style w:type="paragraph" w:styleId="1039">
    <w:name w:val="Char"/>
    <w:basedOn w:val="905"/>
    <w:next w:val="1039"/>
    <w:link w:val="905"/>
    <w:qFormat/>
    <w:pPr>
      <w:tabs>
        <w:tab w:val="left" w:pos="360" w:leader="none"/>
      </w:tabs>
    </w:pPr>
    <w:rPr>
      <w:sz w:val="24"/>
    </w:rPr>
  </w:style>
  <w:style w:type="paragraph" w:styleId="1040">
    <w:name w:val="Char Char Char Char Char Char Char Char Char Char Char Char Char Char Char Char"/>
    <w:basedOn w:val="905"/>
    <w:next w:val="1040"/>
    <w:link w:val="905"/>
    <w:qFormat/>
    <w:pPr>
      <w:jc w:val="center"/>
      <w:spacing w:after="160" w:line="240" w:lineRule="exact"/>
      <w:widowControl/>
    </w:pPr>
    <w:rPr>
      <w:rFonts w:ascii="宋体" w:hAnsi="宋体"/>
      <w:b/>
      <w:sz w:val="30"/>
      <w:szCs w:val="30"/>
      <w:lang w:eastAsia="en-US"/>
    </w:rPr>
  </w:style>
  <w:style w:type="paragraph" w:styleId="1041">
    <w:name w:val="xl45"/>
    <w:basedOn w:val="905"/>
    <w:next w:val="1041"/>
    <w:link w:val="9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2">
    <w:name w:val="Char Char1 Char Char Char Char Char Char"/>
    <w:basedOn w:val="905"/>
    <w:next w:val="1042"/>
    <w:link w:val="905"/>
    <w:qFormat/>
    <w:pPr>
      <w:jc w:val="left"/>
      <w:spacing w:after="160" w:line="240" w:lineRule="exact"/>
      <w:widowControl/>
    </w:pPr>
    <w:rPr>
      <w:rFonts w:ascii="Verdana" w:hAnsi="Verdana" w:eastAsia="仿宋_GB2312"/>
      <w:sz w:val="24"/>
      <w:szCs w:val="20"/>
      <w:lang w:eastAsia="en-US"/>
    </w:rPr>
  </w:style>
  <w:style w:type="paragraph" w:styleId="1043">
    <w:name w:val="Char Char1"/>
    <w:basedOn w:val="931"/>
    <w:next w:val="1043"/>
    <w:link w:val="905"/>
    <w:qFormat/>
    <w:rPr>
      <w:rFonts w:ascii="Tahoma" w:hAnsi="Tahoma"/>
      <w:sz w:val="24"/>
    </w:rPr>
  </w:style>
  <w:style w:type="paragraph" w:styleId="1044">
    <w:name w:val="xl26"/>
    <w:basedOn w:val="905"/>
    <w:next w:val="1044"/>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5">
    <w:name w:val="xl30"/>
    <w:basedOn w:val="905"/>
    <w:next w:val="1045"/>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xl41"/>
    <w:basedOn w:val="905"/>
    <w:next w:val="1046"/>
    <w:link w:val="9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7">
    <w:name w:val="样式 宋体 五号 行距: 单倍行距"/>
    <w:basedOn w:val="905"/>
    <w:next w:val="1047"/>
    <w:link w:val="905"/>
    <w:qFormat/>
    <w:pPr>
      <w:jc w:val="left"/>
    </w:pPr>
    <w:rPr>
      <w:rFonts w:ascii="宋体" w:hAnsi="宋体"/>
      <w:szCs w:val="20"/>
    </w:rPr>
  </w:style>
  <w:style w:type="paragraph" w:styleId="1048">
    <w:name w:val="Char1 Char Char Char1"/>
    <w:basedOn w:val="905"/>
    <w:next w:val="1048"/>
    <w:link w:val="905"/>
    <w:qFormat/>
    <w:rPr>
      <w:rFonts w:ascii="Tahoma" w:hAnsi="Tahoma" w:cs="仿宋_GB2312"/>
      <w:sz w:val="24"/>
      <w:szCs w:val="28"/>
    </w:rPr>
  </w:style>
  <w:style w:type="paragraph" w:styleId="1049">
    <w:name w:val="四级条标题"/>
    <w:basedOn w:val="1050"/>
    <w:next w:val="905"/>
    <w:link w:val="905"/>
    <w:qFormat/>
    <w:pPr>
      <w:numPr>
        <w:ilvl w:val="4"/>
      </w:numPr>
      <w:ind w:left="0" w:hanging="840"/>
      <w:tabs>
        <w:tab w:val="left" w:pos="360" w:leader="none"/>
        <w:tab w:val="left" w:pos="840" w:leader="none"/>
      </w:tabs>
      <w:outlineLvl w:val="4"/>
    </w:pPr>
  </w:style>
  <w:style w:type="paragraph" w:styleId="1050">
    <w:name w:val="三级条标题"/>
    <w:basedOn w:val="1012"/>
    <w:next w:val="905"/>
    <w:link w:val="905"/>
    <w:qFormat/>
    <w:pPr>
      <w:numPr>
        <w:ilvl w:val="3"/>
        <w:numId w:val="1"/>
      </w:numPr>
      <w:ind w:left="0" w:hanging="840"/>
      <w:tabs>
        <w:tab w:val="left" w:pos="360" w:leader="none"/>
        <w:tab w:val="left" w:pos="840" w:leader="none"/>
      </w:tabs>
      <w:outlineLvl w:val="3"/>
    </w:pPr>
  </w:style>
  <w:style w:type="paragraph" w:styleId="1051">
    <w:name w:val="??"/>
    <w:next w:val="1051"/>
    <w:link w:val="905"/>
    <w:qFormat/>
    <w:pPr>
      <w:jc w:val="both"/>
      <w:widowControl w:val="off"/>
    </w:pPr>
    <w:rPr>
      <w:sz w:val="21"/>
      <w:lang w:val="en-US" w:eastAsia="en-US" w:bidi="ar-SA"/>
    </w:rPr>
  </w:style>
  <w:style w:type="paragraph" w:styleId="1052">
    <w:name w:val="样式 标题 2 + 宋体 五号 行距: 单倍行距"/>
    <w:basedOn w:val="907"/>
    <w:next w:val="1052"/>
    <w:link w:val="9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53">
    <w:name w:val="List Paragraph1"/>
    <w:basedOn w:val="905"/>
    <w:next w:val="1053"/>
    <w:link w:val="905"/>
    <w:qFormat/>
    <w:pPr>
      <w:ind w:firstLine="420"/>
    </w:pPr>
    <w:rPr>
      <w:rFonts w:ascii="Calibri" w:hAnsi="Calibri"/>
      <w:szCs w:val="22"/>
    </w:rPr>
  </w:style>
  <w:style w:type="paragraph" w:styleId="1054">
    <w:name w:val="项目符号1"/>
    <w:basedOn w:val="1055"/>
    <w:next w:val="1054"/>
    <w:link w:val="905"/>
    <w:qFormat/>
    <w:pPr>
      <w:ind w:left="-25" w:firstLine="0"/>
    </w:pPr>
  </w:style>
  <w:style w:type="paragraph" w:styleId="1055">
    <w:name w:val="正文文本样式"/>
    <w:basedOn w:val="905"/>
    <w:next w:val="1055"/>
    <w:link w:val="905"/>
    <w:qFormat/>
    <w:pPr>
      <w:ind w:firstLine="482"/>
      <w:spacing w:line="360" w:lineRule="auto"/>
    </w:pPr>
    <w:rPr>
      <w:rFonts w:cs="宋体"/>
      <w:sz w:val="24"/>
      <w:szCs w:val="20"/>
    </w:rPr>
  </w:style>
  <w:style w:type="paragraph" w:styleId="1056">
    <w:name w:val="xl27"/>
    <w:basedOn w:val="905"/>
    <w:next w:val="1056"/>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7">
    <w:name w:val="font5"/>
    <w:basedOn w:val="905"/>
    <w:next w:val="1057"/>
    <w:link w:val="905"/>
    <w:qFormat/>
    <w:pPr>
      <w:jc w:val="left"/>
      <w:spacing w:before="100" w:beforeAutospacing="1" w:after="100" w:afterAutospacing="1"/>
      <w:widowControl/>
    </w:pPr>
    <w:rPr>
      <w:rFonts w:ascii="宋体" w:hAnsi="宋体" w:cs="宋体"/>
      <w:sz w:val="18"/>
      <w:szCs w:val="18"/>
    </w:rPr>
  </w:style>
  <w:style w:type="paragraph" w:styleId="1058">
    <w:name w:val="五级条标题"/>
    <w:basedOn w:val="1049"/>
    <w:next w:val="905"/>
    <w:link w:val="905"/>
    <w:qFormat/>
    <w:pPr>
      <w:numPr>
        <w:ilvl w:val="5"/>
      </w:numPr>
      <w:ind w:left="0" w:hanging="840"/>
      <w:tabs>
        <w:tab w:val="left" w:pos="360" w:leader="none"/>
        <w:tab w:val="left" w:pos="840" w:leader="none"/>
      </w:tabs>
      <w:outlineLvl w:val="5"/>
    </w:pPr>
  </w:style>
  <w:style w:type="paragraph" w:styleId="1059">
    <w:name w:val="xl49"/>
    <w:basedOn w:val="905"/>
    <w:next w:val="1059"/>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0">
    <w:name w:val="文档正文"/>
    <w:basedOn w:val="905"/>
    <w:next w:val="1060"/>
    <w:link w:val="905"/>
    <w:qFormat/>
    <w:pPr>
      <w:spacing w:before="120" w:after="120" w:line="180" w:lineRule="auto"/>
    </w:pPr>
    <w:rPr>
      <w:rFonts w:ascii="Arial" w:hAnsi="Arial"/>
      <w:szCs w:val="20"/>
    </w:rPr>
  </w:style>
  <w:style w:type="paragraph" w:styleId="1061">
    <w:name w:val="xl33"/>
    <w:basedOn w:val="905"/>
    <w:next w:val="1061"/>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2">
    <w:name w:val="xl42"/>
    <w:basedOn w:val="905"/>
    <w:next w:val="1062"/>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3">
    <w:name w:val="Char Char Char1 Char"/>
    <w:basedOn w:val="905"/>
    <w:next w:val="1063"/>
    <w:link w:val="905"/>
    <w:qFormat/>
    <w:rPr>
      <w:rFonts w:ascii="Tahoma" w:hAnsi="Tahoma"/>
      <w:sz w:val="24"/>
      <w:szCs w:val="20"/>
    </w:rPr>
  </w:style>
  <w:style w:type="paragraph" w:styleId="1064">
    <w:name w:val="xl44"/>
    <w:basedOn w:val="905"/>
    <w:next w:val="1064"/>
    <w:link w:val="9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5">
    <w:name w:val="1名"/>
    <w:basedOn w:val="905"/>
    <w:next w:val="1065"/>
    <w:link w:val="905"/>
    <w:qFormat/>
    <w:pPr>
      <w:numPr>
        <w:ilvl w:val="0"/>
        <w:numId w:val="5"/>
      </w:numPr>
      <w:spacing w:before="120"/>
      <w:tabs>
        <w:tab w:val="left" w:pos="360" w:leader="none"/>
      </w:tabs>
    </w:pPr>
    <w:rPr>
      <w:rFonts w:ascii="宋体"/>
      <w:sz w:val="28"/>
      <w:szCs w:val="20"/>
    </w:rPr>
  </w:style>
  <w:style w:type="paragraph" w:styleId="1066">
    <w:name w:val="font9"/>
    <w:basedOn w:val="905"/>
    <w:next w:val="1066"/>
    <w:link w:val="905"/>
    <w:qFormat/>
    <w:pPr>
      <w:jc w:val="left"/>
      <w:spacing w:before="100" w:beforeAutospacing="1" w:after="100" w:afterAutospacing="1"/>
      <w:widowControl/>
    </w:pPr>
    <w:rPr>
      <w:rFonts w:hint="eastAsia" w:ascii="宋体" w:hAnsi="宋体" w:cs="Arial Unicode MS"/>
      <w:color w:val="000000"/>
      <w:sz w:val="20"/>
      <w:szCs w:val="20"/>
    </w:rPr>
  </w:style>
  <w:style w:type="paragraph" w:styleId="1067">
    <w:name w:val="Char Char Char1 Char1"/>
    <w:basedOn w:val="905"/>
    <w:next w:val="1067"/>
    <w:link w:val="905"/>
    <w:qFormat/>
    <w:rPr>
      <w:rFonts w:ascii="Tahoma" w:hAnsi="Tahoma"/>
      <w:sz w:val="24"/>
      <w:szCs w:val="20"/>
    </w:rPr>
  </w:style>
  <w:style w:type="paragraph" w:styleId="1068">
    <w:name w:val="Char Char Char Char Char Char Char Char Char Char"/>
    <w:basedOn w:val="905"/>
    <w:next w:val="1068"/>
    <w:link w:val="905"/>
    <w:qFormat/>
  </w:style>
  <w:style w:type="paragraph" w:styleId="1069">
    <w:name w:val="Char Char1 Char Char Char Char Char Char Char Char"/>
    <w:basedOn w:val="905"/>
    <w:next w:val="1069"/>
    <w:link w:val="905"/>
    <w:qFormat/>
    <w:pPr>
      <w:jc w:val="left"/>
      <w:spacing w:after="160" w:line="240" w:lineRule="exact"/>
      <w:widowControl/>
    </w:pPr>
    <w:rPr>
      <w:rFonts w:ascii="Verdana" w:hAnsi="Verdana"/>
      <w:sz w:val="20"/>
      <w:szCs w:val="20"/>
      <w:lang w:eastAsia="en-US"/>
    </w:rPr>
  </w:style>
  <w:style w:type="paragraph" w:styleId="1070">
    <w:name w:val="Char1"/>
    <w:basedOn w:val="905"/>
    <w:next w:val="1070"/>
    <w:link w:val="905"/>
    <w:qFormat/>
    <w:pPr>
      <w:tabs>
        <w:tab w:val="left" w:pos="360" w:leader="none"/>
      </w:tabs>
    </w:pPr>
    <w:rPr>
      <w:sz w:val="24"/>
    </w:rPr>
  </w:style>
  <w:style w:type="paragraph" w:styleId="1071">
    <w:name w:val="正文列项_字母"/>
    <w:basedOn w:val="905"/>
    <w:next w:val="1071"/>
    <w:link w:val="905"/>
    <w:qFormat/>
    <w:pPr>
      <w:numPr>
        <w:ilvl w:val="6"/>
        <w:numId w:val="1"/>
      </w:numPr>
      <w:ind w:left="480" w:hanging="180"/>
      <w:spacing w:line="460" w:lineRule="exact"/>
      <w:tabs>
        <w:tab w:val="clear" w:pos="635" w:leader="none"/>
      </w:tabs>
      <w:outlineLvl w:val="6"/>
    </w:pPr>
    <w:rPr>
      <w:rFonts w:ascii="宋体"/>
      <w:sz w:val="28"/>
      <w:szCs w:val="20"/>
    </w:rPr>
  </w:style>
  <w:style w:type="paragraph" w:styleId="1072">
    <w:name w:val="xl28"/>
    <w:basedOn w:val="905"/>
    <w:next w:val="1072"/>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3">
    <w:name w:val="xl47"/>
    <w:basedOn w:val="905"/>
    <w:next w:val="1073"/>
    <w:link w:val="9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4">
    <w:name w:val="默认段落字体 Para Char Char Char Char"/>
    <w:basedOn w:val="905"/>
    <w:next w:val="1074"/>
    <w:link w:val="905"/>
    <w:qFormat/>
    <w:rPr>
      <w:rFonts w:ascii="Arial" w:hAnsi="Arial" w:cs="Arial"/>
      <w:szCs w:val="21"/>
    </w:rPr>
  </w:style>
  <w:style w:type="paragraph" w:styleId="1075">
    <w:name w:val="xl48"/>
    <w:basedOn w:val="905"/>
    <w:next w:val="1075"/>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6">
    <w:name w:val="xl31"/>
    <w:basedOn w:val="905"/>
    <w:next w:val="1076"/>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name w:val="xl53"/>
    <w:basedOn w:val="905"/>
    <w:next w:val="1077"/>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name w:val="Char Char Char"/>
    <w:basedOn w:val="905"/>
    <w:next w:val="1078"/>
    <w:link w:val="905"/>
    <w:qFormat/>
    <w:rPr>
      <w:rFonts w:ascii="Tahoma" w:hAnsi="Tahoma"/>
      <w:sz w:val="24"/>
      <w:szCs w:val="20"/>
    </w:rPr>
  </w:style>
  <w:style w:type="paragraph" w:styleId="1079">
    <w:name w:val="xl50"/>
    <w:basedOn w:val="905"/>
    <w:next w:val="1079"/>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0">
    <w:name w:val="缺省文本"/>
    <w:basedOn w:val="905"/>
    <w:next w:val="1080"/>
    <w:link w:val="905"/>
    <w:qFormat/>
    <w:pPr>
      <w:jc w:val="left"/>
    </w:pPr>
    <w:rPr>
      <w:sz w:val="24"/>
    </w:rPr>
  </w:style>
  <w:style w:type="paragraph" w:styleId="1081">
    <w:name w:val="Char Char Char1"/>
    <w:basedOn w:val="905"/>
    <w:next w:val="1081"/>
    <w:link w:val="905"/>
    <w:qFormat/>
    <w:rPr>
      <w:rFonts w:ascii="Tahoma" w:hAnsi="Tahoma"/>
      <w:sz w:val="24"/>
      <w:szCs w:val="20"/>
    </w:rPr>
  </w:style>
  <w:style w:type="paragraph" w:styleId="1082">
    <w:name w:val="Char Char Char Char Char Char Char1"/>
    <w:basedOn w:val="905"/>
    <w:next w:val="1082"/>
    <w:link w:val="905"/>
    <w:qFormat/>
    <w:pPr>
      <w:ind w:firstLine="200"/>
      <w:spacing w:line="360" w:lineRule="auto"/>
    </w:pPr>
    <w:rPr>
      <w:rFonts w:eastAsia="仿宋_GB2312"/>
      <w:sz w:val="24"/>
    </w:rPr>
  </w:style>
  <w:style w:type="paragraph" w:styleId="1083">
    <w:name w:val="xl51"/>
    <w:basedOn w:val="905"/>
    <w:next w:val="1083"/>
    <w:link w:val="9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样式2"/>
    <w:basedOn w:val="969"/>
    <w:next w:val="1084"/>
    <w:link w:val="905"/>
    <w:qFormat/>
    <w:pPr>
      <w:jc w:val="center"/>
      <w:spacing w:line="360" w:lineRule="auto"/>
    </w:pPr>
    <w:rPr>
      <w:sz w:val="24"/>
    </w:rPr>
  </w:style>
  <w:style w:type="paragraph" w:styleId="1085">
    <w:name w:val="xl24"/>
    <w:basedOn w:val="905"/>
    <w:next w:val="1085"/>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name w:val="xl29"/>
    <w:basedOn w:val="905"/>
    <w:next w:val="1086"/>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7">
    <w:name w:val="正文 + 楷体_GB2312"/>
    <w:basedOn w:val="905"/>
    <w:next w:val="1087"/>
    <w:link w:val="905"/>
    <w:qFormat/>
    <w:pPr>
      <w:jc w:val="left"/>
      <w:widowControl/>
    </w:pPr>
    <w:rPr>
      <w:rFonts w:ascii="楷体_GB2312" w:eastAsia="楷体_GB2312" w:cs="Arial"/>
      <w:sz w:val="24"/>
    </w:rPr>
  </w:style>
  <w:style w:type="paragraph" w:styleId="1088">
    <w:name w:val="xl34"/>
    <w:basedOn w:val="905"/>
    <w:next w:val="1088"/>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9">
    <w:name w:val="1 Char Char Char Char"/>
    <w:basedOn w:val="905"/>
    <w:next w:val="1089"/>
    <w:link w:val="905"/>
    <w:qFormat/>
    <w:rPr>
      <w:rFonts w:ascii="Tahoma" w:hAnsi="Tahoma"/>
      <w:sz w:val="24"/>
      <w:szCs w:val="20"/>
    </w:rPr>
  </w:style>
  <w:style w:type="paragraph" w:styleId="1090">
    <w:name w:val="列出段落1"/>
    <w:basedOn w:val="905"/>
    <w:next w:val="905"/>
    <w:link w:val="905"/>
    <w:qFormat/>
    <w:pPr>
      <w:ind w:firstLine="420"/>
    </w:pPr>
    <w:rPr>
      <w:rFonts w:ascii="Calibri" w:hAnsi="Calibri"/>
      <w:szCs w:val="22"/>
    </w:rPr>
  </w:style>
  <w:style w:type="paragraph" w:styleId="1091">
    <w:name w:val="default"/>
    <w:basedOn w:val="905"/>
    <w:next w:val="1091"/>
    <w:link w:val="905"/>
    <w:qFormat/>
    <w:pPr>
      <w:jc w:val="left"/>
      <w:spacing w:before="100" w:beforeAutospacing="1" w:after="100" w:afterAutospacing="1"/>
      <w:widowControl/>
    </w:pPr>
    <w:rPr>
      <w:rFonts w:ascii="宋体" w:hAnsi="宋体" w:cs="宋体"/>
      <w:sz w:val="24"/>
    </w:rPr>
  </w:style>
  <w:style w:type="paragraph" w:styleId="1092">
    <w:name w:val="字元 字元1"/>
    <w:basedOn w:val="905"/>
    <w:next w:val="1092"/>
    <w:link w:val="905"/>
    <w:qFormat/>
    <w:rPr>
      <w:rFonts w:ascii="Tahoma" w:hAnsi="Tahoma"/>
      <w:sz w:val="24"/>
      <w:szCs w:val="20"/>
    </w:rPr>
  </w:style>
  <w:style w:type="paragraph" w:styleId="1093">
    <w:name w:val="_Style 160"/>
    <w:next w:val="1093"/>
    <w:link w:val="905"/>
    <w:qFormat/>
    <w:rPr>
      <w:sz w:val="21"/>
      <w:szCs w:val="24"/>
      <w:lang w:val="en-US" w:eastAsia="zh-CN" w:bidi="ar-SA"/>
    </w:rPr>
  </w:style>
  <w:style w:type="paragraph" w:styleId="1094">
    <w:name w:val="项目编号3"/>
    <w:basedOn w:val="1055"/>
    <w:next w:val="1094"/>
    <w:link w:val="905"/>
    <w:qFormat/>
    <w:pPr>
      <w:numPr>
        <w:ilvl w:val="0"/>
        <w:numId w:val="6"/>
      </w:numPr>
    </w:pPr>
  </w:style>
  <w:style w:type="paragraph" w:styleId="1095">
    <w:name w:val="Char21"/>
    <w:basedOn w:val="905"/>
    <w:next w:val="1095"/>
    <w:link w:val="905"/>
    <w:qFormat/>
    <w:rPr>
      <w:rFonts w:ascii="Tahoma" w:hAnsi="Tahoma"/>
      <w:sz w:val="24"/>
      <w:szCs w:val="20"/>
    </w:rPr>
  </w:style>
  <w:style w:type="paragraph" w:styleId="1096">
    <w:name w:val="表格文字"/>
    <w:basedOn w:val="939"/>
    <w:next w:val="1096"/>
    <w:link w:val="905"/>
    <w:qFormat/>
    <w:pPr>
      <w:ind w:firstLine="0"/>
      <w:spacing w:before="20" w:after="20" w:line="240" w:lineRule="auto"/>
    </w:pPr>
    <w:rPr>
      <w:rFonts w:ascii="Century Gothic" w:hAnsi="Century Gothic"/>
      <w:sz w:val="20"/>
      <w:szCs w:val="20"/>
    </w:rPr>
  </w:style>
  <w:style w:type="paragraph" w:styleId="1097">
    <w:name w:val="Char Char Char Char Char Char Char Char Char Char1"/>
    <w:basedOn w:val="905"/>
    <w:next w:val="1097"/>
    <w:link w:val="905"/>
    <w:qFormat/>
    <w:rPr>
      <w:rFonts w:ascii="宋体" w:hAnsi="宋体" w:cs="Courier New"/>
      <w:sz w:val="32"/>
      <w:szCs w:val="32"/>
    </w:rPr>
  </w:style>
  <w:style w:type="paragraph" w:styleId="1098">
    <w:name w:val="正文文本样式 加粗"/>
    <w:basedOn w:val="1055"/>
    <w:next w:val="1098"/>
    <w:link w:val="905"/>
    <w:qFormat/>
    <w:rPr>
      <w:b/>
    </w:rPr>
  </w:style>
  <w:style w:type="paragraph" w:styleId="1099">
    <w:name w:val="Char2 Char Char Char Char Char Char"/>
    <w:basedOn w:val="905"/>
    <w:next w:val="1099"/>
    <w:link w:val="905"/>
    <w:qFormat/>
    <w:pPr>
      <w:jc w:val="center"/>
      <w:spacing w:line="400" w:lineRule="exact"/>
      <w:widowControl/>
    </w:pPr>
  </w:style>
  <w:style w:type="paragraph" w:styleId="1100">
    <w:name w:val="Char Char4"/>
    <w:basedOn w:val="905"/>
    <w:next w:val="1100"/>
    <w:link w:val="905"/>
    <w:qFormat/>
    <w:pPr>
      <w:jc w:val="center"/>
      <w:spacing w:line="400" w:lineRule="exact"/>
      <w:widowControl/>
    </w:pPr>
  </w:style>
  <w:style w:type="paragraph" w:styleId="1101">
    <w:name w:val="Char3 Char Char Char1"/>
    <w:basedOn w:val="905"/>
    <w:next w:val="1101"/>
    <w:link w:val="905"/>
    <w:qFormat/>
    <w:rPr>
      <w:rFonts w:ascii="Tahoma" w:hAnsi="Tahoma"/>
      <w:sz w:val="24"/>
      <w:szCs w:val="20"/>
    </w:rPr>
  </w:style>
  <w:style w:type="paragraph" w:styleId="1102">
    <w:name w:val="无间隔"/>
    <w:next w:val="1102"/>
    <w:link w:val="905"/>
    <w:qFormat/>
    <w:pPr>
      <w:jc w:val="both"/>
      <w:widowControl w:val="off"/>
    </w:pPr>
    <w:rPr>
      <w:sz w:val="21"/>
      <w:szCs w:val="24"/>
      <w:lang w:val="en-US" w:eastAsia="zh-CN" w:bidi="ar-SA"/>
    </w:rPr>
  </w:style>
  <w:style w:type="paragraph" w:styleId="1103">
    <w:name w:val="22222222222222"/>
    <w:basedOn w:val="905"/>
    <w:next w:val="1103"/>
    <w:link w:val="905"/>
    <w:qFormat/>
    <w:pPr>
      <w:ind w:firstLine="480"/>
      <w:jc w:val="left"/>
      <w:spacing w:line="360" w:lineRule="auto"/>
      <w:widowControl/>
    </w:pPr>
    <w:rPr>
      <w:color w:val="ff0000"/>
      <w:sz w:val="24"/>
      <w:szCs w:val="20"/>
    </w:rPr>
  </w:style>
  <w:style w:type="character" w:styleId="1104">
    <w:name w:val="中等深浅网格 1 - 强调文字颜色 2 Char"/>
    <w:next w:val="1104"/>
    <w:link w:val="1105"/>
    <w:qFormat/>
    <w:rPr>
      <w:sz w:val="21"/>
      <w:szCs w:val="24"/>
      <w:lang w:val="zh-CN" w:eastAsia="zh-CN" w:bidi="ar-SA"/>
    </w:rPr>
  </w:style>
  <w:style w:type="paragraph" w:styleId="1105">
    <w:name w:val="1"/>
    <w:next w:val="1105"/>
    <w:link w:val="1104"/>
    <w:qFormat/>
    <w:rPr>
      <w:sz w:val="21"/>
      <w:szCs w:val="24"/>
      <w:lang w:val="zh-CN" w:eastAsia="zh-CN" w:bidi="ar-SA"/>
    </w:rPr>
  </w:style>
  <w:style w:type="paragraph" w:styleId="1106">
    <w:name w:val="图文"/>
    <w:basedOn w:val="905"/>
    <w:next w:val="1106"/>
    <w:link w:val="905"/>
    <w:qFormat/>
    <w:pPr>
      <w:spacing w:after="50" w:line="360" w:lineRule="auto"/>
    </w:pPr>
    <w:rPr>
      <w:sz w:val="24"/>
    </w:rPr>
  </w:style>
  <w:style w:type="paragraph" w:styleId="1107">
    <w:name w:val="xl23"/>
    <w:basedOn w:val="905"/>
    <w:next w:val="1107"/>
    <w:link w:val="905"/>
    <w:qFormat/>
    <w:pPr>
      <w:spacing w:before="100" w:beforeAutospacing="1" w:after="100" w:afterAutospacing="1" w:line="360" w:lineRule="auto"/>
      <w:widowControl/>
    </w:pPr>
    <w:rPr>
      <w:sz w:val="24"/>
      <w:szCs w:val="20"/>
    </w:rPr>
  </w:style>
  <w:style w:type="paragraph" w:styleId="1108">
    <w:name w:val="正文表格"/>
    <w:basedOn w:val="905"/>
    <w:next w:val="1108"/>
    <w:link w:val="1109"/>
    <w:qFormat/>
    <w:pPr>
      <w:jc w:val="left"/>
    </w:pPr>
    <w:rPr>
      <w:rFonts w:ascii="宋体" w:hAnsi="宋体"/>
      <w:color w:val="000000"/>
      <w:szCs w:val="21"/>
    </w:rPr>
  </w:style>
  <w:style w:type="character" w:styleId="1109">
    <w:name w:val="正文表格 Char"/>
    <w:next w:val="1109"/>
    <w:link w:val="1108"/>
    <w:qFormat/>
    <w:rPr>
      <w:rFonts w:ascii="宋体" w:hAnsi="宋体"/>
      <w:color w:val="000000"/>
      <w:sz w:val="21"/>
      <w:szCs w:val="21"/>
    </w:rPr>
  </w:style>
  <w:style w:type="paragraph" w:styleId="1110">
    <w:name w:val="正文重点"/>
    <w:basedOn w:val="905"/>
    <w:next w:val="1110"/>
    <w:link w:val="1111"/>
    <w:qFormat/>
    <w:pPr>
      <w:ind w:firstLine="482"/>
      <w:jc w:val="left"/>
      <w:spacing w:line="360" w:lineRule="auto"/>
    </w:pPr>
    <w:rPr>
      <w:b/>
      <w:sz w:val="24"/>
      <w:szCs w:val="20"/>
    </w:rPr>
  </w:style>
  <w:style w:type="character" w:styleId="1111">
    <w:name w:val="正文重点 Char"/>
    <w:next w:val="1111"/>
    <w:link w:val="1110"/>
    <w:qFormat/>
    <w:rPr>
      <w:b/>
      <w:sz w:val="24"/>
    </w:rPr>
  </w:style>
  <w:style w:type="paragraph" w:styleId="1112">
    <w:name w:val="标题1-附件"/>
    <w:basedOn w:val="906"/>
    <w:next w:val="1112"/>
    <w:link w:val="905"/>
    <w:qFormat/>
    <w:pPr>
      <w:jc w:val="left"/>
    </w:pPr>
    <w:rPr>
      <w:sz w:val="24"/>
      <w:szCs w:val="24"/>
    </w:rPr>
  </w:style>
  <w:style w:type="paragraph" w:styleId="1113">
    <w:name w:val="正文小标题"/>
    <w:basedOn w:val="905"/>
    <w:next w:val="919"/>
    <w:link w:val="1114"/>
    <w:qFormat/>
    <w:pPr>
      <w:ind w:firstLine="482"/>
      <w:jc w:val="left"/>
      <w:spacing w:before="312" w:after="312"/>
    </w:pPr>
    <w:rPr>
      <w:rFonts w:ascii="宋体" w:hAnsi="宋体"/>
      <w:b/>
      <w:i/>
      <w:color w:val="ff0000"/>
      <w:sz w:val="24"/>
      <w:szCs w:val="20"/>
    </w:rPr>
  </w:style>
  <w:style w:type="character" w:styleId="1114">
    <w:name w:val="正文小标题 Char"/>
    <w:next w:val="1114"/>
    <w:link w:val="1113"/>
    <w:qFormat/>
    <w:rPr>
      <w:rFonts w:ascii="宋体" w:hAnsi="宋体"/>
      <w:b/>
      <w:i/>
      <w:color w:val="ff0000"/>
      <w:sz w:val="24"/>
    </w:rPr>
  </w:style>
  <w:style w:type="paragraph" w:styleId="1115">
    <w:name w:val="正文大标题"/>
    <w:basedOn w:val="1113"/>
    <w:next w:val="919"/>
    <w:link w:val="1116"/>
    <w:qFormat/>
    <w:pPr>
      <w:jc w:val="center"/>
    </w:pPr>
    <w:rPr>
      <w:i w:val="0"/>
      <w:color w:val="000000"/>
      <w:sz w:val="28"/>
      <w:szCs w:val="21"/>
    </w:rPr>
  </w:style>
  <w:style w:type="character" w:styleId="1116">
    <w:name w:val="正文大标题 Char"/>
    <w:next w:val="1116"/>
    <w:link w:val="1115"/>
    <w:qFormat/>
    <w:rPr>
      <w:rFonts w:ascii="宋体" w:hAnsi="宋体"/>
      <w:b/>
      <w:color w:val="000000"/>
      <w:sz w:val="28"/>
      <w:szCs w:val="21"/>
    </w:rPr>
  </w:style>
  <w:style w:type="paragraph" w:styleId="1117">
    <w:name w:val="注释"/>
    <w:basedOn w:val="905"/>
    <w:next w:val="1117"/>
    <w:link w:val="1118"/>
    <w:qFormat/>
    <w:pPr>
      <w:ind w:left="420" w:hanging="420"/>
      <w:jc w:val="left"/>
    </w:pPr>
    <w:rPr>
      <w:rFonts w:ascii="宋体" w:hAnsi="宋体"/>
      <w:szCs w:val="21"/>
    </w:rPr>
  </w:style>
  <w:style w:type="character" w:styleId="1118">
    <w:name w:val="注释 Char"/>
    <w:next w:val="1118"/>
    <w:link w:val="1117"/>
    <w:qFormat/>
    <w:rPr>
      <w:rFonts w:ascii="宋体" w:hAnsi="宋体"/>
      <w:sz w:val="21"/>
      <w:szCs w:val="21"/>
    </w:rPr>
  </w:style>
  <w:style w:type="paragraph" w:styleId="1119">
    <w:name w:val="正文须知-1级"/>
    <w:basedOn w:val="905"/>
    <w:next w:val="905"/>
    <w:link w:val="905"/>
    <w:qFormat/>
    <w:pPr>
      <w:numPr>
        <w:ilvl w:val="0"/>
        <w:numId w:val="7"/>
      </w:numPr>
      <w:spacing w:line="300" w:lineRule="auto"/>
    </w:pPr>
    <w:rPr>
      <w:rFonts w:ascii="宋体" w:hAnsi="Calibri"/>
      <w:sz w:val="24"/>
      <w:szCs w:val="21"/>
    </w:rPr>
  </w:style>
  <w:style w:type="paragraph" w:styleId="1120">
    <w:name w:val="正文须知-2级"/>
    <w:basedOn w:val="905"/>
    <w:next w:val="1120"/>
    <w:link w:val="905"/>
    <w:qFormat/>
    <w:pPr>
      <w:numPr>
        <w:ilvl w:val="1"/>
        <w:numId w:val="7"/>
      </w:numPr>
      <w:spacing w:line="300" w:lineRule="auto"/>
    </w:pPr>
    <w:rPr>
      <w:rFonts w:ascii="宋体" w:hAnsi="Calibri"/>
      <w:sz w:val="24"/>
      <w:szCs w:val="21"/>
    </w:rPr>
  </w:style>
  <w:style w:type="paragraph" w:styleId="1121">
    <w:name w:val="正文须知-3级"/>
    <w:basedOn w:val="905"/>
    <w:next w:val="1121"/>
    <w:link w:val="905"/>
    <w:qFormat/>
    <w:pPr>
      <w:numPr>
        <w:ilvl w:val="2"/>
        <w:numId w:val="7"/>
      </w:numPr>
      <w:ind w:hanging="355"/>
      <w:spacing w:line="300" w:lineRule="auto"/>
    </w:pPr>
    <w:rPr>
      <w:rFonts w:ascii="宋体" w:hAnsi="Calibri"/>
      <w:sz w:val="24"/>
      <w:szCs w:val="21"/>
    </w:rPr>
  </w:style>
  <w:style w:type="character" w:styleId="1122">
    <w:name w:val="纯文本 字符"/>
    <w:next w:val="1122"/>
    <w:link w:val="905"/>
    <w:uiPriority w:val="99"/>
    <w:qFormat/>
    <w:rPr>
      <w:rFonts w:ascii="宋体" w:hAnsi="Courier New" w:eastAsia="宋体" w:cs="Times New Roman"/>
      <w:sz w:val="21"/>
      <w:szCs w:val="21"/>
      <w:lang w:val="en-US" w:eastAsia="zh-CN" w:bidi="ar-SA"/>
    </w:rPr>
  </w:style>
  <w:style w:type="paragraph" w:styleId="1123">
    <w:name w:val="表格1"/>
    <w:basedOn w:val="905"/>
    <w:next w:val="1123"/>
    <w:link w:val="905"/>
    <w:qFormat/>
    <w:pPr>
      <w:ind w:firstLine="480"/>
      <w:jc w:val="center"/>
    </w:pPr>
    <w:rPr>
      <w:sz w:val="24"/>
      <w:szCs w:val="20"/>
    </w:rPr>
  </w:style>
  <w:style w:type="character" w:styleId="1124">
    <w:name w:val="纯文本 字符1"/>
    <w:next w:val="1124"/>
    <w:link w:val="905"/>
    <w:qFormat/>
    <w:rPr>
      <w:rFonts w:ascii="宋体" w:hAnsi="Courier New"/>
    </w:rPr>
  </w:style>
  <w:style w:type="character" w:styleId="1125">
    <w:name w:val="bjh-p"/>
    <w:next w:val="1125"/>
    <w:link w:val="905"/>
    <w:qFormat/>
  </w:style>
  <w:style w:type="paragraph" w:styleId="1126">
    <w:name w:val="无标题条"/>
    <w:next w:val="905"/>
    <w:link w:val="905"/>
    <w:qFormat/>
    <w:pPr>
      <w:jc w:val="both"/>
    </w:pPr>
    <w:rPr>
      <w:sz w:val="21"/>
      <w:lang w:val="en-US" w:eastAsia="zh-CN" w:bidi="ar-SA"/>
    </w:rPr>
  </w:style>
  <w:style w:type="character" w:styleId="1127">
    <w:name w:val="正文格式 Char"/>
    <w:next w:val="1127"/>
    <w:link w:val="1128"/>
    <w:qFormat/>
    <w:rPr>
      <w:rFonts w:ascii="宋体" w:hAnsi="宋体"/>
      <w:sz w:val="24"/>
      <w:szCs w:val="24"/>
      <w:lang w:val="en-GB"/>
    </w:rPr>
  </w:style>
  <w:style w:type="paragraph" w:styleId="1128">
    <w:name w:val="正文格式"/>
    <w:basedOn w:val="905"/>
    <w:next w:val="1128"/>
    <w:link w:val="1127"/>
    <w:qFormat/>
    <w:pPr>
      <w:ind w:firstLine="480"/>
      <w:spacing w:line="360" w:lineRule="auto"/>
    </w:pPr>
    <w:rPr>
      <w:rFonts w:ascii="宋体" w:hAnsi="宋体"/>
      <w:sz w:val="24"/>
      <w:lang w:val="en-GB"/>
    </w:rPr>
  </w:style>
  <w:style w:type="character" w:styleId="1129">
    <w:name w:val="标题 3 Char"/>
    <w:next w:val="1129"/>
    <w:link w:val="905"/>
    <w:qFormat/>
    <w:rPr>
      <w:rFonts w:ascii="宋体" w:eastAsia="宋体"/>
      <w:b/>
      <w:sz w:val="24"/>
      <w:u w:val="single"/>
      <w:lang w:val="en-US" w:eastAsia="zh-CN" w:bidi="ar-SA"/>
    </w:rPr>
  </w:style>
  <w:style w:type="character" w:styleId="1130">
    <w:name w:val="正文缩进 Char"/>
    <w:next w:val="1130"/>
    <w:link w:val="905"/>
    <w:qFormat/>
    <w:rPr>
      <w:rFonts w:ascii="宋体" w:eastAsia="宋体"/>
      <w:sz w:val="24"/>
      <w:szCs w:val="24"/>
      <w:lang w:val="en-US" w:eastAsia="zh-CN" w:bidi="ar-SA"/>
    </w:rPr>
  </w:style>
  <w:style w:type="character" w:styleId="1131">
    <w:name w:val="Char Char111"/>
    <w:next w:val="1131"/>
    <w:link w:val="905"/>
    <w:qFormat/>
    <w:rPr>
      <w:rFonts w:ascii="宋体" w:eastAsia="宋体"/>
      <w:b/>
      <w:sz w:val="24"/>
      <w:u w:val="single"/>
      <w:lang w:val="en-US" w:eastAsia="zh-CN" w:bidi="ar-SA"/>
    </w:rPr>
  </w:style>
  <w:style w:type="character" w:styleId="1132">
    <w:name w:val="正文文本缩进 Char"/>
    <w:next w:val="1132"/>
    <w:link w:val="905"/>
    <w:qFormat/>
    <w:rPr>
      <w:rFonts w:eastAsia="宋体"/>
      <w:sz w:val="24"/>
      <w:szCs w:val="24"/>
      <w:lang w:val="en-US" w:eastAsia="zh-CN" w:bidi="ar-SA"/>
    </w:rPr>
  </w:style>
  <w:style w:type="character" w:styleId="1133">
    <w:name w:val="列出段落 Char"/>
    <w:next w:val="1133"/>
    <w:link w:val="905"/>
    <w:qFormat/>
    <w:rPr>
      <w:rFonts w:ascii="Calibri" w:hAnsi="Calibri" w:eastAsia="宋体"/>
      <w:sz w:val="21"/>
      <w:szCs w:val="22"/>
      <w:lang w:val="en-US" w:eastAsia="zh-CN" w:bidi="ar-SA"/>
    </w:rPr>
  </w:style>
  <w:style w:type="character" w:styleId="1134">
    <w:name w:val="页眉 Char"/>
    <w:next w:val="1134"/>
    <w:link w:val="905"/>
    <w:qFormat/>
    <w:rPr>
      <w:rFonts w:eastAsia="宋体"/>
      <w:sz w:val="18"/>
      <w:szCs w:val="18"/>
      <w:lang w:val="en-US" w:eastAsia="zh-CN" w:bidi="ar-SA"/>
    </w:rPr>
  </w:style>
  <w:style w:type="character" w:styleId="1135">
    <w:name w:val="标题 2 Char"/>
    <w:next w:val="1135"/>
    <w:link w:val="905"/>
    <w:qFormat/>
    <w:rPr>
      <w:rFonts w:ascii="Arial" w:hAnsi="Arial" w:eastAsia="黑体"/>
      <w:b/>
      <w:sz w:val="30"/>
      <w:lang w:val="en-US" w:eastAsia="zh-CN" w:bidi="ar-SA"/>
    </w:rPr>
  </w:style>
  <w:style w:type="paragraph" w:styleId="1136">
    <w:name w:val="字元 字元2"/>
    <w:basedOn w:val="905"/>
    <w:next w:val="1136"/>
    <w:link w:val="905"/>
    <w:qFormat/>
    <w:rPr>
      <w:rFonts w:ascii="Tahoma" w:hAnsi="Tahoma"/>
      <w:sz w:val="24"/>
      <w:szCs w:val="20"/>
    </w:rPr>
  </w:style>
  <w:style w:type="paragraph" w:styleId="1137">
    <w:name w:val="Char3 Char Char Char2"/>
    <w:basedOn w:val="905"/>
    <w:next w:val="1137"/>
    <w:link w:val="905"/>
    <w:qFormat/>
    <w:rPr>
      <w:rFonts w:ascii="Tahoma" w:hAnsi="Tahoma"/>
      <w:sz w:val="24"/>
      <w:szCs w:val="20"/>
    </w:rPr>
  </w:style>
  <w:style w:type="paragraph" w:styleId="1138">
    <w:name w:val="正文文本缩进2"/>
    <w:basedOn w:val="905"/>
    <w:next w:val="1138"/>
    <w:link w:val="905"/>
    <w:qFormat/>
    <w:pPr>
      <w:ind w:firstLine="480"/>
      <w:spacing w:line="480" w:lineRule="exact"/>
    </w:pPr>
    <w:rPr>
      <w:rFonts w:ascii="宋体" w:hAnsi="宋体"/>
      <w:sz w:val="24"/>
      <w:lang w:val="zh-CN" w:eastAsia="zh-CN"/>
    </w:rPr>
  </w:style>
  <w:style w:type="paragraph" w:styleId="1139">
    <w:name w:val="Char3"/>
    <w:basedOn w:val="905"/>
    <w:next w:val="1139"/>
    <w:link w:val="905"/>
    <w:qFormat/>
    <w:pPr>
      <w:tabs>
        <w:tab w:val="left" w:pos="360" w:leader="none"/>
      </w:tabs>
    </w:pPr>
    <w:rPr>
      <w:sz w:val="24"/>
    </w:rPr>
  </w:style>
  <w:style w:type="paragraph" w:styleId="1140">
    <w:name w:val="Char Char Char Char Char Char Char Char Char Char Char Char Char Char Char Char1"/>
    <w:basedOn w:val="905"/>
    <w:next w:val="1140"/>
    <w:link w:val="905"/>
    <w:qFormat/>
    <w:pPr>
      <w:jc w:val="center"/>
      <w:spacing w:after="160" w:line="240" w:lineRule="exact"/>
      <w:widowControl/>
    </w:pPr>
    <w:rPr>
      <w:rFonts w:ascii="宋体" w:hAnsi="宋体"/>
      <w:b/>
      <w:sz w:val="30"/>
      <w:szCs w:val="30"/>
      <w:lang w:eastAsia="en-US"/>
    </w:rPr>
  </w:style>
  <w:style w:type="paragraph" w:styleId="1141">
    <w:name w:val="Char Char1 Char Char Char Char Char Char1"/>
    <w:basedOn w:val="905"/>
    <w:next w:val="1141"/>
    <w:link w:val="905"/>
    <w:qFormat/>
    <w:pPr>
      <w:jc w:val="left"/>
      <w:spacing w:after="160" w:line="240" w:lineRule="exact"/>
      <w:widowControl/>
    </w:pPr>
    <w:rPr>
      <w:rFonts w:ascii="Verdana" w:hAnsi="Verdana" w:eastAsia="仿宋_GB2312"/>
      <w:sz w:val="24"/>
      <w:szCs w:val="20"/>
      <w:lang w:eastAsia="en-US"/>
    </w:rPr>
  </w:style>
  <w:style w:type="paragraph" w:styleId="1142">
    <w:name w:val="列出段落2"/>
    <w:basedOn w:val="905"/>
    <w:next w:val="1142"/>
    <w:link w:val="905"/>
    <w:qFormat/>
    <w:pPr>
      <w:ind w:firstLine="420"/>
    </w:pPr>
    <w:rPr>
      <w:rFonts w:ascii="Calibri" w:hAnsi="Calibri"/>
      <w:szCs w:val="22"/>
    </w:rPr>
  </w:style>
  <w:style w:type="paragraph" w:styleId="1143">
    <w:name w:val="Char Char Char1 Char2"/>
    <w:basedOn w:val="905"/>
    <w:next w:val="1143"/>
    <w:link w:val="905"/>
    <w:qFormat/>
    <w:rPr>
      <w:rFonts w:ascii="Tahoma" w:hAnsi="Tahoma"/>
      <w:sz w:val="24"/>
      <w:szCs w:val="20"/>
    </w:rPr>
  </w:style>
  <w:style w:type="paragraph" w:styleId="1144">
    <w:name w:val="Char Char Char2"/>
    <w:basedOn w:val="905"/>
    <w:next w:val="1144"/>
    <w:link w:val="905"/>
    <w:qFormat/>
    <w:rPr>
      <w:rFonts w:ascii="Tahoma" w:hAnsi="Tahoma"/>
      <w:sz w:val="24"/>
      <w:szCs w:val="20"/>
    </w:rPr>
  </w:style>
  <w:style w:type="paragraph" w:styleId="1145">
    <w:name w:val="Char Char Char Char Char Char Char2"/>
    <w:basedOn w:val="905"/>
    <w:next w:val="1145"/>
    <w:link w:val="905"/>
    <w:qFormat/>
    <w:pPr>
      <w:ind w:firstLine="200"/>
      <w:spacing w:line="360" w:lineRule="auto"/>
    </w:pPr>
    <w:rPr>
      <w:rFonts w:eastAsia="仿宋_GB2312"/>
      <w:sz w:val="24"/>
    </w:rPr>
  </w:style>
  <w:style w:type="paragraph" w:styleId="1146">
    <w:name w:val="正文缩进2"/>
    <w:basedOn w:val="905"/>
    <w:next w:val="1146"/>
    <w:link w:val="905"/>
    <w:qFormat/>
    <w:pPr>
      <w:ind w:firstLine="567"/>
      <w:spacing w:line="480" w:lineRule="exact"/>
      <w:widowControl/>
    </w:pPr>
    <w:rPr>
      <w:rFonts w:ascii="宋体"/>
      <w:color w:val="000000"/>
      <w:sz w:val="28"/>
      <w:szCs w:val="20"/>
      <w:lang w:val="zh-CN" w:eastAsia="zh-CN"/>
    </w:rPr>
  </w:style>
  <w:style w:type="paragraph" w:styleId="1147">
    <w:name w:val="Revision"/>
    <w:next w:val="1147"/>
    <w:link w:val="905"/>
    <w:qFormat/>
    <w:rPr>
      <w:sz w:val="21"/>
      <w:szCs w:val="24"/>
      <w:lang w:val="en-US" w:eastAsia="zh-CN" w:bidi="ar-SA"/>
    </w:rPr>
  </w:style>
  <w:style w:type="paragraph" w:styleId="1148">
    <w:name w:val="Char22"/>
    <w:basedOn w:val="905"/>
    <w:next w:val="1148"/>
    <w:link w:val="905"/>
    <w:qFormat/>
    <w:rPr>
      <w:rFonts w:ascii="Tahoma" w:hAnsi="Tahoma"/>
      <w:sz w:val="24"/>
      <w:szCs w:val="20"/>
    </w:rPr>
  </w:style>
  <w:style w:type="paragraph" w:styleId="1149">
    <w:name w:val="Char Char Char Char Char Char Char Char Char Char2"/>
    <w:basedOn w:val="905"/>
    <w:next w:val="1149"/>
    <w:link w:val="905"/>
    <w:qFormat/>
    <w:rPr>
      <w:rFonts w:ascii="宋体" w:hAnsi="宋体" w:cs="Courier New"/>
      <w:sz w:val="32"/>
      <w:szCs w:val="32"/>
    </w:rPr>
  </w:style>
  <w:style w:type="paragraph" w:styleId="1150">
    <w:name w:val="Char2 Char Char Char Char Char Char1"/>
    <w:basedOn w:val="905"/>
    <w:next w:val="1150"/>
    <w:link w:val="905"/>
    <w:qFormat/>
    <w:pPr>
      <w:jc w:val="center"/>
      <w:spacing w:line="400" w:lineRule="exact"/>
      <w:widowControl/>
    </w:pPr>
  </w:style>
  <w:style w:type="character" w:styleId="1151">
    <w:name w:val="页脚 Char"/>
    <w:next w:val="1151"/>
    <w:link w:val="905"/>
    <w:qFormat/>
    <w:rPr>
      <w:rFonts w:ascii="宋体" w:eastAsia="宋体"/>
      <w:sz w:val="18"/>
      <w:lang w:val="en-US" w:eastAsia="zh-CN" w:bidi="ar-SA"/>
    </w:rPr>
  </w:style>
  <w:style w:type="paragraph" w:styleId="1152">
    <w:name w:val="Char Char41"/>
    <w:basedOn w:val="905"/>
    <w:next w:val="1152"/>
    <w:link w:val="905"/>
    <w:qFormat/>
    <w:pPr>
      <w:jc w:val="center"/>
      <w:spacing w:line="400" w:lineRule="exact"/>
      <w:widowControl/>
    </w:pPr>
  </w:style>
  <w:style w:type="character" w:styleId="1153">
    <w:name w:val="批注文字 Char"/>
    <w:next w:val="1153"/>
    <w:link w:val="905"/>
    <w:uiPriority w:val="99"/>
    <w:qFormat/>
    <w:rPr>
      <w:sz w:val="21"/>
      <w:szCs w:val="24"/>
    </w:rPr>
  </w:style>
  <w:style w:type="character" w:styleId="1154">
    <w:name w:val="标题 Char"/>
    <w:next w:val="1154"/>
    <w:link w:val="905"/>
    <w:qFormat/>
    <w:rPr>
      <w:b/>
      <w:sz w:val="32"/>
    </w:rPr>
  </w:style>
  <w:style w:type="paragraph" w:styleId="1155">
    <w:name w:val="图例"/>
    <w:basedOn w:val="905"/>
    <w:next w:val="1155"/>
    <w:link w:val="905"/>
    <w:qFormat/>
    <w:pPr>
      <w:jc w:val="center"/>
      <w:spacing w:before="120" w:after="120" w:line="360" w:lineRule="auto"/>
    </w:pPr>
    <w:rPr>
      <w:rFonts w:eastAsia="仿宋_GB2312"/>
      <w:b/>
      <w:sz w:val="24"/>
      <w:szCs w:val="20"/>
    </w:rPr>
  </w:style>
  <w:style w:type="paragraph" w:styleId="1156">
    <w:name w:val="Table Paragraph"/>
    <w:basedOn w:val="905"/>
    <w:next w:val="1156"/>
    <w:link w:val="905"/>
    <w:uiPriority w:val="1"/>
    <w:qFormat/>
    <w:pPr>
      <w:jc w:val="left"/>
    </w:pPr>
    <w:rPr>
      <w:rFonts w:ascii="宋体" w:hAnsi="宋体" w:cs="宋体"/>
      <w:sz w:val="22"/>
      <w:szCs w:val="22"/>
      <w:lang w:eastAsia="en-US"/>
    </w:rPr>
  </w:style>
  <w:style w:type="table" w:styleId="1157">
    <w:name w:val="Table Normal"/>
    <w:next w:val="1157"/>
    <w:link w:val="905"/>
    <w:uiPriority w:val="2"/>
    <w:semiHidden/>
    <w:qFormat/>
    <w:pPr>
      <w:widowControl w:val="off"/>
    </w:pPr>
    <w:rPr>
      <w:rFonts w:ascii="Calibri" w:hAnsi="Calibri"/>
      <w:sz w:val="22"/>
      <w:szCs w:val="22"/>
      <w:lang w:val="en-US" w:eastAsia="en-US" w:bidi="ar-SA"/>
    </w:rPr>
    <w:tblPr/>
  </w:style>
  <w:style w:type="paragraph" w:styleId="1158">
    <w:name w:val="成文日期"/>
    <w:basedOn w:val="905"/>
    <w:next w:val="1158"/>
    <w:link w:val="1159"/>
    <w:qFormat/>
    <w:pPr>
      <w:ind w:right="400" w:firstLine="200"/>
      <w:jc w:val="right"/>
      <w:spacing w:line="570" w:lineRule="exact"/>
    </w:pPr>
    <w:rPr>
      <w:rFonts w:ascii="仿宋_GB2312" w:eastAsia="仿宋_GB2312"/>
      <w:sz w:val="32"/>
      <w:szCs w:val="20"/>
    </w:rPr>
  </w:style>
  <w:style w:type="character" w:styleId="1159">
    <w:name w:val="成文日期 Char"/>
    <w:next w:val="1159"/>
    <w:link w:val="1158"/>
    <w:rPr>
      <w:rFonts w:ascii="仿宋_GB2312" w:eastAsia="仿宋_GB2312"/>
      <w:sz w:val="32"/>
    </w:rPr>
  </w:style>
  <w:style w:type="character" w:styleId="1160">
    <w:name w:val="font31"/>
    <w:next w:val="1160"/>
    <w:link w:val="905"/>
    <w:qFormat/>
    <w:rPr>
      <w:rFonts w:ascii="仿宋_GB2312" w:eastAsia="仿宋_GB2312" w:cs="仿宋_GB2312"/>
      <w:color w:val="000000"/>
      <w:sz w:val="22"/>
      <w:szCs w:val="22"/>
      <w:u w:val="none"/>
    </w:rPr>
  </w:style>
  <w:style w:type="paragraph" w:styleId="1161">
    <w:name w:val="Í¼±íÕýÎÄ"/>
    <w:basedOn w:val="905"/>
    <w:next w:val="919"/>
    <w:link w:val="905"/>
    <w:qFormat/>
    <w:pPr>
      <w:ind w:firstLine="420"/>
    </w:pPr>
    <w:rPr>
      <w:sz w:val="24"/>
      <w:szCs w:val="20"/>
    </w:rPr>
  </w:style>
  <w:style w:type="paragraph" w:styleId="1162">
    <w:name w:val="材料标题"/>
    <w:basedOn w:val="905"/>
    <w:next w:val="1162"/>
    <w:link w:val="905"/>
    <w:qFormat/>
    <w:pPr>
      <w:ind w:firstLine="0"/>
      <w:jc w:val="center"/>
      <w:spacing w:line="700" w:lineRule="exact"/>
    </w:pPr>
    <w:rPr>
      <w:rFonts w:ascii="方正小标宋简体" w:eastAsia="方正小标宋简体"/>
      <w:color w:val="000000"/>
      <w:sz w:val="44"/>
      <w:szCs w:val="44"/>
    </w:rPr>
  </w:style>
  <w:style w:type="paragraph" w:styleId="1163">
    <w:name w:val="修订"/>
    <w:next w:val="1163"/>
    <w:link w:val="905"/>
    <w:uiPriority w:val="99"/>
    <w:unhideWhenUsed/>
    <w:rPr>
      <w:sz w:val="21"/>
      <w:szCs w:val="24"/>
      <w:lang w:val="en-US" w:eastAsia="zh-CN" w:bidi="ar-SA"/>
    </w:rPr>
  </w:style>
  <w:style w:type="character" w:styleId="1164">
    <w:name w:val="current"/>
    <w:next w:val="1164"/>
    <w:link w:val="905"/>
    <w:rPr>
      <w:b/>
      <w:bCs/>
      <w:color w:val="05a7d8"/>
      <w:sz w:val="18"/>
      <w:szCs w:val="18"/>
    </w:rPr>
  </w:style>
  <w:style w:type="character" w:styleId="1165">
    <w:name w:val="l-btn-left"/>
    <w:next w:val="1165"/>
    <w:link w:val="905"/>
  </w:style>
  <w:style w:type="character" w:styleId="1166">
    <w:name w:val="l-btn-text36"/>
    <w:next w:val="1166"/>
    <w:link w:val="905"/>
  </w:style>
  <w:style w:type="paragraph" w:styleId="1167">
    <w:name w:val="null3"/>
    <w:next w:val="1167"/>
    <w:link w:val="905"/>
    <w:qFormat/>
    <w:rPr>
      <w:rFonts w:hint="eastAsia" w:ascii="Calibri" w:hAnsi="Calibri"/>
      <w:lang w:val="en-US" w:eastAsia="en-US" w:bidi="ar-SA"/>
    </w:rPr>
  </w:style>
  <w:style w:type="paragraph" w:styleId="1168">
    <w:name w:val="正文 A"/>
    <w:next w:val="1168"/>
    <w:link w:val="905"/>
    <w:qFormat/>
    <w:pPr>
      <w:jc w:val="both"/>
      <w:widowControl w:val="off"/>
    </w:pPr>
    <w:rPr>
      <w:rFonts w:eastAsia="Times New Roman"/>
      <w:color w:val="000000"/>
      <w:sz w:val="21"/>
      <w:szCs w:val="21"/>
      <w:lang w:val="en-US" w:eastAsia="zh-CN" w:bidi="ar-SA"/>
    </w:rPr>
  </w:style>
  <w:style w:type="paragraph" w:styleId="1169">
    <w:name w:val="正文文本缩进11"/>
    <w:basedOn w:val="905"/>
    <w:next w:val="1170"/>
    <w:link w:val="905"/>
    <w:qFormat/>
    <w:pPr>
      <w:ind w:firstLine="570"/>
      <w:spacing w:line="360" w:lineRule="auto"/>
    </w:pPr>
    <w:rPr>
      <w:sz w:val="24"/>
    </w:rPr>
  </w:style>
  <w:style w:type="paragraph" w:styleId="1170">
    <w:name w:val="寄信人地址1"/>
    <w:basedOn w:val="905"/>
    <w:next w:val="1170"/>
    <w:link w:val="905"/>
    <w:qFormat/>
    <w:rPr>
      <w:rFonts w:ascii="Arial" w:hAnsi="Arial"/>
    </w:rPr>
  </w:style>
  <w:style w:type="paragraph" w:styleId="1171">
    <w:name w:val="纯文本1"/>
    <w:basedOn w:val="905"/>
    <w:next w:val="1172"/>
    <w:link w:val="905"/>
    <w:uiPriority w:val="99"/>
    <w:qFormat/>
    <w:rPr>
      <w:rFonts w:hint="eastAsia" w:ascii="宋体" w:hAnsi="Courier New"/>
      <w:szCs w:val="20"/>
    </w:rPr>
  </w:style>
  <w:style w:type="paragraph" w:styleId="1172">
    <w:name w:val="正文缩进11"/>
    <w:basedOn w:val="905"/>
    <w:next w:val="905"/>
    <w:link w:val="905"/>
    <w:qFormat/>
    <w:pPr>
      <w:ind w:firstLine="420"/>
      <w:jc w:val="left"/>
    </w:pPr>
    <w:rPr>
      <w:rFonts w:ascii="宋体"/>
      <w:sz w:val="24"/>
    </w:rPr>
  </w:style>
  <w:style w:type="character" w:styleId="1173">
    <w:name w:val="font21"/>
    <w:basedOn w:val="915"/>
    <w:next w:val="1173"/>
    <w:link w:val="905"/>
    <w:rPr>
      <w:rFonts w:hint="eastAsia" w:ascii="宋体" w:hAnsi="宋体" w:eastAsia="宋体" w:cs="宋体"/>
      <w:i w:val="0"/>
      <w:iCs w:val="0"/>
      <w:color w:val="000000"/>
      <w:sz w:val="20"/>
      <w:szCs w:val="20"/>
      <w:u w:val="none"/>
    </w:rPr>
  </w:style>
  <w:style w:type="character" w:styleId="1174">
    <w:name w:val="font61"/>
    <w:basedOn w:val="915"/>
    <w:next w:val="1174"/>
    <w:link w:val="905"/>
    <w:rPr>
      <w:rFonts w:ascii="MS Gothic" w:hAnsi="MS Gothic" w:eastAsia="MS Gothic" w:cs="MS Gothic"/>
      <w:i w:val="0"/>
      <w:iCs w:val="0"/>
      <w:color w:val="000000"/>
      <w:sz w:val="20"/>
      <w:szCs w:val="20"/>
      <w:u w:val="none"/>
    </w:rPr>
  </w:style>
  <w:style w:type="character" w:styleId="1175">
    <w:name w:val="font71"/>
    <w:basedOn w:val="915"/>
    <w:next w:val="1175"/>
    <w:link w:val="905"/>
    <w:rPr>
      <w:rFonts w:ascii="Cambria Math" w:hAnsi="Cambria Math" w:eastAsia="Cambria Math" w:cs="Cambria Math"/>
      <w:i w:val="0"/>
      <w:iCs w:val="0"/>
      <w:color w:val="000000"/>
      <w:sz w:val="20"/>
      <w:szCs w:val="20"/>
      <w:u w:val="none"/>
    </w:rPr>
  </w:style>
  <w:style w:type="character" w:styleId="1176">
    <w:name w:val="font51"/>
    <w:basedOn w:val="915"/>
    <w:next w:val="1176"/>
    <w:link w:val="905"/>
    <w:rPr>
      <w:rFonts w:hint="eastAsia" w:ascii="宋体" w:hAnsi="宋体" w:eastAsia="宋体" w:cs="宋体"/>
      <w:i w:val="0"/>
      <w:iCs w:val="0"/>
      <w:color w:val="000000"/>
      <w:sz w:val="20"/>
      <w:szCs w:val="20"/>
      <w:u w:val="none"/>
    </w:rPr>
  </w:style>
  <w:style w:type="character" w:styleId="1177">
    <w:name w:val="font81"/>
    <w:basedOn w:val="915"/>
    <w:next w:val="1177"/>
    <w:link w:val="905"/>
    <w:rPr>
      <w:rFonts w:ascii="Calibri" w:hAnsi="Calibri" w:cs="Calibri"/>
      <w:i w:val="0"/>
      <w:iCs w:val="0"/>
      <w:color w:val="000000"/>
      <w:sz w:val="20"/>
      <w:szCs w:val="20"/>
      <w:u w:val="none"/>
    </w:rPr>
  </w:style>
  <w:style w:type="character" w:styleId="1178">
    <w:name w:val="font11"/>
    <w:basedOn w:val="915"/>
    <w:next w:val="1178"/>
    <w:link w:val="905"/>
    <w:rPr>
      <w:rFonts w:hint="eastAsia" w:ascii="宋体" w:hAnsi="宋体" w:eastAsia="宋体" w:cs="宋体"/>
      <w:i w:val="0"/>
      <w:iCs w:val="0"/>
      <w:color w:val="000000"/>
      <w:sz w:val="20"/>
      <w:szCs w:val="20"/>
      <w:u w:val="none"/>
    </w:rPr>
  </w:style>
  <w:style w:type="character" w:styleId="1179">
    <w:name w:val="10"/>
    <w:basedOn w:val="915"/>
    <w:next w:val="1179"/>
    <w:link w:val="905"/>
    <w:rPr>
      <w:rFonts w:ascii="Times New Roman" w:hAnsi="Times New Roman" w:cs="Times New Roman"/>
    </w:rPr>
  </w:style>
  <w:style w:type="character" w:styleId="1180">
    <w:name w:val="15"/>
    <w:basedOn w:val="915"/>
    <w:next w:val="1180"/>
    <w:link w:val="905"/>
    <w:rPr>
      <w:rFonts w:ascii="Times New Roman" w:hAnsi="Times New Roman" w:cs="Times New Roman"/>
    </w:rPr>
  </w:style>
  <w:style w:type="paragraph" w:styleId="1181">
    <w:name w:val="一、"/>
    <w:basedOn w:val="905"/>
    <w:next w:val="1181"/>
    <w:link w:val="905"/>
    <w:pPr>
      <w:ind w:left="0" w:right="0" w:firstLine="640"/>
      <w:jc w:val="both"/>
      <w:keepLines w:val="0"/>
      <w:keepNext w:val="0"/>
      <w:spacing w:before="0" w:beforeAutospacing="0" w:after="0" w:afterAutospacing="0" w:line="570" w:lineRule="exact"/>
      <w:widowControl w:val="off"/>
      <w:suppressLineNumbers w:val="0"/>
    </w:pPr>
    <w:rPr>
      <w:rFonts w:ascii="Times New Roman" w:hAnsi="Times New Roman" w:eastAsia="黑体" w:cs="Times New Roman"/>
      <w:color w:val="0d1e0f"/>
      <w:sz w:val="32"/>
      <w:szCs w:val="32"/>
      <w:lang w:val="en-US" w:eastAsia="zh-CN" w:bidi="ar"/>
    </w:rPr>
  </w:style>
  <w:style w:type="character" w:styleId="1182">
    <w:name w:val="16"/>
    <w:basedOn w:val="915"/>
    <w:next w:val="1182"/>
    <w:link w:val="905"/>
    <w:rPr>
      <w:rFonts w:ascii="Times New Roman" w:hAnsi="Times New Roman" w:cs="Times New Roman"/>
    </w:rPr>
  </w:style>
  <w:style w:type="character" w:styleId="1183">
    <w:name w:val="font41"/>
    <w:basedOn w:val="915"/>
    <w:next w:val="1183"/>
    <w:link w:val="905"/>
    <w:qFormat/>
    <w:rPr>
      <w:rFonts w:hint="eastAsia" w:ascii="宋体" w:hAnsi="宋体" w:eastAsia="宋体" w:cs="宋体"/>
      <w:color w:val="000000"/>
      <w:sz w:val="24"/>
      <w:szCs w:val="24"/>
      <w:u w:val="single"/>
    </w:rPr>
  </w:style>
  <w:style w:type="paragraph" w:styleId="1184">
    <w:name w:val="Table Text"/>
    <w:basedOn w:val="905"/>
    <w:next w:val="1184"/>
    <w:link w:val="905"/>
    <w:semiHidden/>
    <w:qFormat/>
    <w:rPr>
      <w:rFonts w:ascii="Times New Roman" w:hAnsi="Times New Roman" w:eastAsia="Times New Roman"/>
      <w:sz w:val="19"/>
      <w:szCs w:val="19"/>
      <w:lang w:eastAsia="en-US"/>
    </w:rPr>
  </w:style>
  <w:style w:type="character" w:styleId="42555" w:default="1">
    <w:name w:val="Default Paragraph Font"/>
    <w:uiPriority w:val="1"/>
    <w:semiHidden/>
    <w:unhideWhenUsed/>
  </w:style>
  <w:style w:type="numbering" w:styleId="42556" w:default="1">
    <w:name w:val="No List"/>
    <w:uiPriority w:val="99"/>
    <w:semiHidden/>
    <w:unhideWhenUsed/>
  </w:style>
  <w:style w:type="table" w:styleId="425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4</cp:revision>
  <dcterms:created xsi:type="dcterms:W3CDTF">2023-09-18T17:00:00Z</dcterms:created>
  <dcterms:modified xsi:type="dcterms:W3CDTF">2026-04-20T03:50:25Z</dcterms:modified>
</cp:coreProperties>
</file>