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6"/>
        <w:jc w:val="center"/>
        <w:rPr>
          <w:rFonts w:hint="eastAsia" w:ascii="Arial" w:hAnsi="Arial" w:eastAsia="黑体" w:cs="Times New Roman"/>
          <w:b/>
          <w:bCs/>
          <w:color w:val="000000" w:themeColor="text1"/>
          <w:sz w:val="84"/>
          <w:szCs w:val="24"/>
          <w:highlight w:val="none"/>
          <w14:textFill>
            <w14:solidFill>
              <w14:schemeClr w14:val="tx1"/>
            </w14:solidFill>
          </w14:textFill>
        </w:rPr>
      </w:pPr>
      <w:r>
        <w:rPr>
          <w:rFonts w:hint="eastAsia" w:ascii="Arial" w:hAnsi="Arial" w:eastAsia="黑体" w:cs="Times New Roman"/>
          <w:b/>
          <w:bCs/>
          <w:color w:val="000000" w:themeColor="text1"/>
          <w:sz w:val="84"/>
          <w:szCs w:val="24"/>
          <w:highlight w:val="none"/>
          <w14:textFill>
            <w14:solidFill>
              <w14:schemeClr w14:val="tx1"/>
            </w14:solidFill>
          </w14:textFill>
        </w:rPr>
      </w:r>
      <w:r/>
    </w:p>
    <w:p>
      <w:pPr>
        <w:pStyle w:val="896"/>
        <w:jc w:val="center"/>
        <w:rPr>
          <w:rFonts w:hint="eastAsia" w:ascii="Arial" w:hAnsi="Arial" w:eastAsia="黑体" w:cs="Times New Roman"/>
          <w:b/>
          <w:bCs/>
          <w:color w:val="000000" w:themeColor="text1"/>
          <w:sz w:val="84"/>
          <w:szCs w:val="24"/>
          <w:highlight w:val="none"/>
          <w14:textFill>
            <w14:solidFill>
              <w14:schemeClr w14:val="tx1"/>
            </w14:solidFill>
          </w14:textFill>
        </w:rPr>
      </w:pPr>
      <w:r>
        <w:rPr>
          <w:rFonts w:hint="eastAsia" w:ascii="Arial" w:hAnsi="Arial" w:eastAsia="黑体" w:cs="Times New Roman"/>
          <w:b/>
          <w:bCs/>
          <w:color w:val="000000" w:themeColor="text1"/>
          <w:sz w:val="84"/>
          <w:szCs w:val="24"/>
          <w:highlight w:val="none"/>
          <w14:textFill>
            <w14:solidFill>
              <w14:schemeClr w14:val="tx1"/>
            </w14:solidFill>
          </w14:textFill>
        </w:rPr>
        <w:t xml:space="preserve">招　标　文　件</w:t>
      </w:r>
      <w:r/>
    </w:p>
    <w:p>
      <w:pPr>
        <w:ind w:firstLine="1506"/>
        <w:rPr>
          <w:rFonts w:hint="eastAsia" w:eastAsia="宋体" w:cs="Times New Roman"/>
          <w:b/>
          <w:color w:val="000000" w:themeColor="text1"/>
          <w:sz w:val="30"/>
          <w:szCs w:val="30"/>
          <w:highlight w:val="none"/>
          <w:lang w:eastAsia="zh-CN"/>
          <w14:textFill>
            <w14:solidFill>
              <w14:schemeClr w14:val="tx1"/>
            </w14:solidFill>
          </w14:textFill>
        </w:rPr>
      </w:pPr>
      <w:r>
        <w:rPr>
          <w:rFonts w:hint="eastAsia" w:eastAsia="宋体" w:cs="Times New Roman"/>
          <w:b/>
          <w:color w:val="000000" w:themeColor="text1"/>
          <w:sz w:val="30"/>
          <w:szCs w:val="30"/>
          <w:highlight w:val="none"/>
          <w:lang w:eastAsia="zh-CN"/>
          <w14:textFill>
            <w14:solidFill>
              <w14:schemeClr w14:val="tx1"/>
            </w14:solidFill>
          </w14:textFill>
        </w:rPr>
      </w:r>
      <w:r/>
    </w:p>
    <w:p>
      <w:pPr>
        <w:ind w:firstLine="1506"/>
        <w:rPr>
          <w:rFonts w:hint="eastAsia" w:eastAsia="宋体" w:cs="Times New Roman"/>
          <w:b/>
          <w:color w:val="000000" w:themeColor="text1"/>
          <w:sz w:val="30"/>
          <w:szCs w:val="30"/>
          <w:highlight w:val="none"/>
          <w:lang w:eastAsia="zh-CN"/>
          <w14:textFill>
            <w14:solidFill>
              <w14:schemeClr w14:val="tx1"/>
            </w14:solidFill>
          </w14:textFill>
        </w:rPr>
      </w:pPr>
      <w:r>
        <w:rPr>
          <w:rFonts w:hint="eastAsia" w:eastAsia="宋体" w:cs="Times New Roman"/>
          <w:b/>
          <w:color w:val="000000" w:themeColor="text1"/>
          <w:sz w:val="30"/>
          <w:szCs w:val="30"/>
          <w:highlight w:val="none"/>
          <w:lang w:eastAsia="zh-CN"/>
          <w14:textFill>
            <w14:solidFill>
              <w14:schemeClr w14:val="tx1"/>
            </w14:solidFill>
          </w14:textFill>
        </w:rPr>
      </w:r>
      <w:r/>
    </w:p>
    <w:p>
      <w:pPr>
        <w:ind w:firstLine="1506"/>
        <w:rPr>
          <w:rFonts w:hint="eastAsia" w:eastAsia="宋体" w:cs="Times New Roman"/>
          <w:b/>
          <w:color w:val="000000" w:themeColor="text1"/>
          <w:sz w:val="30"/>
          <w:szCs w:val="30"/>
          <w:highlight w:val="none"/>
          <w:lang w:eastAsia="zh-CN"/>
          <w14:textFill>
            <w14:solidFill>
              <w14:schemeClr w14:val="tx1"/>
            </w14:solidFill>
          </w14:textFill>
        </w:rPr>
      </w:pPr>
      <w:r>
        <w:rPr>
          <w:rFonts w:hint="eastAsia" w:eastAsia="宋体" w:cs="Times New Roman"/>
          <w:b/>
          <w:color w:val="000000" w:themeColor="text1"/>
          <w:sz w:val="30"/>
          <w:szCs w:val="30"/>
          <w:highlight w:val="none"/>
          <w:lang w:eastAsia="zh-CN"/>
          <w14:textFill>
            <w14:solidFill>
              <w14:schemeClr w14:val="tx1"/>
            </w14:solidFill>
          </w14:textFill>
        </w:rPr>
      </w:r>
      <w:r/>
    </w:p>
    <w:p>
      <w:pPr>
        <w:ind w:firstLine="1506"/>
        <w:rPr>
          <w:rFonts w:hint="eastAsia" w:eastAsia="宋体" w:cs="Times New Roman"/>
          <w:b/>
          <w:color w:val="000000" w:themeColor="text1"/>
          <w:sz w:val="30"/>
          <w:szCs w:val="30"/>
          <w:highlight w:val="none"/>
          <w:lang w:eastAsia="zh-CN"/>
          <w14:textFill>
            <w14:solidFill>
              <w14:schemeClr w14:val="tx1"/>
            </w14:solidFill>
          </w14:textFill>
        </w:rPr>
      </w:pPr>
      <w:r>
        <w:rPr>
          <w:rFonts w:hint="eastAsia" w:eastAsia="宋体" w:cs="Times New Roman"/>
          <w:b/>
          <w:color w:val="000000" w:themeColor="text1"/>
          <w:sz w:val="30"/>
          <w:szCs w:val="30"/>
          <w:highlight w:val="none"/>
          <w:lang w:eastAsia="zh-CN"/>
          <w14:textFill>
            <w14:solidFill>
              <w14:schemeClr w14:val="tx1"/>
            </w14:solidFill>
          </w14:textFill>
        </w:rPr>
      </w:r>
      <w:r/>
    </w:p>
    <w:p>
      <w:pPr>
        <w:ind w:firstLine="1506"/>
        <w:rPr>
          <w:rFonts w:hint="eastAsia" w:eastAsia="宋体" w:cs="Times New Roman"/>
          <w:b/>
          <w:color w:val="000000" w:themeColor="text1"/>
          <w:sz w:val="30"/>
          <w:szCs w:val="30"/>
          <w:highlight w:val="none"/>
          <w:lang w:eastAsia="zh-CN"/>
          <w14:textFill>
            <w14:solidFill>
              <w14:schemeClr w14:val="tx1"/>
            </w14:solidFill>
          </w14:textFill>
        </w:rPr>
      </w:pPr>
      <w:r>
        <w:rPr>
          <w:rFonts w:hint="eastAsia" w:eastAsia="宋体" w:cs="Times New Roman"/>
          <w:b/>
          <w:color w:val="000000" w:themeColor="text1"/>
          <w:sz w:val="30"/>
          <w:szCs w:val="30"/>
          <w:highlight w:val="none"/>
          <w:lang w:eastAsia="zh-CN"/>
          <w14:textFill>
            <w14:solidFill>
              <w14:schemeClr w14:val="tx1"/>
            </w14:solidFill>
          </w14:textFill>
        </w:rPr>
      </w:r>
      <w:r/>
    </w:p>
    <w:p>
      <w:pPr>
        <w:ind w:firstLine="1506"/>
        <w:rPr>
          <w:rFonts w:hint="eastAsia" w:eastAsia="宋体" w:cs="Times New Roman"/>
          <w:b/>
          <w:color w:val="000000" w:themeColor="text1"/>
          <w:sz w:val="30"/>
          <w:szCs w:val="30"/>
          <w:highlight w:val="none"/>
          <w:lang w:val="en-US" w:eastAsia="zh-CN"/>
          <w14:textFill>
            <w14:solidFill>
              <w14:schemeClr w14:val="tx1"/>
            </w14:solidFill>
          </w14:textFill>
        </w:rPr>
      </w:pPr>
      <w:r>
        <w:rPr>
          <w:rFonts w:hint="eastAsia" w:eastAsia="宋体" w:cs="Times New Roman"/>
          <w:b/>
          <w:color w:val="000000" w:themeColor="text1"/>
          <w:sz w:val="30"/>
          <w:szCs w:val="30"/>
          <w:highlight w:val="none"/>
          <w:lang w:eastAsia="zh-CN"/>
          <w14:textFill>
            <w14:solidFill>
              <w14:schemeClr w14:val="tx1"/>
            </w14:solidFill>
          </w14:textFill>
        </w:rPr>
        <w:t xml:space="preserve">项目名称：江北新区侨康路学校信息化设备采购项</w:t>
      </w:r>
      <w:r>
        <w:rPr>
          <w:rFonts w:hint="eastAsia" w:cs="Times New Roman"/>
          <w:b/>
          <w:color w:val="000000" w:themeColor="text1"/>
          <w:sz w:val="30"/>
          <w:szCs w:val="30"/>
          <w:highlight w:val="none"/>
          <w:lang w:eastAsia="zh-CN"/>
          <w14:textFill>
            <w14:solidFill>
              <w14:schemeClr w14:val="tx1"/>
            </w14:solidFill>
          </w14:textFill>
        </w:rPr>
        <w:t xml:space="preserve">目</w:t>
      </w:r>
      <w:r/>
    </w:p>
    <w:p>
      <w:pPr>
        <w:ind w:firstLine="1506"/>
        <w:rPr>
          <w:rFonts w:hint="eastAsia" w:eastAsia="宋体" w:cs="Times New Roman"/>
          <w:b/>
          <w:color w:val="000000" w:themeColor="text1"/>
          <w:sz w:val="30"/>
          <w:szCs w:val="30"/>
          <w:highlight w:val="none"/>
          <w:lang w:eastAsia="zh-CN"/>
          <w14:textFill>
            <w14:solidFill>
              <w14:schemeClr w14:val="tx1"/>
            </w14:solidFill>
          </w14:textFill>
        </w:rPr>
      </w:pPr>
      <w:r>
        <w:rPr>
          <w:rFonts w:hint="eastAsia" w:eastAsia="宋体" w:cs="Times New Roman"/>
          <w:b/>
          <w:color w:val="000000" w:themeColor="text1"/>
          <w:sz w:val="30"/>
          <w:szCs w:val="30"/>
          <w:highlight w:val="none"/>
          <w:lang w:eastAsia="zh-CN"/>
          <w14:textFill>
            <w14:solidFill>
              <w14:schemeClr w14:val="tx1"/>
            </w14:solidFill>
          </w14:textFill>
        </w:rPr>
        <w:t xml:space="preserve">项目编号：JSZC-320192-JZCG-G2026-00</w:t>
      </w:r>
      <w:r>
        <w:rPr>
          <w:rFonts w:hint="eastAsia" w:cs="Times New Roman"/>
          <w:b/>
          <w:color w:val="000000" w:themeColor="text1"/>
          <w:sz w:val="30"/>
          <w:szCs w:val="30"/>
          <w:highlight w:val="none"/>
          <w:lang w:val="en-US" w:eastAsia="zh-CN"/>
          <w14:textFill>
            <w14:solidFill>
              <w14:schemeClr w14:val="tx1"/>
            </w14:solidFill>
          </w14:textFill>
        </w:rPr>
        <w:t xml:space="preserve">14</w:t>
      </w:r>
      <w:r>
        <w:rPr>
          <w:rFonts w:hint="eastAsia" w:eastAsia="宋体" w:cs="Times New Roman"/>
          <w:b/>
          <w:color w:val="000000" w:themeColor="text1"/>
          <w:sz w:val="30"/>
          <w:szCs w:val="30"/>
          <w:highlight w:val="none"/>
          <w:lang w:eastAsia="zh-CN"/>
          <w14:textFill>
            <w14:solidFill>
              <w14:schemeClr w14:val="tx1"/>
            </w14:solidFill>
          </w14:textFill>
        </w:rPr>
        <w:t xml:space="preserve">     </w:t>
      </w:r>
      <w:r/>
    </w:p>
    <w:p>
      <w:pPr>
        <w:ind w:firstLine="1506"/>
        <w:rPr>
          <w:rFonts w:hint="eastAsia" w:eastAsia="宋体" w:cs="Times New Roman"/>
          <w:b/>
          <w:color w:val="000000" w:themeColor="text1"/>
          <w:sz w:val="30"/>
          <w:szCs w:val="30"/>
          <w:highlight w:val="none"/>
          <w:lang w:eastAsia="zh-CN"/>
          <w14:textFill>
            <w14:solidFill>
              <w14:schemeClr w14:val="tx1"/>
            </w14:solidFill>
          </w14:textFill>
        </w:rPr>
      </w:pPr>
      <w:r>
        <w:rPr>
          <w:rFonts w:hint="eastAsia" w:eastAsia="宋体" w:cs="Times New Roman"/>
          <w:b/>
          <w:color w:val="000000" w:themeColor="text1"/>
          <w:sz w:val="30"/>
          <w:szCs w:val="30"/>
          <w:highlight w:val="none"/>
          <w:lang w:eastAsia="zh-CN"/>
          <w14:textFill>
            <w14:solidFill>
              <w14:schemeClr w14:val="tx1"/>
            </w14:solidFill>
          </w14:textFill>
        </w:rPr>
        <w:t xml:space="preserve">        </w:t>
      </w:r>
      <w:r/>
    </w:p>
    <w:p>
      <w:pPr>
        <w:jc w:val="center"/>
        <w:rPr>
          <w:rFonts w:hint="eastAsia" w:eastAsia="宋体" w:cs="Times New Roman"/>
          <w:b/>
          <w:color w:val="000000" w:themeColor="text1"/>
          <w:sz w:val="30"/>
          <w:szCs w:val="30"/>
          <w:highlight w:val="none"/>
          <w:lang w:eastAsia="zh-CN"/>
          <w14:textFill>
            <w14:solidFill>
              <w14:schemeClr w14:val="tx1"/>
            </w14:solidFill>
          </w14:textFill>
        </w:rPr>
      </w:pPr>
      <w:r>
        <w:rPr>
          <w:rFonts w:hint="eastAsia" w:eastAsia="宋体" w:cs="Times New Roman"/>
          <w:b/>
          <w:color w:val="000000" w:themeColor="text1"/>
          <w:sz w:val="30"/>
          <w:szCs w:val="30"/>
          <w:highlight w:val="none"/>
          <w:lang w:eastAsia="zh-CN"/>
          <w14:textFill>
            <w14:solidFill>
              <w14:schemeClr w14:val="tx1"/>
            </w14:solidFill>
          </w14:textFill>
        </w:rPr>
        <w:t xml:space="preserve">（</w:t>
      </w:r>
      <w:r>
        <w:rPr>
          <w:rFonts w:hint="eastAsia" w:ascii="宋体" w:hAnsi="宋体" w:eastAsia="宋体" w:cs="宋体"/>
          <w:b/>
          <w:bCs/>
          <w:color w:val="000000" w:themeColor="text1"/>
          <w:sz w:val="30"/>
          <w:szCs w:val="30"/>
          <w:highlight w:val="none"/>
          <w:lang w:eastAsia="zh-CN"/>
          <w14:textFill>
            <w14:solidFill>
              <w14:schemeClr w14:val="tx1"/>
            </w14:solidFill>
          </w14:textFill>
        </w:rPr>
        <w:t xml:space="preserve">非专门</w:t>
      </w:r>
      <w:r>
        <w:rPr>
          <w:rFonts w:hint="eastAsia" w:ascii="Times New Roman" w:hAnsi="Times New Roman" w:eastAsia="宋体" w:cs="Times New Roman"/>
          <w:b/>
          <w:bCs w:val="0"/>
          <w:color w:val="000000" w:themeColor="text1"/>
          <w:sz w:val="30"/>
          <w:szCs w:val="30"/>
          <w:highlight w:val="none"/>
          <w:lang w:eastAsia="zh-CN"/>
          <w14:textFill>
            <w14:solidFill>
              <w14:schemeClr w14:val="tx1"/>
            </w14:solidFill>
          </w14:textFill>
        </w:rPr>
        <w:t xml:space="preserve">面向中小企业</w:t>
      </w:r>
      <w:r>
        <w:rPr>
          <w:rFonts w:hint="eastAsia" w:eastAsia="宋体" w:cs="Times New Roman"/>
          <w:b/>
          <w:color w:val="000000" w:themeColor="text1"/>
          <w:sz w:val="30"/>
          <w:szCs w:val="30"/>
          <w:highlight w:val="none"/>
          <w:lang w:eastAsia="zh-CN"/>
          <w14:textFill>
            <w14:solidFill>
              <w14:schemeClr w14:val="tx1"/>
            </w14:solidFill>
          </w14:textFill>
        </w:rPr>
        <w:t xml:space="preserve">）</w:t>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pStyle w:val="723"/>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pStyle w:val="723"/>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pStyle w:val="723"/>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pStyle w:val="896"/>
        <w:ind w:firstLine="0"/>
        <w:jc w:val="center"/>
        <w:rPr>
          <w:rFonts w:hint="eastAsia"/>
          <w:b/>
          <w:bCs/>
          <w:color w:val="000000" w:themeColor="text1"/>
          <w:sz w:val="32"/>
          <w:highlight w:val="none"/>
          <w:lang w:eastAsia="zh-CN"/>
          <w14:textFill>
            <w14:solidFill>
              <w14:schemeClr w14:val="tx1"/>
            </w14:solidFill>
          </w14:textFill>
        </w:rPr>
      </w:pPr>
      <w:r>
        <w:rPr>
          <w:rFonts w:hint="eastAsia"/>
          <w:b/>
          <w:bCs/>
          <w:color w:val="000000" w:themeColor="text1"/>
          <w:sz w:val="32"/>
          <w:highlight w:val="none"/>
          <w:lang w:eastAsia="zh-CN"/>
          <w14:textFill>
            <w14:solidFill>
              <w14:schemeClr w14:val="tx1"/>
            </w14:solidFill>
          </w14:textFill>
        </w:rPr>
        <w:t xml:space="preserve">南京市公共资源交易中心江北新区分中心</w:t>
      </w:r>
      <w:r/>
    </w:p>
    <w:p>
      <w:pPr>
        <w:ind w:firstLine="0"/>
        <w:jc w:val="center"/>
        <w:rPr>
          <w:rFonts w:hint="eastAsia" w:ascii="Times New Roman" w:hAnsi="Times New Roman" w:eastAsia="宋体" w:cs="Times New Roman"/>
          <w:b/>
          <w:bCs w:val="0"/>
          <w:color w:val="000000" w:themeColor="text1"/>
          <w:sz w:val="32"/>
          <w:szCs w:val="32"/>
          <w:highlight w:val="none"/>
          <w:u w:val="none"/>
          <w:lang w:val="en-US" w:eastAsia="zh-CN"/>
          <w14:textFill>
            <w14:solidFill>
              <w14:schemeClr w14:val="tx1"/>
            </w14:solidFill>
          </w14:textFill>
        </w:rPr>
      </w:pPr>
      <w:r>
        <w:rPr>
          <w:rFonts w:hint="eastAsia" w:ascii="Times New Roman" w:hAnsi="Times New Roman" w:eastAsia="宋体" w:cs="Times New Roman"/>
          <w:b/>
          <w:bCs w:val="0"/>
          <w:color w:val="000000" w:themeColor="text1"/>
          <w:sz w:val="32"/>
          <w:szCs w:val="32"/>
          <w:highlight w:val="none"/>
          <w:u w:val="none"/>
          <w:lang w:val="en-US" w:eastAsia="zh-CN"/>
          <w14:textFill>
            <w14:solidFill>
              <w14:schemeClr w14:val="tx1"/>
            </w14:solidFill>
          </w14:textFill>
        </w:rPr>
        <w:t xml:space="preserve">202</w:t>
      </w:r>
      <w:r>
        <w:rPr>
          <w:rFonts w:hint="eastAsia" w:cs="Times New Roman"/>
          <w:b/>
          <w:bCs w:val="0"/>
          <w:color w:val="000000" w:themeColor="text1"/>
          <w:sz w:val="32"/>
          <w:szCs w:val="32"/>
          <w:highlight w:val="none"/>
          <w:u w:val="none"/>
          <w:lang w:val="en-US" w:eastAsia="zh-CN"/>
          <w14:textFill>
            <w14:solidFill>
              <w14:schemeClr w14:val="tx1"/>
            </w14:solidFill>
          </w14:textFill>
        </w:rPr>
        <w:t xml:space="preserve">6</w:t>
      </w:r>
      <w:r>
        <w:rPr>
          <w:rFonts w:hint="eastAsia" w:ascii="Times New Roman" w:hAnsi="Times New Roman" w:eastAsia="宋体" w:cs="Times New Roman"/>
          <w:b/>
          <w:bCs w:val="0"/>
          <w:color w:val="000000" w:themeColor="text1"/>
          <w:sz w:val="32"/>
          <w:szCs w:val="32"/>
          <w:highlight w:val="none"/>
          <w:u w:val="none"/>
          <w:lang w:val="en-US" w:eastAsia="zh-CN"/>
          <w14:textFill>
            <w14:solidFill>
              <w14:schemeClr w14:val="tx1"/>
            </w14:solidFill>
          </w14:textFill>
        </w:rPr>
        <w:t xml:space="preserve">年</w:t>
      </w:r>
      <w:r>
        <w:rPr>
          <w:rFonts w:hint="eastAsia" w:cs="Times New Roman"/>
          <w:b/>
          <w:bCs w:val="0"/>
          <w:color w:val="000000" w:themeColor="text1"/>
          <w:sz w:val="32"/>
          <w:szCs w:val="32"/>
          <w:highlight w:val="none"/>
          <w:u w:val="none"/>
          <w:lang w:val="en-US" w:eastAsia="zh-CN"/>
          <w14:textFill>
            <w14:solidFill>
              <w14:schemeClr w14:val="tx1"/>
            </w14:solidFill>
          </w14:textFill>
        </w:rPr>
        <w:t xml:space="preserve">5</w:t>
      </w:r>
      <w:r>
        <w:rPr>
          <w:rFonts w:hint="eastAsia" w:ascii="Times New Roman" w:hAnsi="Times New Roman" w:eastAsia="宋体" w:cs="Times New Roman"/>
          <w:b/>
          <w:bCs w:val="0"/>
          <w:color w:val="000000" w:themeColor="text1"/>
          <w:sz w:val="32"/>
          <w:szCs w:val="32"/>
          <w:highlight w:val="none"/>
          <w:u w:val="none"/>
          <w:lang w:val="en-US" w:eastAsia="zh-CN"/>
          <w14:textFill>
            <w14:solidFill>
              <w14:schemeClr w14:val="tx1"/>
            </w14:solidFill>
          </w14:textFill>
        </w:rPr>
        <w:t xml:space="preserve">月</w:t>
      </w:r>
      <w:r/>
    </w:p>
    <w:p>
      <w:pPr>
        <w:jc w:val="left"/>
        <w:spacing w:before="120" w:after="120" w:line="360" w:lineRule="auto"/>
        <w:rPr>
          <w:rFonts w:hint="eastAsia" w:ascii="Arial" w:hAnsi="Arial"/>
          <w:color w:val="000000" w:themeColor="text1"/>
          <w:sz w:val="24"/>
          <w:szCs w:val="24"/>
          <w:highlight w:val="none"/>
          <w:u w:val="single"/>
          <w14:textFill>
            <w14:solidFill>
              <w14:schemeClr w14:val="tx1"/>
            </w14:solidFill>
          </w14:textFill>
        </w:rPr>
      </w:pPr>
      <w:r>
        <w:rPr>
          <w:rFonts w:hint="eastAsia" w:ascii="Arial" w:hAnsi="Arial"/>
          <w:color w:val="000000" w:themeColor="text1"/>
          <w:sz w:val="24"/>
          <w:szCs w:val="24"/>
          <w:highlight w:val="none"/>
          <w14:textFill>
            <w14:solidFill>
              <w14:schemeClr w14:val="tx1"/>
            </w14:solidFill>
          </w14:textFill>
        </w:rPr>
        <w:t xml:space="preserve">                        </w:t>
      </w:r>
      <w:r/>
    </w:p>
    <w:p>
      <w:pPr>
        <w:pStyle w:val="882"/>
        <w:ind w:left="0" w:firstLine="0"/>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jc w:val="left"/>
        <w:spacing w:before="120" w:after="120" w:line="360" w:lineRule="auto"/>
        <w:rPr>
          <w:rFonts w:ascii="Times New Roman" w:hAnsi="Times New Roman"/>
          <w:color w:val="000000" w:themeColor="text1"/>
          <w:szCs w:val="21"/>
          <w:highlight w:val="none"/>
          <w14:textFill>
            <w14:solidFill>
              <w14:schemeClr w14:val="tx1"/>
            </w14:solidFill>
          </w14:textFill>
        </w:rPr>
      </w:pPr>
      <w:r>
        <w:rPr>
          <w:rFonts w:hint="eastAsia" w:ascii="Arial" w:hAnsi="Arial"/>
          <w:color w:val="000000" w:themeColor="text1"/>
          <w:sz w:val="24"/>
          <w:szCs w:val="24"/>
          <w:highlight w:val="none"/>
          <w14:textFill>
            <w14:solidFill>
              <w14:schemeClr w14:val="tx1"/>
            </w14:solidFill>
          </w14:textFill>
        </w:rPr>
        <w:t xml:space="preserve"> </w:t>
      </w:r>
      <w:r/>
    </w:p>
    <w:p>
      <w:pPr>
        <w:ind w:firstLine="3534"/>
        <w:jc w:val="both"/>
        <w:spacing w:line="480" w:lineRule="auto"/>
        <w:rPr>
          <w:rFonts w:hint="eastAsia" w:ascii="黑体" w:hAnsi="Arial" w:eastAsia="黑体"/>
          <w:b/>
          <w:color w:val="000000" w:themeColor="text1"/>
          <w:sz w:val="44"/>
          <w:szCs w:val="21"/>
          <w:highlight w:val="none"/>
          <w14:textFill>
            <w14:solidFill>
              <w14:schemeClr w14:val="tx1"/>
            </w14:solidFill>
          </w14:textFill>
        </w:rPr>
        <w:outlineLvl w:val="0"/>
      </w:pPr>
      <w:r/>
      <w:bookmarkStart w:id="0" w:name="_Toc120614210"/>
      <w:r/>
      <w:bookmarkStart w:id="1" w:name="_Toc16938516"/>
      <w:r/>
      <w:bookmarkStart w:id="2" w:name="_Toc523127445"/>
      <w:r/>
      <w:bookmarkStart w:id="3" w:name="_Toc513029200"/>
      <w:r/>
      <w:bookmarkStart w:id="4" w:name="_Toc479757206"/>
      <w:r/>
      <w:bookmarkStart w:id="5" w:name="_Toc20823272"/>
      <w:r>
        <w:rPr>
          <w:rFonts w:hint="eastAsia" w:ascii="黑体" w:hAnsi="Arial" w:eastAsia="黑体" w:cs="Times New Roman"/>
          <w:b/>
          <w:color w:val="000000" w:themeColor="text1"/>
          <w:sz w:val="44"/>
          <w:szCs w:val="21"/>
          <w:highlight w:val="none"/>
          <w14:textFill>
            <w14:solidFill>
              <w14:schemeClr w14:val="tx1"/>
            </w14:solidFill>
          </w14:textFill>
        </w:rPr>
        <w:t xml:space="preserve">总  目  录</w:t>
      </w:r>
      <w:r/>
    </w:p>
    <w:p>
      <w:pPr>
        <w:spacing w:line="480" w:lineRule="auto"/>
        <w:rPr>
          <w:rFonts w:hint="eastAsia" w:ascii="仿宋_GB2312" w:hAnsi="Arial" w:eastAsia="仿宋_GB2312"/>
          <w:b/>
          <w:color w:val="000000" w:themeColor="text1"/>
          <w:sz w:val="28"/>
          <w:szCs w:val="21"/>
          <w:highlight w:val="none"/>
          <w14:textFill>
            <w14:solidFill>
              <w14:schemeClr w14:val="tx1"/>
            </w14:solidFill>
          </w14:textFill>
        </w:rPr>
      </w:pPr>
      <w:r>
        <w:rPr>
          <w:rFonts w:hint="eastAsia" w:ascii="仿宋_GB2312" w:hAnsi="Arial" w:eastAsia="仿宋_GB2312"/>
          <w:b/>
          <w:color w:val="000000" w:themeColor="text1"/>
          <w:sz w:val="28"/>
          <w:szCs w:val="21"/>
          <w:highlight w:val="none"/>
          <w14:textFill>
            <w14:solidFill>
              <w14:schemeClr w14:val="tx1"/>
            </w14:solidFill>
          </w14:textFill>
        </w:rPr>
      </w:r>
      <w:r/>
    </w:p>
    <w:p>
      <w:pPr>
        <w:numPr>
          <w:ilvl w:val="0"/>
          <w:numId w:val="1"/>
        </w:numPr>
        <w:jc w:val="center"/>
        <w:keepLines w:val="0"/>
        <w:keepNext w:val="0"/>
        <w:pageBreakBefore w:val="0"/>
        <w:spacing w:line="960" w:lineRule="auto"/>
        <w:widowControl w:val="off"/>
        <w:rPr>
          <w:rFonts w:hint="eastAsia" w:ascii="黑体" w:hAnsi="宋体" w:eastAsia="黑体" w:cs="Times New Roman"/>
          <w:color w:val="000000" w:themeColor="text1"/>
          <w:sz w:val="36"/>
          <w:szCs w:val="21"/>
          <w:highlight w:val="none"/>
          <w14:textFill>
            <w14:solidFill>
              <w14:schemeClr w14:val="tx1"/>
            </w14:solidFill>
          </w14:textFill>
        </w:rPr>
        <w:outlineLvl w:val="0"/>
      </w:pPr>
      <w:r>
        <w:rPr>
          <w:rFonts w:hint="eastAsia" w:ascii="黑体" w:hAnsi="宋体" w:eastAsia="黑体" w:cs="Times New Roman"/>
          <w:color w:val="000000" w:themeColor="text1"/>
          <w:sz w:val="36"/>
          <w:szCs w:val="21"/>
          <w:highlight w:val="none"/>
          <w14:textFill>
            <w14:solidFill>
              <w14:schemeClr w14:val="tx1"/>
            </w14:solidFill>
          </w14:textFill>
        </w:rPr>
        <w:t xml:space="preserve">投标邀请…………………………………… </w:t>
      </w:r>
      <w:r/>
    </w:p>
    <w:p>
      <w:pPr>
        <w:numPr>
          <w:ilvl w:val="0"/>
          <w:numId w:val="1"/>
        </w:numPr>
        <w:jc w:val="center"/>
        <w:keepLines w:val="0"/>
        <w:keepNext w:val="0"/>
        <w:pageBreakBefore w:val="0"/>
        <w:spacing w:line="960" w:lineRule="auto"/>
        <w:widowControl w:val="off"/>
        <w:rPr>
          <w:rFonts w:hint="eastAsia" w:ascii="黑体" w:hAnsi="宋体" w:eastAsia="黑体" w:cs="Times New Roman"/>
          <w:color w:val="000000" w:themeColor="text1"/>
          <w:sz w:val="36"/>
          <w:szCs w:val="21"/>
          <w:highlight w:val="none"/>
          <w14:textFill>
            <w14:solidFill>
              <w14:schemeClr w14:val="tx1"/>
            </w14:solidFill>
          </w14:textFill>
        </w:rPr>
        <w:outlineLvl w:val="0"/>
      </w:pPr>
      <w:r>
        <w:rPr>
          <w:rFonts w:hint="eastAsia" w:ascii="黑体" w:hAnsi="宋体" w:eastAsia="黑体" w:cs="Times New Roman"/>
          <w:color w:val="000000" w:themeColor="text1"/>
          <w:sz w:val="36"/>
          <w:szCs w:val="21"/>
          <w:highlight w:val="none"/>
          <w14:textFill>
            <w14:solidFill>
              <w14:schemeClr w14:val="tx1"/>
            </w14:solidFill>
          </w14:textFill>
        </w:rPr>
        <w:t xml:space="preserve">投标人须知………………………………… </w:t>
      </w:r>
      <w:r/>
    </w:p>
    <w:p>
      <w:pPr>
        <w:numPr>
          <w:ilvl w:val="0"/>
          <w:numId w:val="1"/>
        </w:numPr>
        <w:jc w:val="center"/>
        <w:keepLines w:val="0"/>
        <w:keepNext w:val="0"/>
        <w:pageBreakBefore w:val="0"/>
        <w:spacing w:line="960" w:lineRule="auto"/>
        <w:widowControl w:val="off"/>
        <w:rPr>
          <w:rFonts w:hint="eastAsia" w:ascii="黑体" w:hAnsi="宋体" w:eastAsia="黑体" w:cs="Times New Roman"/>
          <w:color w:val="000000" w:themeColor="text1"/>
          <w:sz w:val="36"/>
          <w:szCs w:val="21"/>
          <w:highlight w:val="none"/>
          <w14:textFill>
            <w14:solidFill>
              <w14:schemeClr w14:val="tx1"/>
            </w14:solidFill>
          </w14:textFill>
        </w:rPr>
        <w:outlineLvl w:val="0"/>
      </w:pPr>
      <w:r>
        <w:rPr>
          <w:rFonts w:hint="eastAsia" w:ascii="黑体" w:hAnsi="宋体" w:eastAsia="黑体" w:cs="Times New Roman"/>
          <w:color w:val="000000" w:themeColor="text1"/>
          <w:sz w:val="36"/>
          <w:szCs w:val="21"/>
          <w:highlight w:val="none"/>
          <w14:textFill>
            <w14:solidFill>
              <w14:schemeClr w14:val="tx1"/>
            </w14:solidFill>
          </w14:textFill>
        </w:rPr>
        <w:t xml:space="preserve">合同文本……………………………………</w:t>
      </w:r>
      <w:r/>
    </w:p>
    <w:p>
      <w:pPr>
        <w:numPr>
          <w:ilvl w:val="0"/>
          <w:numId w:val="1"/>
        </w:numPr>
        <w:jc w:val="center"/>
        <w:keepLines w:val="0"/>
        <w:keepNext w:val="0"/>
        <w:pageBreakBefore w:val="0"/>
        <w:spacing w:line="960" w:lineRule="auto"/>
        <w:widowControl w:val="off"/>
        <w:rPr>
          <w:rFonts w:hint="eastAsia" w:ascii="黑体" w:hAnsi="宋体" w:eastAsia="黑体" w:cs="Times New Roman"/>
          <w:color w:val="000000" w:themeColor="text1"/>
          <w:sz w:val="36"/>
          <w:szCs w:val="21"/>
          <w:highlight w:val="none"/>
          <w14:textFill>
            <w14:solidFill>
              <w14:schemeClr w14:val="tx1"/>
            </w14:solidFill>
          </w14:textFill>
        </w:rPr>
        <w:outlineLvl w:val="0"/>
      </w:pPr>
      <w:r>
        <w:rPr>
          <w:rFonts w:hint="eastAsia" w:ascii="黑体" w:hAnsi="宋体" w:eastAsia="黑体" w:cs="Times New Roman"/>
          <w:color w:val="000000" w:themeColor="text1"/>
          <w:sz w:val="36"/>
          <w:szCs w:val="21"/>
          <w:highlight w:val="none"/>
          <w14:textFill>
            <w14:solidFill>
              <w14:schemeClr w14:val="tx1"/>
            </w14:solidFill>
          </w14:textFill>
        </w:rPr>
        <w:t xml:space="preserve">采购需求……………………………………</w:t>
      </w:r>
      <w:r/>
    </w:p>
    <w:p>
      <w:pPr>
        <w:numPr>
          <w:ilvl w:val="0"/>
          <w:numId w:val="1"/>
        </w:numPr>
        <w:jc w:val="center"/>
        <w:keepLines w:val="0"/>
        <w:keepNext w:val="0"/>
        <w:pageBreakBefore w:val="0"/>
        <w:spacing w:line="960" w:lineRule="auto"/>
        <w:widowControl w:val="off"/>
        <w:rPr>
          <w:rFonts w:hint="eastAsia" w:ascii="黑体" w:hAnsi="宋体" w:eastAsia="黑体" w:cs="Times New Roman"/>
          <w:color w:val="000000" w:themeColor="text1"/>
          <w:sz w:val="36"/>
          <w:szCs w:val="21"/>
          <w:highlight w:val="none"/>
          <w14:textFill>
            <w14:solidFill>
              <w14:schemeClr w14:val="tx1"/>
            </w14:solidFill>
          </w14:textFill>
        </w:rPr>
        <w:outlineLvl w:val="0"/>
      </w:pPr>
      <w:r>
        <w:rPr>
          <w:rFonts w:hint="eastAsia" w:ascii="黑体" w:hAnsi="宋体" w:eastAsia="黑体" w:cs="Times New Roman"/>
          <w:color w:val="000000" w:themeColor="text1"/>
          <w:sz w:val="36"/>
          <w:szCs w:val="21"/>
          <w:highlight w:val="none"/>
          <w14:textFill>
            <w14:solidFill>
              <w14:schemeClr w14:val="tx1"/>
            </w14:solidFill>
          </w14:textFill>
        </w:rPr>
        <w:t xml:space="preserve">评标方法与评标标准………………………</w:t>
      </w:r>
      <w:r/>
    </w:p>
    <w:p>
      <w:pPr>
        <w:numPr>
          <w:ilvl w:val="0"/>
          <w:numId w:val="1"/>
        </w:numPr>
        <w:jc w:val="center"/>
        <w:keepLines w:val="0"/>
        <w:keepNext w:val="0"/>
        <w:pageBreakBefore w:val="0"/>
        <w:spacing w:line="960" w:lineRule="auto"/>
        <w:widowControl w:val="off"/>
        <w:rPr>
          <w:rFonts w:hint="eastAsia" w:ascii="黑体" w:hAnsi="Arial" w:eastAsia="黑体"/>
          <w:b/>
          <w:color w:val="000000" w:themeColor="text1"/>
          <w:sz w:val="44"/>
          <w:szCs w:val="21"/>
          <w:highlight w:val="none"/>
          <w14:textFill>
            <w14:solidFill>
              <w14:schemeClr w14:val="tx1"/>
            </w14:solidFill>
          </w14:textFill>
        </w:rPr>
        <w:outlineLvl w:val="0"/>
      </w:pPr>
      <w:r>
        <w:rPr>
          <w:rFonts w:hint="eastAsia" w:ascii="黑体" w:hAnsi="宋体" w:eastAsia="黑体" w:cs="Times New Roman"/>
          <w:color w:val="000000" w:themeColor="text1"/>
          <w:sz w:val="36"/>
          <w:szCs w:val="21"/>
          <w:highlight w:val="none"/>
          <w14:textFill>
            <w14:solidFill>
              <w14:schemeClr w14:val="tx1"/>
            </w14:solidFill>
          </w14:textFill>
        </w:rPr>
        <w:t xml:space="preserve">投标文件格式………………………………</w:t>
      </w:r>
      <w:bookmarkEnd w:id="0"/>
      <w:r/>
      <w:r/>
    </w:p>
    <w:p>
      <w:pPr>
        <w:ind w:right="840"/>
        <w:jc w:val="cente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t xml:space="preserve">第一章  投标邀请</w:t>
      </w:r>
      <w:r/>
    </w:p>
    <w:p>
      <w:pPr>
        <w:ind w:firstLine="480"/>
        <w:pageBreakBefore w:val="0"/>
        <w:spacing w:line="264"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firstLine="480"/>
        <w:pageBreakBefore w:val="0"/>
        <w:spacing w:line="264" w:lineRule="auto"/>
        <w:widowControl w:val="off"/>
        <w:rPr>
          <w:rFonts w:ascii="宋体" w:hAnsi="宋体"/>
          <w:color w:val="000000" w:themeColor="text1"/>
          <w:sz w:val="24"/>
          <w:szCs w:val="24"/>
          <w:highlight w:val="none"/>
          <w14:textFill>
            <w14:solidFill>
              <w14:schemeClr w14:val="tx1"/>
            </w14:solidFill>
          </w14:textFill>
        </w:rPr>
      </w:pPr>
      <w:r/>
      <w:bookmarkStart w:id="6" w:name="_Toc35393621"/>
      <w:r/>
      <w:bookmarkStart w:id="7" w:name="_Toc28359079"/>
      <w:r/>
      <w:bookmarkStart w:id="8" w:name="_Toc38985263"/>
      <w:r/>
      <w:bookmarkStart w:id="9" w:name="_Toc28359002"/>
      <w:r/>
      <w:bookmarkStart w:id="10" w:name="_Toc35393790"/>
      <w:r/>
      <w:bookmarkStart w:id="11" w:name="_Hlk24379207"/>
      <w:r>
        <w:rPr>
          <w:rFonts w:hint="eastAsia" w:ascii="宋体" w:hAnsi="宋体"/>
          <w:color w:val="000000" w:themeColor="text1"/>
          <w:sz w:val="24"/>
          <w:szCs w:val="24"/>
          <w:highlight w:val="none"/>
          <w14:textFill>
            <w14:solidFill>
              <w14:schemeClr w14:val="tx1"/>
            </w14:solidFill>
          </w14:textFill>
        </w:rPr>
        <w:t xml:space="preserve">受</w:t>
      </w:r>
      <w:r>
        <w:rPr>
          <w:rFonts w:hint="eastAsia" w:ascii="宋体" w:hAnsi="宋体"/>
          <w:b w:val="0"/>
          <w:bCs w:val="0"/>
          <w:color w:val="000000" w:themeColor="text1"/>
          <w:sz w:val="24"/>
          <w:szCs w:val="24"/>
          <w:highlight w:val="none"/>
          <w:lang w:eastAsia="zh-CN"/>
          <w14:textFill>
            <w14:solidFill>
              <w14:schemeClr w14:val="tx1"/>
            </w14:solidFill>
          </w14:textFill>
        </w:rPr>
        <w:t xml:space="preserve">南京江北新区管委会教育和社会保障局</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采</w:t>
      </w:r>
      <w:r>
        <w:rPr>
          <w:rFonts w:hint="eastAsia" w:ascii="宋体" w:hAnsi="宋体"/>
          <w:color w:val="000000" w:themeColor="text1"/>
          <w:sz w:val="24"/>
          <w:szCs w:val="24"/>
          <w:highlight w:val="none"/>
          <w:u w:val="none"/>
          <w:lang w:val="en-US" w:eastAsia="zh-CN"/>
          <w14:textFill>
            <w14:solidFill>
              <w14:schemeClr w14:val="tx1"/>
            </w14:solidFill>
          </w14:textFill>
        </w:rPr>
        <w:t xml:space="preserve">购</w:t>
      </w:r>
      <w:r>
        <w:rPr>
          <w:rFonts w:hint="eastAsia" w:ascii="宋体" w:hAnsi="宋体"/>
          <w:color w:val="000000" w:themeColor="text1"/>
          <w:sz w:val="24"/>
          <w:szCs w:val="24"/>
          <w:highlight w:val="none"/>
          <w:u w:val="none"/>
          <w14:textFill>
            <w14:solidFill>
              <w14:schemeClr w14:val="tx1"/>
            </w14:solidFill>
          </w14:textFill>
        </w:rPr>
        <w:t xml:space="preserve">单位</w:t>
      </w:r>
      <w:r>
        <w:rPr>
          <w:rFonts w:hint="eastAsia" w:ascii="宋体" w:hAnsi="宋体"/>
          <w:color w:val="000000" w:themeColor="text1"/>
          <w:sz w:val="24"/>
          <w:szCs w:val="24"/>
          <w:highlight w:val="none"/>
          <w:u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委托</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b w:val="0"/>
          <w:bCs w:val="0"/>
          <w:color w:val="000000" w:themeColor="text1"/>
          <w:sz w:val="24"/>
          <w:szCs w:val="24"/>
          <w:highlight w:val="none"/>
          <w:lang w:eastAsia="zh-CN"/>
          <w14:textFill>
            <w14:solidFill>
              <w14:schemeClr w14:val="tx1"/>
            </w14:solidFill>
          </w14:textFill>
        </w:rPr>
        <w:t xml:space="preserve">南京市公共资源交易中心江北新区分中心</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以下简称“交易中心”</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14:textFill>
            <w14:solidFill>
              <w14:schemeClr w14:val="tx1"/>
            </w14:solidFill>
          </w14:textFill>
        </w:rPr>
        <w:t xml:space="preserve">就</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江北新区侨康路学校信息化设备采购项目</w:t>
      </w:r>
      <w:r>
        <w:rPr>
          <w:rFonts w:hint="eastAsia" w:ascii="宋体" w:hAnsi="宋体"/>
          <w:color w:val="000000" w:themeColor="text1"/>
          <w:sz w:val="24"/>
          <w:szCs w:val="24"/>
          <w:highlight w:val="none"/>
          <w14:textFill>
            <w14:solidFill>
              <w14:schemeClr w14:val="tx1"/>
            </w14:solidFill>
          </w14:textFill>
        </w:rPr>
        <w:t xml:space="preserve">进行公开招标采购</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欢迎符合条件的供应商投标。</w:t>
      </w:r>
      <w:r/>
    </w:p>
    <w:p>
      <w:pPr>
        <w:pStyle w:val="897"/>
        <w:ind w:firstLine="465"/>
        <w:pageBreakBefore w:val="0"/>
        <w:spacing w:before="145" w:after="145" w:line="264" w:lineRule="auto"/>
        <w:widowControl w:val="off"/>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一、项目基本情况</w:t>
      </w:r>
      <w:bookmarkEnd w:id="6"/>
      <w:r/>
      <w:bookmarkEnd w:id="7"/>
      <w:r/>
      <w:bookmarkEnd w:id="8"/>
      <w:r/>
      <w:bookmarkEnd w:id="9"/>
      <w:r/>
      <w:bookmarkEnd w:id="10"/>
      <w:r/>
      <w:bookmarkEnd w:id="11"/>
      <w:r/>
      <w:r/>
    </w:p>
    <w:p>
      <w:pPr>
        <w:ind w:firstLine="480"/>
        <w:pageBreakBefore w:val="0"/>
        <w:spacing w:line="264" w:lineRule="auto"/>
        <w:widowControl w:val="off"/>
        <w:rPr>
          <w:rFonts w:hint="default" w:ascii="宋体" w:hAnsi="宋体" w:eastAsia="宋体"/>
          <w:color w:val="000000" w:themeColor="text1"/>
          <w:sz w:val="24"/>
          <w:szCs w:val="24"/>
          <w:highlight w:val="none"/>
          <w:lang w:val="en-US" w:eastAsia="zh-CN"/>
          <w14:textFill>
            <w14:solidFill>
              <w14:schemeClr w14:val="tx1"/>
            </w14:solidFill>
          </w14:textFill>
        </w:rPr>
      </w:pPr>
      <w:r/>
      <w:bookmarkStart w:id="12" w:name="_Toc38985264"/>
      <w:r/>
      <w:bookmarkStart w:id="13" w:name="_Toc35393791"/>
      <w:r/>
      <w:bookmarkStart w:id="14" w:name="_Toc28359003"/>
      <w:r/>
      <w:bookmarkStart w:id="15" w:name="_Toc28359080"/>
      <w:r/>
      <w:bookmarkStart w:id="16" w:name="_Toc35393622"/>
      <w:r>
        <w:rPr>
          <w:rFonts w:hint="eastAsia" w:ascii="宋体" w:hAnsi="宋体"/>
          <w:color w:val="000000" w:themeColor="text1"/>
          <w:sz w:val="24"/>
          <w:szCs w:val="24"/>
          <w:highlight w:val="none"/>
          <w14:textFill>
            <w14:solidFill>
              <w14:schemeClr w14:val="tx1"/>
            </w14:solidFill>
          </w14:textFill>
        </w:rPr>
        <w:t xml:space="preserve">1.项目编号：JSZC-320192-JZCG-G202</w:t>
      </w:r>
      <w:r>
        <w:rPr>
          <w:rFonts w:hint="eastAsia" w:ascii="宋体" w:hAnsi="宋体"/>
          <w:color w:val="000000" w:themeColor="text1"/>
          <w:sz w:val="24"/>
          <w:szCs w:val="24"/>
          <w:highlight w:val="none"/>
          <w:lang w:val="en-US" w:eastAsia="zh-CN"/>
          <w14:textFill>
            <w14:solidFill>
              <w14:schemeClr w14:val="tx1"/>
            </w14:solidFill>
          </w14:textFill>
        </w:rPr>
        <w:t xml:space="preserve">6</w:t>
      </w:r>
      <w:r>
        <w:rPr>
          <w:rFonts w:hint="eastAsia" w:ascii="宋体" w:hAnsi="宋体"/>
          <w:color w:val="000000" w:themeColor="text1"/>
          <w:sz w:val="24"/>
          <w:szCs w:val="24"/>
          <w:highlight w:val="none"/>
          <w14:textFill>
            <w14:solidFill>
              <w14:schemeClr w14:val="tx1"/>
            </w14:solidFill>
          </w14:textFill>
        </w:rPr>
        <w:t xml:space="preserve">-00</w:t>
      </w:r>
      <w:r>
        <w:rPr>
          <w:rFonts w:hint="eastAsia" w:ascii="宋体" w:hAnsi="宋体"/>
          <w:color w:val="000000" w:themeColor="text1"/>
          <w:sz w:val="24"/>
          <w:szCs w:val="24"/>
          <w:highlight w:val="none"/>
          <w:lang w:val="en-US" w:eastAsia="zh-CN"/>
          <w14:textFill>
            <w14:solidFill>
              <w14:schemeClr w14:val="tx1"/>
            </w14:solidFill>
          </w14:textFill>
        </w:rPr>
        <w:t xml:space="preserve">14</w:t>
      </w:r>
      <w:r/>
    </w:p>
    <w:p>
      <w:pPr>
        <w:ind w:firstLine="480"/>
        <w:spacing w:line="264" w:lineRule="auto"/>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2.项目名称：</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江北新区侨康路学校信息化设备采购项目</w:t>
      </w:r>
      <w:r/>
    </w:p>
    <w:p>
      <w:pPr>
        <w:ind w:firstLine="480"/>
        <w:pageBreakBefore w:val="0"/>
        <w:spacing w:line="264"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3.预算金额：</w:t>
      </w:r>
      <w:r>
        <w:rPr>
          <w:rFonts w:hint="eastAsia" w:ascii="宋体" w:hAnsi="宋体"/>
          <w:color w:val="000000" w:themeColor="text1"/>
          <w:sz w:val="24"/>
          <w:szCs w:val="24"/>
          <w:highlight w:val="none"/>
          <w:lang w:val="en-US" w:eastAsia="zh-CN"/>
          <w14:textFill>
            <w14:solidFill>
              <w14:schemeClr w14:val="tx1"/>
            </w14:solidFill>
          </w14:textFill>
        </w:rPr>
      </w:r>
      <w:r>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r>
      <w:r>
        <w:rPr>
          <w:rFonts w:hint="eastAsia" w:ascii="宋体" w:hAnsi="宋体"/>
          <w:color w:val="000000" w:themeColor="text1"/>
          <w:sz w:val="24"/>
          <w:szCs w:val="24"/>
          <w:highlight w:val="none"/>
          <w:lang w:val="en-US" w:eastAsia="zh-CN"/>
          <w14:textFill>
            <w14:solidFill>
              <w14:schemeClr w14:val="tx1"/>
            </w14:solidFill>
          </w14:textFill>
        </w:rPr>
        <w:t xml:space="preserve">959.480818万元</w:t>
      </w:r>
      <w:r/>
      <w:r>
        <w:rPr>
          <w:rFonts w:hint="eastAsia" w:ascii="宋体" w:hAnsi="宋体"/>
          <w:color w:val="000000" w:themeColor="text1"/>
          <w:sz w:val="24"/>
          <w:szCs w:val="24"/>
          <w:highlight w:val="none"/>
          <w:lang w:val="en-US" w:eastAsia="zh-CN"/>
          <w14:textFill>
            <w14:solidFill>
              <w14:schemeClr w14:val="tx1"/>
            </w14:solidFill>
          </w14:textFill>
        </w:rPr>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r>
      <w:r/>
    </w:p>
    <w:p>
      <w:pPr>
        <w:ind w:firstLine="480"/>
        <w:pageBreakBefore w:val="0"/>
        <w:spacing w:line="264" w:lineRule="auto"/>
        <w:widowControl w:val="off"/>
        <w:tabs>
          <w:tab w:val="left" w:pos="8246" w:leader="none"/>
        </w:tabs>
        <w:rPr>
          <w:rFonts w:hint="eastAsia" w:ascii="宋体" w:hAnsi="宋体" w:eastAsia="宋体" w:cs="Times New Roman"/>
          <w:color w:val="000000" w:themeColor="text1"/>
          <w:sz w:val="24"/>
          <w:szCs w:val="24"/>
          <w:highlight w:val="none"/>
          <w:u w:val="none"/>
          <w14:textFill>
            <w14:solidFill>
              <w14:schemeClr w14:val="tx1"/>
            </w14:solidFill>
          </w14:textFill>
        </w:rPr>
      </w:pPr>
      <w:r>
        <w:rPr>
          <w:rFonts w:hint="eastAsia" w:ascii="宋体" w:hAnsi="宋体" w:eastAsia="宋体" w:cs="Times New Roman"/>
          <w:color w:val="000000" w:themeColor="text1"/>
          <w:sz w:val="24"/>
          <w:szCs w:val="24"/>
          <w:highlight w:val="none"/>
          <w:u w:val="none"/>
          <w14:textFill>
            <w14:solidFill>
              <w14:schemeClr w14:val="tx1"/>
            </w14:solidFill>
          </w14:textFill>
        </w:rPr>
        <w:t xml:space="preserve">4.</w:t>
      </w:r>
      <w:r>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t xml:space="preserve">最高限价：</w:t>
      </w:r>
      <w:r>
        <w:rPr>
          <w:rFonts w:hint="eastAsia" w:ascii="宋体" w:hAnsi="宋体"/>
          <w:color w:val="000000" w:themeColor="text1"/>
          <w:sz w:val="24"/>
          <w:szCs w:val="24"/>
          <w:highlight w:val="none"/>
          <w:lang w:val="en-US" w:eastAsia="zh-CN"/>
          <w14:textFill>
            <w14:solidFill>
              <w14:schemeClr w14:val="tx1"/>
            </w14:solidFill>
          </w14:textFill>
        </w:rPr>
        <w:t xml:space="preserve">959.480818万元</w:t>
      </w:r>
      <w:r>
        <w:tab/>
      </w:r>
      <w:r/>
    </w:p>
    <w:p>
      <w:pPr>
        <w:ind w:firstLine="480"/>
        <w:pageBreakBefore w:val="0"/>
        <w:spacing w:line="264"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u w:val="none"/>
          <w14:textFill>
            <w14:solidFill>
              <w14:schemeClr w14:val="tx1"/>
            </w14:solidFill>
          </w14:textFill>
        </w:rPr>
        <w:t xml:space="preserve">5.采购需求（简介）：</w:t>
      </w:r>
      <w:r>
        <w:rPr>
          <w:rFonts w:hint="eastAsia"/>
          <w:color w:val="000000" w:themeColor="text1"/>
          <w:sz w:val="24"/>
          <w:szCs w:val="28"/>
          <w:highlight w:val="none"/>
          <w14:textFill>
            <w14:solidFill>
              <w14:schemeClr w14:val="tx1"/>
            </w14:solidFill>
          </w14:textFill>
        </w:rPr>
        <w:t xml:space="preserve">本项目为江北新区侨康路学校信息化设备采购项目，采购范围包含综合布线系统、计算机网络系统、综合安防系统、公共广播系统、LED屏显示系统等，需满足小学教育教学、校园管理、师生服务等全场景需求</w:t>
      </w:r>
      <w:r>
        <w:rPr>
          <w:rFonts w:hint="eastAsia"/>
          <w:color w:val="000000" w:themeColor="text1"/>
          <w:sz w:val="24"/>
          <w:szCs w:val="28"/>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（详细内容见本</w:t>
      </w:r>
      <w:r>
        <w:rPr>
          <w:rFonts w:hint="eastAsia" w:ascii="宋体" w:hAnsi="宋体"/>
          <w:color w:val="000000" w:themeColor="text1"/>
          <w:sz w:val="24"/>
          <w:szCs w:val="24"/>
          <w:highlight w:val="none"/>
          <w:lang w:eastAsia="zh-CN"/>
          <w14:textFill>
            <w14:solidFill>
              <w14:schemeClr w14:val="tx1"/>
            </w14:solidFill>
          </w14:textFill>
        </w:rPr>
        <w:t xml:space="preserve">招标</w:t>
      </w:r>
      <w:r>
        <w:rPr>
          <w:rFonts w:hint="eastAsia" w:ascii="宋体" w:hAnsi="宋体"/>
          <w:color w:val="000000" w:themeColor="text1"/>
          <w:sz w:val="24"/>
          <w:szCs w:val="24"/>
          <w:highlight w:val="none"/>
          <w14:textFill>
            <w14:solidFill>
              <w14:schemeClr w14:val="tx1"/>
            </w14:solidFill>
          </w14:textFill>
        </w:rPr>
        <w:t xml:space="preserve">文件第四章）</w:t>
      </w:r>
      <w:r/>
    </w:p>
    <w:p>
      <w:pPr>
        <w:ind w:firstLine="480"/>
        <w:spacing w:line="264" w:lineRule="auto"/>
        <w:rPr>
          <w:rFonts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6.合同履行期限：合同签订后</w:t>
      </w:r>
      <w:r>
        <w:rPr>
          <w:rFonts w:hint="eastAsia" w:ascii="宋体" w:hAnsi="宋体"/>
          <w:color w:val="000000" w:themeColor="text1"/>
          <w:sz w:val="24"/>
          <w:szCs w:val="24"/>
          <w:highlight w:val="none"/>
          <w:lang w:val="en-US" w:eastAsia="zh-CN"/>
          <w14:textFill>
            <w14:solidFill>
              <w14:schemeClr w14:val="tx1"/>
            </w14:solidFill>
          </w14:textFill>
        </w:rPr>
        <w:t xml:space="preserve">120日历日</w:t>
      </w:r>
      <w:r>
        <w:rPr>
          <w:rFonts w:hint="eastAsia" w:ascii="宋体" w:hAnsi="宋体"/>
          <w:color w:val="000000" w:themeColor="text1"/>
          <w:sz w:val="24"/>
          <w:szCs w:val="24"/>
          <w:highlight w:val="none"/>
          <w14:textFill>
            <w14:solidFill>
              <w14:schemeClr w14:val="tx1"/>
            </w14:solidFill>
          </w14:textFill>
        </w:rPr>
        <w:t xml:space="preserve">内交付并完成安装调试及验收等相关工作。</w:t>
      </w:r>
      <w:r/>
    </w:p>
    <w:p>
      <w:pPr>
        <w:ind w:firstLine="480"/>
        <w:pageBreakBefore w:val="0"/>
        <w:spacing w:line="264"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7.本项目</w:t>
      </w:r>
      <w:r>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t xml:space="preserve">不接受</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进口产品投标。</w:t>
      </w:r>
      <w:r/>
    </w:p>
    <w:p>
      <w:pPr>
        <w:ind w:firstLine="480"/>
        <w:pageBreakBefore w:val="0"/>
        <w:spacing w:line="264"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8.本项目</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不接受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联合体投标。</w:t>
      </w:r>
      <w:r/>
    </w:p>
    <w:p>
      <w:pPr>
        <w:pStyle w:val="897"/>
        <w:ind w:firstLine="465"/>
        <w:pageBreakBefore w:val="0"/>
        <w:spacing w:before="145" w:after="145" w:line="264" w:lineRule="auto"/>
        <w:widowControl w:val="off"/>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252" w:lineRule="auto"/>
        <w:rPr>
          <w:rFonts w:ascii="宋体" w:hAnsi="宋体"/>
          <w:color w:val="000000" w:themeColor="text1"/>
          <w:sz w:val="24"/>
          <w:szCs w:val="24"/>
          <w:highlight w:val="none"/>
          <w14:textFill>
            <w14:solidFill>
              <w14:schemeClr w14:val="tx1"/>
            </w14:solidFill>
          </w14:textFill>
        </w:rPr>
      </w:pPr>
      <w:r/>
      <w:bookmarkStart w:id="17" w:name="_Toc35393792"/>
      <w:r/>
      <w:bookmarkStart w:id="18" w:name="_Toc38985265"/>
      <w:r/>
      <w:bookmarkStart w:id="19" w:name="_Toc28359081"/>
      <w:r/>
      <w:bookmarkStart w:id="20" w:name="_Toc35393623"/>
      <w:r/>
      <w:bookmarkStart w:id="21" w:name="_Toc28359004"/>
      <w:r>
        <w:rPr>
          <w:rFonts w:hint="eastAsia" w:ascii="宋体" w:hAnsi="宋体"/>
          <w:color w:val="000000" w:themeColor="text1"/>
          <w:sz w:val="24"/>
          <w:szCs w:val="24"/>
          <w:highlight w:val="none"/>
          <w14:textFill>
            <w14:solidFill>
              <w14:schemeClr w14:val="tx1"/>
            </w14:solidFill>
          </w14:textFill>
        </w:rPr>
        <w:t xml:space="preserve">（一）通用资格要求</w:t>
      </w:r>
      <w:r/>
    </w:p>
    <w:p>
      <w:pPr>
        <w:ind w:firstLine="480"/>
        <w:spacing w:line="252" w:lineRule="auto"/>
        <w:rPr>
          <w:rFonts w:hint="eastAsia"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1.满足《中华人民共和国政府采购法》第二十二条规定，并提供下列材料：</w:t>
      </w:r>
      <w:r/>
    </w:p>
    <w:p>
      <w:pPr>
        <w:ind w:firstLine="480"/>
        <w:spacing w:line="252" w:lineRule="auto"/>
        <w:rPr>
          <w:rFonts w:hint="eastAsia"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1.1</w:t>
      </w:r>
      <w:r>
        <w:rPr>
          <w:rFonts w:hint="eastAsia" w:ascii="宋体" w:hAnsi="宋体"/>
          <w:color w:val="000000" w:themeColor="text1"/>
          <w:sz w:val="24"/>
          <w:szCs w:val="24"/>
          <w:highlight w:val="none"/>
          <w:lang w:val="zh-CN"/>
          <w14:textFill>
            <w14:solidFill>
              <w14:schemeClr w14:val="tx1"/>
            </w14:solidFill>
          </w14:textFill>
        </w:rPr>
        <w:t xml:space="preserve">供应商信用承诺函（格式见第六章）。</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2.落实政府采购政策需满足的资格要求：</w:t>
      </w:r>
      <w:r>
        <w:rPr>
          <w:rFonts w:hint="eastAsia" w:ascii="宋体" w:hAnsi="宋体"/>
          <w:color w:val="000000" w:themeColor="text1"/>
          <w:sz w:val="24"/>
          <w:szCs w:val="24"/>
          <w:highlight w:val="none"/>
          <w14:textFill>
            <w14:solidFill>
              <w14:schemeClr w14:val="tx1"/>
            </w14:solidFill>
          </w14:textFill>
        </w:rPr>
        <w:t xml:space="preserve">无</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本项目采购标的对应的中小企业划分标准所属行业为：</w:t>
      </w:r>
      <w:r>
        <w:rPr>
          <w:rFonts w:hint="eastAsia" w:ascii="宋体" w:hAnsi="宋体"/>
          <w:color w:val="000000" w:themeColor="text1"/>
          <w:sz w:val="24"/>
          <w:szCs w:val="24"/>
          <w:highlight w:val="none"/>
          <w:lang w:eastAsia="zh-CN"/>
          <w14:textFill>
            <w14:solidFill>
              <w14:schemeClr w14:val="tx1"/>
            </w14:solidFill>
          </w14:textFill>
        </w:rPr>
        <w:t xml:space="preserve">工</w:t>
      </w:r>
      <w:r>
        <w:rPr>
          <w:rFonts w:hint="eastAsia" w:ascii="宋体" w:hAnsi="宋体"/>
          <w:color w:val="000000" w:themeColor="text1"/>
          <w:sz w:val="24"/>
          <w:szCs w:val="24"/>
          <w:highlight w:val="none"/>
          <w14:textFill>
            <w14:solidFill>
              <w14:schemeClr w14:val="tx1"/>
            </w14:solidFill>
          </w14:textFill>
        </w:rPr>
        <w:t xml:space="preserve">业</w:t>
      </w:r>
      <w:r>
        <w:rPr>
          <w:rFonts w:hint="eastAsia" w:ascii="宋体" w:hAnsi="宋体"/>
          <w:color w:val="000000" w:themeColor="text1"/>
          <w:sz w:val="24"/>
          <w:szCs w:val="24"/>
          <w:highlight w:val="none"/>
          <w:lang w:val="zh-CN"/>
          <w14:textFill>
            <w14:solidFill>
              <w14:schemeClr w14:val="tx1"/>
            </w14:solidFill>
          </w14:textFill>
        </w:rPr>
        <w:t xml:space="preserve">。</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bookmarkStart w:id="22" w:name="OLE_LINK39"/>
      <w:r/>
      <w:bookmarkStart w:id="23" w:name="OLE_LINK65"/>
      <w:r/>
      <w:bookmarkStart w:id="24" w:name="OLE_LINK40"/>
      <w:r/>
      <w:bookmarkStart w:id="25" w:name="OLE_LINK66"/>
      <w:r>
        <w:rPr>
          <w:rFonts w:hint="eastAsia" w:ascii="宋体" w:hAnsi="宋体"/>
          <w:color w:val="000000" w:themeColor="text1"/>
          <w:sz w:val="24"/>
          <w:szCs w:val="24"/>
          <w:highlight w:val="none"/>
          <w14:textFill>
            <w14:solidFill>
              <w14:schemeClr w14:val="tx1"/>
            </w14:solidFill>
          </w14:textFill>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bookmarkEnd w:id="22"/>
      <w:r/>
      <w:bookmarkEnd w:id="23"/>
      <w:r/>
      <w:bookmarkEnd w:id="24"/>
      <w:r/>
      <w:bookmarkEnd w:id="25"/>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（二）本项目的特定资格要求：无</w:t>
      </w:r>
      <w:r/>
    </w:p>
    <w:p>
      <w:pPr>
        <w:pStyle w:val="897"/>
        <w:ind w:firstLine="465"/>
        <w:pageBreakBefore w:val="0"/>
        <w:spacing w:before="145" w:after="145" w:line="264" w:lineRule="auto"/>
        <w:widowControl w:val="off"/>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三、获取招标文件</w:t>
      </w:r>
      <w:bookmarkEnd w:id="17"/>
      <w:r/>
      <w:bookmarkEnd w:id="18"/>
      <w:r/>
      <w:bookmarkEnd w:id="19"/>
      <w:r/>
      <w:bookmarkEnd w:id="20"/>
      <w:r/>
      <w:bookmarkEnd w:id="21"/>
      <w:r/>
      <w:r/>
    </w:p>
    <w:p>
      <w:pPr>
        <w:ind w:firstLine="480"/>
        <w:pageBreakBefore w:val="0"/>
        <w:spacing w:line="264" w:lineRule="auto"/>
        <w:widowControl w:val="off"/>
        <w:rPr>
          <w:rFonts w:ascii="宋体" w:hAnsi="宋体" w:cs="宋体"/>
          <w:color w:val="000000" w:themeColor="text1"/>
          <w:sz w:val="24"/>
          <w:szCs w:val="24"/>
          <w:highlight w:val="none"/>
          <w14:textFill>
            <w14:solidFill>
              <w14:schemeClr w14:val="tx1"/>
            </w14:solidFill>
          </w14:textFill>
        </w:rPr>
      </w:pPr>
      <w:r/>
      <w:bookmarkStart w:id="26" w:name="_Toc28359082"/>
      <w:r/>
      <w:bookmarkStart w:id="27" w:name="_Toc28359005"/>
      <w:r/>
      <w:bookmarkStart w:id="28" w:name="_Toc35393624"/>
      <w:r/>
      <w:bookmarkStart w:id="29" w:name="_Toc35393793"/>
      <w:r/>
      <w:bookmarkStart w:id="30" w:name="_Toc38985266"/>
      <w:r>
        <w:rPr>
          <w:rFonts w:hint="eastAsia" w:ascii="宋体" w:hAnsi="宋体" w:cs="宋体"/>
          <w:color w:val="000000" w:themeColor="text1"/>
          <w:sz w:val="24"/>
          <w:szCs w:val="24"/>
          <w:highlight w:val="none"/>
          <w14:textFill>
            <w14:solidFill>
              <w14:schemeClr w14:val="tx1"/>
            </w14:solidFill>
          </w14:textFill>
        </w:rPr>
        <w:t xml:space="preserve">1.时间：自招标文件公告发布之日起。</w:t>
      </w:r>
      <w:r/>
    </w:p>
    <w:p>
      <w:pPr>
        <w:ind w:firstLine="480"/>
        <w:pageBreakBefore w:val="0"/>
        <w:spacing w:line="264" w:lineRule="auto"/>
        <w:widowControl w:val="off"/>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2.方式：在“江苏政府采购网”免费下载。</w:t>
      </w:r>
      <w:r/>
    </w:p>
    <w:p>
      <w:pPr>
        <w:pStyle w:val="897"/>
        <w:ind w:firstLine="465"/>
        <w:pageBreakBefore w:val="0"/>
        <w:spacing w:before="145" w:after="145" w:line="264" w:lineRule="auto"/>
        <w:widowControl w:val="off"/>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四、提交投标文件</w:t>
      </w:r>
      <w:bookmarkEnd w:id="26"/>
      <w:r/>
      <w:bookmarkEnd w:id="27"/>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截止时间、开标时间和地点</w:t>
      </w:r>
      <w:bookmarkEnd w:id="28"/>
      <w:r/>
      <w:bookmarkEnd w:id="29"/>
      <w:r/>
      <w:bookmarkEnd w:id="30"/>
      <w:r/>
      <w:r/>
    </w:p>
    <w:p>
      <w:pPr>
        <w:ind w:firstLine="480"/>
        <w:pageBreakBefore w:val="0"/>
        <w:spacing w:line="264" w:lineRule="auto"/>
        <w:widowControl w:val="off"/>
        <w:rPr>
          <w:rFonts w:hint="eastAsia" w:ascii="宋体" w:hAnsi="宋体" w:eastAsia="宋体"/>
          <w:bCs/>
          <w:color w:val="000000" w:themeColor="text1"/>
          <w:sz w:val="24"/>
          <w:szCs w:val="24"/>
          <w:highlight w:val="none"/>
          <w:u w:val="single"/>
          <w:lang w:val="en-US" w:eastAsia="zh-CN"/>
          <w14:textFill>
            <w14:solidFill>
              <w14:schemeClr w14:val="tx1"/>
            </w14:solidFill>
          </w14:textFill>
        </w:rPr>
      </w:pPr>
      <w:r/>
      <w:bookmarkStart w:id="31" w:name="_Toc28359007"/>
      <w:r/>
      <w:bookmarkStart w:id="32" w:name="_Toc35393794"/>
      <w:r/>
      <w:bookmarkStart w:id="33" w:name="_Toc35393625"/>
      <w:r/>
      <w:bookmarkStart w:id="34" w:name="_Toc38985267"/>
      <w:r/>
      <w:bookmarkStart w:id="35" w:name="_Toc28359084"/>
      <w:r>
        <w:rPr>
          <w:rFonts w:hint="eastAsia" w:ascii="宋体" w:hAnsi="宋体" w:eastAsia="宋体" w:cs="宋体"/>
          <w:color w:val="000000" w:themeColor="text1"/>
          <w:sz w:val="24"/>
          <w:szCs w:val="24"/>
          <w:highlight w:val="none"/>
          <w14:textFill>
            <w14:solidFill>
              <w14:schemeClr w14:val="tx1"/>
            </w14:solidFill>
          </w14:textFill>
        </w:rPr>
        <w:t xml:space="preserve">1.提交投标文件截止时间、开标时间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u w:val="none"/>
          <w:lang w:val="en-US" w:eastAsia="zh-CN"/>
          <w14:textFill>
            <w14:solidFill>
              <w14:schemeClr w14:val="tx1"/>
            </w14:solidFill>
          </w14:textFill>
        </w:rPr>
        <w:t xml:space="preserve">202</w:t>
      </w:r>
      <w:r>
        <w:rPr>
          <w:rFonts w:hint="eastAsia" w:ascii="宋体" w:hAnsi="宋体" w:cs="宋体"/>
          <w:b/>
          <w:bCs w:val="0"/>
          <w:color w:val="000000" w:themeColor="text1"/>
          <w:sz w:val="24"/>
          <w:szCs w:val="24"/>
          <w:highlight w:val="none"/>
          <w:u w:val="none"/>
          <w:lang w:val="en-US" w:eastAsia="zh-CN"/>
          <w14:textFill>
            <w14:solidFill>
              <w14:schemeClr w14:val="tx1"/>
            </w14:solidFill>
          </w14:textFill>
        </w:rPr>
        <w:t xml:space="preserve">6</w:t>
      </w:r>
      <w:r>
        <w:rPr>
          <w:rFonts w:hint="eastAsia" w:ascii="宋体" w:hAnsi="宋体"/>
          <w:b/>
          <w:bCs w:val="0"/>
          <w:color w:val="000000" w:themeColor="text1"/>
          <w:sz w:val="24"/>
          <w:szCs w:val="24"/>
          <w:highlight w:val="none"/>
          <w:u w:val="none"/>
          <w14:textFill>
            <w14:solidFill>
              <w14:schemeClr w14:val="tx1"/>
            </w14:solidFill>
          </w14:textFill>
        </w:rPr>
        <w:t xml:space="preserve">年</w:t>
      </w:r>
      <w:r>
        <w:rPr>
          <w:rFonts w:hint="eastAsia" w:ascii="宋体" w:hAnsi="宋体"/>
          <w:b/>
          <w:bCs w:val="0"/>
          <w:color w:val="000000" w:themeColor="text1"/>
          <w:sz w:val="24"/>
          <w:szCs w:val="24"/>
          <w:highlight w:val="none"/>
          <w:u w:val="none"/>
          <w:lang w:val="en-US" w:eastAsia="zh-CN"/>
          <w14:textFill>
            <w14:solidFill>
              <w14:schemeClr w14:val="tx1"/>
            </w14:solidFill>
          </w14:textFill>
        </w:rPr>
        <w:t xml:space="preserve">6</w:t>
      </w:r>
      <w:r>
        <w:rPr>
          <w:rFonts w:hint="eastAsia" w:ascii="宋体" w:hAnsi="宋体"/>
          <w:b/>
          <w:bCs w:val="0"/>
          <w:color w:val="000000" w:themeColor="text1"/>
          <w:sz w:val="24"/>
          <w:szCs w:val="24"/>
          <w:highlight w:val="none"/>
          <w:u w:val="none"/>
          <w14:textFill>
            <w14:solidFill>
              <w14:schemeClr w14:val="tx1"/>
            </w14:solidFill>
          </w14:textFill>
        </w:rPr>
        <w:t xml:space="preserve">月</w:t>
      </w:r>
      <w:r>
        <w:rPr>
          <w:rFonts w:hint="eastAsia" w:ascii="宋体" w:hAnsi="宋体"/>
          <w:b/>
          <w:bCs w:val="0"/>
          <w:color w:val="000000" w:themeColor="text1"/>
          <w:sz w:val="24"/>
          <w:szCs w:val="24"/>
          <w:highlight w:val="none"/>
          <w:u w:val="none"/>
          <w:lang w:val="en-US" w:eastAsia="zh-CN"/>
          <w14:textFill>
            <w14:solidFill>
              <w14:schemeClr w14:val="tx1"/>
            </w14:solidFill>
          </w14:textFill>
        </w:rPr>
        <w:t xml:space="preserve">2</w:t>
      </w:r>
      <w:r>
        <w:rPr>
          <w:rFonts w:hint="eastAsia" w:ascii="宋体" w:hAnsi="宋体"/>
          <w:b/>
          <w:bCs w:val="0"/>
          <w:color w:val="000000" w:themeColor="text1"/>
          <w:sz w:val="24"/>
          <w:szCs w:val="24"/>
          <w:highlight w:val="none"/>
          <w:u w:val="none"/>
          <w14:textFill>
            <w14:solidFill>
              <w14:schemeClr w14:val="tx1"/>
            </w14:solidFill>
          </w14:textFill>
        </w:rPr>
        <w:t xml:space="preserve">日</w:t>
      </w:r>
      <w:r>
        <w:rPr>
          <w:rFonts w:hint="eastAsia" w:ascii="宋体" w:hAnsi="宋体"/>
          <w:b/>
          <w:bCs w:val="0"/>
          <w:color w:val="000000" w:themeColor="text1"/>
          <w:sz w:val="24"/>
          <w:szCs w:val="24"/>
          <w:highlight w:val="none"/>
          <w:u w:val="none"/>
          <w:lang w:val="en-US" w:eastAsia="zh-CN"/>
          <w14:textFill>
            <w14:solidFill>
              <w14:schemeClr w14:val="tx1"/>
            </w14:solidFill>
          </w14:textFill>
        </w:rPr>
        <w:t xml:space="preserve">14</w:t>
      </w:r>
      <w:r>
        <w:rPr>
          <w:rFonts w:hint="eastAsia" w:ascii="Times New Roman" w:hAnsi="Times New Roman" w:eastAsia="宋体" w:cs="Times New Roman"/>
          <w:b/>
          <w:bCs w:val="0"/>
          <w:color w:val="000000" w:themeColor="text1"/>
          <w:sz w:val="24"/>
          <w:szCs w:val="24"/>
          <w:highlight w:val="none"/>
          <w:u w:val="none"/>
          <w:lang w:val="en-US" w:eastAsia="zh-CN"/>
          <w14:textFill>
            <w14:solidFill>
              <w14:schemeClr w14:val="tx1"/>
            </w14:solidFill>
          </w14:textFill>
        </w:rPr>
        <w:t xml:space="preserve">时30</w:t>
      </w:r>
      <w:r>
        <w:rPr>
          <w:rFonts w:hint="eastAsia" w:ascii="宋体" w:hAnsi="宋体"/>
          <w:b/>
          <w:bCs w:val="0"/>
          <w:color w:val="000000" w:themeColor="text1"/>
          <w:sz w:val="24"/>
          <w:szCs w:val="24"/>
          <w:highlight w:val="none"/>
          <w:u w:val="none"/>
          <w14:textFill>
            <w14:solidFill>
              <w14:schemeClr w14:val="tx1"/>
            </w14:solidFill>
          </w14:textFill>
        </w:rPr>
        <w:t xml:space="preserve">分</w:t>
      </w:r>
      <w:r>
        <w:rPr>
          <w:rFonts w:hint="eastAsia" w:ascii="宋体" w:hAnsi="宋体"/>
          <w:bCs/>
          <w:color w:val="000000" w:themeColor="text1"/>
          <w:sz w:val="24"/>
          <w:szCs w:val="24"/>
          <w:highlight w:val="none"/>
          <w14:textFill>
            <w14:solidFill>
              <w14:schemeClr w14:val="tx1"/>
            </w14:solidFill>
          </w14:textFill>
        </w:rPr>
        <w:t xml:space="preserve">（北京时间）</w:t>
      </w:r>
      <w:r>
        <w:rPr>
          <w:rFonts w:hint="eastAsia" w:ascii="宋体" w:hAnsi="宋体"/>
          <w:bCs/>
          <w:color w:val="000000" w:themeColor="text1"/>
          <w:sz w:val="24"/>
          <w:szCs w:val="24"/>
          <w:highlight w:val="none"/>
          <w:lang w:val="en-US" w:eastAsia="zh-CN"/>
          <w14:textFill>
            <w14:solidFill>
              <w14:schemeClr w14:val="tx1"/>
            </w14:solidFill>
          </w14:textFill>
        </w:rPr>
        <w:t xml:space="preserve">。</w:t>
      </w:r>
      <w:r/>
    </w:p>
    <w:p>
      <w:pPr>
        <w:ind w:firstLine="480"/>
        <w:pageBreakBefore w:val="0"/>
        <w:spacing w:line="264" w:lineRule="auto"/>
        <w:widowControl w:val="off"/>
        <w:rPr>
          <w:rFonts w:hint="eastAsia" w:ascii="宋体" w:hAnsi="宋体"/>
          <w:bCs/>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2.地点</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江苏省</w:t>
      </w:r>
      <w:r>
        <w:rPr>
          <w:rFonts w:hint="eastAsia" w:ascii="宋体" w:hAnsi="宋体" w:eastAsia="宋体" w:cs="宋体"/>
          <w:color w:val="000000" w:themeColor="text1"/>
          <w:sz w:val="24"/>
          <w:szCs w:val="24"/>
          <w:highlight w:val="none"/>
          <w14:textFill>
            <w14:solidFill>
              <w14:schemeClr w14:val="tx1"/>
            </w14:solidFill>
          </w14:textFill>
        </w:rPr>
        <w:t xml:space="preserve">政府采购交易系统</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以下简称“苏采云系统”</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bookmarkStart w:id="215" w:name="_GoBack"/>
      <w:r/>
      <w:bookmarkEnd w:id="215"/>
      <w:r>
        <w:rPr>
          <w:rFonts w:hint="eastAsia" w:ascii="宋体" w:hAnsi="宋体" w:eastAsia="宋体" w:cs="宋体"/>
          <w:color w:val="000000" w:themeColor="text1"/>
          <w:sz w:val="24"/>
          <w:szCs w:val="24"/>
          <w:highlight w:val="none"/>
          <w14:textFill>
            <w14:solidFill>
              <w14:schemeClr w14:val="tx1"/>
            </w14:solidFill>
          </w14:textFill>
        </w:rPr>
        <w:t xml:space="preserve">网上开标大厅。</w:t>
      </w:r>
      <w:bookmarkEnd w:id="31"/>
      <w:r/>
      <w:bookmarkEnd w:id="32"/>
      <w:r/>
      <w:bookmarkEnd w:id="33"/>
      <w:r/>
      <w:bookmarkEnd w:id="34"/>
      <w:r/>
      <w:bookmarkEnd w:id="35"/>
      <w:r/>
      <w:r/>
    </w:p>
    <w:p>
      <w:pPr>
        <w:pStyle w:val="897"/>
        <w:ind w:firstLine="465"/>
        <w:spacing w:before="145" w:after="145" w:line="264" w:lineRule="auto"/>
        <w:rPr>
          <w:rFonts w:ascii="方正黑体_GBK" w:hAnsi="方正黑体_GBK" w:eastAsia="方正黑体_GBK" w:cs="方正黑体_GBK"/>
          <w:b w:val="0"/>
          <w:bCs w:val="0"/>
          <w:color w:val="000000" w:themeColor="text1"/>
          <w:sz w:val="30"/>
          <w:szCs w:val="30"/>
          <w:highlight w:val="none"/>
          <w14:textFill>
            <w14:solidFill>
              <w14:schemeClr w14:val="tx1"/>
            </w14:solidFill>
          </w14:textFill>
        </w:rPr>
      </w:pPr>
      <w:r/>
      <w:bookmarkStart w:id="36" w:name="_Toc28359085"/>
      <w:r/>
      <w:bookmarkStart w:id="37" w:name="_Toc28359008"/>
      <w:r/>
      <w:bookmarkStart w:id="38" w:name="_Toc35393796"/>
      <w:r/>
      <w:bookmarkStart w:id="39" w:name="_Toc35393627"/>
      <w:r/>
      <w:bookmarkStart w:id="40" w:name="_Toc38985269"/>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五、公告期限</w:t>
      </w:r>
      <w:r/>
    </w:p>
    <w:p>
      <w:pPr>
        <w:ind w:firstLine="480"/>
        <w:spacing w:line="264" w:lineRule="auto"/>
        <w:rPr>
          <w:rFonts w:hint="eastAsia" w:ascii="宋体" w:hAnsi="宋体" w:cs="宋体"/>
          <w:color w:val="000000" w:themeColor="text1"/>
          <w:sz w:val="24"/>
          <w:szCs w:val="24"/>
          <w:highlight w:val="none"/>
          <w14:textFill>
            <w14:solidFill>
              <w14:schemeClr w14:val="tx1"/>
            </w14:solidFill>
          </w14:textFill>
        </w:rPr>
      </w:pPr>
      <w:r/>
      <w:bookmarkStart w:id="41" w:name="_Toc38985268"/>
      <w:r/>
      <w:bookmarkStart w:id="42" w:name="_Toc35393795"/>
      <w:r/>
      <w:bookmarkStart w:id="43" w:name="_Toc35393626"/>
      <w:r>
        <w:rPr>
          <w:rFonts w:hint="eastAsia" w:ascii="宋体" w:hAnsi="宋体" w:cs="宋体"/>
          <w:color w:val="000000" w:themeColor="text1"/>
          <w:sz w:val="24"/>
          <w:szCs w:val="24"/>
          <w:highlight w:val="none"/>
          <w14:textFill>
            <w14:solidFill>
              <w14:schemeClr w14:val="tx1"/>
            </w14:solidFill>
          </w14:textFill>
        </w:rPr>
        <w:t xml:space="preserve">公告期限为自本公告发布之日起5个工作日。</w:t>
      </w:r>
      <w:r/>
    </w:p>
    <w:p>
      <w:pPr>
        <w:pStyle w:val="897"/>
        <w:ind w:firstLine="498"/>
        <w:spacing w:before="145" w:after="145" w:line="264"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六、其他事宜</w:t>
      </w:r>
      <w:bookmarkEnd w:id="41"/>
      <w:r/>
      <w:bookmarkEnd w:id="42"/>
      <w:r/>
      <w:bookmarkEnd w:id="43"/>
      <w:r/>
      <w:r/>
    </w:p>
    <w:p>
      <w:pPr>
        <w:ind w:firstLine="480"/>
        <w:spacing w:line="252" w:lineRule="auto"/>
        <w:tabs>
          <w:tab w:val="left" w:pos="90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本次招标不收取投标保证金。</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本项目不组织</w:t>
      </w:r>
      <w:r>
        <w:rPr>
          <w:rFonts w:hint="eastAsia" w:ascii="宋体" w:hAnsi="宋体"/>
          <w:color w:val="000000" w:themeColor="text1"/>
          <w:sz w:val="24"/>
          <w:szCs w:val="24"/>
          <w:highlight w:val="none"/>
          <w14:textFill>
            <w14:solidFill>
              <w14:schemeClr w14:val="tx1"/>
            </w14:solidFill>
          </w14:textFill>
        </w:rPr>
        <w:t xml:space="preserve">勘察及答疑</w:t>
      </w:r>
      <w:r>
        <w:rPr>
          <w:rFonts w:hint="eastAsia" w:ascii="宋体" w:hAnsi="宋体" w:cs="宋体"/>
          <w:color w:val="000000" w:themeColor="text1"/>
          <w:sz w:val="24"/>
          <w:szCs w:val="24"/>
          <w:highlight w:val="none"/>
          <w14:textFill>
            <w14:solidFill>
              <w14:schemeClr w14:val="tx1"/>
            </w14:solidFill>
          </w14:textFill>
        </w:rPr>
        <w:t xml:space="preserve">，供应商如对采购需求有疑问，请咨询采购单位联系人。</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"http://www.ccgp-jiangsu.gov.cn/jiangsu/zlxz/ee/ee3a4bc5a3454aa2b0d9312230633ce9.html" </w:instrText>
      </w:r>
      <w:r>
        <w:rPr>
          <w:color w:val="000000" w:themeColor="text1"/>
          <w:highlight w:val="none"/>
          <w14:textFill>
            <w14:solidFill>
              <w14:schemeClr w14:val="tx1"/>
            </w14:solidFill>
          </w14:textFill>
        </w:rPr>
        <w:fldChar w:fldCharType="separate"/>
      </w:r>
      <w:r>
        <w:rPr>
          <w:rStyle w:val="899"/>
          <w:rFonts w:hint="eastAsia" w:ascii="宋体" w:hAnsi="宋体" w:cs="宋体"/>
          <w:color w:val="000000" w:themeColor="text1"/>
          <w:sz w:val="24"/>
          <w:szCs w:val="24"/>
          <w:highlight w:val="none"/>
          <w14:textFill>
            <w14:solidFill>
              <w14:schemeClr w14:val="tx1"/>
            </w14:solidFill>
          </w14:textFill>
        </w:rPr>
        <w:t xml:space="preserve">下载地址</w:t>
      </w:r>
      <w:r>
        <w:rPr>
          <w:rStyle w:val="899"/>
          <w:rFonts w:hint="eastAsia"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t xml:space="preserve">（CTRL+鼠标左键）。</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4.有关本次招标的事项若存在变动或修改，请及时关注“江苏政府采购网”（www.ccgp-jiangsu.gov.cn）更正公告。</w:t>
      </w:r>
      <w:r/>
    </w:p>
    <w:p>
      <w:pPr>
        <w:ind w:firstLine="480"/>
        <w:spacing w:line="252"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供应商（含潜在供应商）对采购方式、采购需求、供应商资格条件、评标方法和评标标准、合同文本、</w:t>
      </w:r>
      <w:r>
        <w:rPr>
          <w:rFonts w:hint="eastAsia" w:ascii="宋体" w:hAnsi="宋体" w:eastAsia="宋体" w:cs="宋体"/>
          <w:b/>
          <w:bCs/>
          <w:color w:val="000000" w:themeColor="text1"/>
          <w:sz w:val="24"/>
          <w:szCs w:val="24"/>
          <w:highlight w:val="none"/>
          <w14:textFill>
            <w14:solidFill>
              <w14:schemeClr w14:val="tx1"/>
            </w14:solidFill>
          </w14:textFill>
        </w:rPr>
        <w:t xml:space="preserve">招标项目资格审查结果</w:t>
      </w: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的询问</w:t>
      </w:r>
      <w:r>
        <w:rPr>
          <w:rFonts w:hint="eastAsia" w:ascii="宋体" w:hAnsi="宋体" w:eastAsia="宋体" w:cs="宋体"/>
          <w:b/>
          <w:bCs/>
          <w:color w:val="000000" w:themeColor="text1"/>
          <w:sz w:val="24"/>
          <w:szCs w:val="24"/>
          <w:highlight w:val="none"/>
          <w14:textFill>
            <w14:solidFill>
              <w14:schemeClr w14:val="tx1"/>
            </w14:solidFill>
          </w14:textFill>
        </w:rPr>
        <w:t xml:space="preserve">或</w:t>
      </w: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质疑向采购人提出，由采购人负责答复。</w:t>
      </w:r>
      <w:r>
        <w:rPr>
          <w:rFonts w:hint="eastAsia" w:ascii="宋体" w:hAnsi="宋体" w:eastAsia="宋体" w:cs="宋体"/>
          <w:b/>
          <w:bCs/>
          <w:color w:val="000000" w:themeColor="text1"/>
          <w:sz w:val="24"/>
          <w:szCs w:val="24"/>
          <w:highlight w:val="none"/>
          <w14:textFill>
            <w14:solidFill>
              <w14:schemeClr w14:val="tx1"/>
            </w14:solidFill>
          </w14:textFill>
        </w:rPr>
        <w:t xml:space="preserve">供应商对上述事项以外</w:t>
      </w: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的询问</w:t>
      </w:r>
      <w:r>
        <w:rPr>
          <w:rFonts w:hint="eastAsia" w:ascii="宋体" w:hAnsi="宋体" w:eastAsia="宋体" w:cs="宋体"/>
          <w:b/>
          <w:bCs/>
          <w:color w:val="000000" w:themeColor="text1"/>
          <w:sz w:val="24"/>
          <w:szCs w:val="24"/>
          <w:highlight w:val="none"/>
          <w14:textFill>
            <w14:solidFill>
              <w14:schemeClr w14:val="tx1"/>
            </w14:solidFill>
          </w14:textFill>
        </w:rPr>
        <w:t xml:space="preserve">或</w:t>
      </w: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质疑向交易中心提出，由交易中心负责答复。</w:t>
      </w:r>
      <w:r/>
    </w:p>
    <w:p>
      <w:pPr>
        <w:ind w:firstLine="480"/>
        <w:spacing w:line="252" w:lineRule="auto"/>
        <w:rPr>
          <w:rFonts w:hint="default" w:ascii="宋体" w:hAnsi="宋体" w:eastAsia="宋体" w:cs="Times New Roman"/>
          <w:b w:val="0"/>
          <w:bCs w:val="0"/>
          <w:color w:val="000000" w:themeColor="text1"/>
          <w:sz w:val="24"/>
          <w:highlight w:val="none"/>
          <w:lang w:val="en-US" w:eastAsia="zh-CN"/>
          <w14:textFill>
            <w14:solidFill>
              <w14:schemeClr w14:val="tx1"/>
            </w14:solidFill>
          </w14:textFill>
        </w:rPr>
      </w:pPr>
      <w:r>
        <w:rPr>
          <w:rFonts w:hint="eastAsia" w:ascii="宋体" w:hAnsi="宋体" w:eastAsia="宋体" w:cs="Times New Roman"/>
          <w:b w:val="0"/>
          <w:bCs w:val="0"/>
          <w:color w:val="000000" w:themeColor="text1"/>
          <w:sz w:val="24"/>
          <w:highlight w:val="none"/>
          <w:lang w:val="en-US" w:eastAsia="zh-CN"/>
          <w14:textFill>
            <w14:solidFill>
              <w14:schemeClr w14:val="tx1"/>
            </w14:solidFill>
          </w14:textFill>
        </w:rPr>
        <w:t xml:space="preserve">采购人《质疑函》收件人：王老师，收件地址：</w:t>
      </w:r>
      <w:r>
        <w:rPr>
          <w:rFonts w:hint="eastAsia" w:ascii="宋体" w:hAnsi="宋体"/>
          <w:color w:val="000000" w:themeColor="text1"/>
          <w:sz w:val="24"/>
          <w:szCs w:val="24"/>
          <w:highlight w:val="none"/>
          <w:u w:val="none"/>
          <w:lang w:val="en-US" w:eastAsia="zh-CN"/>
          <w14:textFill>
            <w14:solidFill>
              <w14:schemeClr w14:val="tx1"/>
            </w14:solidFill>
          </w14:textFill>
        </w:rPr>
        <w:t xml:space="preserve">江苏省南京市浦口区行知路5号</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w:t>
      </w:r>
      <w:r>
        <w:rPr>
          <w:rFonts w:hint="eastAsia" w:ascii="宋体" w:hAnsi="宋体" w:eastAsia="宋体" w:cs="Times New Roman"/>
          <w:b w:val="0"/>
          <w:bCs w:val="0"/>
          <w:color w:val="000000" w:themeColor="text1"/>
          <w:sz w:val="24"/>
          <w:highlight w:val="none"/>
          <w:lang w:val="en-US" w:eastAsia="zh-CN"/>
          <w14:textFill>
            <w14:solidFill>
              <w14:schemeClr w14:val="tx1"/>
            </w14:solidFill>
          </w14:textFill>
        </w:rPr>
        <w:t xml:space="preserve">联系电话：</w:t>
      </w:r>
      <w:r>
        <w:rPr>
          <w:rFonts w:hint="eastAsia" w:ascii="宋体" w:hAnsi="宋体"/>
          <w:color w:val="000000" w:themeColor="text1"/>
          <w:sz w:val="24"/>
          <w:szCs w:val="24"/>
          <w:highlight w:val="none"/>
          <w:u w:val="none"/>
          <w:lang w:val="en-US" w:eastAsia="zh-CN"/>
          <w14:textFill>
            <w14:solidFill>
              <w14:schemeClr w14:val="tx1"/>
            </w14:solidFill>
          </w14:textFill>
        </w:rPr>
        <w:t xml:space="preserve">025-58170065</w:t>
      </w:r>
      <w:r>
        <w:rPr>
          <w:rFonts w:hint="eastAsia" w:ascii="宋体" w:hAnsi="宋体" w:eastAsia="宋体" w:cs="Times New Roman"/>
          <w:b w:val="0"/>
          <w:bCs w:val="0"/>
          <w:color w:val="000000" w:themeColor="text1"/>
          <w:sz w:val="24"/>
          <w:highlight w:val="none"/>
          <w:lang w:val="en-US" w:eastAsia="zh-CN"/>
          <w14:textFill>
            <w14:solidFill>
              <w14:schemeClr w14:val="tx1"/>
            </w14:solidFill>
          </w14:textFill>
        </w:rPr>
        <w:t xml:space="preserve">。</w:t>
      </w:r>
      <w:r/>
    </w:p>
    <w:p>
      <w:pPr>
        <w:ind w:firstLine="420"/>
        <w:keepLines w:val="0"/>
        <w:keepNext w:val="0"/>
        <w:pageBreakBefore w:val="0"/>
        <w:spacing w:line="240" w:lineRule="auto"/>
        <w:widowControl w:val="off"/>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宋体" w:hAnsi="宋体" w:eastAsia="宋体" w:cs="Times New Roman"/>
          <w:b w:val="0"/>
          <w:bCs w:val="0"/>
          <w:color w:val="000000" w:themeColor="text1"/>
          <w:sz w:val="24"/>
          <w:highlight w:val="none"/>
          <w:lang w:val="zh-CN"/>
          <w14:textFill>
            <w14:solidFill>
              <w14:schemeClr w14:val="tx1"/>
            </w14:solidFill>
          </w14:textFill>
        </w:rPr>
        <w:t xml:space="preserve">交易中心《质疑函》收件人：</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业务受理窗口（快递运单上的收件人填写“业务受理窗口”即可）</w:t>
      </w:r>
      <w:r>
        <w:rPr>
          <w:rFonts w:hint="eastAsia" w:ascii="宋体" w:hAnsi="宋体" w:eastAsia="宋体" w:cs="Times New Roman"/>
          <w:b w:val="0"/>
          <w:bCs w:val="0"/>
          <w:color w:val="000000" w:themeColor="text1"/>
          <w:sz w:val="24"/>
          <w:highlight w:val="none"/>
          <w:lang w:val="zh-CN"/>
          <w14:textFill>
            <w14:solidFill>
              <w14:schemeClr w14:val="tx1"/>
            </w14:solidFill>
          </w14:textFill>
        </w:rPr>
        <w:t xml:space="preserve">，</w:t>
      </w:r>
      <w:r>
        <w:rPr>
          <w:rFonts w:hint="eastAsia" w:ascii="宋体" w:hAnsi="宋体" w:eastAsia="宋体" w:cs="Times New Roman"/>
          <w:b w:val="0"/>
          <w:bCs w:val="0"/>
          <w:color w:val="000000" w:themeColor="text1"/>
          <w:sz w:val="24"/>
          <w:highlight w:val="none"/>
          <w:lang w:val="en-US" w:eastAsia="zh-CN"/>
          <w14:textFill>
            <w14:solidFill>
              <w14:schemeClr w14:val="tx1"/>
            </w14:solidFill>
          </w14:textFill>
        </w:rPr>
        <w:t xml:space="preserve">收件</w:t>
      </w:r>
      <w:r>
        <w:rPr>
          <w:rFonts w:hint="eastAsia" w:ascii="宋体" w:hAnsi="宋体" w:eastAsia="宋体" w:cs="Times New Roman"/>
          <w:b w:val="0"/>
          <w:bCs w:val="0"/>
          <w:color w:val="000000" w:themeColor="text1"/>
          <w:sz w:val="24"/>
          <w:highlight w:val="none"/>
          <w:lang w:val="zh-CN"/>
          <w14:textFill>
            <w14:solidFill>
              <w14:schemeClr w14:val="tx1"/>
            </w14:solidFill>
          </w14:textFill>
        </w:rPr>
        <w:t xml:space="preserve">地址：</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南京市江北新区天浦路1号5号楼一楼大厅</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业务受理窗口，联系电话：025-</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58150937。</w:t>
      </w:r>
      <w:r/>
    </w:p>
    <w:p>
      <w:pPr>
        <w:pStyle w:val="897"/>
        <w:ind w:firstLine="465"/>
        <w:pageBreakBefore w:val="0"/>
        <w:spacing w:before="145" w:after="145" w:line="264" w:lineRule="auto"/>
        <w:widowControl w:val="off"/>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七、本次招标联系方式</w:t>
      </w:r>
      <w:bookmarkEnd w:id="36"/>
      <w:r/>
      <w:bookmarkEnd w:id="37"/>
      <w:r/>
      <w:bookmarkEnd w:id="38"/>
      <w:r/>
      <w:bookmarkEnd w:id="39"/>
      <w:r/>
      <w:bookmarkEnd w:id="40"/>
      <w:r/>
      <w:r/>
    </w:p>
    <w:p>
      <w:pPr>
        <w:ind w:firstLine="480"/>
        <w:spacing w:line="264" w:lineRule="auto"/>
        <w:rPr>
          <w:rFonts w:hint="eastAsia" w:ascii="宋体" w:hAnsi="宋体"/>
          <w:color w:val="000000" w:themeColor="text1"/>
          <w:sz w:val="24"/>
          <w:szCs w:val="24"/>
          <w:highlight w:val="none"/>
          <w14:textFill>
            <w14:solidFill>
              <w14:schemeClr w14:val="tx1"/>
            </w14:solidFill>
          </w14:textFill>
        </w:rPr>
      </w:pPr>
      <w:r/>
      <w:bookmarkStart w:id="44" w:name="_Toc28359009"/>
      <w:r/>
      <w:bookmarkStart w:id="45" w:name="_Toc28359086"/>
      <w:r>
        <w:rPr>
          <w:rFonts w:hint="eastAsia" w:ascii="宋体" w:hAnsi="宋体"/>
          <w:color w:val="000000" w:themeColor="text1"/>
          <w:sz w:val="24"/>
          <w:szCs w:val="24"/>
          <w:highlight w:val="none"/>
          <w14:textFill>
            <w14:solidFill>
              <w14:schemeClr w14:val="tx1"/>
            </w14:solidFill>
          </w14:textFill>
        </w:rPr>
        <w:t xml:space="preserve">1.采购人信息</w:t>
      </w:r>
      <w:r/>
    </w:p>
    <w:p>
      <w:pPr>
        <w:ind w:firstLine="480"/>
        <w:spacing w:line="264" w:lineRule="auto"/>
        <w:rPr>
          <w:rFonts w:hint="eastAsia" w:ascii="宋体" w:hAnsi="宋体"/>
          <w:color w:val="000000" w:themeColor="text1"/>
          <w:sz w:val="24"/>
          <w:szCs w:val="24"/>
          <w:highlight w:val="none"/>
          <w:u w:val="none"/>
          <w14:textFill>
            <w14:solidFill>
              <w14:schemeClr w14:val="tx1"/>
            </w14:solidFill>
          </w14:textFill>
        </w:rPr>
      </w:pPr>
      <w:r>
        <w:rPr>
          <w:rFonts w:hint="eastAsia" w:ascii="宋体" w:hAnsi="宋体"/>
          <w:color w:val="000000" w:themeColor="text1"/>
          <w:sz w:val="24"/>
          <w:szCs w:val="24"/>
          <w:highlight w:val="none"/>
          <w:u w:val="none"/>
          <w14:textFill>
            <w14:solidFill>
              <w14:schemeClr w14:val="tx1"/>
            </w14:solidFill>
          </w14:textFill>
        </w:rPr>
        <w:t xml:space="preserve">名  称：</w:t>
      </w:r>
      <w:r>
        <w:rPr>
          <w:rFonts w:hint="eastAsia" w:ascii="宋体" w:hAnsi="宋体"/>
          <w:b w:val="0"/>
          <w:bCs w:val="0"/>
          <w:color w:val="000000" w:themeColor="text1"/>
          <w:sz w:val="24"/>
          <w:szCs w:val="24"/>
          <w:highlight w:val="none"/>
          <w:lang w:eastAsia="zh-CN"/>
          <w14:textFill>
            <w14:solidFill>
              <w14:schemeClr w14:val="tx1"/>
            </w14:solidFill>
          </w14:textFill>
        </w:rPr>
        <w:t xml:space="preserve">南京江北新区管委会教育和社会保障局</w:t>
      </w:r>
      <w:r>
        <w:rPr>
          <w:rFonts w:hint="eastAsia" w:ascii="宋体" w:hAnsi="宋体"/>
          <w:color w:val="000000" w:themeColor="text1"/>
          <w:sz w:val="24"/>
          <w:szCs w:val="24"/>
          <w:highlight w:val="none"/>
          <w:u w:val="none"/>
          <w14:textFill>
            <w14:solidFill>
              <w14:schemeClr w14:val="tx1"/>
            </w14:solidFill>
          </w14:textFill>
        </w:rPr>
        <w:t xml:space="preserve">　</w:t>
      </w:r>
      <w:r/>
    </w:p>
    <w:p>
      <w:pPr>
        <w:ind w:firstLine="480"/>
        <w:spacing w:line="264" w:lineRule="auto"/>
        <w:rPr>
          <w:rFonts w:hint="eastAsia" w:ascii="宋体" w:hAnsi="宋体"/>
          <w:color w:val="000000" w:themeColor="text1"/>
          <w:sz w:val="24"/>
          <w:szCs w:val="24"/>
          <w:highlight w:val="none"/>
          <w:u w:val="none"/>
          <w14:textFill>
            <w14:solidFill>
              <w14:schemeClr w14:val="tx1"/>
            </w14:solidFill>
          </w14:textFill>
        </w:rPr>
      </w:pPr>
      <w:r>
        <w:rPr>
          <w:rFonts w:hint="eastAsia" w:ascii="宋体" w:hAnsi="宋体"/>
          <w:color w:val="000000" w:themeColor="text1"/>
          <w:sz w:val="24"/>
          <w:szCs w:val="24"/>
          <w:highlight w:val="none"/>
          <w:u w:val="none"/>
          <w14:textFill>
            <w14:solidFill>
              <w14:schemeClr w14:val="tx1"/>
            </w14:solidFill>
          </w14:textFill>
        </w:rPr>
        <w:t xml:space="preserve">地  址：</w:t>
      </w:r>
      <w:r>
        <w:rPr>
          <w:rFonts w:hint="eastAsia" w:ascii="宋体" w:hAnsi="宋体"/>
          <w:color w:val="000000" w:themeColor="text1"/>
          <w:sz w:val="24"/>
          <w:szCs w:val="24"/>
          <w:highlight w:val="none"/>
          <w:u w:val="none"/>
          <w:lang w:val="en-US" w:eastAsia="zh-CN"/>
          <w14:textFill>
            <w14:solidFill>
              <w14:schemeClr w14:val="tx1"/>
            </w14:solidFill>
          </w14:textFill>
        </w:rPr>
        <w:t xml:space="preserve">江苏省南京市浦口区行知路5号</w:t>
      </w:r>
      <w:r>
        <w:rPr>
          <w:rFonts w:hint="eastAsia" w:ascii="宋体" w:hAnsi="宋体"/>
          <w:color w:val="000000" w:themeColor="text1"/>
          <w:sz w:val="24"/>
          <w:szCs w:val="24"/>
          <w:highlight w:val="none"/>
          <w:u w:val="none"/>
          <w14:textFill>
            <w14:solidFill>
              <w14:schemeClr w14:val="tx1"/>
            </w14:solidFill>
          </w14:textFill>
        </w:rPr>
        <w:t xml:space="preserve">　　　　　　　　　　　　</w:t>
      </w:r>
      <w:r/>
    </w:p>
    <w:p>
      <w:pPr>
        <w:ind w:firstLine="480"/>
        <w:spacing w:line="264" w:lineRule="auto"/>
        <w:rPr>
          <w:rFonts w:hint="eastAsia" w:ascii="宋体" w:hAnsi="宋体"/>
          <w:color w:val="000000" w:themeColor="text1"/>
          <w:sz w:val="24"/>
          <w:szCs w:val="24"/>
          <w:highlight w:val="none"/>
          <w:u w:val="none"/>
          <w14:textFill>
            <w14:solidFill>
              <w14:schemeClr w14:val="tx1"/>
            </w14:solidFill>
          </w14:textFill>
        </w:rPr>
      </w:pPr>
      <w:r>
        <w:rPr>
          <w:rFonts w:hint="eastAsia" w:ascii="宋体" w:hAnsi="宋体"/>
          <w:color w:val="000000" w:themeColor="text1"/>
          <w:sz w:val="24"/>
          <w:szCs w:val="24"/>
          <w:highlight w:val="none"/>
          <w:u w:val="none"/>
          <w14:textFill>
            <w14:solidFill>
              <w14:schemeClr w14:val="tx1"/>
            </w14:solidFill>
          </w14:textFill>
        </w:rPr>
        <w:t xml:space="preserve">联系人：</w:t>
      </w:r>
      <w:r>
        <w:rPr>
          <w:rFonts w:hint="eastAsia" w:ascii="宋体" w:hAnsi="宋体"/>
          <w:color w:val="000000" w:themeColor="text1"/>
          <w:sz w:val="24"/>
          <w:szCs w:val="24"/>
          <w:highlight w:val="none"/>
          <w:u w:val="none"/>
          <w:lang w:val="en-US" w:eastAsia="zh-CN"/>
          <w14:textFill>
            <w14:solidFill>
              <w14:schemeClr w14:val="tx1"/>
            </w14:solidFill>
          </w14:textFill>
        </w:rPr>
        <w:t xml:space="preserve">王老师</w:t>
      </w:r>
      <w:r>
        <w:rPr>
          <w:rFonts w:hint="eastAsia" w:ascii="宋体" w:hAnsi="宋体"/>
          <w:color w:val="000000" w:themeColor="text1"/>
          <w:sz w:val="24"/>
          <w:szCs w:val="24"/>
          <w:highlight w:val="none"/>
          <w:u w:val="none"/>
          <w14:textFill>
            <w14:solidFill>
              <w14:schemeClr w14:val="tx1"/>
            </w14:solidFill>
          </w14:textFill>
        </w:rPr>
        <w:t xml:space="preserve">                                  </w:t>
      </w:r>
      <w:r/>
    </w:p>
    <w:p>
      <w:pPr>
        <w:ind w:firstLine="480"/>
        <w:pageBreakBefore w:val="0"/>
        <w:spacing w:line="264" w:lineRule="auto"/>
        <w:widowControl w:val="off"/>
        <w:rPr>
          <w:rFonts w:hint="eastAsia" w:ascii="宋体" w:hAnsi="宋体"/>
          <w:color w:val="000000" w:themeColor="text1"/>
          <w:sz w:val="24"/>
          <w:szCs w:val="24"/>
          <w:highlight w:val="none"/>
          <w:u w:val="none"/>
          <w14:textFill>
            <w14:solidFill>
              <w14:schemeClr w14:val="tx1"/>
            </w14:solidFill>
          </w14:textFill>
        </w:rPr>
      </w:pPr>
      <w:r>
        <w:rPr>
          <w:rFonts w:hint="eastAsia" w:ascii="宋体" w:hAnsi="宋体"/>
          <w:color w:val="000000" w:themeColor="text1"/>
          <w:sz w:val="24"/>
          <w:szCs w:val="24"/>
          <w:highlight w:val="none"/>
          <w:u w:val="none"/>
          <w14:textFill>
            <w14:solidFill>
              <w14:schemeClr w14:val="tx1"/>
            </w14:solidFill>
          </w14:textFill>
        </w:rPr>
        <w:t xml:space="preserve">联系电话：</w:t>
      </w:r>
      <w:r>
        <w:rPr>
          <w:rFonts w:hint="eastAsia" w:ascii="宋体" w:hAnsi="宋体"/>
          <w:color w:val="000000" w:themeColor="text1"/>
          <w:sz w:val="24"/>
          <w:szCs w:val="24"/>
          <w:highlight w:val="none"/>
          <w:u w:val="none"/>
          <w:lang w:val="en-US" w:eastAsia="zh-CN"/>
          <w14:textFill>
            <w14:solidFill>
              <w14:schemeClr w14:val="tx1"/>
            </w14:solidFill>
          </w14:textFill>
        </w:rPr>
        <w:t xml:space="preserve">025-58170065</w:t>
      </w:r>
      <w:r>
        <w:rPr>
          <w:rFonts w:hint="eastAsia" w:ascii="宋体" w:hAnsi="宋体"/>
          <w:color w:val="000000" w:themeColor="text1"/>
          <w:sz w:val="24"/>
          <w:szCs w:val="24"/>
          <w:highlight w:val="none"/>
          <w:u w:val="none"/>
          <w14:textFill>
            <w14:solidFill>
              <w14:schemeClr w14:val="tx1"/>
            </w14:solidFill>
          </w14:textFill>
        </w:rPr>
        <w:t xml:space="preserve">　</w:t>
      </w:r>
      <w:r/>
    </w:p>
    <w:p>
      <w:pPr>
        <w:ind w:firstLine="480"/>
        <w:pageBreakBefore w:val="0"/>
        <w:spacing w:line="264" w:lineRule="auto"/>
        <w:widowControl w:val="off"/>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t xml:space="preserve">2.交易中心</w:t>
      </w:r>
      <w:bookmarkEnd w:id="44"/>
      <w:r/>
      <w:bookmarkEnd w:id="45"/>
      <w:r/>
      <w:r/>
    </w:p>
    <w:p>
      <w:pPr>
        <w:ind w:firstLine="480"/>
        <w:spacing w:line="264"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地　址：南京市江北新区天浦路1号5号楼二楼　　</w:t>
      </w:r>
      <w:r/>
    </w:p>
    <w:p>
      <w:pPr>
        <w:ind w:firstLine="480"/>
        <w:spacing w:line="264"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联系人：</w:t>
      </w:r>
      <w:r>
        <w:rPr>
          <w:rFonts w:hint="eastAsia" w:ascii="宋体" w:hAnsi="宋体"/>
          <w:color w:val="000000" w:themeColor="text1"/>
          <w:sz w:val="24"/>
          <w:szCs w:val="24"/>
          <w:highlight w:val="none"/>
          <w:lang w:eastAsia="zh-CN"/>
          <w14:textFill>
            <w14:solidFill>
              <w14:schemeClr w14:val="tx1"/>
            </w14:solidFill>
          </w14:textFill>
        </w:rPr>
        <w:t xml:space="preserve">丁</w:t>
      </w:r>
      <w:r>
        <w:rPr>
          <w:rFonts w:hint="eastAsia" w:ascii="宋体" w:hAnsi="宋体"/>
          <w:color w:val="000000" w:themeColor="text1"/>
          <w:sz w:val="24"/>
          <w:szCs w:val="24"/>
          <w:highlight w:val="none"/>
          <w14:textFill>
            <w14:solidFill>
              <w14:schemeClr w14:val="tx1"/>
            </w14:solidFill>
          </w14:textFill>
        </w:rPr>
        <w:t xml:space="preserve">老师                    </w:t>
      </w:r>
      <w:r/>
    </w:p>
    <w:p>
      <w:pPr>
        <w:ind w:firstLine="480"/>
        <w:spacing w:line="264" w:lineRule="auto"/>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联系电话：025-581509</w:t>
      </w:r>
      <w:r>
        <w:rPr>
          <w:rFonts w:hint="eastAsia" w:ascii="宋体" w:hAnsi="宋体"/>
          <w:color w:val="000000" w:themeColor="text1"/>
          <w:sz w:val="24"/>
          <w:szCs w:val="24"/>
          <w:highlight w:val="none"/>
          <w:lang w:val="en-US" w:eastAsia="zh-CN"/>
          <w14:textFill>
            <w14:solidFill>
              <w14:schemeClr w14:val="tx1"/>
            </w14:solidFill>
          </w14:textFill>
        </w:rPr>
        <w:t xml:space="preserve">59</w:t>
      </w:r>
      <w:r/>
    </w:p>
    <w:p>
      <w:pPr>
        <w:ind w:firstLine="48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right="840"/>
        <w:jc w:val="cente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br w:type="page" w:clear="all"/>
      </w:r>
      <w:bookmarkEnd w:id="1"/>
      <w:r/>
      <w:bookmarkEnd w:id="2"/>
      <w:r/>
      <w:bookmarkEnd w:id="3"/>
      <w:r/>
      <w:bookmarkEnd w:id="4"/>
      <w:r/>
      <w:bookmarkEnd w:id="5"/>
      <w:r/>
      <w:bookmarkStart w:id="46" w:name="_Toc120614211"/>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t xml:space="preserve">第二章  </w:t>
      </w:r>
      <w:bookmarkEnd w:id="46"/>
      <w:r/>
      <w:bookmarkStart w:id="47" w:name="_Toc16938518"/>
      <w:r/>
      <w:bookmarkStart w:id="48" w:name="_Toc513029202"/>
      <w:r/>
      <w:bookmarkStart w:id="49" w:name="_Toc20823274"/>
      <w:r/>
      <w:bookmarkStart w:id="50" w:name="_Toc120614213"/>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t xml:space="preserve">投标人须知</w:t>
      </w:r>
      <w:bookmarkEnd w:id="47"/>
      <w:r/>
      <w:bookmarkEnd w:id="48"/>
      <w:r/>
      <w:bookmarkEnd w:id="49"/>
      <w:r/>
      <w:bookmarkEnd w:id="50"/>
      <w:r/>
      <w:r/>
    </w:p>
    <w:p>
      <w:pPr>
        <w:pStyle w:val="897"/>
        <w:ind w:firstLine="465"/>
        <w:spacing w:before="145" w:after="145" w:line="240" w:lineRule="auto"/>
        <w:rPr>
          <w:rFonts w:ascii="方正黑体_GBK" w:hAnsi="方正黑体_GBK" w:eastAsia="方正黑体_GBK" w:cs="方正黑体_GBK"/>
          <w:b w:val="0"/>
          <w:bCs w:val="0"/>
          <w:color w:val="000000" w:themeColor="text1"/>
          <w:sz w:val="30"/>
          <w:szCs w:val="30"/>
          <w:highlight w:val="none"/>
          <w14:textFill>
            <w14:solidFill>
              <w14:schemeClr w14:val="tx1"/>
            </w14:solidFill>
          </w14:textFill>
        </w:rPr>
      </w:pPr>
      <w:r/>
      <w:bookmarkStart w:id="51" w:name="_Toc20823275"/>
      <w:r/>
      <w:bookmarkStart w:id="52" w:name="_Toc513029203"/>
      <w:r/>
      <w:bookmarkStart w:id="53" w:name="_Toc16938519"/>
      <w:r/>
      <w:bookmarkStart w:id="54" w:name="_Toc120614214"/>
      <w:r/>
      <w:bookmarkStart w:id="55" w:name="_Toc16938558"/>
      <w:r/>
      <w:bookmarkStart w:id="56" w:name="_Toc513029242"/>
      <w:r/>
      <w:bookmarkStart w:id="57" w:name="_Toc20823314"/>
      <w:r/>
      <w:bookmarkStart w:id="58" w:name="_Toc120614221"/>
      <w:r/>
      <w:bookmarkStart w:id="59" w:name="_Toc479757207"/>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一、总则</w:t>
      </w:r>
      <w:bookmarkEnd w:id="51"/>
      <w:r/>
      <w:bookmarkEnd w:id="52"/>
      <w:r/>
      <w:bookmarkEnd w:id="53"/>
      <w:r/>
      <w:bookmarkEnd w:id="54"/>
      <w:r/>
      <w:r/>
    </w:p>
    <w:p>
      <w:pPr>
        <w:pStyle w:val="900"/>
        <w:ind w:firstLine="422"/>
        <w:spacing w:before="0" w:after="0" w:line="240" w:lineRule="auto"/>
        <w:rPr>
          <w:rFonts w:ascii="方正楷体_GBK" w:hAnsi="方正楷体_GBK" w:eastAsia="方正楷体_GBK" w:cs="方正楷体_GBK"/>
          <w:color w:val="000000" w:themeColor="text1"/>
          <w:highlight w:val="none"/>
          <w14:textFill>
            <w14:solidFill>
              <w14:schemeClr w14:val="tx1"/>
            </w14:solidFill>
          </w14:textFill>
        </w:rPr>
      </w:pPr>
      <w:r/>
      <w:bookmarkStart w:id="60" w:name="_Hlt16619475"/>
      <w:r/>
      <w:bookmarkEnd w:id="60"/>
      <w:r/>
      <w:bookmarkStart w:id="61" w:name="_Toc458694821"/>
      <w:r/>
      <w:bookmarkStart w:id="62" w:name="_Toc513029204"/>
      <w:r/>
      <w:bookmarkStart w:id="63" w:name="_Toc16938520"/>
      <w:r/>
      <w:bookmarkStart w:id="64" w:name="_Toc20823276"/>
      <w:r>
        <w:rPr>
          <w:rFonts w:hint="eastAsia" w:ascii="方正楷体_GBK" w:hAnsi="方正楷体_GBK" w:eastAsia="方正楷体_GBK" w:cs="方正楷体_GBK"/>
          <w:color w:val="000000" w:themeColor="text1"/>
          <w:highlight w:val="none"/>
          <w14:textFill>
            <w14:solidFill>
              <w14:schemeClr w14:val="tx1"/>
            </w14:solidFill>
          </w14:textFill>
        </w:rPr>
        <w:t xml:space="preserve">1</w:t>
      </w:r>
      <w:bookmarkEnd w:id="61"/>
      <w:r>
        <w:rPr>
          <w:rFonts w:hint="eastAsia" w:ascii="方正楷体_GBK" w:hAnsi="方正楷体_GBK" w:eastAsia="方正楷体_GBK" w:cs="方正楷体_GBK"/>
          <w:color w:val="000000" w:themeColor="text1"/>
          <w:highlight w:val="none"/>
          <w14:textFill>
            <w14:solidFill>
              <w14:schemeClr w14:val="tx1"/>
            </w14:solidFill>
          </w14:textFill>
        </w:rPr>
        <w:t xml:space="preserve">.招标方式</w:t>
      </w:r>
      <w:bookmarkEnd w:id="62"/>
      <w:r/>
      <w:bookmarkEnd w:id="63"/>
      <w:r/>
      <w:bookmarkEnd w:id="64"/>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 本次招标采取公开招标方式，本文件仅适用于招标公告中所述项目。</w:t>
      </w:r>
      <w:r/>
    </w:p>
    <w:p>
      <w:pPr>
        <w:pStyle w:val="900"/>
        <w:ind w:firstLine="422"/>
        <w:spacing w:before="0" w:after="0" w:line="240" w:lineRule="auto"/>
        <w:rPr>
          <w:rFonts w:ascii="方正楷体_GBK" w:hAnsi="方正楷体_GBK" w:eastAsia="方正楷体_GBK" w:cs="方正楷体_GBK"/>
          <w:color w:val="000000" w:themeColor="text1"/>
          <w:highlight w:val="none"/>
          <w14:textFill>
            <w14:solidFill>
              <w14:schemeClr w14:val="tx1"/>
            </w14:solidFill>
          </w14:textFill>
        </w:rPr>
      </w:pPr>
      <w:r/>
      <w:bookmarkStart w:id="65" w:name="_Toc20823277"/>
      <w:r/>
      <w:bookmarkStart w:id="66" w:name="_Toc513029205"/>
      <w:r/>
      <w:bookmarkStart w:id="67" w:name="_Toc16938521"/>
      <w:r>
        <w:rPr>
          <w:rFonts w:hint="eastAsia" w:ascii="方正楷体_GBK" w:hAnsi="方正楷体_GBK" w:eastAsia="方正楷体_GBK" w:cs="方正楷体_GBK"/>
          <w:color w:val="000000" w:themeColor="text1"/>
          <w:highlight w:val="none"/>
          <w14:textFill>
            <w14:solidFill>
              <w14:schemeClr w14:val="tx1"/>
            </w14:solidFill>
          </w14:textFill>
        </w:rPr>
        <w:t xml:space="preserve">2.合格的投标人</w:t>
      </w:r>
      <w:bookmarkEnd w:id="65"/>
      <w:r/>
      <w:bookmarkEnd w:id="66"/>
      <w:r/>
      <w:bookmarkEnd w:id="67"/>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 满足招标公告对供应商资格要求的规定。</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 满足招标文件规定的实质性要求和条件。</w:t>
      </w:r>
      <w:r/>
    </w:p>
    <w:p>
      <w:pPr>
        <w:pStyle w:val="900"/>
        <w:ind w:firstLine="422"/>
        <w:spacing w:before="0" w:after="0" w:line="240" w:lineRule="auto"/>
        <w:rPr>
          <w:rFonts w:ascii="方正楷体_GBK" w:hAnsi="方正楷体_GBK" w:eastAsia="方正楷体_GBK" w:cs="方正楷体_GBK"/>
          <w:color w:val="000000" w:themeColor="text1"/>
          <w:highlight w:val="none"/>
          <w14:textFill>
            <w14:solidFill>
              <w14:schemeClr w14:val="tx1"/>
            </w14:solidFill>
          </w14:textFill>
        </w:rPr>
      </w:pPr>
      <w:r/>
      <w:bookmarkStart w:id="68" w:name="_Toc20823278"/>
      <w:r/>
      <w:bookmarkStart w:id="69" w:name="_Toc16938522"/>
      <w:r/>
      <w:bookmarkStart w:id="70" w:name="_Toc513029206"/>
      <w:r>
        <w:rPr>
          <w:rFonts w:hint="eastAsia" w:ascii="方正楷体_GBK" w:hAnsi="方正楷体_GBK" w:eastAsia="方正楷体_GBK" w:cs="方正楷体_GBK"/>
          <w:color w:val="000000" w:themeColor="text1"/>
          <w:highlight w:val="none"/>
          <w14:textFill>
            <w14:solidFill>
              <w14:schemeClr w14:val="tx1"/>
            </w14:solidFill>
          </w14:textFill>
        </w:rPr>
        <w:t xml:space="preserve">3.适用法律</w:t>
      </w:r>
      <w:bookmarkEnd w:id="68"/>
      <w:r/>
      <w:bookmarkEnd w:id="69"/>
      <w:r/>
      <w:bookmarkEnd w:id="70"/>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 本次招标及由此产生的合同受中华人民共和国有关的法律法规制约和保护。</w:t>
      </w:r>
      <w:r/>
    </w:p>
    <w:p>
      <w:pPr>
        <w:pStyle w:val="900"/>
        <w:ind w:firstLine="422"/>
        <w:spacing w:before="0" w:after="0" w:line="240" w:lineRule="auto"/>
        <w:rPr>
          <w:rFonts w:ascii="方正楷体_GBK" w:hAnsi="方正楷体_GBK" w:eastAsia="方正楷体_GBK" w:cs="方正楷体_GBK"/>
          <w:color w:val="000000" w:themeColor="text1"/>
          <w:highlight w:val="none"/>
          <w14:textFill>
            <w14:solidFill>
              <w14:schemeClr w14:val="tx1"/>
            </w14:solidFill>
          </w14:textFill>
        </w:rPr>
      </w:pPr>
      <w:r/>
      <w:bookmarkStart w:id="71" w:name="_Toc16938523"/>
      <w:r/>
      <w:bookmarkStart w:id="72" w:name="_Toc20823279"/>
      <w:r/>
      <w:bookmarkStart w:id="73" w:name="_Toc513029207"/>
      <w:r/>
      <w:bookmarkStart w:id="74" w:name="_Toc462564067"/>
      <w:r>
        <w:rPr>
          <w:rFonts w:hint="eastAsia" w:ascii="方正楷体_GBK" w:hAnsi="方正楷体_GBK" w:eastAsia="方正楷体_GBK" w:cs="方正楷体_GBK"/>
          <w:color w:val="000000" w:themeColor="text1"/>
          <w:highlight w:val="none"/>
          <w14:textFill>
            <w14:solidFill>
              <w14:schemeClr w14:val="tx1"/>
            </w14:solidFill>
          </w14:textFill>
        </w:rPr>
        <w:t xml:space="preserve">4.投标费用</w:t>
      </w:r>
      <w:bookmarkEnd w:id="71"/>
      <w:r/>
      <w:bookmarkEnd w:id="72"/>
      <w:r/>
      <w:bookmarkEnd w:id="73"/>
      <w:r/>
      <w:bookmarkEnd w:id="74"/>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4.1 投标人应自行承担所有与参加投标有关的费用，无论投标过程中的做法和结果如何，交易中心在任何情况下均无义务和责任承担这些费用。</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4.2 本次招标交易中心和采购人不收取标书工本费与中标服务费。</w:t>
      </w:r>
      <w:r/>
    </w:p>
    <w:p>
      <w:pPr>
        <w:pStyle w:val="900"/>
        <w:ind w:firstLine="422"/>
        <w:spacing w:before="0" w:after="0" w:line="240" w:lineRule="auto"/>
        <w:rPr>
          <w:rFonts w:ascii="方正楷体_GBK" w:hAnsi="方正楷体_GBK" w:eastAsia="方正楷体_GBK" w:cs="方正楷体_GBK"/>
          <w:color w:val="000000" w:themeColor="text1"/>
          <w:highlight w:val="none"/>
          <w14:textFill>
            <w14:solidFill>
              <w14:schemeClr w14:val="tx1"/>
            </w14:solidFill>
          </w14:textFill>
        </w:rPr>
      </w:pPr>
      <w:r>
        <w:rPr>
          <w:rFonts w:hint="eastAsia" w:ascii="方正楷体_GBK" w:hAnsi="方正楷体_GBK" w:eastAsia="方正楷体_GBK" w:cs="方正楷体_GBK"/>
          <w:color w:val="000000" w:themeColor="text1"/>
          <w:highlight w:val="none"/>
          <w14:textFill>
            <w14:solidFill>
              <w14:schemeClr w14:val="tx1"/>
            </w14:solidFill>
          </w14:textFill>
        </w:rPr>
        <w:t xml:space="preserve">5.招标文件的约束力</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5.1 投标人一旦参加本项目采购活动，即被认为接受了本文件的规定和约束。</w:t>
      </w:r>
      <w:r/>
    </w:p>
    <w:p>
      <w:pPr>
        <w:pStyle w:val="897"/>
        <w:ind w:firstLine="465"/>
        <w:spacing w:before="145" w:after="145" w:line="240" w:lineRule="auto"/>
        <w:rPr>
          <w:rFonts w:ascii="方正黑体_GBK" w:hAnsi="方正黑体_GBK" w:eastAsia="方正黑体_GBK" w:cs="方正黑体_GBK"/>
          <w:b w:val="0"/>
          <w:bCs w:val="0"/>
          <w:color w:val="000000" w:themeColor="text1"/>
          <w:sz w:val="30"/>
          <w:szCs w:val="30"/>
          <w:highlight w:val="none"/>
          <w14:textFill>
            <w14:solidFill>
              <w14:schemeClr w14:val="tx1"/>
            </w14:solidFill>
          </w14:textFill>
        </w:rPr>
      </w:pPr>
      <w:r/>
      <w:bookmarkStart w:id="75" w:name="_Toc120614215"/>
      <w:r/>
      <w:bookmarkStart w:id="76" w:name="_Toc20823281"/>
      <w:r/>
      <w:bookmarkStart w:id="77" w:name="_Toc16938525"/>
      <w:r/>
      <w:bookmarkStart w:id="78" w:name="_Toc513029209"/>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二、招标文件</w:t>
      </w:r>
      <w:bookmarkEnd w:id="75"/>
      <w:r/>
      <w:bookmarkEnd w:id="76"/>
      <w:r/>
      <w:bookmarkEnd w:id="77"/>
      <w:r/>
      <w:bookmarkEnd w:id="78"/>
      <w:r/>
      <w:r/>
    </w:p>
    <w:p>
      <w:pPr>
        <w:pStyle w:val="900"/>
        <w:ind w:firstLine="422"/>
        <w:spacing w:before="0" w:after="0" w:line="240" w:lineRule="auto"/>
        <w:rPr>
          <w:rFonts w:ascii="方正楷体_GBK" w:hAnsi="方正楷体_GBK" w:eastAsia="方正楷体_GBK" w:cs="方正楷体_GBK"/>
          <w:color w:val="000000" w:themeColor="text1"/>
          <w:highlight w:val="none"/>
          <w14:textFill>
            <w14:solidFill>
              <w14:schemeClr w14:val="tx1"/>
            </w14:solidFill>
          </w14:textFill>
        </w:rPr>
      </w:pPr>
      <w:r/>
      <w:bookmarkStart w:id="79" w:name="_Toc16938526"/>
      <w:r/>
      <w:bookmarkStart w:id="80" w:name="_Toc513029210"/>
      <w:r/>
      <w:bookmarkStart w:id="81" w:name="_Toc20823282"/>
      <w:r>
        <w:rPr>
          <w:rFonts w:hint="eastAsia" w:ascii="方正楷体_GBK" w:hAnsi="方正楷体_GBK" w:eastAsia="方正楷体_GBK" w:cs="方正楷体_GBK"/>
          <w:color w:val="000000" w:themeColor="text1"/>
          <w:highlight w:val="none"/>
          <w14:textFill>
            <w14:solidFill>
              <w14:schemeClr w14:val="tx1"/>
            </w14:solidFill>
          </w14:textFill>
        </w:rPr>
        <w:t xml:space="preserve">6.招标文件构成</w:t>
      </w:r>
      <w:bookmarkEnd w:id="79"/>
      <w:r/>
      <w:bookmarkEnd w:id="80"/>
      <w:r/>
      <w:bookmarkEnd w:id="81"/>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6.1 招标文件由以下部分组成：</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（1）投标邀请</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（2）投标人须知</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（3）合同文本</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（4）采购需求</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（5）评标方法与评标标准</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（6）投标文件格式</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投标人应仔细检查招标文件是否齐全，如有缺漏请立即与交易中心联系。</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00"/>
        <w:ind w:firstLine="422"/>
        <w:spacing w:before="0" w:after="0" w:line="240" w:lineRule="auto"/>
        <w:rPr>
          <w:rFonts w:ascii="方正楷体_GBK" w:hAnsi="方正楷体_GBK" w:eastAsia="方正楷体_GBK" w:cs="方正楷体_GBK"/>
          <w:color w:val="000000" w:themeColor="text1"/>
          <w:highlight w:val="none"/>
          <w14:textFill>
            <w14:solidFill>
              <w14:schemeClr w14:val="tx1"/>
            </w14:solidFill>
          </w14:textFill>
        </w:rPr>
      </w:pPr>
      <w:r/>
      <w:bookmarkStart w:id="82" w:name="_Toc20823283"/>
      <w:r/>
      <w:bookmarkStart w:id="83" w:name="_Toc16938527"/>
      <w:r/>
      <w:bookmarkStart w:id="84" w:name="_Toc462564070"/>
      <w:r/>
      <w:bookmarkStart w:id="85" w:name="_Toc513029211"/>
      <w:r>
        <w:rPr>
          <w:rFonts w:hint="eastAsia" w:ascii="方正楷体_GBK" w:hAnsi="方正楷体_GBK" w:eastAsia="方正楷体_GBK" w:cs="方正楷体_GBK"/>
          <w:color w:val="000000" w:themeColor="text1"/>
          <w:highlight w:val="none"/>
          <w14:textFill>
            <w14:solidFill>
              <w14:schemeClr w14:val="tx1"/>
            </w14:solidFill>
          </w14:textFill>
        </w:rPr>
        <w:t xml:space="preserve">7.招标文件的澄清</w:t>
      </w:r>
      <w:bookmarkEnd w:id="82"/>
      <w:r/>
      <w:bookmarkEnd w:id="83"/>
      <w:r/>
      <w:bookmarkEnd w:id="84"/>
      <w:r/>
      <w:bookmarkEnd w:id="85"/>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 任何要求对招标文件进行澄清的投标人，应在投标截止期十日前按招标公告中的通讯地址，以书面形式通知交易中心。</w:t>
      </w:r>
      <w:r/>
    </w:p>
    <w:p>
      <w:pPr>
        <w:pStyle w:val="900"/>
        <w:ind w:firstLine="422"/>
        <w:spacing w:before="0" w:after="0" w:line="240" w:lineRule="auto"/>
        <w:rPr>
          <w:rFonts w:ascii="方正楷体_GBK" w:hAnsi="方正楷体_GBK" w:eastAsia="方正楷体_GBK" w:cs="方正楷体_GBK"/>
          <w:color w:val="000000" w:themeColor="text1"/>
          <w:highlight w:val="none"/>
          <w14:textFill>
            <w14:solidFill>
              <w14:schemeClr w14:val="tx1"/>
            </w14:solidFill>
          </w14:textFill>
        </w:rPr>
      </w:pPr>
      <w:r/>
      <w:bookmarkStart w:id="86" w:name="_Toc513029212"/>
      <w:r/>
      <w:bookmarkStart w:id="87" w:name="_Toc462564071"/>
      <w:r/>
      <w:bookmarkStart w:id="88" w:name="_Toc16938528"/>
      <w:r/>
      <w:bookmarkStart w:id="89" w:name="_Toc20823284"/>
      <w:r>
        <w:rPr>
          <w:rFonts w:hint="eastAsia" w:ascii="方正楷体_GBK" w:hAnsi="方正楷体_GBK" w:eastAsia="方正楷体_GBK" w:cs="方正楷体_GBK"/>
          <w:color w:val="000000" w:themeColor="text1"/>
          <w:highlight w:val="none"/>
          <w14:textFill>
            <w14:solidFill>
              <w14:schemeClr w14:val="tx1"/>
            </w14:solidFill>
          </w14:textFill>
        </w:rPr>
        <w:t xml:space="preserve">8.招标文件的修改</w:t>
      </w:r>
      <w:bookmarkEnd w:id="86"/>
      <w:r/>
      <w:bookmarkEnd w:id="87"/>
      <w:r/>
      <w:bookmarkEnd w:id="88"/>
      <w:r/>
      <w:bookmarkEnd w:id="89"/>
      <w:r/>
      <w:r/>
    </w:p>
    <w:p>
      <w:pPr>
        <w:ind w:firstLine="420"/>
        <w:rPr>
          <w:rFonts w:hint="eastAsia" w:ascii="宋体" w:hAnsi="宋体"/>
          <w:color w:val="000000" w:themeColor="text1"/>
          <w:sz w:val="24"/>
          <w:highlight w:val="none"/>
          <w14:textFill>
            <w14:solidFill>
              <w14:schemeClr w14:val="tx1"/>
            </w14:solidFill>
          </w14:textFill>
        </w:rPr>
      </w:pPr>
      <w:r/>
      <w:bookmarkStart w:id="90" w:name="_Toc120614216"/>
      <w:r/>
      <w:bookmarkStart w:id="91" w:name="_Toc16938529"/>
      <w:r/>
      <w:bookmarkStart w:id="92" w:name="_Toc20823285"/>
      <w:r/>
      <w:bookmarkStart w:id="93" w:name="_Toc513029213"/>
      <w:r/>
      <w:bookmarkStart w:id="94" w:name="_Toc462564072"/>
      <w:r>
        <w:rPr>
          <w:rFonts w:hint="eastAsia" w:ascii="宋体" w:hAnsi="宋体"/>
          <w:color w:val="000000" w:themeColor="text1"/>
          <w:sz w:val="24"/>
          <w:highlight w:val="none"/>
          <w14:textFill>
            <w14:solidFill>
              <w14:schemeClr w14:val="tx1"/>
            </w14:solidFill>
          </w14:textFill>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8.3 交易中心有权按照法定的要求推迟投标截止日期和开标日期，并在原公告媒体发布更正公告。</w:t>
      </w:r>
      <w:r/>
    </w:p>
    <w:p>
      <w:pPr>
        <w:pStyle w:val="897"/>
        <w:ind w:firstLine="465"/>
        <w:spacing w:before="145" w:after="145" w:line="240" w:lineRule="auto"/>
        <w:rPr>
          <w:rFonts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三、投标文件的编制</w:t>
      </w:r>
      <w:bookmarkEnd w:id="90"/>
      <w:r/>
      <w:bookmarkEnd w:id="91"/>
      <w:r/>
      <w:bookmarkEnd w:id="92"/>
      <w:r/>
      <w:bookmarkEnd w:id="93"/>
      <w:r/>
      <w:bookmarkEnd w:id="94"/>
      <w:r/>
      <w:r/>
    </w:p>
    <w:p>
      <w:pPr>
        <w:pStyle w:val="900"/>
        <w:ind w:firstLine="422"/>
        <w:spacing w:before="0" w:after="0" w:line="240" w:lineRule="auto"/>
        <w:rPr>
          <w:rFonts w:ascii="方正楷体_GBK" w:hAnsi="方正楷体_GBK" w:eastAsia="方正楷体_GBK" w:cs="方正楷体_GBK"/>
          <w:color w:val="000000" w:themeColor="text1"/>
          <w:highlight w:val="none"/>
          <w14:textFill>
            <w14:solidFill>
              <w14:schemeClr w14:val="tx1"/>
            </w14:solidFill>
          </w14:textFill>
        </w:rPr>
      </w:pPr>
      <w:r/>
      <w:bookmarkStart w:id="95" w:name="_Toc20823286"/>
      <w:r/>
      <w:bookmarkStart w:id="96" w:name="_Toc513029214"/>
      <w:r/>
      <w:bookmarkStart w:id="97" w:name="_Toc462564073"/>
      <w:r/>
      <w:bookmarkStart w:id="98" w:name="_Toc16938530"/>
      <w:r>
        <w:rPr>
          <w:rFonts w:hint="eastAsia" w:ascii="方正楷体_GBK" w:hAnsi="方正楷体_GBK" w:eastAsia="方正楷体_GBK" w:cs="方正楷体_GBK"/>
          <w:color w:val="000000" w:themeColor="text1"/>
          <w:highlight w:val="none"/>
          <w14:textFill>
            <w14:solidFill>
              <w14:schemeClr w14:val="tx1"/>
            </w14:solidFill>
          </w14:textFill>
        </w:rPr>
        <w:t xml:space="preserve">9.投标文件的语言及度量衡单位</w:t>
      </w:r>
      <w:bookmarkEnd w:id="95"/>
      <w:r/>
      <w:bookmarkEnd w:id="96"/>
      <w:r/>
      <w:bookmarkEnd w:id="97"/>
      <w:r/>
      <w:bookmarkEnd w:id="98"/>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9.1 投标人提交的投标文件以及投标人与交易中心就有关投标的所有来往通知、函件和文件均应使用简体中文。</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9.2 除技术性能另有规定外，投标文件所使用的度量衡单位，均须采用国家法定计量单位。</w:t>
      </w:r>
      <w:r/>
    </w:p>
    <w:p>
      <w:pPr>
        <w:pStyle w:val="900"/>
        <w:ind w:firstLine="422"/>
        <w:spacing w:before="0" w:after="0" w:line="240" w:lineRule="auto"/>
        <w:rPr>
          <w:rFonts w:ascii="方正楷体_GBK" w:hAnsi="方正楷体_GBK" w:eastAsia="方正楷体_GBK" w:cs="方正楷体_GBK"/>
          <w:color w:val="000000" w:themeColor="text1"/>
          <w:highlight w:val="none"/>
          <w14:textFill>
            <w14:solidFill>
              <w14:schemeClr w14:val="tx1"/>
            </w14:solidFill>
          </w14:textFill>
        </w:rPr>
      </w:pPr>
      <w:r/>
      <w:bookmarkStart w:id="99" w:name="_Toc20823287"/>
      <w:r/>
      <w:bookmarkStart w:id="100" w:name="_Toc513029215"/>
      <w:r/>
      <w:bookmarkStart w:id="101" w:name="_Toc16938531"/>
      <w:r/>
      <w:bookmarkStart w:id="102" w:name="_Toc462564074"/>
      <w:r>
        <w:rPr>
          <w:rFonts w:hint="eastAsia" w:ascii="方正楷体_GBK" w:hAnsi="方正楷体_GBK" w:eastAsia="方正楷体_GBK" w:cs="方正楷体_GBK"/>
          <w:color w:val="000000" w:themeColor="text1"/>
          <w:highlight w:val="none"/>
          <w14:textFill>
            <w14:solidFill>
              <w14:schemeClr w14:val="tx1"/>
            </w14:solidFill>
          </w14:textFill>
        </w:rPr>
        <w:t xml:space="preserve">10.投标文件构成</w:t>
      </w:r>
      <w:bookmarkEnd w:id="99"/>
      <w:r/>
      <w:bookmarkEnd w:id="100"/>
      <w:r/>
      <w:bookmarkEnd w:id="101"/>
      <w:r/>
      <w:bookmarkEnd w:id="102"/>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10.1 投标人编写的投标文件应包括资格证明文件、符合性证明文件、投标分项报价表、响应及偏离表、其他证明文件、投标函、开标一览表等部分。</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10.2 如标书制作工具中格式和内容与“江苏政府采购网”发布的招标文件不一致，以“江苏政府采购网”发布的招标文件为准。</w:t>
      </w:r>
      <w:r/>
    </w:p>
    <w:p>
      <w:pPr>
        <w:pStyle w:val="900"/>
        <w:ind w:firstLine="422"/>
        <w:spacing w:before="0" w:after="0" w:line="240" w:lineRule="auto"/>
        <w:rPr>
          <w:rFonts w:ascii="方正楷体_GBK" w:hAnsi="方正楷体_GBK" w:eastAsia="方正楷体_GBK" w:cs="方正楷体_GBK"/>
          <w:color w:val="000000" w:themeColor="text1"/>
          <w:highlight w:val="none"/>
          <w14:textFill>
            <w14:solidFill>
              <w14:schemeClr w14:val="tx1"/>
            </w14:solidFill>
          </w14:textFill>
        </w:rPr>
      </w:pPr>
      <w:r/>
      <w:bookmarkStart w:id="103" w:name="_Hlt26670360"/>
      <w:r/>
      <w:bookmarkEnd w:id="103"/>
      <w:r/>
      <w:bookmarkStart w:id="104" w:name="_Hlt26668975"/>
      <w:r/>
      <w:bookmarkEnd w:id="104"/>
      <w:r/>
      <w:bookmarkStart w:id="105" w:name="_Hlt26954838"/>
      <w:r/>
      <w:bookmarkEnd w:id="105"/>
      <w:r/>
      <w:bookmarkStart w:id="106" w:name="_Toc49090507"/>
      <w:r/>
      <w:bookmarkStart w:id="107" w:name="_Toc14577357"/>
      <w:r/>
      <w:bookmarkStart w:id="108" w:name="_Toc513029216"/>
      <w:r/>
      <w:bookmarkStart w:id="109" w:name="_Toc14577354"/>
      <w:r/>
      <w:bookmarkStart w:id="110" w:name="_Toc513029219"/>
      <w:r/>
      <w:bookmarkStart w:id="111" w:name="_Toc49090509"/>
      <w:r>
        <w:rPr>
          <w:rFonts w:hint="eastAsia" w:ascii="方正楷体_GBK" w:hAnsi="方正楷体_GBK" w:eastAsia="方正楷体_GBK" w:cs="方正楷体_GBK"/>
          <w:color w:val="000000" w:themeColor="text1"/>
          <w:highlight w:val="none"/>
          <w14:textFill>
            <w14:solidFill>
              <w14:schemeClr w14:val="tx1"/>
            </w14:solidFill>
          </w14:textFill>
        </w:rPr>
        <w:t xml:space="preserve">11.证明投标人及投标标的符合招标文件规定的文件</w:t>
      </w:r>
      <w:bookmarkEnd w:id="106"/>
      <w:r/>
      <w:bookmarkEnd w:id="107"/>
      <w:r/>
      <w:bookmarkEnd w:id="108"/>
      <w:r/>
      <w:bookmarkEnd w:id="109"/>
      <w:r/>
      <w:bookmarkEnd w:id="110"/>
      <w:r/>
      <w:bookmarkEnd w:id="111"/>
      <w:r/>
      <w:r/>
    </w:p>
    <w:p>
      <w:pPr>
        <w:ind w:firstLine="420"/>
        <w:rPr>
          <w:rFonts w:hint="eastAsia" w:ascii="宋体" w:hAnsi="宋体"/>
          <w:color w:val="000000" w:themeColor="text1"/>
          <w:sz w:val="24"/>
          <w:highlight w:val="none"/>
          <w14:textFill>
            <w14:solidFill>
              <w14:schemeClr w14:val="tx1"/>
            </w14:solidFill>
          </w14:textFill>
        </w:rPr>
      </w:pPr>
      <w:r/>
      <w:bookmarkStart w:id="112" w:name="_Toc14577355"/>
      <w:r/>
      <w:bookmarkStart w:id="113" w:name="_Toc49090508"/>
      <w:r>
        <w:rPr>
          <w:rFonts w:hint="eastAsia" w:ascii="宋体" w:hAnsi="宋体"/>
          <w:color w:val="000000" w:themeColor="text1"/>
          <w:sz w:val="24"/>
          <w:highlight w:val="none"/>
          <w14:textFill>
            <w14:solidFill>
              <w14:schemeClr w14:val="tx1"/>
            </w14:solidFill>
          </w14:textFill>
        </w:rPr>
        <w:t xml:space="preserve">11.1 投标人应按照法律、法规、规章和规范性文件以及招标文件要求提交证明文件，证明其投标标的符合招标文件规定。</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11.2 招标文件对证明文件无明确形式要求的，证明文件可以以文字资料、图纸和数据等形式提交。</w:t>
      </w:r>
      <w:r/>
    </w:p>
    <w:p>
      <w:pPr>
        <w:pStyle w:val="900"/>
        <w:ind w:firstLine="422"/>
        <w:spacing w:before="0" w:after="0" w:line="240" w:lineRule="auto"/>
        <w:rPr>
          <w:rFonts w:ascii="方正楷体_GBK" w:hAnsi="方正楷体_GBK" w:eastAsia="方正楷体_GBK" w:cs="方正楷体_GBK"/>
          <w:color w:val="000000" w:themeColor="text1"/>
          <w:highlight w:val="none"/>
          <w14:textFill>
            <w14:solidFill>
              <w14:schemeClr w14:val="tx1"/>
            </w14:solidFill>
          </w14:textFill>
        </w:rPr>
      </w:pPr>
      <w:r>
        <w:rPr>
          <w:rFonts w:hint="eastAsia" w:ascii="方正楷体_GBK" w:hAnsi="方正楷体_GBK" w:eastAsia="方正楷体_GBK" w:cs="方正楷体_GBK"/>
          <w:color w:val="000000" w:themeColor="text1"/>
          <w:highlight w:val="none"/>
          <w14:textFill>
            <w14:solidFill>
              <w14:schemeClr w14:val="tx1"/>
            </w14:solidFill>
          </w14:textFill>
        </w:rPr>
        <w:t xml:space="preserve">12.投标分项报价</w:t>
      </w:r>
      <w:bookmarkEnd w:id="112"/>
      <w:r/>
      <w:bookmarkStart w:id="114" w:name="_Hlt26670373"/>
      <w:r/>
      <w:bookmarkEnd w:id="114"/>
      <w:r>
        <w:rPr>
          <w:rFonts w:hint="eastAsia" w:ascii="方正楷体_GBK" w:hAnsi="方正楷体_GBK" w:eastAsia="方正楷体_GBK" w:cs="方正楷体_GBK"/>
          <w:color w:val="000000" w:themeColor="text1"/>
          <w:highlight w:val="none"/>
          <w14:textFill>
            <w14:solidFill>
              <w14:schemeClr w14:val="tx1"/>
            </w14:solidFill>
          </w14:textFill>
        </w:rPr>
        <w:t xml:space="preserve">表</w:t>
      </w:r>
      <w:bookmarkEnd w:id="113"/>
      <w:r>
        <w:rPr>
          <w:rFonts w:hint="eastAsia" w:ascii="方正楷体_GBK" w:hAnsi="方正楷体_GBK" w:eastAsia="方正楷体_GBK" w:cs="方正楷体_GBK"/>
          <w:color w:val="000000" w:themeColor="text1"/>
          <w:highlight w:val="none"/>
          <w14:textFill>
            <w14:solidFill>
              <w14:schemeClr w14:val="tx1"/>
            </w14:solidFill>
          </w14:textFill>
        </w:rPr>
        <w:t xml:space="preserve">（如有）</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12.1 投</w:t>
      </w:r>
      <w:bookmarkStart w:id="115" w:name="_Hlt26954840"/>
      <w:r/>
      <w:bookmarkEnd w:id="115"/>
      <w:r>
        <w:rPr>
          <w:rFonts w:hint="eastAsia" w:ascii="宋体" w:hAnsi="宋体"/>
          <w:color w:val="000000" w:themeColor="text1"/>
          <w:sz w:val="24"/>
          <w:highlight w:val="none"/>
          <w14:textFill>
            <w14:solidFill>
              <w14:schemeClr w14:val="tx1"/>
            </w14:solidFill>
          </w14:textFill>
        </w:rPr>
        <w:t xml:space="preserve">标人应按照招标文件规定格式填报投标分项报价表</w:t>
      </w:r>
      <w:bookmarkStart w:id="116" w:name="_Hlt26670399"/>
      <w:r/>
      <w:bookmarkEnd w:id="116"/>
      <w:r>
        <w:rPr>
          <w:rFonts w:hint="eastAsia" w:ascii="宋体" w:hAnsi="宋体"/>
          <w:color w:val="000000" w:themeColor="text1"/>
          <w:sz w:val="24"/>
          <w:highlight w:val="none"/>
          <w14:textFill>
            <w14:solidFill>
              <w14:schemeClr w14:val="tx1"/>
            </w14:solidFill>
          </w14:textFill>
        </w:rPr>
        <w:t xml:space="preserve">。</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12.2 投标文件中的单价和总价无特殊规定的采用人民币报价，以元为单位标注。招标文件另有规定的按规定执行。</w:t>
      </w:r>
      <w:r/>
    </w:p>
    <w:p>
      <w:pPr>
        <w:pStyle w:val="900"/>
        <w:ind w:firstLine="422"/>
        <w:spacing w:before="0" w:after="0" w:line="240" w:lineRule="auto"/>
        <w:rPr>
          <w:rFonts w:ascii="方正楷体_GBK" w:hAnsi="方正楷体_GBK" w:eastAsia="方正楷体_GBK" w:cs="方正楷体_GBK"/>
          <w:color w:val="000000" w:themeColor="text1"/>
          <w:highlight w:val="none"/>
          <w14:textFill>
            <w14:solidFill>
              <w14:schemeClr w14:val="tx1"/>
            </w14:solidFill>
          </w14:textFill>
        </w:rPr>
      </w:pPr>
      <w:r/>
      <w:bookmarkStart w:id="117" w:name="_Hlt26670425"/>
      <w:r/>
      <w:bookmarkEnd w:id="117"/>
      <w:r/>
      <w:bookmarkStart w:id="118" w:name="_Hlt26954731"/>
      <w:r/>
      <w:bookmarkEnd w:id="118"/>
      <w:r/>
      <w:bookmarkStart w:id="119" w:name="_Hlt26670486"/>
      <w:r/>
      <w:bookmarkEnd w:id="119"/>
      <w:r/>
      <w:bookmarkStart w:id="120" w:name="_Hlt26954848"/>
      <w:r/>
      <w:bookmarkEnd w:id="120"/>
      <w:r/>
      <w:bookmarkStart w:id="121" w:name="_Hlt26954842"/>
      <w:r/>
      <w:bookmarkEnd w:id="121"/>
      <w:r/>
      <w:bookmarkStart w:id="122" w:name="_Hlt26668983"/>
      <w:r/>
      <w:bookmarkEnd w:id="122"/>
      <w:r/>
      <w:bookmarkStart w:id="123" w:name="_Hlt26670482"/>
      <w:r/>
      <w:bookmarkEnd w:id="123"/>
      <w:r/>
      <w:bookmarkStart w:id="124" w:name="_Hlt26670403"/>
      <w:r/>
      <w:bookmarkEnd w:id="124"/>
      <w:r/>
      <w:bookmarkStart w:id="125" w:name="_Hlt26954844"/>
      <w:r/>
      <w:bookmarkEnd w:id="125"/>
      <w:r/>
      <w:bookmarkStart w:id="126" w:name="_Hlt26954846"/>
      <w:r/>
      <w:bookmarkEnd w:id="126"/>
      <w:r>
        <w:rPr>
          <w:rFonts w:hint="eastAsia" w:ascii="方正楷体_GBK" w:hAnsi="方正楷体_GBK" w:eastAsia="方正楷体_GBK" w:cs="方正楷体_GBK"/>
          <w:color w:val="000000" w:themeColor="text1"/>
          <w:highlight w:val="none"/>
          <w14:textFill>
            <w14:solidFill>
              <w14:schemeClr w14:val="tx1"/>
            </w14:solidFill>
          </w14:textFill>
        </w:rPr>
        <w:t xml:space="preserve">13.响应及偏离表</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13.1 投标人需对招标文件中的技术要求与商务要求逐项作出响应或偏离说明。</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13.2 投标人可以在投标文件中提供认为需要的其他技术文件或说明。</w:t>
      </w:r>
      <w:r/>
    </w:p>
    <w:p>
      <w:pPr>
        <w:pStyle w:val="900"/>
        <w:ind w:firstLine="422"/>
        <w:spacing w:before="0" w:after="0" w:line="240" w:lineRule="auto"/>
        <w:rPr>
          <w:rFonts w:ascii="方正楷体_GBK" w:hAnsi="方正楷体_GBK" w:eastAsia="方正楷体_GBK" w:cs="方正楷体_GBK"/>
          <w:color w:val="000000" w:themeColor="text1"/>
          <w:highlight w:val="none"/>
          <w14:textFill>
            <w14:solidFill>
              <w14:schemeClr w14:val="tx1"/>
            </w14:solidFill>
          </w14:textFill>
        </w:rPr>
      </w:pPr>
      <w:r/>
      <w:bookmarkStart w:id="127" w:name="_Toc14577359"/>
      <w:r/>
      <w:bookmarkStart w:id="128" w:name="_Toc49090510"/>
      <w:r>
        <w:rPr>
          <w:rFonts w:hint="eastAsia" w:ascii="方正楷体_GBK" w:hAnsi="方正楷体_GBK" w:eastAsia="方正楷体_GBK" w:cs="方正楷体_GBK"/>
          <w:color w:val="000000" w:themeColor="text1"/>
          <w:highlight w:val="none"/>
          <w14:textFill>
            <w14:solidFill>
              <w14:schemeClr w14:val="tx1"/>
            </w14:solidFill>
          </w14:textFill>
        </w:rPr>
        <w:t xml:space="preserve">14.投标函和开标一览表及核心产品品牌一览表</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14.1 投标人应按照招标文件规定格式完整、正确填报投标函、开标一览表及核心产品品牌一览表。</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14.2 对于采用货币报价的项目，开标一览表中的投标总报价应与投标分项报价表中的投标总报价一致，如不一致评标时</w:t>
      </w:r>
      <w:r>
        <w:rPr>
          <w:rFonts w:hint="eastAsia" w:ascii="宋体" w:hAnsi="宋体"/>
          <w:color w:val="000000" w:themeColor="text1"/>
          <w:sz w:val="24"/>
          <w:highlight w:val="none"/>
          <w14:textFill>
            <w14:solidFill>
              <w14:schemeClr w14:val="tx1"/>
            </w14:solidFill>
          </w14:textFill>
        </w:rPr>
        <w:t xml:space="preserve">以</w:t>
      </w:r>
      <w:r>
        <w:rPr>
          <w:rFonts w:hint="eastAsia" w:ascii="宋体" w:hAnsi="宋体"/>
          <w:color w:val="000000" w:themeColor="text1"/>
          <w:sz w:val="24"/>
          <w:highlight w:val="none"/>
          <w:lang w:val="zh-CN"/>
          <w14:textFill>
            <w14:solidFill>
              <w14:schemeClr w14:val="tx1"/>
            </w14:solidFill>
          </w14:textFill>
        </w:rPr>
        <w:t xml:space="preserve">开标一览表中价格为准。</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14.3 核心产品品牌一览表中所投核心产品品牌缺项的将视为无效投标。</w:t>
      </w:r>
      <w:bookmarkEnd w:id="127"/>
      <w:r/>
      <w:bookmarkEnd w:id="128"/>
      <w:r/>
      <w:r/>
    </w:p>
    <w:p>
      <w:pPr>
        <w:pStyle w:val="900"/>
        <w:ind w:firstLine="422"/>
        <w:spacing w:before="0" w:after="0" w:line="240" w:lineRule="auto"/>
        <w:rPr>
          <w:rFonts w:ascii="方正楷体_GBK" w:hAnsi="方正楷体_GBK" w:eastAsia="方正楷体_GBK" w:cs="方正楷体_GBK"/>
          <w:color w:val="000000" w:themeColor="text1"/>
          <w:highlight w:val="none"/>
          <w14:textFill>
            <w14:solidFill>
              <w14:schemeClr w14:val="tx1"/>
            </w14:solidFill>
          </w14:textFill>
        </w:rPr>
      </w:pPr>
      <w:r/>
      <w:bookmarkStart w:id="129" w:name="_Hlt26954850"/>
      <w:r/>
      <w:bookmarkEnd w:id="129"/>
      <w:r/>
      <w:bookmarkStart w:id="130" w:name="_Hlt26670489"/>
      <w:r/>
      <w:bookmarkEnd w:id="130"/>
      <w:r/>
      <w:bookmarkStart w:id="131" w:name="_Hlt26954734"/>
      <w:r/>
      <w:bookmarkEnd w:id="131"/>
      <w:r/>
      <w:bookmarkStart w:id="132" w:name="_Toc49090511"/>
      <w:r/>
      <w:bookmarkStart w:id="133" w:name="_Toc14577360"/>
      <w:r>
        <w:rPr>
          <w:rFonts w:hint="eastAsia" w:ascii="方正楷体_GBK" w:hAnsi="方正楷体_GBK" w:eastAsia="方正楷体_GBK" w:cs="方正楷体_GBK"/>
          <w:color w:val="000000" w:themeColor="text1"/>
          <w:highlight w:val="none"/>
          <w14:textFill>
            <w14:solidFill>
              <w14:schemeClr w14:val="tx1"/>
            </w14:solidFill>
          </w14:textFill>
        </w:rPr>
        <w:t xml:space="preserve">15.投标有效期</w:t>
      </w:r>
      <w:bookmarkEnd w:id="132"/>
      <w:r/>
      <w:bookmarkEnd w:id="133"/>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15.1 投标有效期为</w:t>
      </w:r>
      <w:r>
        <w:rPr>
          <w:rFonts w:hint="eastAsia" w:ascii="宋体" w:hAnsi="宋体"/>
          <w:color w:val="000000" w:themeColor="text1"/>
          <w:sz w:val="24"/>
          <w:highlight w:val="none"/>
          <w14:textFill>
            <w14:solidFill>
              <w14:schemeClr w14:val="tx1"/>
            </w14:solidFill>
          </w14:textFill>
        </w:rPr>
        <w:t xml:space="preserve">招标公告</w:t>
      </w:r>
      <w:r>
        <w:rPr>
          <w:rFonts w:hint="eastAsia" w:ascii="宋体" w:hAnsi="宋体"/>
          <w:color w:val="000000" w:themeColor="text1"/>
          <w:sz w:val="24"/>
          <w:highlight w:val="none"/>
          <w:lang w:val="zh-CN"/>
          <w14:textFill>
            <w14:solidFill>
              <w14:schemeClr w14:val="tx1"/>
            </w14:solidFill>
          </w14:textFill>
        </w:rPr>
        <w:t xml:space="preserve">规定的开标之日</w:t>
      </w:r>
      <w:r>
        <w:rPr>
          <w:rFonts w:hint="eastAsia" w:ascii="宋体" w:hAnsi="宋体"/>
          <w:color w:val="000000" w:themeColor="text1"/>
          <w:sz w:val="24"/>
          <w:highlight w:val="none"/>
          <w14:textFill>
            <w14:solidFill>
              <w14:schemeClr w14:val="tx1"/>
            </w14:solidFill>
          </w14:textFill>
        </w:rPr>
        <w:t xml:space="preserve">起</w:t>
      </w:r>
      <w:r>
        <w:rPr>
          <w:rFonts w:hint="eastAsia" w:ascii="宋体" w:hAnsi="宋体"/>
          <w:color w:val="000000" w:themeColor="text1"/>
          <w:sz w:val="24"/>
          <w:highlight w:val="none"/>
          <w:lang w:val="zh-CN"/>
          <w14:textFill>
            <w14:solidFill>
              <w14:schemeClr w14:val="tx1"/>
            </w14:solidFill>
          </w14:textFill>
        </w:rPr>
        <w:t xml:space="preserve">六十天。投标有效期比规定短的将被视为未实质性响应招标文件而</w:t>
      </w:r>
      <w:r>
        <w:rPr>
          <w:rFonts w:hint="eastAsia" w:ascii="宋体" w:hAnsi="宋体"/>
          <w:color w:val="000000" w:themeColor="text1"/>
          <w:sz w:val="24"/>
          <w:highlight w:val="none"/>
          <w14:textFill>
            <w14:solidFill>
              <w14:schemeClr w14:val="tx1"/>
            </w14:solidFill>
          </w14:textFill>
        </w:rPr>
        <w:t xml:space="preserve">被</w:t>
      </w:r>
      <w:r>
        <w:rPr>
          <w:rFonts w:hint="eastAsia" w:ascii="宋体" w:hAnsi="宋体"/>
          <w:color w:val="000000" w:themeColor="text1"/>
          <w:sz w:val="24"/>
          <w:highlight w:val="none"/>
          <w:lang w:val="zh-CN"/>
          <w14:textFill>
            <w14:solidFill>
              <w14:schemeClr w14:val="tx1"/>
            </w14:solidFill>
          </w14:textFill>
        </w:rPr>
        <w:t xml:space="preserve">拒绝。</w:t>
      </w:r>
      <w:r/>
    </w:p>
    <w:p>
      <w:pPr>
        <w:pStyle w:val="900"/>
        <w:ind w:firstLine="422"/>
        <w:spacing w:before="0" w:after="0" w:line="240" w:lineRule="auto"/>
        <w:rPr>
          <w:rFonts w:ascii="方正楷体_GBK" w:hAnsi="方正楷体_GBK" w:eastAsia="方正楷体_GBK" w:cs="方正楷体_GBK"/>
          <w:color w:val="000000" w:themeColor="text1"/>
          <w:highlight w:val="none"/>
          <w14:textFill>
            <w14:solidFill>
              <w14:schemeClr w14:val="tx1"/>
            </w14:solidFill>
          </w14:textFill>
        </w:rPr>
      </w:pPr>
      <w:r>
        <w:rPr>
          <w:rFonts w:hint="eastAsia" w:ascii="方正楷体_GBK" w:hAnsi="方正楷体_GBK" w:eastAsia="方正楷体_GBK" w:cs="方正楷体_GBK"/>
          <w:color w:val="000000" w:themeColor="text1"/>
          <w:highlight w:val="none"/>
          <w14:textFill>
            <w14:solidFill>
              <w14:schemeClr w14:val="tx1"/>
            </w14:solidFill>
          </w14:textFill>
        </w:rPr>
        <w:t xml:space="preserve">16.投标有效期的延长</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897"/>
        <w:ind w:firstLine="465"/>
        <w:spacing w:before="145" w:after="145" w:line="240" w:lineRule="auto"/>
        <w:rPr>
          <w:rFonts w:ascii="方正黑体_GBK" w:hAnsi="方正黑体_GBK" w:eastAsia="方正黑体_GBK" w:cs="方正黑体_GBK"/>
          <w:b w:val="0"/>
          <w:bCs w:val="0"/>
          <w:color w:val="000000" w:themeColor="text1"/>
          <w:sz w:val="30"/>
          <w:szCs w:val="30"/>
          <w:highlight w:val="none"/>
          <w14:textFill>
            <w14:solidFill>
              <w14:schemeClr w14:val="tx1"/>
            </w14:solidFill>
          </w14:textFill>
        </w:rPr>
      </w:pPr>
      <w:r/>
      <w:bookmarkStart w:id="134" w:name="_Hlt26954852"/>
      <w:r/>
      <w:bookmarkEnd w:id="134"/>
      <w:r/>
      <w:bookmarkStart w:id="135" w:name="_Hlt26954739"/>
      <w:r/>
      <w:bookmarkEnd w:id="135"/>
      <w:r/>
      <w:bookmarkStart w:id="136" w:name="_Toc513029224"/>
      <w:r/>
      <w:bookmarkStart w:id="137" w:name="_Toc20823296"/>
      <w:r/>
      <w:bookmarkStart w:id="138" w:name="_Toc120614217"/>
      <w:r/>
      <w:bookmarkStart w:id="139" w:name="_Toc16938540"/>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四、投标文件的递交</w:t>
      </w:r>
      <w:bookmarkEnd w:id="136"/>
      <w:r/>
      <w:bookmarkEnd w:id="137"/>
      <w:r/>
      <w:bookmarkEnd w:id="138"/>
      <w:r/>
      <w:bookmarkEnd w:id="139"/>
      <w:r/>
      <w:r/>
    </w:p>
    <w:p>
      <w:pPr>
        <w:pStyle w:val="900"/>
        <w:ind w:firstLine="422"/>
        <w:spacing w:before="0" w:after="0" w:line="240" w:lineRule="auto"/>
        <w:rPr>
          <w:rFonts w:ascii="方正楷体_GBK" w:hAnsi="方正楷体_GBK" w:eastAsia="方正楷体_GBK" w:cs="方正楷体_GBK"/>
          <w:color w:val="000000" w:themeColor="text1"/>
          <w:highlight w:val="none"/>
          <w14:textFill>
            <w14:solidFill>
              <w14:schemeClr w14:val="tx1"/>
            </w14:solidFill>
          </w14:textFill>
        </w:rPr>
      </w:pPr>
      <w:r/>
      <w:bookmarkStart w:id="140" w:name="_Toc16938541"/>
      <w:r/>
      <w:bookmarkStart w:id="141" w:name="_Toc513029225"/>
      <w:r/>
      <w:bookmarkStart w:id="142" w:name="_Toc462564084"/>
      <w:r/>
      <w:bookmarkStart w:id="143" w:name="_Toc20823297"/>
      <w:r>
        <w:rPr>
          <w:rFonts w:hint="eastAsia" w:ascii="方正楷体_GBK" w:hAnsi="方正楷体_GBK" w:eastAsia="方正楷体_GBK" w:cs="方正楷体_GBK"/>
          <w:color w:val="000000" w:themeColor="text1"/>
          <w:highlight w:val="none"/>
          <w14:textFill>
            <w14:solidFill>
              <w14:schemeClr w14:val="tx1"/>
            </w14:solidFill>
          </w14:textFill>
        </w:rPr>
        <w:t xml:space="preserve">17.投标文件</w:t>
      </w:r>
      <w:bookmarkEnd w:id="140"/>
      <w:r/>
      <w:bookmarkEnd w:id="141"/>
      <w:r/>
      <w:bookmarkEnd w:id="142"/>
      <w:r/>
      <w:bookmarkEnd w:id="143"/>
      <w:r>
        <w:rPr>
          <w:rFonts w:hint="eastAsia" w:ascii="方正楷体_GBK" w:hAnsi="方正楷体_GBK" w:eastAsia="方正楷体_GBK" w:cs="方正楷体_GBK"/>
          <w:color w:val="000000" w:themeColor="text1"/>
          <w:highlight w:val="none"/>
          <w14:textFill>
            <w14:solidFill>
              <w14:schemeClr w14:val="tx1"/>
            </w14:solidFill>
          </w14:textFill>
        </w:rPr>
        <w:t xml:space="preserve">的递交</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17.1 投标人应当按照《操作手册》规定，在招标公告规定的投标截止时间前制作并上传电子投标文件。</w:t>
      </w:r>
      <w:bookmarkStart w:id="144" w:name="_Toc513029226"/>
      <w:r/>
      <w:bookmarkEnd w:id="144"/>
      <w:r/>
      <w:bookmarkStart w:id="145" w:name="_Toc16938542"/>
      <w:r/>
      <w:bookmarkEnd w:id="145"/>
      <w:r/>
      <w:bookmarkStart w:id="146" w:name="_Toc20823298"/>
      <w:r/>
      <w:bookmarkEnd w:id="146"/>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7</w:t>
      </w:r>
      <w:r>
        <w:rPr>
          <w:rFonts w:hint="eastAsia" w:ascii="宋体" w:hAnsi="宋体"/>
          <w:color w:val="000000" w:themeColor="text1"/>
          <w:sz w:val="24"/>
          <w:highlight w:val="none"/>
          <w:lang w:val="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lang w:val="zh-CN"/>
          <w14:textFill>
            <w14:solidFill>
              <w14:schemeClr w14:val="tx1"/>
            </w14:solidFill>
          </w14:textFill>
        </w:rPr>
        <w:t xml:space="preserve"> 投标人应充分考虑网络环境、网络带宽等因素</w:t>
      </w:r>
      <w:r>
        <w:rPr>
          <w:rFonts w:hint="eastAsia" w:ascii="宋体" w:hAnsi="宋体"/>
          <w:color w:val="000000" w:themeColor="text1"/>
          <w:sz w:val="24"/>
          <w:highlight w:val="none"/>
          <w14:textFill>
            <w14:solidFill>
              <w14:schemeClr w14:val="tx1"/>
            </w14:solidFill>
          </w14:textFill>
        </w:rPr>
        <w:t xml:space="preserve">可能对投标产生的影响</w:t>
      </w:r>
      <w:r>
        <w:rPr>
          <w:rFonts w:hint="eastAsia" w:ascii="宋体" w:hAnsi="宋体"/>
          <w:color w:val="000000" w:themeColor="text1"/>
          <w:sz w:val="24"/>
          <w:highlight w:val="none"/>
          <w:lang w:val="zh-CN"/>
          <w14:textFill>
            <w14:solidFill>
              <w14:schemeClr w14:val="tx1"/>
            </w14:solidFill>
          </w14:textFill>
        </w:rPr>
        <w:t xml:space="preserve">，如因投标人自身原因造成的电子投标文件上传不成功的，按照本招标文件第二章第2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.1条规定做无效投标处理。</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7</w:t>
      </w:r>
      <w:r>
        <w:rPr>
          <w:rFonts w:hint="eastAsia" w:ascii="宋体" w:hAnsi="宋体"/>
          <w:color w:val="000000" w:themeColor="text1"/>
          <w:sz w:val="24"/>
          <w:highlight w:val="none"/>
          <w:lang w:val="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zh-CN"/>
          <w14:textFill>
            <w14:solidFill>
              <w14:schemeClr w14:val="tx1"/>
            </w14:solidFill>
          </w14:textFill>
        </w:rPr>
        <w:t xml:space="preserve"> 交易中心可以按照规定，通过修改招标文件酌情延长投标截止时间，在此情况下，投标人的所有权利和义务均以延长后新的截止时间为准。</w:t>
      </w:r>
      <w:r/>
    </w:p>
    <w:p>
      <w:pPr>
        <w:pStyle w:val="900"/>
        <w:ind w:firstLine="422"/>
        <w:spacing w:before="0" w:after="0" w:line="240" w:lineRule="auto"/>
        <w:rPr>
          <w:rFonts w:ascii="方正楷体_GBK" w:hAnsi="方正楷体_GBK" w:eastAsia="方正楷体_GBK" w:cs="方正楷体_GBK"/>
          <w:color w:val="000000" w:themeColor="text1"/>
          <w:highlight w:val="none"/>
          <w14:textFill>
            <w14:solidFill>
              <w14:schemeClr w14:val="tx1"/>
            </w14:solidFill>
          </w14:textFill>
        </w:rPr>
      </w:pPr>
      <w:r/>
      <w:bookmarkStart w:id="147" w:name="_Toc513029227"/>
      <w:r/>
      <w:bookmarkStart w:id="148" w:name="_Toc20823299"/>
      <w:r/>
      <w:bookmarkStart w:id="149" w:name="_Toc16938543"/>
      <w:r>
        <w:rPr>
          <w:rFonts w:hint="eastAsia" w:ascii="方正楷体_GBK" w:hAnsi="方正楷体_GBK" w:eastAsia="方正楷体_GBK" w:cs="方正楷体_GBK"/>
          <w:color w:val="000000" w:themeColor="text1"/>
          <w:highlight w:val="none"/>
          <w14:textFill>
            <w14:solidFill>
              <w14:schemeClr w14:val="tx1"/>
            </w14:solidFill>
          </w14:textFill>
        </w:rPr>
        <w:t xml:space="preserve">18.投标文件</w:t>
      </w:r>
      <w:bookmarkEnd w:id="147"/>
      <w:r/>
      <w:bookmarkEnd w:id="148"/>
      <w:r/>
      <w:bookmarkEnd w:id="149"/>
      <w:r>
        <w:rPr>
          <w:rFonts w:hint="eastAsia" w:ascii="方正楷体_GBK" w:hAnsi="方正楷体_GBK" w:eastAsia="方正楷体_GBK" w:cs="方正楷体_GBK"/>
          <w:color w:val="000000" w:themeColor="text1"/>
          <w:highlight w:val="none"/>
          <w14:textFill>
            <w14:solidFill>
              <w14:schemeClr w14:val="tx1"/>
            </w14:solidFill>
          </w14:textFill>
        </w:rPr>
        <w:t xml:space="preserve">的拒收</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8</w:t>
      </w:r>
      <w:r>
        <w:rPr>
          <w:rFonts w:hint="eastAsia" w:ascii="宋体" w:hAnsi="宋体"/>
          <w:color w:val="000000" w:themeColor="text1"/>
          <w:sz w:val="24"/>
          <w:highlight w:val="none"/>
          <w:lang w:val="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投标截止时间后上传的任何投标文件将被拒绝。</w:t>
      </w:r>
      <w:r/>
    </w:p>
    <w:p>
      <w:pPr>
        <w:pStyle w:val="900"/>
        <w:ind w:firstLine="422"/>
        <w:spacing w:before="0" w:after="0" w:line="240" w:lineRule="auto"/>
        <w:rPr>
          <w:rFonts w:ascii="方正楷体_GBK" w:hAnsi="方正楷体_GBK" w:eastAsia="方正楷体_GBK" w:cs="方正楷体_GBK"/>
          <w:color w:val="000000" w:themeColor="text1"/>
          <w:highlight w:val="none"/>
          <w14:textFill>
            <w14:solidFill>
              <w14:schemeClr w14:val="tx1"/>
            </w14:solidFill>
          </w14:textFill>
        </w:rPr>
      </w:pPr>
      <w:r/>
      <w:bookmarkStart w:id="150" w:name="_Toc513029228"/>
      <w:r/>
      <w:bookmarkStart w:id="151" w:name="_Toc16938544"/>
      <w:r/>
      <w:bookmarkStart w:id="152" w:name="_Toc20823300"/>
      <w:r>
        <w:rPr>
          <w:rFonts w:hint="eastAsia" w:ascii="方正楷体_GBK" w:hAnsi="方正楷体_GBK" w:eastAsia="方正楷体_GBK" w:cs="方正楷体_GBK"/>
          <w:color w:val="000000" w:themeColor="text1"/>
          <w:highlight w:val="none"/>
          <w14:textFill>
            <w14:solidFill>
              <w14:schemeClr w14:val="tx1"/>
            </w14:solidFill>
          </w14:textFill>
        </w:rPr>
        <w:t xml:space="preserve">19.投标文件的撤回和修改</w:t>
      </w:r>
      <w:bookmarkEnd w:id="150"/>
      <w:r/>
      <w:bookmarkEnd w:id="151"/>
      <w:r/>
      <w:bookmarkEnd w:id="152"/>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19</w:t>
      </w:r>
      <w:r>
        <w:rPr>
          <w:rFonts w:hint="eastAsia" w:ascii="宋体" w:hAnsi="宋体"/>
          <w:color w:val="000000" w:themeColor="text1"/>
          <w:sz w:val="24"/>
          <w:highlight w:val="none"/>
          <w:lang w:val="zh-CN"/>
          <w14:textFill>
            <w14:solidFill>
              <w14:schemeClr w14:val="tx1"/>
            </w14:solidFill>
          </w14:textFill>
        </w:rPr>
        <w:t xml:space="preserve">.1 投标文件的撤回</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19</w:t>
      </w:r>
      <w:r>
        <w:rPr>
          <w:rFonts w:hint="eastAsia" w:ascii="宋体" w:hAnsi="宋体"/>
          <w:color w:val="000000" w:themeColor="text1"/>
          <w:sz w:val="24"/>
          <w:highlight w:val="none"/>
          <w:lang w:val="zh-CN"/>
          <w14:textFill>
            <w14:solidFill>
              <w14:schemeClr w14:val="tx1"/>
            </w14:solidFill>
          </w14:textFill>
        </w:rPr>
        <w:t xml:space="preserve">.1.1</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投标人可在投标截止时间前撤回其电子投标文件，具体操作方法见《操作手册》。</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19</w:t>
      </w:r>
      <w:r>
        <w:rPr>
          <w:rFonts w:hint="eastAsia" w:ascii="宋体" w:hAnsi="宋体"/>
          <w:color w:val="000000" w:themeColor="text1"/>
          <w:sz w:val="24"/>
          <w:highlight w:val="none"/>
          <w:lang w:val="zh-CN"/>
          <w14:textFill>
            <w14:solidFill>
              <w14:schemeClr w14:val="tx1"/>
            </w14:solidFill>
          </w14:textFill>
        </w:rPr>
        <w:t xml:space="preserve">.1.2</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投标人撤回电子投标文件，则认为其不再参与本项目投标活动。</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19</w:t>
      </w:r>
      <w:r>
        <w:rPr>
          <w:rFonts w:hint="eastAsia" w:ascii="宋体" w:hAnsi="宋体"/>
          <w:color w:val="000000" w:themeColor="text1"/>
          <w:sz w:val="24"/>
          <w:highlight w:val="none"/>
          <w:lang w:val="zh-CN"/>
          <w14:textFill>
            <w14:solidFill>
              <w14:schemeClr w14:val="tx1"/>
            </w14:solidFill>
          </w14:textFill>
        </w:rPr>
        <w:t xml:space="preserve">.2 投标文件的修改</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19</w:t>
      </w:r>
      <w:r>
        <w:rPr>
          <w:rFonts w:hint="eastAsia" w:ascii="宋体" w:hAnsi="宋体"/>
          <w:color w:val="000000" w:themeColor="text1"/>
          <w:sz w:val="24"/>
          <w:highlight w:val="none"/>
          <w:lang w:val="zh-CN"/>
          <w14:textFill>
            <w14:solidFill>
              <w14:schemeClr w14:val="tx1"/>
            </w14:solidFill>
          </w14:textFill>
        </w:rPr>
        <w:t xml:space="preserve">.2.1</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投标人可在投标截止时间前对其电子投标文件进行修改，具体操作方法见《操作手册》。</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19</w:t>
      </w:r>
      <w:r>
        <w:rPr>
          <w:rFonts w:hint="eastAsia" w:ascii="宋体" w:hAnsi="宋体"/>
          <w:color w:val="000000" w:themeColor="text1"/>
          <w:sz w:val="24"/>
          <w:highlight w:val="none"/>
          <w:lang w:val="zh-CN"/>
          <w14:textFill>
            <w14:solidFill>
              <w14:schemeClr w14:val="tx1"/>
            </w14:solidFill>
          </w14:textFill>
        </w:rPr>
        <w:t xml:space="preserve">.2.2</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投标截止时间之后，投标人不得对其电子投标文件作任何修改。</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19</w:t>
      </w:r>
      <w:r>
        <w:rPr>
          <w:rFonts w:hint="eastAsia" w:ascii="宋体" w:hAnsi="宋体"/>
          <w:color w:val="000000" w:themeColor="text1"/>
          <w:sz w:val="24"/>
          <w:highlight w:val="none"/>
          <w:lang w:val="zh-CN"/>
          <w14:textFill>
            <w14:solidFill>
              <w14:schemeClr w14:val="tx1"/>
            </w14:solidFill>
          </w14:textFill>
        </w:rPr>
        <w:t xml:space="preserve">.3 在投标截止时间至招标文件中规定的投标有效期满之间的这段时间内，投标人不得撤回其投标。</w:t>
      </w:r>
      <w:bookmarkStart w:id="153" w:name="_Toc20823301"/>
      <w:r/>
      <w:bookmarkStart w:id="154" w:name="_Toc513029229"/>
      <w:r/>
      <w:bookmarkStart w:id="155" w:name="_Toc16938545"/>
      <w:r/>
      <w:bookmarkStart w:id="156" w:name="_Toc120614218"/>
      <w:r/>
      <w:r/>
    </w:p>
    <w:p>
      <w:pPr>
        <w:pStyle w:val="897"/>
        <w:ind w:firstLine="465"/>
        <w:spacing w:before="145" w:after="145" w:line="240" w:lineRule="auto"/>
        <w:rPr>
          <w:rFonts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五、开标与评标</w:t>
      </w:r>
      <w:bookmarkEnd w:id="153"/>
      <w:r/>
      <w:bookmarkEnd w:id="154"/>
      <w:r/>
      <w:bookmarkEnd w:id="155"/>
      <w:r/>
      <w:bookmarkEnd w:id="156"/>
      <w:r/>
      <w:r/>
    </w:p>
    <w:p>
      <w:pPr>
        <w:pStyle w:val="900"/>
        <w:ind w:firstLine="422"/>
        <w:spacing w:before="0" w:after="0" w:line="240" w:lineRule="auto"/>
        <w:rPr>
          <w:rFonts w:ascii="方正楷体_GBK" w:hAnsi="方正楷体_GBK" w:eastAsia="方正楷体_GBK" w:cs="方正楷体_GBK"/>
          <w:color w:val="000000" w:themeColor="text1"/>
          <w:highlight w:val="none"/>
          <w14:textFill>
            <w14:solidFill>
              <w14:schemeClr w14:val="tx1"/>
            </w14:solidFill>
          </w14:textFill>
        </w:rPr>
      </w:pPr>
      <w:r/>
      <w:bookmarkStart w:id="157" w:name="_Toc513029230"/>
      <w:r/>
      <w:bookmarkStart w:id="158" w:name="_Toc16938546"/>
      <w:r/>
      <w:bookmarkStart w:id="159" w:name="_Toc20823302"/>
      <w:r>
        <w:rPr>
          <w:rFonts w:hint="eastAsia" w:ascii="方正楷体_GBK" w:hAnsi="方正楷体_GBK" w:eastAsia="方正楷体_GBK" w:cs="方正楷体_GBK"/>
          <w:color w:val="000000" w:themeColor="text1"/>
          <w:highlight w:val="none"/>
          <w14:textFill>
            <w14:solidFill>
              <w14:schemeClr w14:val="tx1"/>
            </w14:solidFill>
          </w14:textFill>
        </w:rPr>
        <w:t xml:space="preserve">20.开标</w:t>
      </w:r>
      <w:bookmarkEnd w:id="157"/>
      <w:r/>
      <w:bookmarkEnd w:id="158"/>
      <w:r/>
      <w:bookmarkEnd w:id="159"/>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0</w:t>
      </w:r>
      <w:r>
        <w:rPr>
          <w:rFonts w:hint="eastAsia" w:ascii="宋体" w:hAnsi="宋体"/>
          <w:color w:val="000000" w:themeColor="text1"/>
          <w:sz w:val="24"/>
          <w:highlight w:val="none"/>
          <w:lang w:val="zh-CN"/>
          <w14:textFill>
            <w14:solidFill>
              <w14:schemeClr w14:val="tx1"/>
            </w14:solidFill>
          </w14:textFill>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0</w:t>
      </w:r>
      <w:r>
        <w:rPr>
          <w:rFonts w:hint="eastAsia" w:ascii="宋体" w:hAnsi="宋体"/>
          <w:color w:val="000000" w:themeColor="text1"/>
          <w:sz w:val="24"/>
          <w:highlight w:val="none"/>
          <w:lang w:val="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2 </w:t>
      </w:r>
      <w:r>
        <w:rPr>
          <w:rFonts w:hint="eastAsia" w:ascii="宋体" w:hAnsi="宋体"/>
          <w:color w:val="000000" w:themeColor="text1"/>
          <w:sz w:val="24"/>
          <w:highlight w:val="none"/>
          <w:lang w:val="zh-CN"/>
          <w14:textFill>
            <w14:solidFill>
              <w14:schemeClr w14:val="tx1"/>
            </w14:solidFill>
          </w14:textFill>
        </w:rPr>
        <w:t xml:space="preserve">投标人在开标过程中涉及到的投标文件解密、开标结果确认等工作，应按照《操作手册》规定执行。</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0</w:t>
      </w:r>
      <w:r>
        <w:rPr>
          <w:rFonts w:hint="eastAsia" w:ascii="宋体" w:hAnsi="宋体"/>
          <w:color w:val="000000" w:themeColor="text1"/>
          <w:sz w:val="24"/>
          <w:highlight w:val="none"/>
          <w:lang w:val="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3 </w:t>
      </w:r>
      <w:r>
        <w:rPr>
          <w:rFonts w:hint="eastAsia" w:ascii="宋体" w:hAnsi="宋体"/>
          <w:color w:val="000000" w:themeColor="text1"/>
          <w:sz w:val="24"/>
          <w:highlight w:val="none"/>
          <w:lang w:val="zh-CN"/>
          <w14:textFill>
            <w14:solidFill>
              <w14:schemeClr w14:val="tx1"/>
            </w14:solidFill>
          </w14:textFill>
        </w:rPr>
        <w:t xml:space="preserve">投标人如果对开标过程和开标</w:t>
      </w:r>
      <w:r>
        <w:rPr>
          <w:rFonts w:hint="eastAsia" w:ascii="宋体" w:hAnsi="宋体"/>
          <w:color w:val="000000" w:themeColor="text1"/>
          <w:sz w:val="24"/>
          <w:highlight w:val="none"/>
          <w14:textFill>
            <w14:solidFill>
              <w14:schemeClr w14:val="tx1"/>
            </w14:solidFill>
          </w14:textFill>
        </w:rPr>
        <w:t xml:space="preserve">结果</w:t>
      </w:r>
      <w:r>
        <w:rPr>
          <w:rFonts w:hint="eastAsia" w:ascii="宋体" w:hAnsi="宋体"/>
          <w:color w:val="000000" w:themeColor="text1"/>
          <w:sz w:val="24"/>
          <w:highlight w:val="none"/>
          <w:lang w:val="zh-CN"/>
          <w14:textFill>
            <w14:solidFill>
              <w14:schemeClr w14:val="tx1"/>
            </w14:solidFill>
          </w14:textFill>
        </w:rPr>
        <w:t xml:space="preserve">有疑义，应当根据《操作手册》规定提出，苏采云系统中《开标记录表》公布后5分钟内未提出的，视同认可开标结果。</w:t>
      </w:r>
      <w:r/>
    </w:p>
    <w:p>
      <w:pPr>
        <w:pStyle w:val="900"/>
        <w:ind w:firstLine="422"/>
        <w:spacing w:before="0" w:after="0" w:line="240" w:lineRule="auto"/>
        <w:rPr>
          <w:rFonts w:ascii="方正楷体_GBK" w:hAnsi="方正楷体_GBK" w:eastAsia="方正楷体_GBK" w:cs="方正楷体_GBK"/>
          <w:color w:val="000000" w:themeColor="text1"/>
          <w:highlight w:val="none"/>
          <w14:textFill>
            <w14:solidFill>
              <w14:schemeClr w14:val="tx1"/>
            </w14:solidFill>
          </w14:textFill>
        </w:rPr>
      </w:pPr>
      <w:r/>
      <w:bookmarkStart w:id="160" w:name="_Toc20823303"/>
      <w:r/>
      <w:bookmarkStart w:id="161" w:name="_Toc16938547"/>
      <w:r/>
      <w:bookmarkStart w:id="162" w:name="_Toc513029231"/>
      <w:r>
        <w:rPr>
          <w:rFonts w:hint="eastAsia" w:ascii="方正楷体_GBK" w:hAnsi="方正楷体_GBK" w:eastAsia="方正楷体_GBK" w:cs="方正楷体_GBK"/>
          <w:color w:val="000000" w:themeColor="text1"/>
          <w:highlight w:val="none"/>
          <w14:textFill>
            <w14:solidFill>
              <w14:schemeClr w14:val="tx1"/>
            </w14:solidFill>
          </w14:textFill>
        </w:rPr>
        <w:t xml:space="preserve">21.评标</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lang w:val="zh-CN"/>
          <w14:textFill>
            <w14:solidFill>
              <w14:schemeClr w14:val="tx1"/>
            </w14:solidFill>
          </w14:textFill>
        </w:rPr>
        <w:t xml:space="preserve">.1 </w:t>
      </w:r>
      <w:r>
        <w:rPr>
          <w:rFonts w:hint="eastAsia" w:ascii="宋体" w:hAnsi="宋体"/>
          <w:color w:val="000000" w:themeColor="text1"/>
          <w:sz w:val="24"/>
          <w:highlight w:val="none"/>
          <w14:textFill>
            <w14:solidFill>
              <w14:schemeClr w14:val="tx1"/>
            </w14:solidFill>
          </w14:textFill>
        </w:rPr>
        <w:t xml:space="preserve">评标由依法组建的</w:t>
      </w:r>
      <w:r>
        <w:rPr>
          <w:rFonts w:hint="eastAsia" w:ascii="宋体" w:hAnsi="宋体"/>
          <w:color w:val="000000" w:themeColor="text1"/>
          <w:sz w:val="24"/>
          <w:highlight w:val="none"/>
          <w:lang w:val="zh-CN"/>
          <w14:textFill>
            <w14:solidFill>
              <w14:schemeClr w14:val="tx1"/>
            </w14:solidFill>
          </w14:textFill>
        </w:rPr>
        <w:t xml:space="preserve">评标委员会（以下简称“评委会”）进行。</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lang w:val="zh-CN"/>
          <w14:textFill>
            <w14:solidFill>
              <w14:schemeClr w14:val="tx1"/>
            </w14:solidFill>
          </w14:textFill>
        </w:rPr>
        <w:t xml:space="preserve">.2 评委会由采购人代表和有关方面专家组成，人员构成符合政府采购有关规定。</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lang w:val="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评委会独立工作，负责评审所有投标文件并</w:t>
      </w:r>
      <w:r>
        <w:rPr>
          <w:rFonts w:hint="eastAsia" w:ascii="宋体" w:hAnsi="宋体"/>
          <w:color w:val="000000" w:themeColor="text1"/>
          <w:sz w:val="24"/>
          <w:highlight w:val="none"/>
          <w14:textFill>
            <w14:solidFill>
              <w14:schemeClr w14:val="tx1"/>
            </w14:solidFill>
          </w14:textFill>
        </w:rPr>
        <w:t xml:space="preserve">推荐</w:t>
      </w:r>
      <w:r>
        <w:rPr>
          <w:rFonts w:hint="eastAsia" w:ascii="宋体" w:hAnsi="宋体"/>
          <w:color w:val="000000" w:themeColor="text1"/>
          <w:sz w:val="24"/>
          <w:highlight w:val="none"/>
          <w:lang w:val="zh-CN"/>
          <w14:textFill>
            <w14:solidFill>
              <w14:schemeClr w14:val="tx1"/>
            </w14:solidFill>
          </w14:textFill>
        </w:rPr>
        <w:t xml:space="preserve">中标候选人，</w:t>
      </w:r>
      <w:r>
        <w:rPr>
          <w:rFonts w:hint="eastAsia" w:ascii="宋体" w:hAnsi="宋体"/>
          <w:color w:val="000000" w:themeColor="text1"/>
          <w:sz w:val="24"/>
          <w:highlight w:val="none"/>
          <w14:textFill>
            <w14:solidFill>
              <w14:schemeClr w14:val="tx1"/>
            </w14:solidFill>
          </w14:textFill>
        </w:rPr>
        <w:t xml:space="preserve">或根据采购人授权直接确定中标人</w:t>
      </w:r>
      <w:r>
        <w:rPr>
          <w:rFonts w:hint="eastAsia" w:ascii="宋体" w:hAnsi="宋体"/>
          <w:color w:val="000000" w:themeColor="text1"/>
          <w:sz w:val="24"/>
          <w:highlight w:val="none"/>
          <w:lang w:val="zh-CN"/>
          <w14:textFill>
            <w14:solidFill>
              <w14:schemeClr w14:val="tx1"/>
            </w14:solidFill>
          </w14:textFill>
        </w:rPr>
        <w:t xml:space="preserve">。</w:t>
      </w:r>
      <w:r/>
    </w:p>
    <w:p>
      <w:pPr>
        <w:pStyle w:val="900"/>
        <w:ind w:firstLine="422"/>
        <w:spacing w:before="0" w:after="0" w:line="240" w:lineRule="auto"/>
        <w:rPr>
          <w:rFonts w:ascii="方正楷体_GBK" w:hAnsi="方正楷体_GBK" w:eastAsia="方正楷体_GBK" w:cs="方正楷体_GBK"/>
          <w:color w:val="000000" w:themeColor="text1"/>
          <w:highlight w:val="none"/>
          <w14:textFill>
            <w14:solidFill>
              <w14:schemeClr w14:val="tx1"/>
            </w14:solidFill>
          </w14:textFill>
        </w:rPr>
      </w:pPr>
      <w:r>
        <w:rPr>
          <w:rFonts w:hint="eastAsia" w:ascii="方正楷体_GBK" w:hAnsi="方正楷体_GBK" w:eastAsia="方正楷体_GBK" w:cs="方正楷体_GBK"/>
          <w:color w:val="000000" w:themeColor="text1"/>
          <w:highlight w:val="none"/>
          <w14:textFill>
            <w14:solidFill>
              <w14:schemeClr w14:val="tx1"/>
            </w14:solidFill>
          </w14:textFill>
        </w:rPr>
        <w:t xml:space="preserve">22.评标过程的保密与公正</w:t>
      </w:r>
      <w:bookmarkEnd w:id="160"/>
      <w:r/>
      <w:bookmarkEnd w:id="161"/>
      <w:r/>
      <w:bookmarkEnd w:id="162"/>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lang w:val="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凡是与审查、澄清、评价和比较投标的有关资料以及授标建议等，采购人、评委、交易中心均不得向投标人或与评标无关的其他人员透露。</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投标人不得以任何</w:t>
      </w:r>
      <w:r>
        <w:rPr>
          <w:rFonts w:hint="eastAsia" w:ascii="宋体" w:hAnsi="宋体"/>
          <w:color w:val="000000" w:themeColor="text1"/>
          <w:sz w:val="24"/>
          <w:highlight w:val="none"/>
          <w14:textFill>
            <w14:solidFill>
              <w14:schemeClr w14:val="tx1"/>
            </w14:solidFill>
          </w14:textFill>
        </w:rPr>
        <w:t xml:space="preserve">方式</w:t>
      </w:r>
      <w:r>
        <w:rPr>
          <w:rFonts w:hint="eastAsia" w:ascii="宋体" w:hAnsi="宋体"/>
          <w:color w:val="000000" w:themeColor="text1"/>
          <w:sz w:val="24"/>
          <w:highlight w:val="none"/>
          <w:lang w:val="zh-CN"/>
          <w14:textFill>
            <w14:solidFill>
              <w14:schemeClr w14:val="tx1"/>
            </w14:solidFill>
          </w14:textFill>
        </w:rPr>
        <w:t xml:space="preserve">影响评标，否则其投标文件将被作为无效投标文件。</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lang w:val="zh-CN"/>
          <w14:textFill>
            <w14:solidFill>
              <w14:schemeClr w14:val="tx1"/>
            </w14:solidFill>
          </w14:textFill>
        </w:rPr>
        <w:t xml:space="preserve">.3 交易中心和评委会不向未中标的投标人解释未中标原因，也不公布评标过程中的相关细节。</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lang w:val="zh-CN"/>
          <w14:textFill>
            <w14:solidFill>
              <w14:schemeClr w14:val="tx1"/>
            </w14:solidFill>
          </w14:textFill>
        </w:rPr>
        <w:t xml:space="preserve">.4 采用综合评分法的项目，未中标的投标人可于中标结果公告期限届满之日起通过苏采云系统查看</w:t>
      </w:r>
      <w:r>
        <w:rPr>
          <w:rFonts w:hint="eastAsia" w:ascii="宋体" w:hAnsi="宋体"/>
          <w:color w:val="000000" w:themeColor="text1"/>
          <w:sz w:val="24"/>
          <w:highlight w:val="none"/>
          <w14:textFill>
            <w14:solidFill>
              <w14:schemeClr w14:val="tx1"/>
            </w14:solidFill>
          </w14:textFill>
        </w:rPr>
        <w:t xml:space="preserve">本单位</w:t>
      </w:r>
      <w:r>
        <w:rPr>
          <w:rFonts w:hint="eastAsia" w:ascii="宋体" w:hAnsi="宋体"/>
          <w:color w:val="000000" w:themeColor="text1"/>
          <w:sz w:val="24"/>
          <w:highlight w:val="none"/>
          <w:lang w:val="zh-CN"/>
          <w14:textFill>
            <w14:solidFill>
              <w14:schemeClr w14:val="tx1"/>
            </w14:solidFill>
          </w14:textFill>
        </w:rPr>
        <w:t xml:space="preserve">的评审得分及排</w:t>
      </w:r>
      <w:r>
        <w:rPr>
          <w:rFonts w:hint="eastAsia" w:ascii="宋体" w:hAnsi="宋体"/>
          <w:color w:val="000000" w:themeColor="text1"/>
          <w:sz w:val="24"/>
          <w:highlight w:val="none"/>
          <w14:textFill>
            <w14:solidFill>
              <w14:schemeClr w14:val="tx1"/>
            </w14:solidFill>
          </w14:textFill>
        </w:rPr>
        <w:t xml:space="preserve">名</w:t>
      </w:r>
      <w:r>
        <w:rPr>
          <w:rFonts w:hint="eastAsia" w:ascii="宋体" w:hAnsi="宋体"/>
          <w:color w:val="000000" w:themeColor="text1"/>
          <w:sz w:val="24"/>
          <w:highlight w:val="none"/>
          <w:lang w:val="zh-CN"/>
          <w14:textFill>
            <w14:solidFill>
              <w14:schemeClr w14:val="tx1"/>
            </w14:solidFill>
          </w14:textFill>
        </w:rPr>
        <w:t xml:space="preserve">情况。</w:t>
      </w:r>
      <w:r/>
    </w:p>
    <w:p>
      <w:pPr>
        <w:pStyle w:val="900"/>
        <w:ind w:firstLine="422"/>
        <w:spacing w:before="0" w:after="0" w:line="240" w:lineRule="auto"/>
        <w:rPr>
          <w:rFonts w:ascii="方正楷体_GBK" w:hAnsi="方正楷体_GBK" w:eastAsia="方正楷体_GBK" w:cs="方正楷体_GBK"/>
          <w:color w:val="000000" w:themeColor="text1"/>
          <w:highlight w:val="none"/>
          <w14:textFill>
            <w14:solidFill>
              <w14:schemeClr w14:val="tx1"/>
            </w14:solidFill>
          </w14:textFill>
        </w:rPr>
      </w:pPr>
      <w:r/>
      <w:bookmarkStart w:id="163" w:name="_Toc513029232"/>
      <w:r/>
      <w:bookmarkStart w:id="164" w:name="_Toc20823304"/>
      <w:r/>
      <w:bookmarkStart w:id="165" w:name="_Toc16938548"/>
      <w:r>
        <w:rPr>
          <w:rFonts w:hint="eastAsia" w:ascii="方正楷体_GBK" w:hAnsi="方正楷体_GBK" w:eastAsia="方正楷体_GBK" w:cs="方正楷体_GBK"/>
          <w:color w:val="000000" w:themeColor="text1"/>
          <w:highlight w:val="none"/>
          <w14:textFill>
            <w14:solidFill>
              <w14:schemeClr w14:val="tx1"/>
            </w14:solidFill>
          </w14:textFill>
        </w:rPr>
        <w:t xml:space="preserve">23.投标文件的澄清</w:t>
      </w:r>
      <w:bookmarkEnd w:id="163"/>
      <w:r/>
      <w:bookmarkEnd w:id="164"/>
      <w:r/>
      <w:bookmarkEnd w:id="165"/>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投标人的澄清、说明或者补正不得超出投标文件的范围或者改变投标文件的实质性内容。</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评委会并非对每个投标人都做澄清要求。</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需要供应商进行澄清、说明和补正的，评委会将通过苏采云系统向</w:t>
      </w:r>
      <w:r>
        <w:rPr>
          <w:rFonts w:hint="eastAsia" w:ascii="宋体" w:hAnsi="宋体"/>
          <w:color w:val="000000" w:themeColor="text1"/>
          <w:sz w:val="24"/>
          <w:highlight w:val="none"/>
          <w14:textFill>
            <w14:solidFill>
              <w14:schemeClr w14:val="tx1"/>
            </w14:solidFill>
          </w14:textFill>
        </w:rPr>
        <w:t xml:space="preserve">投标人</w:t>
      </w:r>
      <w:r>
        <w:rPr>
          <w:rFonts w:hint="eastAsia" w:ascii="宋体" w:hAnsi="宋体"/>
          <w:color w:val="000000" w:themeColor="text1"/>
          <w:sz w:val="24"/>
          <w:highlight w:val="none"/>
          <w:lang w:val="zh-CN"/>
          <w14:textFill>
            <w14:solidFill>
              <w14:schemeClr w14:val="tx1"/>
            </w14:solidFill>
          </w14:textFill>
        </w:rPr>
        <w:t xml:space="preserve">发出《澄清要求函》，接到《澄清要求函》的</w:t>
      </w:r>
      <w:r>
        <w:rPr>
          <w:rFonts w:hint="eastAsia" w:ascii="宋体" w:hAnsi="宋体"/>
          <w:color w:val="000000" w:themeColor="text1"/>
          <w:sz w:val="24"/>
          <w:highlight w:val="none"/>
          <w14:textFill>
            <w14:solidFill>
              <w14:schemeClr w14:val="tx1"/>
            </w14:solidFill>
          </w14:textFill>
        </w:rPr>
        <w:t xml:space="preserve">投标人</w:t>
      </w:r>
      <w:r>
        <w:rPr>
          <w:rFonts w:hint="eastAsia" w:ascii="宋体" w:hAnsi="宋体"/>
          <w:color w:val="000000" w:themeColor="text1"/>
          <w:sz w:val="24"/>
          <w:highlight w:val="none"/>
          <w:lang w:val="zh-CN"/>
          <w14:textFill>
            <w14:solidFill>
              <w14:schemeClr w14:val="tx1"/>
            </w14:solidFill>
          </w14:textFill>
        </w:rPr>
        <w:t xml:space="preserve">应当按照要求在苏采云系统中提交《澄清响应函》并加盖电子公章。澄清、说明和补正的内容作为投标文件的补充部分，具体操作方式见《操作手册》。</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zh-CN"/>
          <w14:textFill>
            <w14:solidFill>
              <w14:schemeClr w14:val="tx1"/>
            </w14:solidFill>
          </w14:textFill>
        </w:rPr>
        <w:t xml:space="preserve">.3 接到评委会澄清、说明和补正要求的，投标人如未按规定</w:t>
      </w:r>
      <w:r>
        <w:rPr>
          <w:rFonts w:hint="eastAsia" w:ascii="宋体" w:hAnsi="宋体"/>
          <w:color w:val="000000" w:themeColor="text1"/>
          <w:sz w:val="24"/>
          <w:highlight w:val="none"/>
          <w14:textFill>
            <w14:solidFill>
              <w14:schemeClr w14:val="tx1"/>
            </w14:solidFill>
          </w14:textFill>
        </w:rPr>
        <w:t xml:space="preserve">作</w:t>
      </w:r>
      <w:r>
        <w:rPr>
          <w:rFonts w:hint="eastAsia" w:ascii="宋体" w:hAnsi="宋体"/>
          <w:color w:val="000000" w:themeColor="text1"/>
          <w:sz w:val="24"/>
          <w:highlight w:val="none"/>
          <w:lang w:val="zh-CN"/>
          <w14:textFill>
            <w14:solidFill>
              <w14:schemeClr w14:val="tx1"/>
            </w14:solidFill>
          </w14:textFill>
        </w:rPr>
        <w:t xml:space="preserve">出澄清、说明和补正，其风险由投标人自行承担。</w:t>
      </w:r>
      <w:r/>
    </w:p>
    <w:p>
      <w:pPr>
        <w:pStyle w:val="900"/>
        <w:ind w:firstLine="422"/>
        <w:spacing w:before="0" w:after="0" w:line="240" w:lineRule="auto"/>
        <w:rPr>
          <w:rFonts w:ascii="方正楷体_GBK" w:hAnsi="方正楷体_GBK" w:eastAsia="方正楷体_GBK" w:cs="方正楷体_GBK"/>
          <w:color w:val="000000" w:themeColor="text1"/>
          <w:highlight w:val="none"/>
          <w14:textFill>
            <w14:solidFill>
              <w14:schemeClr w14:val="tx1"/>
            </w14:solidFill>
          </w14:textFill>
        </w:rPr>
      </w:pPr>
      <w:r/>
      <w:bookmarkStart w:id="166" w:name="_Toc16938549"/>
      <w:r/>
      <w:bookmarkStart w:id="167" w:name="_Toc20823305"/>
      <w:r/>
      <w:bookmarkStart w:id="168" w:name="_Toc513029233"/>
      <w:r>
        <w:rPr>
          <w:rFonts w:hint="eastAsia" w:ascii="方正楷体_GBK" w:hAnsi="方正楷体_GBK" w:eastAsia="方正楷体_GBK" w:cs="方正楷体_GBK"/>
          <w:color w:val="000000" w:themeColor="text1"/>
          <w:highlight w:val="none"/>
          <w14:textFill>
            <w14:solidFill>
              <w14:schemeClr w14:val="tx1"/>
            </w14:solidFill>
          </w14:textFill>
        </w:rPr>
        <w:t xml:space="preserve">24.投标文件的</w:t>
      </w:r>
      <w:bookmarkEnd w:id="166"/>
      <w:r/>
      <w:bookmarkEnd w:id="167"/>
      <w:r/>
      <w:bookmarkEnd w:id="168"/>
      <w:r>
        <w:rPr>
          <w:rFonts w:hint="eastAsia" w:ascii="方正楷体_GBK" w:hAnsi="方正楷体_GBK" w:eastAsia="方正楷体_GBK" w:cs="方正楷体_GBK"/>
          <w:color w:val="000000" w:themeColor="text1"/>
          <w:highlight w:val="none"/>
          <w14:textFill>
            <w14:solidFill>
              <w14:schemeClr w14:val="tx1"/>
            </w14:solidFill>
          </w14:textFill>
        </w:rPr>
        <w:t xml:space="preserve">审查</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lang w:val="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投标文件审查分为资格审查和符合性审查。</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lang w:val="zh-CN"/>
          <w14:textFill>
            <w14:solidFill>
              <w14:schemeClr w14:val="tx1"/>
            </w14:solidFill>
          </w14:textFill>
        </w:rPr>
        <w:t xml:space="preserve">.1.1</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资格审查。依据法律法规和招标文件规定，由采购人对投标文件中的资格证明文件进行审查，</w:t>
      </w:r>
      <w:r>
        <w:rPr>
          <w:rFonts w:hint="eastAsia" w:ascii="宋体" w:hAnsi="宋体"/>
          <w:color w:val="000000" w:themeColor="text1"/>
          <w:sz w:val="24"/>
          <w:highlight w:val="none"/>
          <w14:textFill>
            <w14:solidFill>
              <w14:schemeClr w14:val="tx1"/>
            </w14:solidFill>
          </w14:textFill>
        </w:rPr>
        <w:t xml:space="preserve">并</w:t>
      </w:r>
      <w:r>
        <w:rPr>
          <w:rFonts w:hint="eastAsia" w:ascii="宋体" w:hAnsi="宋体"/>
          <w:color w:val="000000" w:themeColor="text1"/>
          <w:sz w:val="24"/>
          <w:highlight w:val="none"/>
          <w:lang w:val="zh-CN"/>
          <w14:textFill>
            <w14:solidFill>
              <w14:schemeClr w14:val="tx1"/>
            </w14:solidFill>
          </w14:textFill>
        </w:rPr>
        <w:t xml:space="preserve">向评委会反馈</w:t>
      </w:r>
      <w:r>
        <w:rPr>
          <w:rFonts w:hint="eastAsia" w:ascii="宋体" w:hAnsi="宋体"/>
          <w:color w:val="000000" w:themeColor="text1"/>
          <w:sz w:val="24"/>
          <w:highlight w:val="none"/>
          <w14:textFill>
            <w14:solidFill>
              <w14:schemeClr w14:val="tx1"/>
            </w14:solidFill>
          </w14:textFill>
        </w:rPr>
        <w:t xml:space="preserve">审查结论</w:t>
      </w:r>
      <w:r>
        <w:rPr>
          <w:rFonts w:hint="eastAsia" w:ascii="宋体" w:hAnsi="宋体"/>
          <w:color w:val="000000" w:themeColor="text1"/>
          <w:sz w:val="24"/>
          <w:highlight w:val="none"/>
          <w:lang w:val="zh-CN"/>
          <w14:textFill>
            <w14:solidFill>
              <w14:schemeClr w14:val="tx1"/>
            </w14:solidFill>
          </w14:textFill>
        </w:rPr>
        <w:t xml:space="preserve">。</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采购人进行资格审查时，将在“信用中国”网站（www.creditchina.gov.cn）查询投标人的信用记录，以确定投标人是否具备投标资格，查询结果留存并归档。</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接受联合体的项目，联合体成员存在不良信用记录的，视同联合体存在不良</w:t>
      </w:r>
      <w:r>
        <w:rPr>
          <w:rFonts w:hint="eastAsia" w:ascii="宋体" w:hAnsi="宋体"/>
          <w:color w:val="000000" w:themeColor="text1"/>
          <w:sz w:val="24"/>
          <w:highlight w:val="none"/>
          <w14:textFill>
            <w14:solidFill>
              <w14:schemeClr w14:val="tx1"/>
            </w14:solidFill>
          </w14:textFill>
        </w:rPr>
        <w:t xml:space="preserve">信</w:t>
      </w:r>
      <w:r>
        <w:rPr>
          <w:rFonts w:hint="eastAsia" w:ascii="宋体" w:hAnsi="宋体"/>
          <w:color w:val="000000" w:themeColor="text1"/>
          <w:sz w:val="24"/>
          <w:highlight w:val="none"/>
          <w:lang w:val="zh-CN"/>
          <w14:textFill>
            <w14:solidFill>
              <w14:schemeClr w14:val="tx1"/>
            </w14:solidFill>
          </w14:textFill>
        </w:rPr>
        <w:t xml:space="preserve">用记录。</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lang w:val="zh-CN"/>
          <w14:textFill>
            <w14:solidFill>
              <w14:schemeClr w14:val="tx1"/>
            </w14:solidFill>
          </w14:textFill>
        </w:rPr>
        <w:t xml:space="preserve">.1.2</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符合性审查。依据招标文件的规定，由评委会从有效性、完整性和对招标文件的响应程度</w:t>
      </w:r>
      <w:r>
        <w:rPr>
          <w:rFonts w:hint="eastAsia" w:ascii="宋体" w:hAnsi="宋体"/>
          <w:color w:val="000000" w:themeColor="text1"/>
          <w:sz w:val="24"/>
          <w:highlight w:val="none"/>
          <w14:textFill>
            <w14:solidFill>
              <w14:schemeClr w14:val="tx1"/>
            </w14:solidFill>
          </w14:textFill>
        </w:rPr>
        <w:t xml:space="preserve">等方面对投标文件</w:t>
      </w:r>
      <w:r>
        <w:rPr>
          <w:rFonts w:hint="eastAsia" w:ascii="宋体" w:hAnsi="宋体"/>
          <w:color w:val="000000" w:themeColor="text1"/>
          <w:sz w:val="24"/>
          <w:highlight w:val="none"/>
          <w:lang w:val="zh-CN"/>
          <w14:textFill>
            <w14:solidFill>
              <w14:schemeClr w14:val="tx1"/>
            </w14:solidFill>
          </w14:textFill>
        </w:rPr>
        <w:t xml:space="preserve">进行审查，以确定是否对招标文件的实质性要求作出响应。</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lang w:val="zh-CN"/>
          <w14:textFill>
            <w14:solidFill>
              <w14:schemeClr w14:val="tx1"/>
            </w14:solidFill>
          </w14:textFill>
        </w:rPr>
        <w:t xml:space="preserve">.1.3</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未通过资格审查或符合性审查的投标人，交易中心将</w:t>
      </w:r>
      <w:r>
        <w:rPr>
          <w:rFonts w:hint="eastAsia" w:ascii="宋体" w:hAnsi="宋体"/>
          <w:color w:val="000000" w:themeColor="text1"/>
          <w:sz w:val="24"/>
          <w:highlight w:val="none"/>
          <w14:textFill>
            <w14:solidFill>
              <w14:schemeClr w14:val="tx1"/>
            </w14:solidFill>
          </w14:textFill>
        </w:rPr>
        <w:t xml:space="preserve">通过</w:t>
      </w:r>
      <w:r>
        <w:rPr>
          <w:rFonts w:hint="eastAsia" w:ascii="宋体" w:hAnsi="宋体"/>
          <w:color w:val="000000" w:themeColor="text1"/>
          <w:sz w:val="24"/>
          <w:highlight w:val="none"/>
          <w:lang w:val="zh-CN"/>
          <w14:textFill>
            <w14:solidFill>
              <w14:schemeClr w14:val="tx1"/>
            </w14:solidFill>
          </w14:textFill>
        </w:rPr>
        <w:t xml:space="preserve">苏采云系统告知</w:t>
      </w:r>
      <w:r>
        <w:rPr>
          <w:rFonts w:hint="eastAsia" w:ascii="宋体" w:hAnsi="宋体"/>
          <w:color w:val="000000" w:themeColor="text1"/>
          <w:sz w:val="24"/>
          <w:highlight w:val="none"/>
          <w14:textFill>
            <w14:solidFill>
              <w14:schemeClr w14:val="tx1"/>
            </w14:solidFill>
          </w14:textFill>
        </w:rPr>
        <w:t xml:space="preserve">其具体</w:t>
      </w:r>
      <w:r>
        <w:rPr>
          <w:rFonts w:hint="eastAsia" w:ascii="宋体" w:hAnsi="宋体"/>
          <w:color w:val="000000" w:themeColor="text1"/>
          <w:sz w:val="24"/>
          <w:highlight w:val="none"/>
          <w:lang w:val="zh-CN"/>
          <w14:textFill>
            <w14:solidFill>
              <w14:schemeClr w14:val="tx1"/>
            </w14:solidFill>
          </w14:textFill>
        </w:rPr>
        <w:t xml:space="preserve">原因，评标结束后</w:t>
      </w:r>
      <w:r>
        <w:rPr>
          <w:rFonts w:hint="eastAsia" w:ascii="宋体" w:hAnsi="宋体"/>
          <w:color w:val="000000" w:themeColor="text1"/>
          <w:sz w:val="24"/>
          <w:highlight w:val="none"/>
          <w14:textFill>
            <w14:solidFill>
              <w14:schemeClr w14:val="tx1"/>
            </w14:solidFill>
          </w14:textFill>
        </w:rPr>
        <w:t xml:space="preserve">不再接受有关询问</w:t>
      </w:r>
      <w:r>
        <w:rPr>
          <w:rFonts w:hint="eastAsia" w:ascii="宋体" w:hAnsi="宋体"/>
          <w:color w:val="000000" w:themeColor="text1"/>
          <w:sz w:val="24"/>
          <w:highlight w:val="none"/>
          <w:lang w:val="zh-CN"/>
          <w14:textFill>
            <w14:solidFill>
              <w14:schemeClr w14:val="tx1"/>
            </w14:solidFill>
          </w14:textFill>
        </w:rPr>
        <w:t xml:space="preserve">。</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评委会</w:t>
      </w:r>
      <w:r>
        <w:rPr>
          <w:rFonts w:hint="eastAsia" w:ascii="宋体" w:hAnsi="宋体"/>
          <w:color w:val="000000" w:themeColor="text1"/>
          <w:sz w:val="24"/>
          <w:highlight w:val="none"/>
          <w14:textFill>
            <w14:solidFill>
              <w14:schemeClr w14:val="tx1"/>
            </w14:solidFill>
          </w14:textFill>
        </w:rPr>
        <w:t xml:space="preserve">仅对</w:t>
      </w:r>
      <w:r>
        <w:rPr>
          <w:rFonts w:hint="eastAsia" w:ascii="宋体" w:hAnsi="宋体"/>
          <w:color w:val="000000" w:themeColor="text1"/>
          <w:sz w:val="24"/>
          <w:highlight w:val="none"/>
          <w:lang w:val="zh-CN"/>
          <w14:textFill>
            <w14:solidFill>
              <w14:schemeClr w14:val="tx1"/>
            </w14:solidFill>
          </w14:textFill>
        </w:rPr>
        <w:t xml:space="preserve">实质性响应招标文件要求</w:t>
      </w:r>
      <w:r>
        <w:rPr>
          <w:rFonts w:hint="eastAsia" w:ascii="宋体" w:hAnsi="宋体"/>
          <w:color w:val="000000" w:themeColor="text1"/>
          <w:sz w:val="24"/>
          <w:highlight w:val="none"/>
          <w14:textFill>
            <w14:solidFill>
              <w14:schemeClr w14:val="tx1"/>
            </w14:solidFill>
          </w14:textFill>
        </w:rPr>
        <w:t xml:space="preserve">的投标文件进行详细评审</w:t>
      </w:r>
      <w:r>
        <w:rPr>
          <w:rFonts w:hint="eastAsia" w:ascii="宋体" w:hAnsi="宋体"/>
          <w:color w:val="000000" w:themeColor="text1"/>
          <w:sz w:val="24"/>
          <w:highlight w:val="none"/>
          <w:lang w:val="zh-CN"/>
          <w14:textFill>
            <w14:solidFill>
              <w14:schemeClr w14:val="tx1"/>
            </w14:solidFill>
          </w14:textFill>
        </w:rPr>
        <w:t xml:space="preserve">。实质性响应的投标文件应该是与招标文件要求的全部条款、条件和规格相符，没有重大偏离或保留的文件。</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所谓重大偏离或保留是指与招标文件规定的实质性要求存在负偏离，或者在实质上与招标文件不一致，而且限制了合同中</w:t>
      </w:r>
      <w:r>
        <w:rPr>
          <w:rFonts w:hint="eastAsia" w:ascii="宋体" w:hAnsi="宋体"/>
          <w:color w:val="000000" w:themeColor="text1"/>
          <w:sz w:val="24"/>
          <w:highlight w:val="none"/>
          <w14:textFill>
            <w14:solidFill>
              <w14:schemeClr w14:val="tx1"/>
            </w14:solidFill>
          </w14:textFill>
        </w:rPr>
        <w:t xml:space="preserve">采购人</w:t>
      </w:r>
      <w:r>
        <w:rPr>
          <w:rFonts w:hint="eastAsia" w:ascii="宋体" w:hAnsi="宋体"/>
          <w:color w:val="000000" w:themeColor="text1"/>
          <w:sz w:val="24"/>
          <w:highlight w:val="none"/>
          <w:lang w:val="zh-CN"/>
          <w14:textFill>
            <w14:solidFill>
              <w14:schemeClr w14:val="tx1"/>
            </w14:solidFill>
          </w14:textFill>
        </w:rPr>
        <w:t xml:space="preserve">的权利或投标人的义务，纠正这些偏离或保留将会对其他实质性响应的投标人产生不公正的影响。重大偏离的认定</w:t>
      </w:r>
      <w:r>
        <w:rPr>
          <w:rFonts w:hint="eastAsia" w:ascii="宋体" w:hAnsi="宋体"/>
          <w:color w:val="000000" w:themeColor="text1"/>
          <w:sz w:val="24"/>
          <w:highlight w:val="none"/>
          <w14:textFill>
            <w14:solidFill>
              <w14:schemeClr w14:val="tx1"/>
            </w14:solidFill>
          </w14:textFill>
        </w:rPr>
        <w:t xml:space="preserve">由</w:t>
      </w:r>
      <w:r>
        <w:rPr>
          <w:rFonts w:hint="eastAsia" w:ascii="宋体" w:hAnsi="宋体"/>
          <w:color w:val="000000" w:themeColor="text1"/>
          <w:sz w:val="24"/>
          <w:highlight w:val="none"/>
          <w:lang w:val="zh-CN"/>
          <w14:textFill>
            <w14:solidFill>
              <w14:schemeClr w14:val="tx1"/>
            </w14:solidFill>
          </w14:textFill>
        </w:rPr>
        <w:t xml:space="preserve">评委会</w:t>
      </w:r>
      <w:r>
        <w:rPr>
          <w:rFonts w:hint="eastAsia" w:ascii="宋体" w:hAnsi="宋体"/>
          <w:color w:val="000000" w:themeColor="text1"/>
          <w:sz w:val="24"/>
          <w:highlight w:val="none"/>
          <w14:textFill>
            <w14:solidFill>
              <w14:schemeClr w14:val="tx1"/>
            </w14:solidFill>
          </w14:textFill>
        </w:rPr>
        <w:t xml:space="preserve">按照</w:t>
      </w:r>
      <w:r>
        <w:rPr>
          <w:rFonts w:hint="eastAsia" w:ascii="宋体" w:hAnsi="宋体"/>
          <w:color w:val="000000" w:themeColor="text1"/>
          <w:sz w:val="24"/>
          <w:highlight w:val="none"/>
          <w:lang w:val="zh-CN"/>
          <w14:textFill>
            <w14:solidFill>
              <w14:schemeClr w14:val="tx1"/>
            </w14:solidFill>
          </w14:textFill>
        </w:rPr>
        <w:t xml:space="preserve">少数服从多数的原则作出结论。评委</w:t>
      </w:r>
      <w:r>
        <w:rPr>
          <w:rFonts w:hint="eastAsia" w:ascii="宋体" w:hAnsi="宋体"/>
          <w:color w:val="000000" w:themeColor="text1"/>
          <w:sz w:val="24"/>
          <w:highlight w:val="none"/>
          <w14:textFill>
            <w14:solidFill>
              <w14:schemeClr w14:val="tx1"/>
            </w14:solidFill>
          </w14:textFill>
        </w:rPr>
        <w:t xml:space="preserve">会认</w:t>
      </w:r>
      <w:r>
        <w:rPr>
          <w:rFonts w:hint="eastAsia" w:ascii="宋体" w:hAnsi="宋体"/>
          <w:color w:val="000000" w:themeColor="text1"/>
          <w:sz w:val="24"/>
          <w:highlight w:val="none"/>
          <w:lang w:val="zh-CN"/>
          <w14:textFill>
            <w14:solidFill>
              <w14:schemeClr w14:val="tx1"/>
            </w14:solidFill>
          </w14:textFill>
        </w:rPr>
        <w:t xml:space="preserve">定投标文件的响应性只根据投标文件本身的内容，而不寻求外部的证据。</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lang w:val="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如果投标文件实质上没有响应招标文件的要求，评委会将予以拒绝，投标人不得通过修改或撤销不合要求的偏离或保留而使其投标成为实质性响应的投标。</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lang w:val="zh-CN"/>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（1）投标文件中开标一览表内容与投标文件中相应内容不一致的，以开标一览表为准；</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（2）大写金额和小写金额不一致的，以大写金额为准；</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（3）单价金额小数点或者百分比有明显错位的，以开标一览表的总价为准，并修改单价；</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（4）总价金额与按单价汇总金额不一致的，以单价金额计算结果为准。</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同时出现两种以上错误的，按照前款规定的顺序修正。</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lang w:val="zh-CN"/>
          <w14:textFill>
            <w14:solidFill>
              <w14:schemeClr w14:val="tx1"/>
            </w14:solidFill>
          </w14:textFill>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hint="eastAsia" w:ascii="宋体" w:hAnsi="宋体"/>
          <w:color w:val="000000" w:themeColor="text1"/>
          <w:sz w:val="24"/>
          <w:highlight w:val="none"/>
          <w:lang w:val="zh-CN"/>
          <w14:textFill>
            <w14:solidFill>
              <w14:schemeClr w14:val="tx1"/>
            </w14:solidFill>
          </w14:textFill>
        </w:rPr>
      </w:pPr>
      <w:r/>
      <w:bookmarkStart w:id="169" w:name="_Toc16938550"/>
      <w:r/>
      <w:bookmarkStart w:id="170" w:name="_Toc20823306"/>
      <w:r/>
      <w:bookmarkStart w:id="171" w:name="_Toc513029234"/>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lang w:val="zh-CN"/>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投标人在开、评标全过程中应保持通讯畅通，及时登录苏采云系统查阅、答复相关信息，并安排专人与交易中心及评委会联系。</w:t>
      </w:r>
      <w:r/>
    </w:p>
    <w:p>
      <w:pPr>
        <w:ind w:firstLine="420"/>
        <w:rPr>
          <w:rFonts w:hint="eastAsia" w:ascii="宋体" w:hAnsi="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24.7 异常低价投标审查</w:t>
      </w:r>
      <w:r/>
    </w:p>
    <w:p>
      <w:pPr>
        <w:ind w:firstLine="420"/>
        <w:spacing w:line="240" w:lineRule="auto"/>
        <w:rPr>
          <w:rFonts w:hint="eastAsia" w:ascii="宋体" w:hAnsi="宋体" w:eastAsia="宋体" w:cs="Times New Roman"/>
          <w:color w:val="000000" w:themeColor="text1"/>
          <w:sz w:val="24"/>
          <w:szCs w:val="22"/>
          <w:highlight w:val="none"/>
          <w:lang w:val="zh-CN"/>
          <w14:textFill>
            <w14:solidFill>
              <w14:schemeClr w14:val="tx1"/>
            </w14:solidFill>
          </w14:textFill>
        </w:rPr>
      </w:pP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2</w:t>
      </w:r>
      <w:r>
        <w:rPr>
          <w:rFonts w:hint="eastAsia" w:ascii="宋体" w:hAnsi="宋体" w:eastAsia="宋体" w:cs="Times New Roman"/>
          <w:color w:val="000000" w:themeColor="text1"/>
          <w:sz w:val="24"/>
          <w:szCs w:val="22"/>
          <w:highlight w:val="none"/>
          <w:lang w:val="en-US" w:eastAsia="zh-CN"/>
          <w14:textFill>
            <w14:solidFill>
              <w14:schemeClr w14:val="tx1"/>
            </w14:solidFill>
          </w14:textFill>
        </w:rPr>
        <w:t xml:space="preserve">4</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en-US" w:eastAsia="zh-CN"/>
          <w14:textFill>
            <w14:solidFill>
              <w14:schemeClr w14:val="tx1"/>
            </w14:solidFill>
          </w14:textFill>
        </w:rPr>
        <w:t xml:space="preserve">7</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评标过程中出现下列情形之一的，</w:t>
      </w:r>
      <w:r>
        <w:rPr>
          <w:rFonts w:hint="eastAsia" w:ascii="宋体" w:hAnsi="宋体" w:eastAsia="宋体" w:cs="Times New Roman"/>
          <w:color w:val="000000" w:themeColor="text1"/>
          <w:sz w:val="24"/>
          <w:highlight w:val="none"/>
          <w:lang w:val="zh-CN"/>
          <w14:textFill>
            <w14:solidFill>
              <w14:schemeClr w14:val="tx1"/>
            </w14:solidFill>
          </w14:textFill>
        </w:rPr>
        <w:t xml:space="preserve">评委会</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应当启动异常低价投标审查程序：</w:t>
      </w:r>
      <w:r/>
    </w:p>
    <w:p>
      <w:pPr>
        <w:ind w:firstLine="420"/>
        <w:spacing w:line="240" w:lineRule="auto"/>
        <w:rPr>
          <w:rFonts w:hint="eastAsia" w:ascii="宋体" w:hAnsi="宋体" w:eastAsia="宋体" w:cs="Times New Roman"/>
          <w:color w:val="000000" w:themeColor="text1"/>
          <w:sz w:val="24"/>
          <w:szCs w:val="22"/>
          <w:highlight w:val="none"/>
          <w:lang w:val="zh-CN"/>
          <w14:textFill>
            <w14:solidFill>
              <w14:schemeClr w14:val="tx1"/>
            </w14:solidFill>
          </w14:textFill>
        </w:rPr>
      </w:pP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（1）投标报价低于全部通过符合性审查供应商投标报价平均值</w:t>
      </w:r>
      <w:r>
        <w:rPr>
          <w:rFonts w:hint="eastAsia" w:ascii="宋体" w:hAnsi="宋体" w:cs="Times New Roman"/>
          <w:color w:val="000000" w:themeColor="text1"/>
          <w:sz w:val="24"/>
          <w:szCs w:val="22"/>
          <w:highlight w:val="none"/>
          <w:u w:val="single"/>
          <w:lang w:val="en-US" w:eastAsia="zh-CN"/>
          <w14:textFill>
            <w14:solidFill>
              <w14:schemeClr w14:val="tx1"/>
            </w14:solidFill>
          </w14:textFill>
        </w:rPr>
        <w:t xml:space="preserve">65</w:t>
      </w:r>
      <w:r>
        <w:rPr>
          <w:rFonts w:hint="eastAsia" w:ascii="宋体" w:hAnsi="宋体" w:eastAsia="宋体" w:cs="Times New Roman"/>
          <w:color w:val="000000" w:themeColor="text1"/>
          <w:sz w:val="24"/>
          <w:szCs w:val="22"/>
          <w:highlight w:val="none"/>
          <w:u w:val="single"/>
          <w:lang w:val="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的，即投标报价&lt;全部通过符合性审查供应商投标报价平均值×</w:t>
      </w:r>
      <w:r>
        <w:rPr>
          <w:rFonts w:hint="eastAsia" w:ascii="宋体" w:hAnsi="宋体" w:cs="Times New Roman"/>
          <w:color w:val="000000" w:themeColor="text1"/>
          <w:sz w:val="24"/>
          <w:szCs w:val="22"/>
          <w:highlight w:val="none"/>
          <w:u w:val="single"/>
          <w:lang w:val="en-US" w:eastAsia="zh-CN"/>
          <w14:textFill>
            <w14:solidFill>
              <w14:schemeClr w14:val="tx1"/>
            </w14:solidFill>
          </w14:textFill>
        </w:rPr>
        <w:t xml:space="preserve">65</w:t>
      </w:r>
      <w:r>
        <w:rPr>
          <w:rFonts w:hint="eastAsia" w:ascii="宋体" w:hAnsi="宋体" w:eastAsia="宋体" w:cs="Times New Roman"/>
          <w:color w:val="000000" w:themeColor="text1"/>
          <w:sz w:val="24"/>
          <w:szCs w:val="22"/>
          <w:highlight w:val="none"/>
          <w:u w:val="single"/>
          <w:lang w:val="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w:t>
      </w:r>
      <w:r/>
    </w:p>
    <w:p>
      <w:pPr>
        <w:ind w:firstLine="420"/>
        <w:spacing w:line="240" w:lineRule="auto"/>
        <w:rPr>
          <w:rFonts w:hint="eastAsia" w:ascii="宋体" w:hAnsi="宋体" w:eastAsia="宋体" w:cs="Times New Roman"/>
          <w:color w:val="000000" w:themeColor="text1"/>
          <w:sz w:val="24"/>
          <w:szCs w:val="22"/>
          <w:highlight w:val="none"/>
          <w:lang w:val="zh-CN"/>
          <w14:textFill>
            <w14:solidFill>
              <w14:schemeClr w14:val="tx1"/>
            </w14:solidFill>
          </w14:textFill>
        </w:rPr>
      </w:pP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（2）投标报价低于通过符合性审查的次低报价供应商投标报价</w:t>
      </w:r>
      <w:r>
        <w:rPr>
          <w:rFonts w:hint="eastAsia" w:ascii="宋体" w:hAnsi="宋体" w:cs="Times New Roman"/>
          <w:color w:val="000000" w:themeColor="text1"/>
          <w:sz w:val="24"/>
          <w:szCs w:val="22"/>
          <w:highlight w:val="none"/>
          <w:u w:val="single"/>
          <w:lang w:val="en-US" w:eastAsia="zh-CN"/>
          <w14:textFill>
            <w14:solidFill>
              <w14:schemeClr w14:val="tx1"/>
            </w14:solidFill>
          </w14:textFill>
        </w:rPr>
        <w:t xml:space="preserve">65</w:t>
      </w:r>
      <w:r>
        <w:rPr>
          <w:rFonts w:hint="eastAsia" w:ascii="宋体" w:hAnsi="宋体" w:eastAsia="宋体" w:cs="Times New Roman"/>
          <w:color w:val="000000" w:themeColor="text1"/>
          <w:sz w:val="24"/>
          <w:szCs w:val="22"/>
          <w:highlight w:val="none"/>
          <w:u w:val="single"/>
          <w:lang w:val="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的，即投标报价&lt;通过符合性审查的次低报价供应商投标报价×</w:t>
      </w:r>
      <w:r>
        <w:rPr>
          <w:rFonts w:hint="eastAsia" w:ascii="宋体" w:hAnsi="宋体" w:cs="Times New Roman"/>
          <w:color w:val="000000" w:themeColor="text1"/>
          <w:sz w:val="24"/>
          <w:szCs w:val="22"/>
          <w:highlight w:val="none"/>
          <w:u w:val="single"/>
          <w:lang w:val="en-US" w:eastAsia="zh-CN"/>
          <w14:textFill>
            <w14:solidFill>
              <w14:schemeClr w14:val="tx1"/>
            </w14:solidFill>
          </w14:textFill>
        </w:rPr>
        <w:t xml:space="preserve">65</w:t>
      </w:r>
      <w:r>
        <w:rPr>
          <w:rFonts w:hint="eastAsia" w:ascii="宋体" w:hAnsi="宋体" w:eastAsia="宋体" w:cs="Times New Roman"/>
          <w:color w:val="000000" w:themeColor="text1"/>
          <w:sz w:val="24"/>
          <w:szCs w:val="22"/>
          <w:highlight w:val="none"/>
          <w:u w:val="single"/>
          <w:lang w:val="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w:t>
      </w:r>
      <w:r/>
    </w:p>
    <w:p>
      <w:pPr>
        <w:ind w:firstLine="420"/>
        <w:spacing w:line="240" w:lineRule="auto"/>
        <w:rPr>
          <w:rFonts w:hint="eastAsia" w:ascii="宋体" w:hAnsi="宋体" w:eastAsia="宋体" w:cs="Times New Roman"/>
          <w:color w:val="000000" w:themeColor="text1"/>
          <w:sz w:val="24"/>
          <w:szCs w:val="22"/>
          <w:highlight w:val="none"/>
          <w:lang w:val="zh-CN" w:eastAsia="zh-CN"/>
          <w14:textFill>
            <w14:solidFill>
              <w14:schemeClr w14:val="tx1"/>
            </w14:solidFill>
          </w14:textFill>
        </w:rPr>
      </w:pPr>
      <w:r>
        <w:rPr>
          <w:rFonts w:hint="eastAsia" w:ascii="宋体" w:hAnsi="宋体" w:eastAsia="宋体" w:cs="Times New Roman"/>
          <w:color w:val="000000" w:themeColor="text1"/>
          <w:sz w:val="24"/>
          <w:szCs w:val="22"/>
          <w:highlight w:val="none"/>
          <w:lang w:val="zh-CN" w:eastAsia="zh-CN"/>
          <w14:textFill>
            <w14:solidFill>
              <w14:schemeClr w14:val="tx1"/>
            </w14:solidFill>
          </w14:textFill>
        </w:rPr>
        <w:t xml:space="preserve">（3）投标报价低于采购项目最高限价</w:t>
      </w:r>
      <w:r>
        <w:rPr>
          <w:rFonts w:hint="eastAsia" w:ascii="宋体" w:hAnsi="宋体" w:cs="Times New Roman"/>
          <w:color w:val="000000" w:themeColor="text1"/>
          <w:sz w:val="24"/>
          <w:szCs w:val="22"/>
          <w:highlight w:val="none"/>
          <w:u w:val="single"/>
          <w:lang w:val="en-US" w:eastAsia="zh-CN"/>
          <w14:textFill>
            <w14:solidFill>
              <w14:schemeClr w14:val="tx1"/>
            </w14:solidFill>
          </w14:textFill>
        </w:rPr>
        <w:t xml:space="preserve">65</w:t>
      </w:r>
      <w:r>
        <w:rPr>
          <w:rFonts w:hint="eastAsia" w:ascii="宋体" w:hAnsi="宋体" w:eastAsia="宋体" w:cs="Times New Roman"/>
          <w:color w:val="000000" w:themeColor="text1"/>
          <w:sz w:val="24"/>
          <w:szCs w:val="22"/>
          <w:highlight w:val="none"/>
          <w:u w:val="single"/>
          <w:lang w:val="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zh-CN" w:eastAsia="zh-CN"/>
          <w14:textFill>
            <w14:solidFill>
              <w14:schemeClr w14:val="tx1"/>
            </w14:solidFill>
          </w14:textFill>
        </w:rPr>
        <w:t xml:space="preserve">的，即投标报价&lt;采购项目最高限价×</w:t>
      </w:r>
      <w:r>
        <w:rPr>
          <w:rFonts w:hint="eastAsia" w:ascii="宋体" w:hAnsi="宋体" w:cs="Times New Roman"/>
          <w:color w:val="000000" w:themeColor="text1"/>
          <w:sz w:val="24"/>
          <w:szCs w:val="22"/>
          <w:highlight w:val="none"/>
          <w:u w:val="single"/>
          <w:lang w:val="en-US" w:eastAsia="zh-CN"/>
          <w14:textFill>
            <w14:solidFill>
              <w14:schemeClr w14:val="tx1"/>
            </w14:solidFill>
          </w14:textFill>
        </w:rPr>
        <w:t xml:space="preserve">65</w:t>
      </w:r>
      <w:r>
        <w:rPr>
          <w:rFonts w:hint="eastAsia" w:ascii="宋体" w:hAnsi="宋体" w:eastAsia="宋体" w:cs="Times New Roman"/>
          <w:color w:val="000000" w:themeColor="text1"/>
          <w:sz w:val="24"/>
          <w:szCs w:val="22"/>
          <w:highlight w:val="none"/>
          <w:u w:val="single"/>
          <w:lang w:val="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zh-CN" w:eastAsia="zh-CN"/>
          <w14:textFill>
            <w14:solidFill>
              <w14:schemeClr w14:val="tx1"/>
            </w14:solidFill>
          </w14:textFill>
        </w:rPr>
        <w:t xml:space="preserve">；</w:t>
      </w:r>
      <w:r/>
    </w:p>
    <w:p>
      <w:pPr>
        <w:ind w:firstLine="420"/>
        <w:spacing w:line="240" w:lineRule="auto"/>
        <w:rPr>
          <w:color w:val="000000" w:themeColor="text1"/>
          <w:highlight w:val="none"/>
          <w14:textFill>
            <w14:solidFill>
              <w14:schemeClr w14:val="tx1"/>
            </w14:solidFill>
          </w14:textFill>
        </w:rPr>
      </w:pP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zh-CN" w:eastAsia="zh-CN"/>
          <w14:textFill>
            <w14:solidFill>
              <w14:schemeClr w14:val="tx1"/>
            </w14:solidFill>
          </w14:textFill>
        </w:rPr>
        <w:t xml:space="preserve">4</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w:t>
      </w:r>
      <w:r>
        <w:rPr>
          <w:rFonts w:hint="eastAsia" w:ascii="宋体" w:hAnsi="宋体" w:eastAsia="宋体" w:cs="Times New Roman"/>
          <w:color w:val="000000" w:themeColor="text1"/>
          <w:sz w:val="24"/>
          <w:highlight w:val="none"/>
          <w:lang w:val="zh-CN"/>
          <w14:textFill>
            <w14:solidFill>
              <w14:schemeClr w14:val="tx1"/>
            </w14:solidFill>
          </w14:textFill>
        </w:rPr>
        <w:t xml:space="preserve">评委会</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基于专业判断，认为供应商报价过低，有可能影响产品质量或者不能诚信履约的其他情形。</w:t>
      </w:r>
      <w:r/>
    </w:p>
    <w:p>
      <w:pPr>
        <w:ind w:firstLine="420"/>
        <w:spacing w:line="240" w:lineRule="auto"/>
        <w:rPr>
          <w:rFonts w:hint="eastAsia" w:ascii="宋体" w:hAnsi="宋体" w:eastAsia="宋体" w:cs="Times New Roman"/>
          <w:color w:val="000000" w:themeColor="text1"/>
          <w:sz w:val="24"/>
          <w:szCs w:val="22"/>
          <w:highlight w:val="none"/>
          <w:lang w:val="zh-CN" w:eastAsia="zh-CN"/>
          <w14:textFill>
            <w14:solidFill>
              <w14:schemeClr w14:val="tx1"/>
            </w14:solidFill>
          </w14:textFill>
        </w:rPr>
      </w:pP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2</w:t>
      </w:r>
      <w:r>
        <w:rPr>
          <w:rFonts w:hint="eastAsia" w:ascii="宋体" w:hAnsi="宋体" w:eastAsia="宋体" w:cs="Times New Roman"/>
          <w:color w:val="000000" w:themeColor="text1"/>
          <w:sz w:val="24"/>
          <w:szCs w:val="22"/>
          <w:highlight w:val="none"/>
          <w:lang w:val="en-US" w:eastAsia="zh-CN"/>
          <w14:textFill>
            <w14:solidFill>
              <w14:schemeClr w14:val="tx1"/>
            </w14:solidFill>
          </w14:textFill>
        </w:rPr>
        <w:t xml:space="preserve">4</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en-US" w:eastAsia="zh-CN"/>
          <w14:textFill>
            <w14:solidFill>
              <w14:schemeClr w14:val="tx1"/>
            </w14:solidFill>
          </w14:textFill>
        </w:rPr>
        <w:t xml:space="preserve">7</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highlight w:val="none"/>
          <w:lang w:val="zh-CN"/>
          <w14:textFill>
            <w14:solidFill>
              <w14:schemeClr w14:val="tx1"/>
            </w14:solidFill>
          </w14:textFill>
        </w:rPr>
        <w:t xml:space="preserve">评委会</w:t>
      </w:r>
      <w:r>
        <w:rPr>
          <w:rFonts w:hint="eastAsia" w:ascii="宋体" w:hAnsi="宋体" w:eastAsia="宋体" w:cs="Times New Roman"/>
          <w:color w:val="000000" w:themeColor="text1"/>
          <w:sz w:val="24"/>
          <w:szCs w:val="22"/>
          <w:highlight w:val="none"/>
          <w:lang w:val="zh-CN" w:eastAsia="zh-CN"/>
          <w14:textFill>
            <w14:solidFill>
              <w14:schemeClr w14:val="tx1"/>
            </w14:solidFill>
          </w14:textFill>
        </w:rPr>
        <w:t xml:space="preserve">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72" w:name="OLE_LINK2"/>
      <w:r>
        <w:rPr>
          <w:rFonts w:hint="eastAsia" w:ascii="宋体" w:hAnsi="宋体" w:eastAsia="宋体" w:cs="Times New Roman"/>
          <w:color w:val="000000" w:themeColor="text1"/>
          <w:sz w:val="24"/>
          <w:szCs w:val="22"/>
          <w:highlight w:val="none"/>
          <w:lang w:val="zh-CN" w:eastAsia="zh-CN"/>
          <w14:textFill>
            <w14:solidFill>
              <w14:schemeClr w14:val="tx1"/>
            </w14:solidFill>
          </w14:textFill>
        </w:rPr>
        <w:t xml:space="preserve">供应商已随投标文件一并提交相关书面说明及必要的证明材料的，在评标现场可不再重复提交</w:t>
      </w:r>
      <w:bookmarkEnd w:id="172"/>
      <w:r>
        <w:rPr>
          <w:rFonts w:hint="eastAsia" w:ascii="宋体" w:hAnsi="宋体" w:eastAsia="宋体" w:cs="Times New Roman"/>
          <w:color w:val="000000" w:themeColor="text1"/>
          <w:sz w:val="24"/>
          <w:szCs w:val="22"/>
          <w:highlight w:val="none"/>
          <w:lang w:val="zh-CN" w:eastAsia="zh-CN"/>
          <w14:textFill>
            <w14:solidFill>
              <w14:schemeClr w14:val="tx1"/>
            </w14:solidFill>
          </w14:textFill>
        </w:rPr>
        <w:t xml:space="preserve">。</w:t>
      </w:r>
      <w:r/>
    </w:p>
    <w:p>
      <w:pPr>
        <w:ind w:firstLine="420"/>
        <w:spacing w:line="240" w:lineRule="auto"/>
        <w:rPr>
          <w:rFonts w:hint="default"/>
          <w:color w:val="000000" w:themeColor="text1"/>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zh-CN"/>
          <w14:textFill>
            <w14:solidFill>
              <w14:schemeClr w14:val="tx1"/>
            </w14:solidFill>
          </w14:textFill>
        </w:rPr>
        <w:t xml:space="preserve">评委会</w:t>
      </w:r>
      <w:r>
        <w:rPr>
          <w:rFonts w:hint="eastAsia" w:ascii="宋体" w:hAnsi="宋体" w:eastAsia="宋体" w:cs="Times New Roman"/>
          <w:color w:val="000000" w:themeColor="text1"/>
          <w:sz w:val="24"/>
          <w:szCs w:val="22"/>
          <w:highlight w:val="none"/>
          <w:lang w:val="zh-CN" w:eastAsia="zh-CN"/>
          <w14:textFill>
            <w14:solidFill>
              <w14:schemeClr w14:val="tx1"/>
            </w14:solidFill>
          </w14:textFill>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themeColor="text1"/>
          <w:sz w:val="24"/>
          <w:highlight w:val="none"/>
          <w:lang w:val="zh-CN"/>
          <w14:textFill>
            <w14:solidFill>
              <w14:schemeClr w14:val="tx1"/>
            </w14:solidFill>
          </w14:textFill>
        </w:rPr>
        <w:t xml:space="preserve">评委会</w:t>
      </w:r>
      <w:r>
        <w:rPr>
          <w:rFonts w:hint="eastAsia" w:ascii="宋体" w:hAnsi="宋体" w:eastAsia="宋体" w:cs="Times New Roman"/>
          <w:color w:val="000000" w:themeColor="text1"/>
          <w:sz w:val="24"/>
          <w:szCs w:val="22"/>
          <w:highlight w:val="none"/>
          <w:lang w:val="zh-CN" w:eastAsia="zh-CN"/>
          <w14:textFill>
            <w14:solidFill>
              <w14:schemeClr w14:val="tx1"/>
            </w14:solidFill>
          </w14:textFill>
        </w:rPr>
        <w:t xml:space="preserve">应当将其作为无效投标处理。</w:t>
      </w:r>
      <w:r/>
    </w:p>
    <w:p>
      <w:pPr>
        <w:pStyle w:val="900"/>
        <w:ind w:firstLine="422"/>
        <w:spacing w:before="0" w:after="0" w:line="240" w:lineRule="auto"/>
        <w:rPr>
          <w:rFonts w:ascii="方正楷体_GBK" w:hAnsi="方正楷体_GBK" w:eastAsia="方正楷体_GBK" w:cs="方正楷体_GBK"/>
          <w:color w:val="000000" w:themeColor="text1"/>
          <w:highlight w:val="none"/>
          <w14:textFill>
            <w14:solidFill>
              <w14:schemeClr w14:val="tx1"/>
            </w14:solidFill>
          </w14:textFill>
        </w:rPr>
      </w:pPr>
      <w:r>
        <w:rPr>
          <w:rFonts w:hint="eastAsia" w:ascii="方正楷体_GBK" w:hAnsi="方正楷体_GBK" w:eastAsia="方正楷体_GBK" w:cs="方正楷体_GBK"/>
          <w:color w:val="000000" w:themeColor="text1"/>
          <w:highlight w:val="none"/>
          <w14:textFill>
            <w14:solidFill>
              <w14:schemeClr w14:val="tx1"/>
            </w14:solidFill>
          </w14:textFill>
        </w:rPr>
        <w:t xml:space="preserve">2</w:t>
      </w:r>
      <w:bookmarkEnd w:id="169"/>
      <w:r/>
      <w:bookmarkEnd w:id="170"/>
      <w:r/>
      <w:bookmarkEnd w:id="171"/>
      <w:r>
        <w:rPr>
          <w:rFonts w:hint="eastAsia" w:ascii="方正楷体_GBK" w:hAnsi="方正楷体_GBK" w:eastAsia="方正楷体_GBK" w:cs="方正楷体_GBK"/>
          <w:color w:val="000000" w:themeColor="text1"/>
          <w:highlight w:val="none"/>
          <w14:textFill>
            <w14:solidFill>
              <w14:schemeClr w14:val="tx1"/>
            </w14:solidFill>
          </w14:textFill>
        </w:rPr>
        <w:t xml:space="preserve">5.无效投标和废标</w:t>
      </w:r>
      <w:r/>
    </w:p>
    <w:p>
      <w:pPr>
        <w:ind w:firstLine="420"/>
        <w:rPr>
          <w:rFonts w:hint="eastAsia" w:ascii="宋体" w:hAnsi="宋体"/>
          <w:color w:val="000000" w:themeColor="text1"/>
          <w:sz w:val="24"/>
          <w:highlight w:val="none"/>
          <w:lang w:val="zh-CN"/>
          <w14:textFill>
            <w14:solidFill>
              <w14:schemeClr w14:val="tx1"/>
            </w14:solidFill>
          </w14:textFill>
        </w:rPr>
      </w:pPr>
      <w:r/>
      <w:bookmarkStart w:id="173" w:name="_Toc20823307"/>
      <w:r/>
      <w:bookmarkStart w:id="174" w:name="_Toc513029235"/>
      <w:r/>
      <w:bookmarkStart w:id="175" w:name="_Toc16938551"/>
      <w:r/>
      <w:bookmarkStart w:id="176" w:name="_Toc120614219"/>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无效投标</w:t>
      </w:r>
      <w:r>
        <w:rPr>
          <w:rFonts w:hint="eastAsia" w:ascii="宋体" w:hAnsi="宋体"/>
          <w:color w:val="000000" w:themeColor="text1"/>
          <w:sz w:val="24"/>
          <w:highlight w:val="none"/>
          <w14:textFill>
            <w14:solidFill>
              <w14:schemeClr w14:val="tx1"/>
            </w14:solidFill>
          </w14:textFill>
        </w:rPr>
        <w:t xml:space="preserve">情形</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.1.1</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投标人在苏采云系统规定的时间内未成功解密电子投标文件。</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.1.2</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投标人未按照招标文件要求上传电子投标文件。</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.1.3</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同一投标人提交两个（含两个）以上不同的投标报价。</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.1.4</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投标人不具备招标文件中规定资格要求。</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.1.5</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投标人的报价超过了采购预算或最高限价</w:t>
      </w:r>
      <w:r>
        <w:rPr>
          <w:rFonts w:hint="eastAsia" w:ascii="宋体" w:hAnsi="宋体"/>
          <w:color w:val="000000" w:themeColor="text1"/>
          <w:sz w:val="24"/>
          <w:highlight w:val="none"/>
          <w14:textFill>
            <w14:solidFill>
              <w14:schemeClr w14:val="tx1"/>
            </w14:solidFill>
          </w14:textFill>
        </w:rPr>
        <w:t xml:space="preserve">或单价上限</w:t>
      </w:r>
      <w:r>
        <w:rPr>
          <w:rFonts w:hint="eastAsia" w:ascii="宋体" w:hAnsi="宋体"/>
          <w:color w:val="000000" w:themeColor="text1"/>
          <w:sz w:val="24"/>
          <w:highlight w:val="none"/>
          <w:lang w:val="zh-CN"/>
          <w14:textFill>
            <w14:solidFill>
              <w14:schemeClr w14:val="tx1"/>
            </w14:solidFill>
          </w14:textFill>
        </w:rPr>
        <w:t xml:space="preserve">。</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.1.6</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未通过符合性审查。</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.1.7</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不符合招标文件中实质性要求和条件（</w:t>
      </w:r>
      <w:r>
        <w:rPr>
          <w:rFonts w:hint="eastAsia" w:ascii="宋体" w:hAnsi="宋体"/>
          <w:b/>
          <w:bCs/>
          <w:color w:val="000000" w:themeColor="text1"/>
          <w:sz w:val="24"/>
          <w:highlight w:val="none"/>
          <w:lang w:val="zh-CN"/>
          <w14:textFill>
            <w14:solidFill>
              <w14:schemeClr w14:val="tx1"/>
            </w14:solidFill>
          </w14:textFill>
        </w:rPr>
        <w:t xml:space="preserve">本文件中斜体且有下划线部分，或者打“</w:t>
      </w:r>
      <w:r>
        <w:rPr>
          <w:rFonts w:hint="eastAsia" w:ascii="宋体" w:hAnsi="宋体"/>
          <w:b/>
          <w:bCs/>
          <w:color w:val="000000" w:themeColor="text1"/>
          <w:sz w:val="24"/>
          <w:highlight w:val="none"/>
          <w14:textFill>
            <w14:solidFill>
              <w14:schemeClr w14:val="tx1"/>
            </w14:solidFill>
          </w14:textFill>
        </w:rPr>
        <w:t xml:space="preserve">★</w:t>
      </w:r>
      <w:r>
        <w:rPr>
          <w:rFonts w:hint="eastAsia" w:ascii="宋体" w:hAnsi="宋体"/>
          <w:b/>
          <w:bCs/>
          <w:color w:val="000000" w:themeColor="text1"/>
          <w:sz w:val="24"/>
          <w:highlight w:val="none"/>
          <w:lang w:val="zh-CN"/>
          <w14:textFill>
            <w14:solidFill>
              <w14:schemeClr w14:val="tx1"/>
            </w14:solidFill>
          </w14:textFill>
        </w:rPr>
        <w:t xml:space="preserve">”内容为实质性要求和条件</w:t>
      </w:r>
      <w:r>
        <w:rPr>
          <w:rFonts w:hint="eastAsia" w:ascii="宋体" w:hAnsi="宋体"/>
          <w:color w:val="000000" w:themeColor="text1"/>
          <w:sz w:val="24"/>
          <w:highlight w:val="none"/>
          <w:lang w:val="zh-CN"/>
          <w14:textFill>
            <w14:solidFill>
              <w14:schemeClr w14:val="tx1"/>
            </w14:solidFill>
          </w14:textFill>
        </w:rPr>
        <w:t xml:space="preserve">）。</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.1.8</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.1.9</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投标文件含有采购人不能接受的附加条件。</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25.1.10 评委会按照本招标文件规定对投标人进行异常低价投标审查后，认为投标人不能证明其报价合理性的。</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25.1.11 采购产品被财政部、国家发改委、生态环境部等列入“节能产品品目清单”强制采购范围，而投标人提供的产品不在强制采购范围内。</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25.1.12 投标文件未按照招标文件要求加盖电子公章。</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.1.1</w:t>
      </w:r>
      <w:r>
        <w:rPr>
          <w:rFonts w:hint="eastAsia" w:ascii="宋体" w:hAnsi="宋体"/>
          <w:color w:val="000000" w:themeColor="text1"/>
          <w:sz w:val="24"/>
          <w:highlight w:val="none"/>
          <w14:textFill>
            <w14:solidFill>
              <w14:schemeClr w14:val="tx1"/>
            </w14:solidFill>
          </w14:textFill>
        </w:rPr>
        <w:t xml:space="preserve">3 </w:t>
      </w:r>
      <w:r>
        <w:rPr>
          <w:rFonts w:hint="eastAsia" w:ascii="宋体" w:hAnsi="宋体"/>
          <w:color w:val="000000" w:themeColor="text1"/>
          <w:sz w:val="24"/>
          <w:highlight w:val="none"/>
          <w:lang w:val="zh-CN"/>
          <w14:textFill>
            <w14:solidFill>
              <w14:schemeClr w14:val="tx1"/>
            </w14:solidFill>
          </w14:textFill>
        </w:rPr>
        <w:t xml:space="preserve">法律法规及本招标文件规定的</w:t>
      </w:r>
      <w:r>
        <w:rPr>
          <w:rFonts w:hint="eastAsia" w:ascii="宋体" w:hAnsi="宋体"/>
          <w:color w:val="000000" w:themeColor="text1"/>
          <w:sz w:val="24"/>
          <w:highlight w:val="none"/>
          <w14:textFill>
            <w14:solidFill>
              <w14:schemeClr w14:val="tx1"/>
            </w14:solidFill>
          </w14:textFill>
        </w:rPr>
        <w:t xml:space="preserve">其他</w:t>
      </w:r>
      <w:r>
        <w:rPr>
          <w:rFonts w:hint="eastAsia" w:ascii="宋体" w:hAnsi="宋体"/>
          <w:color w:val="000000" w:themeColor="text1"/>
          <w:sz w:val="24"/>
          <w:highlight w:val="none"/>
          <w:lang w:val="zh-CN"/>
          <w14:textFill>
            <w14:solidFill>
              <w14:schemeClr w14:val="tx1"/>
            </w14:solidFill>
          </w14:textFill>
        </w:rPr>
        <w:t xml:space="preserve">无效投标情形。</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废标</w:t>
      </w:r>
      <w:r>
        <w:rPr>
          <w:rFonts w:hint="eastAsia" w:ascii="宋体" w:hAnsi="宋体"/>
          <w:color w:val="000000" w:themeColor="text1"/>
          <w:sz w:val="24"/>
          <w:highlight w:val="none"/>
          <w14:textFill>
            <w14:solidFill>
              <w14:schemeClr w14:val="tx1"/>
            </w14:solidFill>
          </w14:textFill>
        </w:rPr>
        <w:t xml:space="preserve">情形</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.2.1</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符合资格条件的供应商或者对招标文件作实质响应的供应商不足三家。</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.2.2</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出现影响采购公正的违法、违规行为。</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.2.3</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因重大变故采购任务取消。</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.2.4</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评委会认定招标文件存在歧义、重大缺陷导致评审工作无法进行。</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25.2.5 因苏采云系统故障造成开标不成功。</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25.3 如出现投标截止时间后参加投标的供应商或者对招标文件作出实质性响应的供应商不足三家的情况，按政府采购相关规定执行。</w:t>
      </w:r>
      <w:r/>
    </w:p>
    <w:p>
      <w:pPr>
        <w:ind w:firstLine="420"/>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val="zh-CN"/>
          <w14:textFill>
            <w14:solidFill>
              <w14:schemeClr w14:val="tx1"/>
            </w14:solidFill>
          </w14:textFill>
        </w:rPr>
        <w:t xml:space="preserve">25.4 如出现25.2.1或25.3情形，招标活动失败，评审委员会</w:t>
      </w:r>
      <w:r>
        <w:rPr>
          <w:rFonts w:hint="eastAsia" w:ascii="宋体" w:hAnsi="宋体"/>
          <w:b/>
          <w:bCs/>
          <w:color w:val="000000" w:themeColor="text1"/>
          <w:sz w:val="24"/>
          <w:highlight w:val="none"/>
          <w14:textFill>
            <w14:solidFill>
              <w14:schemeClr w14:val="tx1"/>
            </w14:solidFill>
          </w14:textFill>
        </w:rPr>
        <w:t xml:space="preserve">应</w:t>
      </w:r>
      <w:r>
        <w:rPr>
          <w:rFonts w:hint="eastAsia" w:ascii="宋体" w:hAnsi="宋体"/>
          <w:b/>
          <w:bCs/>
          <w:color w:val="000000" w:themeColor="text1"/>
          <w:sz w:val="24"/>
          <w:highlight w:val="none"/>
          <w:lang w:bidi="ar"/>
          <w14:textFill>
            <w14:solidFill>
              <w14:schemeClr w14:val="tx1"/>
            </w14:solidFill>
          </w14:textFill>
        </w:rPr>
        <w:t xml:space="preserve">对</w:t>
      </w:r>
      <w:r>
        <w:rPr>
          <w:rFonts w:hint="eastAsia" w:ascii="宋体" w:hAnsi="宋体"/>
          <w:b/>
          <w:bCs/>
          <w:color w:val="000000" w:themeColor="text1"/>
          <w:sz w:val="24"/>
          <w:highlight w:val="none"/>
          <w:lang w:val="zh-CN" w:bidi="ar"/>
          <w14:textFill>
            <w14:solidFill>
              <w14:schemeClr w14:val="tx1"/>
            </w14:solidFill>
          </w14:textFill>
        </w:rPr>
        <w:t xml:space="preserve">招标文件是否存在不合理条款</w:t>
      </w:r>
      <w:r>
        <w:rPr>
          <w:rFonts w:hint="eastAsia" w:ascii="宋体" w:hAnsi="宋体"/>
          <w:b/>
          <w:bCs/>
          <w:color w:val="000000" w:themeColor="text1"/>
          <w:sz w:val="24"/>
          <w:highlight w:val="none"/>
          <w:lang w:bidi="ar"/>
          <w14:textFill>
            <w14:solidFill>
              <w14:schemeClr w14:val="tx1"/>
            </w14:solidFill>
          </w14:textFill>
        </w:rPr>
        <w:t xml:space="preserve">进行论证，并在评审报告中写明</w:t>
      </w:r>
      <w:r>
        <w:rPr>
          <w:rFonts w:hint="eastAsia" w:ascii="宋体" w:hAnsi="宋体"/>
          <w:b/>
          <w:bCs/>
          <w:color w:val="000000" w:themeColor="text1"/>
          <w:sz w:val="24"/>
          <w:highlight w:val="none"/>
          <w:lang w:val="zh-CN" w:bidi="ar"/>
          <w14:textFill>
            <w14:solidFill>
              <w14:schemeClr w14:val="tx1"/>
            </w14:solidFill>
          </w14:textFill>
        </w:rPr>
        <w:t xml:space="preserve">论证意见。</w:t>
      </w:r>
      <w:r/>
    </w:p>
    <w:p>
      <w:pPr>
        <w:pStyle w:val="897"/>
        <w:ind w:firstLine="465"/>
        <w:spacing w:before="145" w:after="145" w:line="240" w:lineRule="auto"/>
        <w:rPr>
          <w:rFonts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六、</w:t>
      </w:r>
      <w:bookmarkEnd w:id="173"/>
      <w:r/>
      <w:bookmarkEnd w:id="174"/>
      <w:r/>
      <w:bookmarkEnd w:id="175"/>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定标</w:t>
      </w:r>
      <w:bookmarkEnd w:id="176"/>
      <w:r/>
      <w:r/>
    </w:p>
    <w:p>
      <w:pPr>
        <w:pStyle w:val="900"/>
        <w:ind w:firstLine="422"/>
        <w:spacing w:before="0" w:after="0" w:line="240" w:lineRule="auto"/>
        <w:rPr>
          <w:rFonts w:ascii="方正楷体_GBK" w:hAnsi="方正楷体_GBK" w:eastAsia="方正楷体_GBK" w:cs="方正楷体_GBK"/>
          <w:color w:val="000000" w:themeColor="text1"/>
          <w:highlight w:val="none"/>
          <w14:textFill>
            <w14:solidFill>
              <w14:schemeClr w14:val="tx1"/>
            </w14:solidFill>
          </w14:textFill>
        </w:rPr>
      </w:pPr>
      <w:r/>
      <w:bookmarkStart w:id="177" w:name="_Toc513029238"/>
      <w:r/>
      <w:bookmarkStart w:id="178" w:name="_Toc16938554"/>
      <w:r/>
      <w:bookmarkStart w:id="179" w:name="_Toc20823310"/>
      <w:r>
        <w:rPr>
          <w:rFonts w:hint="eastAsia" w:ascii="方正楷体_GBK" w:hAnsi="方正楷体_GBK" w:eastAsia="方正楷体_GBK" w:cs="方正楷体_GBK"/>
          <w:color w:val="000000" w:themeColor="text1"/>
          <w:highlight w:val="none"/>
          <w14:textFill>
            <w14:solidFill>
              <w14:schemeClr w14:val="tx1"/>
            </w14:solidFill>
          </w14:textFill>
        </w:rPr>
        <w:t xml:space="preserve">2</w:t>
      </w:r>
      <w:bookmarkEnd w:id="177"/>
      <w:r>
        <w:rPr>
          <w:rFonts w:hint="eastAsia" w:ascii="方正楷体_GBK" w:hAnsi="方正楷体_GBK" w:eastAsia="方正楷体_GBK" w:cs="方正楷体_GBK"/>
          <w:color w:val="000000" w:themeColor="text1"/>
          <w:highlight w:val="none"/>
          <w14:textFill>
            <w14:solidFill>
              <w14:schemeClr w14:val="tx1"/>
            </w14:solidFill>
          </w14:textFill>
        </w:rPr>
        <w:t xml:space="preserve">6.确定</w:t>
      </w:r>
      <w:bookmarkEnd w:id="178"/>
      <w:r/>
      <w:bookmarkEnd w:id="179"/>
      <w:r>
        <w:rPr>
          <w:rFonts w:hint="eastAsia" w:ascii="方正楷体_GBK" w:hAnsi="方正楷体_GBK" w:eastAsia="方正楷体_GBK" w:cs="方正楷体_GBK"/>
          <w:color w:val="000000" w:themeColor="text1"/>
          <w:highlight w:val="none"/>
          <w14:textFill>
            <w14:solidFill>
              <w14:schemeClr w14:val="tx1"/>
            </w14:solidFill>
          </w14:textFill>
        </w:rPr>
        <w:t xml:space="preserve">中标单位</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6</w:t>
      </w:r>
      <w:r>
        <w:rPr>
          <w:rFonts w:hint="eastAsia" w:ascii="宋体" w:hAnsi="宋体"/>
          <w:color w:val="000000" w:themeColor="text1"/>
          <w:sz w:val="24"/>
          <w:highlight w:val="none"/>
          <w:lang w:val="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中标候选人的</w:t>
      </w:r>
      <w:r>
        <w:rPr>
          <w:rFonts w:hint="eastAsia" w:ascii="宋体" w:hAnsi="宋体"/>
          <w:color w:val="000000" w:themeColor="text1"/>
          <w:sz w:val="24"/>
          <w:highlight w:val="none"/>
          <w14:textFill>
            <w14:solidFill>
              <w14:schemeClr w14:val="tx1"/>
            </w14:solidFill>
          </w14:textFill>
        </w:rPr>
        <w:t xml:space="preserve">确定</w:t>
      </w:r>
      <w:r>
        <w:rPr>
          <w:rFonts w:hint="eastAsia" w:ascii="宋体" w:hAnsi="宋体"/>
          <w:color w:val="000000" w:themeColor="text1"/>
          <w:sz w:val="24"/>
          <w:highlight w:val="none"/>
          <w:lang w:val="zh-CN"/>
          <w14:textFill>
            <w14:solidFill>
              <w14:schemeClr w14:val="tx1"/>
            </w14:solidFill>
          </w14:textFill>
        </w:rPr>
        <w:t xml:space="preserve">原则和数量见招标文件第五章。 </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6</w:t>
      </w:r>
      <w:r>
        <w:rPr>
          <w:rFonts w:hint="eastAsia" w:ascii="宋体" w:hAnsi="宋体"/>
          <w:color w:val="000000" w:themeColor="text1"/>
          <w:sz w:val="24"/>
          <w:highlight w:val="none"/>
          <w:lang w:val="zh-CN"/>
          <w14:textFill>
            <w14:solidFill>
              <w14:schemeClr w14:val="tx1"/>
            </w14:solidFill>
          </w14:textFill>
        </w:rPr>
        <w:t xml:space="preserve">.2 按以下第（</w:t>
      </w:r>
      <w:r>
        <w:rPr>
          <w:rFonts w:hint="eastAsia"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lang w:val="zh-CN"/>
          <w14:textFill>
            <w14:solidFill>
              <w14:schemeClr w14:val="tx1"/>
            </w14:solidFill>
          </w14:textFill>
        </w:rPr>
        <w:t xml:space="preserve">）种方式确定中标人：</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（1）评委会直接确定排名第一的中标候选人为中标人；</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（2）采购人在评委会推荐的中标候选人中按顺序确定中标人。</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按第二种方式确定中标人的，交易中心自评审结束之日起两个工作日内将评审报告送</w:t>
      </w:r>
      <w:r>
        <w:rPr>
          <w:rFonts w:hint="eastAsia" w:ascii="宋体" w:hAnsi="宋体"/>
          <w:color w:val="000000" w:themeColor="text1"/>
          <w:sz w:val="24"/>
          <w:highlight w:val="none"/>
          <w14:textFill>
            <w14:solidFill>
              <w14:schemeClr w14:val="tx1"/>
            </w14:solidFill>
          </w14:textFill>
        </w:rPr>
        <w:t xml:space="preserve">达</w:t>
      </w:r>
      <w:r>
        <w:rPr>
          <w:rFonts w:hint="eastAsia" w:ascii="宋体" w:hAnsi="宋体"/>
          <w:color w:val="000000" w:themeColor="text1"/>
          <w:sz w:val="24"/>
          <w:highlight w:val="none"/>
          <w:lang w:val="zh-CN"/>
          <w14:textFill>
            <w14:solidFill>
              <w14:schemeClr w14:val="tx1"/>
            </w14:solidFill>
          </w14:textFill>
        </w:rPr>
        <w:t xml:space="preserve">采购人，采购人自收到评审报告之日起五个工作日内，在评审报告推荐的中标候选人中按顺序确定中标人。</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6</w:t>
      </w:r>
      <w:r>
        <w:rPr>
          <w:rFonts w:hint="eastAsia" w:ascii="宋体" w:hAnsi="宋体"/>
          <w:color w:val="000000" w:themeColor="text1"/>
          <w:sz w:val="24"/>
          <w:highlight w:val="none"/>
          <w:lang w:val="zh-CN"/>
          <w14:textFill>
            <w14:solidFill>
              <w14:schemeClr w14:val="tx1"/>
            </w14:solidFill>
          </w14:textFill>
        </w:rPr>
        <w:t xml:space="preserve">.3 交易中心将在“江苏政府采购网”发布中标公告，公告期限为1个工作日。</w:t>
      </w:r>
      <w:r/>
    </w:p>
    <w:p>
      <w:pPr>
        <w:ind w:firstLine="420"/>
        <w:rPr>
          <w:rFonts w:hint="eastAsia" w:ascii="宋体" w:hAnsi="宋体"/>
          <w:b/>
          <w:bCs/>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6</w:t>
      </w:r>
      <w:r>
        <w:rPr>
          <w:rFonts w:hint="eastAsia" w:ascii="宋体" w:hAnsi="宋体"/>
          <w:color w:val="000000" w:themeColor="text1"/>
          <w:sz w:val="24"/>
          <w:highlight w:val="none"/>
          <w:lang w:val="zh-CN"/>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b/>
          <w:bCs/>
          <w:color w:val="000000" w:themeColor="text1"/>
          <w:sz w:val="24"/>
          <w:highlight w:val="none"/>
          <w:lang w:val="zh-CN"/>
          <w14:textFill>
            <w14:solidFill>
              <w14:schemeClr w14:val="tx1"/>
            </w14:solidFill>
          </w14:textFill>
        </w:rPr>
        <w:t xml:space="preserve">若有充分证据证明中标人</w:t>
      </w:r>
      <w:r>
        <w:rPr>
          <w:rFonts w:hint="eastAsia" w:ascii="宋体" w:hAnsi="宋体"/>
          <w:b/>
          <w:bCs/>
          <w:color w:val="000000" w:themeColor="text1"/>
          <w:sz w:val="24"/>
          <w:highlight w:val="none"/>
          <w14:textFill>
            <w14:solidFill>
              <w14:schemeClr w14:val="tx1"/>
            </w14:solidFill>
          </w14:textFill>
        </w:rPr>
        <w:t xml:space="preserve">有</w:t>
      </w:r>
      <w:r>
        <w:rPr>
          <w:rFonts w:hint="eastAsia" w:ascii="宋体" w:hAnsi="宋体"/>
          <w:b/>
          <w:bCs/>
          <w:color w:val="000000" w:themeColor="text1"/>
          <w:sz w:val="24"/>
          <w:highlight w:val="none"/>
          <w:lang w:val="zh-CN"/>
          <w14:textFill>
            <w14:solidFill>
              <w14:schemeClr w14:val="tx1"/>
            </w14:solidFill>
          </w14:textFill>
        </w:rPr>
        <w:t xml:space="preserve">下列情况之一的，一经查实将被取消中标资格：</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6</w:t>
      </w:r>
      <w:r>
        <w:rPr>
          <w:rFonts w:hint="eastAsia" w:ascii="宋体" w:hAnsi="宋体"/>
          <w:color w:val="000000" w:themeColor="text1"/>
          <w:sz w:val="24"/>
          <w:highlight w:val="none"/>
          <w:lang w:val="zh-CN"/>
          <w14:textFill>
            <w14:solidFill>
              <w14:schemeClr w14:val="tx1"/>
            </w14:solidFill>
          </w14:textFill>
        </w:rPr>
        <w:t xml:space="preserve">.4.1</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提供虚假材料谋取中标。</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6</w:t>
      </w:r>
      <w:r>
        <w:rPr>
          <w:rFonts w:hint="eastAsia" w:ascii="宋体" w:hAnsi="宋体"/>
          <w:color w:val="000000" w:themeColor="text1"/>
          <w:sz w:val="24"/>
          <w:highlight w:val="none"/>
          <w:lang w:val="zh-CN"/>
          <w14:textFill>
            <w14:solidFill>
              <w14:schemeClr w14:val="tx1"/>
            </w14:solidFill>
          </w14:textFill>
        </w:rPr>
        <w:t xml:space="preserve">.4.2</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向评审专家、采购人或交易中心工作人员行贿或者提供其他不正当利益。</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6</w:t>
      </w:r>
      <w:r>
        <w:rPr>
          <w:rFonts w:hint="eastAsia" w:ascii="宋体" w:hAnsi="宋体"/>
          <w:color w:val="000000" w:themeColor="text1"/>
          <w:sz w:val="24"/>
          <w:highlight w:val="none"/>
          <w:lang w:val="zh-CN"/>
          <w14:textFill>
            <w14:solidFill>
              <w14:schemeClr w14:val="tx1"/>
            </w14:solidFill>
          </w14:textFill>
        </w:rPr>
        <w:t xml:space="preserve">.4.3</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与其他供应商、评审专家、采购人或交易中心工作人员恶意串通。</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6</w:t>
      </w:r>
      <w:r>
        <w:rPr>
          <w:rFonts w:hint="eastAsia" w:ascii="宋体" w:hAnsi="宋体"/>
          <w:color w:val="000000" w:themeColor="text1"/>
          <w:sz w:val="24"/>
          <w:highlight w:val="none"/>
          <w:lang w:val="zh-CN"/>
          <w14:textFill>
            <w14:solidFill>
              <w14:schemeClr w14:val="tx1"/>
            </w14:solidFill>
          </w14:textFill>
        </w:rPr>
        <w:t xml:space="preserve">.4.4</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属于本文件规定的无效</w:t>
      </w:r>
      <w:r>
        <w:rPr>
          <w:rFonts w:hint="eastAsia" w:ascii="宋体" w:hAnsi="宋体"/>
          <w:color w:val="000000" w:themeColor="text1"/>
          <w:sz w:val="24"/>
          <w:highlight w:val="none"/>
          <w14:textFill>
            <w14:solidFill>
              <w14:schemeClr w14:val="tx1"/>
            </w14:solidFill>
          </w14:textFill>
        </w:rPr>
        <w:t xml:space="preserve">投标情形</w:t>
      </w:r>
      <w:r>
        <w:rPr>
          <w:rFonts w:hint="eastAsia" w:ascii="宋体" w:hAnsi="宋体"/>
          <w:color w:val="000000" w:themeColor="text1"/>
          <w:sz w:val="24"/>
          <w:highlight w:val="none"/>
          <w:lang w:val="zh-CN"/>
          <w14:textFill>
            <w14:solidFill>
              <w14:schemeClr w14:val="tx1"/>
            </w14:solidFill>
          </w14:textFill>
        </w:rPr>
        <w:t xml:space="preserve">，但在评标过程中未被评委会发现。</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6</w:t>
      </w:r>
      <w:r>
        <w:rPr>
          <w:rFonts w:hint="eastAsia" w:ascii="宋体" w:hAnsi="宋体"/>
          <w:color w:val="000000" w:themeColor="text1"/>
          <w:sz w:val="24"/>
          <w:highlight w:val="none"/>
          <w:lang w:val="zh-CN"/>
          <w14:textFill>
            <w14:solidFill>
              <w14:schemeClr w14:val="tx1"/>
            </w14:solidFill>
          </w14:textFill>
        </w:rPr>
        <w:t xml:space="preserve">.4.5</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采取不正当手段诋毁、排挤其他供应商。</w:t>
      </w:r>
      <w:r/>
    </w:p>
    <w:p>
      <w:pPr>
        <w:ind w:firstLine="420"/>
        <w:rPr>
          <w:rFonts w:hint="eastAsia" w:ascii="宋体" w:hAnsi="宋体"/>
          <w:b/>
          <w:bCs/>
          <w:color w:val="000000" w:themeColor="text1"/>
          <w:sz w:val="24"/>
          <w:highlight w:val="none"/>
          <w:lang w:val="zh-CN"/>
          <w14:textFill>
            <w14:solidFill>
              <w14:schemeClr w14:val="tx1"/>
            </w14:solidFill>
          </w14:textFill>
        </w:rPr>
      </w:pPr>
      <w:r/>
      <w:bookmarkStart w:id="180" w:name="_Toc200451960"/>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6</w:t>
      </w:r>
      <w:r>
        <w:rPr>
          <w:rFonts w:hint="eastAsia" w:ascii="宋体" w:hAnsi="宋体"/>
          <w:color w:val="000000" w:themeColor="text1"/>
          <w:sz w:val="24"/>
          <w:highlight w:val="none"/>
          <w:lang w:val="zh-CN"/>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b/>
          <w:bCs/>
          <w:color w:val="000000" w:themeColor="text1"/>
          <w:sz w:val="24"/>
          <w:highlight w:val="none"/>
          <w:lang w:val="zh-CN"/>
          <w14:textFill>
            <w14:solidFill>
              <w14:schemeClr w14:val="tx1"/>
            </w14:solidFill>
          </w14:textFill>
        </w:rPr>
        <w:t xml:space="preserve">有下列情形之一的视为投标人串通投标，投标无效：</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6</w:t>
      </w:r>
      <w:r>
        <w:rPr>
          <w:rFonts w:hint="eastAsia" w:ascii="宋体" w:hAnsi="宋体"/>
          <w:color w:val="000000" w:themeColor="text1"/>
          <w:sz w:val="24"/>
          <w:highlight w:val="none"/>
          <w:lang w:val="zh-CN"/>
          <w14:textFill>
            <w14:solidFill>
              <w14:schemeClr w14:val="tx1"/>
            </w14:solidFill>
          </w14:textFill>
        </w:rPr>
        <w:t xml:space="preserve">.5.1</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不同投标人的投标文件由同一单位或者个人编制。</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6</w:t>
      </w:r>
      <w:r>
        <w:rPr>
          <w:rFonts w:hint="eastAsia" w:ascii="宋体" w:hAnsi="宋体"/>
          <w:color w:val="000000" w:themeColor="text1"/>
          <w:sz w:val="24"/>
          <w:highlight w:val="none"/>
          <w:lang w:val="zh-CN"/>
          <w14:textFill>
            <w14:solidFill>
              <w14:schemeClr w14:val="tx1"/>
            </w14:solidFill>
          </w14:textFill>
        </w:rPr>
        <w:t xml:space="preserve">.5.2</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不同投标人委托同一单位或者个人办理投标事宜。</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6</w:t>
      </w:r>
      <w:r>
        <w:rPr>
          <w:rFonts w:hint="eastAsia" w:ascii="宋体" w:hAnsi="宋体"/>
          <w:color w:val="000000" w:themeColor="text1"/>
          <w:sz w:val="24"/>
          <w:highlight w:val="none"/>
          <w:lang w:val="zh-CN"/>
          <w14:textFill>
            <w14:solidFill>
              <w14:schemeClr w14:val="tx1"/>
            </w14:solidFill>
          </w14:textFill>
        </w:rPr>
        <w:t xml:space="preserve">.5.3</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不同投标人的投标文件载明的项目管理成员或者联系人员为同一人。</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6</w:t>
      </w:r>
      <w:r>
        <w:rPr>
          <w:rFonts w:hint="eastAsia" w:ascii="宋体" w:hAnsi="宋体"/>
          <w:color w:val="000000" w:themeColor="text1"/>
          <w:sz w:val="24"/>
          <w:highlight w:val="none"/>
          <w:lang w:val="zh-CN"/>
          <w14:textFill>
            <w14:solidFill>
              <w14:schemeClr w14:val="tx1"/>
            </w14:solidFill>
          </w14:textFill>
        </w:rPr>
        <w:t xml:space="preserve">.5.4</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不同投标人的投标文件异常一致或者投标报价呈规律性差异。</w:t>
      </w:r>
      <w:bookmarkEnd w:id="180"/>
      <w:r/>
      <w:r/>
    </w:p>
    <w:p>
      <w:pPr>
        <w:pStyle w:val="900"/>
        <w:ind w:firstLine="422"/>
        <w:spacing w:before="0" w:after="0" w:line="240" w:lineRule="auto"/>
        <w:rPr>
          <w:rFonts w:ascii="方正楷体_GBK" w:hAnsi="方正楷体_GBK" w:eastAsia="方正楷体_GBK" w:cs="方正楷体_GBK"/>
          <w:color w:val="000000" w:themeColor="text1"/>
          <w:highlight w:val="none"/>
          <w14:textFill>
            <w14:solidFill>
              <w14:schemeClr w14:val="tx1"/>
            </w14:solidFill>
          </w14:textFill>
        </w:rPr>
      </w:pPr>
      <w:r>
        <w:rPr>
          <w:rFonts w:hint="eastAsia" w:ascii="方正楷体_GBK" w:hAnsi="方正楷体_GBK" w:eastAsia="方正楷体_GBK" w:cs="方正楷体_GBK"/>
          <w:color w:val="000000" w:themeColor="text1"/>
          <w:highlight w:val="none"/>
          <w14:textFill>
            <w14:solidFill>
              <w14:schemeClr w14:val="tx1"/>
            </w14:solidFill>
          </w14:textFill>
        </w:rPr>
        <w:t xml:space="preserve">27.中标通知书</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7</w:t>
      </w:r>
      <w:r>
        <w:rPr>
          <w:rFonts w:hint="eastAsia" w:ascii="宋体" w:hAnsi="宋体"/>
          <w:color w:val="000000" w:themeColor="text1"/>
          <w:sz w:val="24"/>
          <w:highlight w:val="none"/>
          <w:lang w:val="zh-CN"/>
          <w14:textFill>
            <w14:solidFill>
              <w14:schemeClr w14:val="tx1"/>
            </w14:solidFill>
          </w14:textFill>
        </w:rPr>
        <w:t xml:space="preserve">.l 中标结果确定后，交易中心将向中标人发出《中标通知书》。中标人</w:t>
      </w:r>
      <w:r>
        <w:rPr>
          <w:rFonts w:hint="eastAsia" w:ascii="宋体" w:hAnsi="宋体"/>
          <w:color w:val="000000" w:themeColor="text1"/>
          <w:sz w:val="24"/>
          <w:highlight w:val="none"/>
          <w14:textFill>
            <w14:solidFill>
              <w14:schemeClr w14:val="tx1"/>
            </w14:solidFill>
          </w14:textFill>
        </w:rPr>
        <w:t xml:space="preserve">可</w:t>
      </w:r>
      <w:r>
        <w:rPr>
          <w:rFonts w:hint="eastAsia" w:ascii="宋体" w:hAnsi="宋体"/>
          <w:color w:val="000000" w:themeColor="text1"/>
          <w:sz w:val="24"/>
          <w:highlight w:val="none"/>
          <w:lang w:val="zh-CN"/>
          <w14:textFill>
            <w14:solidFill>
              <w14:schemeClr w14:val="tx1"/>
            </w14:solidFill>
          </w14:textFill>
        </w:rPr>
        <w:t xml:space="preserve">在中标结果公告届满之日起三十日内，登录苏采云系统下载。</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7</w:t>
      </w: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中标通知书</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val="zh-CN"/>
          <w14:textFill>
            <w14:solidFill>
              <w14:schemeClr w14:val="tx1"/>
            </w14:solidFill>
          </w14:textFill>
        </w:rPr>
        <w:t xml:space="preserve">是合同的一个组成部分，对采购人和中标人均具有法律效力。《中标通知书》发出后，采购人改变中标结果或者中标人放弃中标项目的，应当依法承担法律责任。</w:t>
      </w:r>
      <w:r/>
    </w:p>
    <w:p>
      <w:pPr>
        <w:pStyle w:val="897"/>
        <w:ind w:firstLine="465"/>
        <w:spacing w:before="145" w:after="145" w:line="240" w:lineRule="auto"/>
        <w:rPr>
          <w:rFonts w:ascii="方正黑体_GBK" w:hAnsi="方正黑体_GBK" w:eastAsia="方正黑体_GBK" w:cs="方正黑体_GBK"/>
          <w:b w:val="0"/>
          <w:bCs w:val="0"/>
          <w:color w:val="000000" w:themeColor="text1"/>
          <w:sz w:val="30"/>
          <w:szCs w:val="30"/>
          <w:highlight w:val="none"/>
          <w14:textFill>
            <w14:solidFill>
              <w14:schemeClr w14:val="tx1"/>
            </w14:solidFill>
          </w14:textFill>
        </w:rPr>
      </w:pPr>
      <w:r/>
      <w:bookmarkStart w:id="181" w:name="_Toc16938552"/>
      <w:r/>
      <w:bookmarkStart w:id="182" w:name="_Toc513029236"/>
      <w:r/>
      <w:bookmarkStart w:id="183" w:name="_Toc120614220"/>
      <w:r/>
      <w:bookmarkStart w:id="184" w:name="_Toc20823308"/>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七、授予合同</w:t>
      </w:r>
      <w:bookmarkEnd w:id="181"/>
      <w:r/>
      <w:bookmarkEnd w:id="182"/>
      <w:r/>
      <w:bookmarkEnd w:id="183"/>
      <w:r/>
      <w:bookmarkEnd w:id="184"/>
      <w:r/>
      <w:r/>
    </w:p>
    <w:p>
      <w:pPr>
        <w:pStyle w:val="900"/>
        <w:ind w:firstLine="422"/>
        <w:spacing w:before="0" w:after="0" w:line="240" w:lineRule="auto"/>
        <w:rPr>
          <w:rFonts w:ascii="方正楷体_GBK" w:hAnsi="方正楷体_GBK" w:eastAsia="方正楷体_GBK" w:cs="方正楷体_GBK"/>
          <w:color w:val="000000" w:themeColor="text1"/>
          <w:highlight w:val="none"/>
          <w14:textFill>
            <w14:solidFill>
              <w14:schemeClr w14:val="tx1"/>
            </w14:solidFill>
          </w14:textFill>
        </w:rPr>
      </w:pPr>
      <w:r/>
      <w:bookmarkStart w:id="185" w:name="_Toc20823309"/>
      <w:r/>
      <w:bookmarkStart w:id="186" w:name="_Toc513029237"/>
      <w:r/>
      <w:bookmarkStart w:id="187" w:name="_Toc16938553"/>
      <w:r>
        <w:rPr>
          <w:rFonts w:hint="eastAsia" w:ascii="方正楷体_GBK" w:hAnsi="方正楷体_GBK" w:eastAsia="方正楷体_GBK" w:cs="方正楷体_GBK"/>
          <w:color w:val="000000" w:themeColor="text1"/>
          <w:highlight w:val="none"/>
          <w14:textFill>
            <w14:solidFill>
              <w14:schemeClr w14:val="tx1"/>
            </w14:solidFill>
          </w14:textFill>
        </w:rPr>
        <w:t xml:space="preserve">28.签订合同</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w:t>
      </w:r>
      <w:r>
        <w:rPr>
          <w:rFonts w:hint="eastAsia" w:ascii="宋体" w:hAnsi="宋体"/>
          <w:color w:val="000000" w:themeColor="text1"/>
          <w:sz w:val="24"/>
          <w:highlight w:val="none"/>
          <w:lang w:val="zh-CN"/>
          <w14:textFill>
            <w14:solidFill>
              <w14:schemeClr w14:val="tx1"/>
            </w14:solidFill>
          </w14:textFill>
        </w:rPr>
        <w:t xml:space="preserve">.l</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中标人应当在《中标通知书》发出之日起三十日内，按照招标文件确定的事项与采购人签订政府采购合同。采购人于合同签订后2个工作日内通过苏采云系统进行公示。</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w:t>
      </w:r>
      <w:r>
        <w:rPr>
          <w:rFonts w:hint="eastAsia" w:ascii="宋体" w:hAnsi="宋体"/>
          <w:color w:val="000000" w:themeColor="text1"/>
          <w:sz w:val="24"/>
          <w:highlight w:val="none"/>
          <w:lang w:val="zh-CN"/>
          <w14:textFill>
            <w14:solidFill>
              <w14:schemeClr w14:val="tx1"/>
            </w14:solidFill>
          </w14:textFill>
        </w:rPr>
        <w:t xml:space="preserve">.2 招标文件、中标人的投标文件及招标过程中有关澄清、承诺文件均作为合同附件。</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w:t>
      </w:r>
      <w:r>
        <w:rPr>
          <w:rFonts w:hint="eastAsia" w:ascii="宋体" w:hAnsi="宋体"/>
          <w:color w:val="000000" w:themeColor="text1"/>
          <w:sz w:val="24"/>
          <w:highlight w:val="none"/>
          <w:lang w:val="zh-CN"/>
          <w14:textFill>
            <w14:solidFill>
              <w14:schemeClr w14:val="tx1"/>
            </w14:solidFill>
          </w14:textFill>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w:t>
      </w:r>
      <w:r>
        <w:rPr>
          <w:rFonts w:hint="eastAsia" w:ascii="宋体" w:hAnsi="宋体"/>
          <w:color w:val="000000" w:themeColor="text1"/>
          <w:sz w:val="24"/>
          <w:highlight w:val="none"/>
          <w:lang w:val="zh-CN"/>
          <w14:textFill>
            <w14:solidFill>
              <w14:schemeClr w14:val="tx1"/>
            </w14:solidFill>
          </w14:textFill>
        </w:rPr>
        <w:t xml:space="preserve">.4 中标人因自身原因拒绝与采购人签订合同的，不得参加采购人</w:t>
      </w:r>
      <w:r>
        <w:rPr>
          <w:rFonts w:hint="eastAsia" w:ascii="宋体" w:hAnsi="宋体"/>
          <w:color w:val="000000" w:themeColor="text1"/>
          <w:sz w:val="24"/>
          <w:highlight w:val="none"/>
          <w14:textFill>
            <w14:solidFill>
              <w14:schemeClr w14:val="tx1"/>
            </w14:solidFill>
          </w14:textFill>
        </w:rPr>
        <w:t xml:space="preserve">重新组织的</w:t>
      </w:r>
      <w:r>
        <w:rPr>
          <w:rFonts w:hint="eastAsia" w:ascii="宋体" w:hAnsi="宋体"/>
          <w:color w:val="000000" w:themeColor="text1"/>
          <w:sz w:val="24"/>
          <w:highlight w:val="none"/>
          <w:lang w:val="zh-CN"/>
          <w14:textFill>
            <w14:solidFill>
              <w14:schemeClr w14:val="tx1"/>
            </w14:solidFill>
          </w14:textFill>
        </w:rPr>
        <w:t xml:space="preserve">采购活动</w:t>
      </w:r>
      <w:r>
        <w:rPr>
          <w:rFonts w:hint="eastAsia"/>
          <w:color w:val="000000" w:themeColor="text1"/>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且将可能被拒绝参加该采购人</w:t>
      </w:r>
      <w:r>
        <w:rPr>
          <w:rFonts w:hint="eastAsia" w:ascii="宋体" w:hAnsi="宋体"/>
          <w:color w:val="000000" w:themeColor="text1"/>
          <w:sz w:val="24"/>
          <w:highlight w:val="none"/>
          <w:lang w:val="zh-CN"/>
          <w14:textFill>
            <w14:solidFill>
              <w14:schemeClr w14:val="tx1"/>
            </w14:solidFill>
          </w14:textFill>
        </w:rPr>
        <w:t xml:space="preserve">一年内</w:t>
      </w:r>
      <w:r>
        <w:rPr>
          <w:rFonts w:hint="eastAsia" w:ascii="宋体" w:hAnsi="宋体"/>
          <w:color w:val="000000" w:themeColor="text1"/>
          <w:sz w:val="24"/>
          <w:highlight w:val="none"/>
          <w14:textFill>
            <w14:solidFill>
              <w14:schemeClr w14:val="tx1"/>
            </w14:solidFill>
          </w14:textFill>
        </w:rPr>
        <w:t xml:space="preserve">的其他</w:t>
      </w:r>
      <w:r>
        <w:rPr>
          <w:rFonts w:hint="eastAsia" w:ascii="宋体" w:hAnsi="宋体"/>
          <w:color w:val="000000" w:themeColor="text1"/>
          <w:sz w:val="24"/>
          <w:highlight w:val="none"/>
          <w:lang w:val="zh-CN"/>
          <w14:textFill>
            <w14:solidFill>
              <w14:schemeClr w14:val="tx1"/>
            </w14:solidFill>
          </w14:textFill>
        </w:rPr>
        <w:t xml:space="preserve">政府采购活动。</w:t>
      </w:r>
      <w:r/>
    </w:p>
    <w:p>
      <w:pPr>
        <w:pStyle w:val="900"/>
        <w:ind w:firstLine="422"/>
        <w:spacing w:before="0" w:after="0" w:line="240" w:lineRule="auto"/>
        <w:rPr>
          <w:rFonts w:ascii="方正楷体_GBK" w:hAnsi="方正楷体_GBK" w:eastAsia="方正楷体_GBK" w:cs="方正楷体_GBK"/>
          <w:color w:val="000000" w:themeColor="text1"/>
          <w:highlight w:val="none"/>
          <w14:textFill>
            <w14:solidFill>
              <w14:schemeClr w14:val="tx1"/>
            </w14:solidFill>
          </w14:textFill>
        </w:rPr>
      </w:pPr>
      <w:r>
        <w:rPr>
          <w:rFonts w:hint="eastAsia" w:ascii="方正楷体_GBK" w:hAnsi="方正楷体_GBK" w:eastAsia="方正楷体_GBK" w:cs="方正楷体_GBK"/>
          <w:color w:val="000000" w:themeColor="text1"/>
          <w:highlight w:val="none"/>
          <w14:textFill>
            <w14:solidFill>
              <w14:schemeClr w14:val="tx1"/>
            </w14:solidFill>
          </w14:textFill>
        </w:rPr>
        <w:t xml:space="preserve">29.标的物的追加</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lang w:val="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color w:val="000000" w:themeColor="text1"/>
          <w:sz w:val="24"/>
          <w:highlight w:val="none"/>
          <w14:textFill>
            <w14:solidFill>
              <w14:schemeClr w14:val="tx1"/>
            </w14:solidFill>
          </w14:textFill>
        </w:rPr>
        <w:t xml:space="preserve">的</w:t>
      </w:r>
      <w:r>
        <w:rPr>
          <w:rFonts w:hint="eastAsia" w:ascii="宋体" w:hAnsi="宋体"/>
          <w:color w:val="000000" w:themeColor="text1"/>
          <w:sz w:val="24"/>
          <w:highlight w:val="none"/>
          <w:lang w:val="zh-CN"/>
          <w14:textFill>
            <w14:solidFill>
              <w14:schemeClr w14:val="tx1"/>
            </w14:solidFill>
          </w14:textFill>
        </w:rPr>
        <w:t xml:space="preserve">10%。</w:t>
      </w:r>
      <w:bookmarkEnd w:id="185"/>
      <w:r/>
      <w:bookmarkEnd w:id="186"/>
      <w:r/>
      <w:bookmarkEnd w:id="187"/>
      <w:r/>
      <w:r/>
    </w:p>
    <w:p>
      <w:pPr>
        <w:pStyle w:val="900"/>
        <w:ind w:firstLine="422"/>
        <w:spacing w:before="0" w:after="0" w:line="240" w:lineRule="auto"/>
        <w:rPr>
          <w:rFonts w:ascii="方正楷体_GBK" w:hAnsi="方正楷体_GBK" w:eastAsia="方正楷体_GBK" w:cs="方正楷体_GBK"/>
          <w:color w:val="000000" w:themeColor="text1"/>
          <w:highlight w:val="none"/>
          <w14:textFill>
            <w14:solidFill>
              <w14:schemeClr w14:val="tx1"/>
            </w14:solidFill>
          </w14:textFill>
        </w:rPr>
      </w:pPr>
      <w:r>
        <w:rPr>
          <w:rFonts w:hint="eastAsia" w:ascii="方正楷体_GBK" w:hAnsi="方正楷体_GBK" w:eastAsia="方正楷体_GBK" w:cs="方正楷体_GBK"/>
          <w:color w:val="000000" w:themeColor="text1"/>
          <w:highlight w:val="none"/>
          <w14:textFill>
            <w14:solidFill>
              <w14:schemeClr w14:val="tx1"/>
            </w14:solidFill>
          </w14:textFill>
        </w:rPr>
        <w:t xml:space="preserve">30.政府采购履约资金扶持政策</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30.1 </w:t>
      </w:r>
      <w:r>
        <w:rPr>
          <w:rFonts w:hint="eastAsia" w:ascii="宋体" w:hAnsi="宋体"/>
          <w:color w:val="000000" w:themeColor="text1"/>
          <w:sz w:val="24"/>
          <w:highlight w:val="none"/>
          <w:lang w:val="zh-CN"/>
          <w14:textFill>
            <w14:solidFill>
              <w14:schemeClr w14:val="tx1"/>
            </w14:solidFill>
          </w14:textFill>
        </w:rPr>
        <w:t xml:space="preserve">中标</w:t>
      </w:r>
      <w:r>
        <w:rPr>
          <w:rFonts w:hint="eastAsia" w:ascii="宋体" w:hAnsi="宋体"/>
          <w:color w:val="000000" w:themeColor="text1"/>
          <w:sz w:val="24"/>
          <w:highlight w:val="none"/>
          <w14:textFill>
            <w14:solidFill>
              <w14:schemeClr w14:val="tx1"/>
            </w14:solidFill>
          </w14:textFill>
        </w:rPr>
        <w:t xml:space="preserve">供应商</w:t>
      </w:r>
      <w:r>
        <w:rPr>
          <w:rFonts w:hint="eastAsia" w:ascii="宋体" w:hAnsi="宋体"/>
          <w:color w:val="000000" w:themeColor="text1"/>
          <w:sz w:val="24"/>
          <w:highlight w:val="none"/>
          <w:lang w:val="zh-CN"/>
          <w14:textFill>
            <w14:solidFill>
              <w14:schemeClr w14:val="tx1"/>
            </w14:solidFill>
          </w14:textFill>
        </w:rPr>
        <w:t xml:space="preserve">可</w:t>
      </w:r>
      <w:r>
        <w:rPr>
          <w:rFonts w:hint="eastAsia" w:ascii="宋体" w:hAnsi="宋体"/>
          <w:color w:val="000000" w:themeColor="text1"/>
          <w:sz w:val="24"/>
          <w:highlight w:val="none"/>
          <w14:textFill>
            <w14:solidFill>
              <w14:schemeClr w14:val="tx1"/>
            </w14:solidFill>
          </w14:textFill>
        </w:rPr>
        <w:t xml:space="preserve">通过</w:t>
      </w:r>
      <w:r>
        <w:rPr>
          <w:rFonts w:hint="eastAsia" w:ascii="宋体" w:hAnsi="宋体"/>
          <w:color w:val="000000" w:themeColor="text1"/>
          <w:sz w:val="24"/>
          <w:highlight w:val="none"/>
          <w:lang w:val="zh-CN"/>
          <w14:textFill>
            <w14:solidFill>
              <w14:schemeClr w14:val="tx1"/>
            </w14:solidFill>
          </w14:textFill>
        </w:rPr>
        <w:t xml:space="preserve">南京市公共资源交易</w:t>
      </w:r>
      <w:r>
        <w:rPr>
          <w:rFonts w:hint="eastAsia" w:ascii="宋体" w:hAnsi="宋体"/>
          <w:color w:val="000000" w:themeColor="text1"/>
          <w:sz w:val="24"/>
          <w:highlight w:val="none"/>
          <w14:textFill>
            <w14:solidFill>
              <w14:schemeClr w14:val="tx1"/>
            </w14:solidFill>
          </w14:textFill>
        </w:rPr>
        <w:t xml:space="preserve">平台</w:t>
      </w:r>
      <w:r>
        <w:rPr>
          <w:rFonts w:hint="eastAsia" w:ascii="宋体" w:hAnsi="宋体"/>
          <w:color w:val="000000" w:themeColor="text1"/>
          <w:sz w:val="24"/>
          <w:highlight w:val="none"/>
          <w:lang w:val="zh-CN"/>
          <w14:textFill>
            <w14:solidFill>
              <w14:schemeClr w14:val="tx1"/>
            </w14:solidFill>
          </w14:textFill>
        </w:rPr>
        <w:t xml:space="preserve">网站“小企业融资平台”，</w:t>
      </w:r>
      <w:r>
        <w:rPr>
          <w:rFonts w:hint="eastAsia" w:ascii="宋体" w:hAnsi="宋体"/>
          <w:color w:val="000000" w:themeColor="text1"/>
          <w:sz w:val="24"/>
          <w:highlight w:val="none"/>
          <w14:textFill>
            <w14:solidFill>
              <w14:schemeClr w14:val="tx1"/>
            </w14:solidFill>
          </w14:textFill>
        </w:rPr>
        <w:t xml:space="preserve">选择相应的金融机构</w:t>
      </w:r>
      <w:r>
        <w:rPr>
          <w:rFonts w:hint="eastAsia" w:ascii="宋体" w:hAnsi="宋体"/>
          <w:color w:val="000000" w:themeColor="text1"/>
          <w:sz w:val="24"/>
          <w:highlight w:val="none"/>
          <w:lang w:val="zh-CN"/>
          <w14:textFill>
            <w14:solidFill>
              <w14:schemeClr w14:val="tx1"/>
            </w14:solidFill>
          </w14:textFill>
        </w:rPr>
        <w:t xml:space="preserve">办理融资贷款。</w:t>
      </w:r>
      <w:r/>
    </w:p>
    <w:p>
      <w:pPr>
        <w:ind w:firstLine="420"/>
        <w:rPr>
          <w:color w:val="000000" w:themeColor="text1"/>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30.2 依据《关于在全省政府采购领域推行电子履约保函（保险）的通知》（苏财购</w:t>
      </w:r>
      <w:r>
        <w:rPr>
          <w:rFonts w:hint="eastAsia" w:ascii="宋体" w:hAnsi="宋体" w:cs="宋体"/>
          <w:color w:val="000000" w:themeColor="text1"/>
          <w:sz w:val="24"/>
          <w:szCs w:val="24"/>
          <w:highlight w:val="none"/>
          <w14:textFill>
            <w14:solidFill>
              <w14:schemeClr w14:val="tx1"/>
            </w14:solidFill>
          </w14:textFill>
        </w:rPr>
        <w:t xml:space="preserve">〔2023〕</w:t>
      </w:r>
      <w:r>
        <w:rPr>
          <w:rFonts w:hint="eastAsia" w:ascii="宋体" w:hAnsi="宋体"/>
          <w:color w:val="000000" w:themeColor="text1"/>
          <w:sz w:val="24"/>
          <w:highlight w:val="none"/>
          <w14:textFill>
            <w14:solidFill>
              <w14:schemeClr w14:val="tx1"/>
            </w14:solidFill>
          </w14:textFill>
        </w:rPr>
        <w:t xml:space="preserve">150号），需要缴纳履约保证金的，</w:t>
      </w:r>
      <w:r>
        <w:rPr>
          <w:rFonts w:hint="eastAsia" w:ascii="宋体" w:hAnsi="宋体"/>
          <w:color w:val="000000" w:themeColor="text1"/>
          <w:sz w:val="24"/>
          <w:highlight w:val="none"/>
          <w:lang w:val="zh-CN"/>
          <w14:textFill>
            <w14:solidFill>
              <w14:schemeClr w14:val="tx1"/>
            </w14:solidFill>
          </w14:textFill>
        </w:rPr>
        <w:t xml:space="preserve">中标</w:t>
      </w:r>
      <w:r>
        <w:rPr>
          <w:rFonts w:hint="eastAsia" w:ascii="宋体" w:hAnsi="宋体"/>
          <w:color w:val="000000" w:themeColor="text1"/>
          <w:sz w:val="24"/>
          <w:highlight w:val="none"/>
          <w14:textFill>
            <w14:solidFill>
              <w14:schemeClr w14:val="tx1"/>
            </w14:solidFill>
          </w14:textFill>
        </w:rPr>
        <w:t xml:space="preserve">供应商</w:t>
      </w:r>
      <w:r>
        <w:rPr>
          <w:rFonts w:hint="eastAsia" w:ascii="宋体" w:hAnsi="宋体"/>
          <w:color w:val="000000" w:themeColor="text1"/>
          <w:sz w:val="24"/>
          <w:highlight w:val="none"/>
          <w:lang w:val="zh-CN"/>
          <w14:textFill>
            <w14:solidFill>
              <w14:schemeClr w14:val="tx1"/>
            </w14:solidFill>
          </w14:textFill>
        </w:rPr>
        <w:t xml:space="preserve">可</w:t>
      </w:r>
      <w:r>
        <w:rPr>
          <w:rFonts w:hint="eastAsia" w:ascii="宋体" w:hAnsi="宋体"/>
          <w:color w:val="000000" w:themeColor="text1"/>
          <w:sz w:val="24"/>
          <w:highlight w:val="none"/>
          <w14:textFill>
            <w14:solidFill>
              <w14:schemeClr w14:val="tx1"/>
            </w14:solidFill>
          </w14:textFill>
        </w:rPr>
        <w:t xml:space="preserve">通过江苏政府采购网“政府采购电子履约保函（保险）综合服务平台”线上办理履约保函（保险）</w:t>
      </w:r>
      <w:r>
        <w:rPr>
          <w:rFonts w:hint="eastAsia" w:ascii="宋体" w:hAnsi="宋体"/>
          <w:color w:val="000000" w:themeColor="text1"/>
          <w:sz w:val="24"/>
          <w:highlight w:val="none"/>
          <w:lang w:val="zh-CN"/>
          <w14:textFill>
            <w14:solidFill>
              <w14:schemeClr w14:val="tx1"/>
            </w14:solidFill>
          </w14:textFill>
        </w:rPr>
        <w:t xml:space="preserve">。</w:t>
      </w:r>
      <w:r/>
    </w:p>
    <w:p>
      <w:pPr>
        <w:pStyle w:val="897"/>
        <w:ind w:firstLine="465"/>
        <w:spacing w:before="145" w:after="145" w:line="240" w:lineRule="auto"/>
        <w:rPr>
          <w:rFonts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八、质疑</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w:t>
      </w:r>
      <w:r>
        <w:rPr>
          <w:rFonts w:hint="eastAsia" w:ascii="宋体" w:hAnsi="宋体"/>
          <w:color w:val="000000" w:themeColor="text1"/>
          <w:sz w:val="24"/>
          <w:highlight w:val="none"/>
          <w:lang w:val="zh-CN"/>
          <w14:textFill>
            <w14:solidFill>
              <w14:schemeClr w14:val="tx1"/>
            </w14:solidFill>
          </w14:textFill>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w:t>
      </w:r>
      <w:r>
        <w:rPr>
          <w:rFonts w:hint="eastAsia" w:ascii="宋体" w:hAnsi="宋体"/>
          <w:color w:val="000000" w:themeColor="text1"/>
          <w:sz w:val="24"/>
          <w:highlight w:val="none"/>
          <w:lang w:val="zh-CN"/>
          <w14:textFill>
            <w14:solidFill>
              <w14:schemeClr w14:val="tx1"/>
            </w14:solidFill>
          </w14:textFill>
        </w:rPr>
        <w:t xml:space="preserve">供应商认为采购文件、采购过程和采购结果使自己的权益受到损害的，可以在知道或应知其权益受到损害之日起七个工作日内，</w:t>
      </w:r>
      <w:r>
        <w:rPr>
          <w:rFonts w:hint="eastAsia" w:ascii="宋体" w:hAnsi="宋体"/>
          <w:color w:val="000000" w:themeColor="text1"/>
          <w:sz w:val="24"/>
          <w:highlight w:val="none"/>
          <w14:textFill>
            <w14:solidFill>
              <w14:schemeClr w14:val="tx1"/>
            </w14:solidFill>
          </w14:textFill>
        </w:rPr>
        <w:t xml:space="preserve">按照第3</w:t>
      </w:r>
      <w:r>
        <w:rPr>
          <w:rFonts w:hint="eastAsia" w:ascii="宋体" w:hAnsi="宋体"/>
          <w:color w:val="000000" w:themeColor="text1"/>
          <w:sz w:val="24"/>
          <w:highlight w:val="none"/>
          <w:lang w:val="zh-CN"/>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条</w:t>
      </w:r>
      <w:r>
        <w:rPr>
          <w:rFonts w:hint="eastAsia" w:ascii="宋体" w:hAnsi="宋体"/>
          <w:color w:val="000000" w:themeColor="text1"/>
          <w:sz w:val="24"/>
          <w:highlight w:val="none"/>
          <w:lang w:val="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第35</w:t>
      </w:r>
      <w:r>
        <w:rPr>
          <w:rFonts w:hint="eastAsia" w:ascii="宋体" w:hAnsi="宋体"/>
          <w:color w:val="000000" w:themeColor="text1"/>
          <w:sz w:val="24"/>
          <w:highlight w:val="none"/>
          <w:lang w:val="zh-CN"/>
          <w14:textFill>
            <w14:solidFill>
              <w14:schemeClr w14:val="tx1"/>
            </w14:solidFill>
          </w14:textFill>
        </w:rPr>
        <w:t xml:space="preserve">条</w:t>
      </w:r>
      <w:r>
        <w:rPr>
          <w:rFonts w:hint="eastAsia" w:ascii="宋体" w:hAnsi="宋体"/>
          <w:color w:val="000000" w:themeColor="text1"/>
          <w:sz w:val="24"/>
          <w:highlight w:val="none"/>
          <w14:textFill>
            <w14:solidFill>
              <w14:schemeClr w14:val="tx1"/>
            </w14:solidFill>
          </w14:textFill>
        </w:rPr>
        <w:t xml:space="preserve">之</w:t>
      </w:r>
      <w:r>
        <w:rPr>
          <w:rFonts w:hint="eastAsia" w:ascii="宋体" w:hAnsi="宋体"/>
          <w:color w:val="000000" w:themeColor="text1"/>
          <w:sz w:val="24"/>
          <w:highlight w:val="none"/>
          <w:lang w:val="zh-CN"/>
          <w14:textFill>
            <w14:solidFill>
              <w14:schemeClr w14:val="tx1"/>
            </w14:solidFill>
          </w14:textFill>
        </w:rPr>
        <w:t xml:space="preserve">规定以书面形式向采购人或交易中心提出质疑。</w:t>
      </w:r>
      <w:r>
        <w:rPr>
          <w:rFonts w:hint="eastAsia" w:ascii="宋体" w:hAnsi="宋体"/>
          <w:b/>
          <w:bCs/>
          <w:color w:val="000000" w:themeColor="text1"/>
          <w:sz w:val="24"/>
          <w:highlight w:val="none"/>
          <w:lang w:val="zh-CN"/>
          <w14:textFill>
            <w14:solidFill>
              <w14:schemeClr w14:val="tx1"/>
            </w14:solidFill>
          </w14:textFill>
        </w:rPr>
        <w:t xml:space="preserve">上述应知其权益受到损害之日是指</w:t>
      </w:r>
      <w:r>
        <w:rPr>
          <w:rFonts w:hint="eastAsia" w:ascii="宋体" w:hAnsi="宋体"/>
          <w:color w:val="000000" w:themeColor="text1"/>
          <w:sz w:val="24"/>
          <w:highlight w:val="none"/>
          <w:lang w:val="zh-CN"/>
          <w14:textFill>
            <w14:solidFill>
              <w14:schemeClr w14:val="tx1"/>
            </w14:solidFill>
          </w14:textFill>
        </w:rPr>
        <w:t xml:space="preserve">：</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zh-CN"/>
          <w14:textFill>
            <w14:solidFill>
              <w14:schemeClr w14:val="tx1"/>
            </w14:solidFill>
          </w14:textFill>
        </w:rPr>
        <w:t xml:space="preserve">2.1 对采购文件提出质疑的，为收到采购文件之日或者采购文件公告期限届满之日。</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zh-CN"/>
          <w14:textFill>
            <w14:solidFill>
              <w14:schemeClr w14:val="tx1"/>
            </w14:solidFill>
          </w14:textFill>
        </w:rPr>
        <w:t xml:space="preserve">2.2 对采购过程提出质疑的，为各采购程序环节结束之日。</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zh-CN"/>
          <w14:textFill>
            <w14:solidFill>
              <w14:schemeClr w14:val="tx1"/>
            </w14:solidFill>
          </w14:textFill>
        </w:rPr>
        <w:t xml:space="preserve">2.3 对中标或者成交结果提出质疑的，为中标或者成交结果公告期限届满之日。</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33.</w:t>
      </w:r>
      <w:r>
        <w:rPr>
          <w:rFonts w:hint="eastAsia" w:ascii="宋体" w:hAnsi="宋体"/>
          <w:color w:val="000000" w:themeColor="text1"/>
          <w:sz w:val="24"/>
          <w:highlight w:val="none"/>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keepLines w:val="0"/>
        <w:keepNext w:val="0"/>
        <w:pageBreakBefore w:val="0"/>
        <w:spacing w:line="240" w:lineRule="auto"/>
        <w:widowControl w:val="off"/>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34.</w:t>
      </w:r>
      <w:r>
        <w:rPr>
          <w:rFonts w:hint="eastAsia" w:ascii="宋体" w:hAnsi="宋体"/>
          <w:color w:val="000000" w:themeColor="text1"/>
          <w:sz w:val="24"/>
          <w:highlight w:val="none"/>
          <w:lang w:val="zh-CN"/>
          <w14:textFill>
            <w14:solidFill>
              <w14:schemeClr w14:val="tx1"/>
            </w14:solidFill>
          </w14:textFill>
        </w:rPr>
        <w:t xml:space="preserve">供应商提出质疑应提交《质疑函》原件，且尽可能通过邮寄方式送达，交易中心和采购人不接受无运单的快件。《质疑函》应按照本招标文件中《质疑函范本》</w:t>
      </w:r>
      <w:r>
        <w:rPr>
          <w:rFonts w:hint="eastAsia" w:ascii="宋体" w:hAnsi="宋体"/>
          <w:color w:val="000000" w:themeColor="text1"/>
          <w:sz w:val="24"/>
          <w:highlight w:val="none"/>
          <w14:textFill>
            <w14:solidFill>
              <w14:schemeClr w14:val="tx1"/>
            </w14:solidFill>
          </w14:textFill>
        </w:rPr>
        <w:t xml:space="preserve">的</w:t>
      </w:r>
      <w:r>
        <w:rPr>
          <w:rFonts w:hint="eastAsia" w:ascii="宋体" w:hAnsi="宋体"/>
          <w:color w:val="000000" w:themeColor="text1"/>
          <w:sz w:val="24"/>
          <w:highlight w:val="none"/>
          <w:lang w:val="zh-CN"/>
          <w14:textFill>
            <w14:solidFill>
              <w14:schemeClr w14:val="tx1"/>
            </w14:solidFill>
          </w14:textFill>
        </w:rPr>
        <w:t xml:space="preserve">格式和内容填写。</w:t>
      </w:r>
      <w:r>
        <w:rPr>
          <w:rFonts w:hint="eastAsia" w:ascii="宋体" w:hAnsi="宋体" w:eastAsia="宋体" w:cs="仿宋"/>
          <w:b/>
          <w:bCs/>
          <w:color w:val="000000" w:themeColor="text1"/>
          <w:sz w:val="24"/>
          <w:szCs w:val="24"/>
          <w:highlight w:val="none"/>
          <w:lang w:val="en-US" w:eastAsia="zh-CN"/>
          <w14:textFill>
            <w14:solidFill>
              <w14:schemeClr w14:val="tx1"/>
            </w14:solidFill>
          </w14:textFill>
        </w:rPr>
        <w:t xml:space="preserve">由授权代表负责</w:t>
      </w:r>
      <w:r>
        <w:rPr>
          <w:rFonts w:hint="eastAsia" w:ascii="宋体" w:hAnsi="宋体" w:eastAsia="宋体" w:cs="仿宋"/>
          <w:b/>
          <w:bCs/>
          <w:color w:val="000000" w:themeColor="text1"/>
          <w:sz w:val="24"/>
          <w:szCs w:val="24"/>
          <w:highlight w:val="none"/>
          <w:lang w:eastAsia="zh-CN"/>
          <w14:textFill>
            <w14:solidFill>
              <w14:schemeClr w14:val="tx1"/>
            </w14:solidFill>
          </w14:textFill>
        </w:rPr>
        <w:t xml:space="preserve">质疑</w:t>
      </w:r>
      <w:r>
        <w:rPr>
          <w:rFonts w:hint="eastAsia" w:ascii="宋体" w:hAnsi="宋体" w:eastAsia="宋体" w:cs="仿宋"/>
          <w:b/>
          <w:bCs/>
          <w:color w:val="000000" w:themeColor="text1"/>
          <w:sz w:val="24"/>
          <w:szCs w:val="24"/>
          <w:highlight w:val="none"/>
          <w:lang w:val="en-US" w:eastAsia="zh-CN"/>
          <w14:textFill>
            <w14:solidFill>
              <w14:schemeClr w14:val="tx1"/>
            </w14:solidFill>
          </w14:textFill>
        </w:rPr>
        <w:t xml:space="preserve">事宜</w:t>
      </w:r>
      <w:r>
        <w:rPr>
          <w:rFonts w:hint="eastAsia" w:ascii="宋体" w:hAnsi="宋体" w:eastAsia="宋体" w:cs="仿宋"/>
          <w:b/>
          <w:bCs/>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仿宋"/>
          <w:b/>
          <w:bCs/>
          <w:color w:val="000000" w:themeColor="text1"/>
          <w:sz w:val="24"/>
          <w:szCs w:val="24"/>
          <w:highlight w:val="none"/>
          <w14:textFill>
            <w14:solidFill>
              <w14:schemeClr w14:val="tx1"/>
            </w14:solidFill>
          </w14:textFill>
        </w:rPr>
        <w:t xml:space="preserve">质疑函</w:t>
      </w:r>
      <w:r>
        <w:rPr>
          <w:rFonts w:hint="eastAsia" w:ascii="宋体" w:hAnsi="宋体" w:eastAsia="宋体" w:cs="仿宋"/>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bCs/>
          <w:color w:val="000000" w:themeColor="text1"/>
          <w:sz w:val="24"/>
          <w:szCs w:val="24"/>
          <w:highlight w:val="none"/>
          <w:lang w:val="en-US" w:eastAsia="zh-CN"/>
          <w14:textFill>
            <w14:solidFill>
              <w14:schemeClr w14:val="tx1"/>
            </w14:solidFill>
          </w14:textFill>
        </w:rPr>
        <w:t xml:space="preserve">附件中</w:t>
      </w:r>
      <w:r>
        <w:rPr>
          <w:rFonts w:hint="eastAsia" w:ascii="宋体" w:hAnsi="宋体" w:eastAsia="宋体" w:cs="仿宋"/>
          <w:b/>
          <w:bCs/>
          <w:color w:val="000000" w:themeColor="text1"/>
          <w:sz w:val="24"/>
          <w:szCs w:val="24"/>
          <w:highlight w:val="none"/>
          <w14:textFill>
            <w14:solidFill>
              <w14:schemeClr w14:val="tx1"/>
            </w14:solidFill>
          </w14:textFill>
        </w:rPr>
        <w:t xml:space="preserve">应</w:t>
      </w:r>
      <w:r>
        <w:rPr>
          <w:rFonts w:hint="eastAsia" w:ascii="宋体" w:hAnsi="宋体" w:eastAsia="宋体" w:cs="仿宋"/>
          <w:b/>
          <w:bCs/>
          <w:color w:val="000000" w:themeColor="text1"/>
          <w:sz w:val="24"/>
          <w:szCs w:val="24"/>
          <w:highlight w:val="none"/>
          <w:lang w:val="en-US" w:eastAsia="zh-CN"/>
          <w14:textFill>
            <w14:solidFill>
              <w14:schemeClr w14:val="tx1"/>
            </w14:solidFill>
          </w14:textFill>
        </w:rPr>
        <w:t xml:space="preserve">提交</w:t>
      </w:r>
      <w:r>
        <w:rPr>
          <w:rFonts w:hint="eastAsia" w:ascii="宋体" w:hAnsi="宋体" w:eastAsia="宋体" w:cs="仿宋"/>
          <w:b/>
          <w:bCs/>
          <w:color w:val="000000" w:themeColor="text1"/>
          <w:sz w:val="24"/>
          <w:szCs w:val="24"/>
          <w:highlight w:val="none"/>
          <w:lang w:eastAsia="zh-CN"/>
          <w14:textFill>
            <w14:solidFill>
              <w14:schemeClr w14:val="tx1"/>
            </w14:solidFill>
          </w14:textFill>
        </w:rPr>
        <w:t xml:space="preserve">由质疑供应商法定代表人</w:t>
      </w:r>
      <w:r>
        <w:rPr>
          <w:rFonts w:hint="eastAsia" w:ascii="宋体" w:hAnsi="宋体" w:eastAsia="宋体" w:cs="仿宋"/>
          <w:b/>
          <w:bCs/>
          <w:color w:val="000000" w:themeColor="text1"/>
          <w:sz w:val="24"/>
          <w:szCs w:val="24"/>
          <w:highlight w:val="none"/>
          <w:lang w:val="en-US" w:eastAsia="zh-CN"/>
          <w14:textFill>
            <w14:solidFill>
              <w14:schemeClr w14:val="tx1"/>
            </w14:solidFill>
          </w14:textFill>
        </w:rPr>
        <w:t xml:space="preserve">或主要负责人</w:t>
      </w:r>
      <w:r>
        <w:rPr>
          <w:rFonts w:hint="eastAsia" w:ascii="宋体" w:hAnsi="宋体" w:eastAsia="宋体" w:cs="仿宋"/>
          <w:b/>
          <w:bCs/>
          <w:color w:val="000000" w:themeColor="text1"/>
          <w:sz w:val="24"/>
          <w:szCs w:val="24"/>
          <w:highlight w:val="none"/>
          <w:lang w:eastAsia="zh-CN"/>
          <w14:textFill>
            <w14:solidFill>
              <w14:schemeClr w14:val="tx1"/>
            </w14:solidFill>
          </w14:textFill>
        </w:rPr>
        <w:t xml:space="preserve">签署的《授权委托书》</w:t>
      </w:r>
      <w:r>
        <w:rPr>
          <w:rFonts w:hint="eastAsia" w:ascii="宋体" w:hAnsi="宋体" w:eastAsia="宋体" w:cs="仿宋"/>
          <w:b/>
          <w:bCs/>
          <w:color w:val="000000" w:themeColor="text1"/>
          <w:sz w:val="24"/>
          <w:szCs w:val="24"/>
          <w:highlight w:val="none"/>
          <w14:textFill>
            <w14:solidFill>
              <w14:schemeClr w14:val="tx1"/>
            </w14:solidFill>
          </w14:textFill>
        </w:rPr>
        <w:t xml:space="preserve">。</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供应商如组成联合体参加采购活动，《质疑函范本》中要求加盖公章之处，联合体各方均须按要求加盖公章。</w:t>
      </w:r>
      <w:r/>
    </w:p>
    <w:p>
      <w:pPr>
        <w:ind w:firstLine="422"/>
        <w:rPr>
          <w:rFonts w:hint="eastAsia" w:ascii="宋体" w:hAnsi="宋体"/>
          <w:b/>
          <w:bCs/>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35.</w:t>
      </w:r>
      <w:r>
        <w:rPr>
          <w:rFonts w:hint="eastAsia" w:ascii="宋体" w:hAnsi="宋体" w:cs="Times New Roman"/>
          <w:b/>
          <w:bCs/>
          <w:color w:val="000000" w:themeColor="text1"/>
          <w:sz w:val="24"/>
          <w:highlight w:val="none"/>
          <w:lang w:val="en-US" w:eastAsia="zh-CN"/>
          <w14:textFill>
            <w14:solidFill>
              <w14:schemeClr w14:val="tx1"/>
            </w14:solidFill>
          </w14:textFill>
        </w:rPr>
        <w:t xml:space="preserve">供应商根据质疑事项向相应的</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质疑答复主体提出质疑，具体详见采购文件第一章。</w:t>
      </w:r>
      <w:r>
        <w:rPr>
          <w:rFonts w:hint="eastAsia" w:ascii="宋体" w:hAnsi="宋体" w:eastAsia="宋体" w:cs="Times New Roman"/>
          <w:b/>
          <w:bCs/>
          <w:color w:val="000000" w:themeColor="text1"/>
          <w:sz w:val="24"/>
          <w:szCs w:val="22"/>
          <w:highlight w:val="none"/>
          <w:lang w:val="en-US" w:eastAsia="zh-CN"/>
          <w14:textFill>
            <w14:solidFill>
              <w14:schemeClr w14:val="tx1"/>
            </w14:solidFill>
          </w14:textFill>
        </w:rPr>
        <w:t xml:space="preserve">由采购人负责答复的质疑，采购人将</w:t>
      </w:r>
      <w:r>
        <w:rPr>
          <w:rFonts w:hint="eastAsia" w:ascii="宋体" w:hAnsi="宋体" w:cs="Times New Roman"/>
          <w:b/>
          <w:bCs/>
          <w:color w:val="000000" w:themeColor="text1"/>
          <w:sz w:val="24"/>
          <w:szCs w:val="22"/>
          <w:highlight w:val="none"/>
          <w:lang w:val="en-US" w:eastAsia="zh-CN"/>
          <w14:textFill>
            <w14:solidFill>
              <w14:schemeClr w14:val="tx1"/>
            </w14:solidFill>
          </w14:textFill>
        </w:rPr>
        <w:t xml:space="preserve">《质疑函》</w:t>
      </w:r>
      <w:r>
        <w:rPr>
          <w:rFonts w:hint="eastAsia" w:ascii="宋体" w:hAnsi="宋体" w:eastAsia="宋体" w:cs="Times New Roman"/>
          <w:b/>
          <w:bCs/>
          <w:color w:val="000000" w:themeColor="text1"/>
          <w:sz w:val="24"/>
          <w:szCs w:val="22"/>
          <w:highlight w:val="none"/>
          <w:lang w:val="en-US" w:eastAsia="zh-CN"/>
          <w14:textFill>
            <w14:solidFill>
              <w14:schemeClr w14:val="tx1"/>
            </w14:solidFill>
          </w14:textFill>
        </w:rPr>
        <w:t xml:space="preserve">《质疑答复函》抄送交易中心。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lang w:val="zh-CN"/>
          <w14:textFill>
            <w14:solidFill>
              <w14:schemeClr w14:val="tx1"/>
            </w14:solidFill>
          </w14:textFill>
        </w:rPr>
        <w:t xml:space="preserve">6</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zh-CN"/>
          <w14:textFill>
            <w14:solidFill>
              <w14:schemeClr w14:val="tx1"/>
            </w14:solidFill>
          </w14:textFill>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lang w:val="zh-CN"/>
          <w14:textFill>
            <w14:solidFill>
              <w14:schemeClr w14:val="tx1"/>
            </w14:solidFill>
          </w14:textFill>
        </w:rPr>
        <w:t xml:space="preserve">6.1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lang w:val="zh-CN"/>
          <w14:textFill>
            <w14:solidFill>
              <w14:schemeClr w14:val="tx1"/>
            </w14:solidFill>
          </w14:textFill>
        </w:rPr>
        <w:t xml:space="preserve">6.2 </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属于第33条规定的对</w:t>
      </w:r>
      <w:r>
        <w:rPr>
          <w:rFonts w:hint="eastAsia" w:ascii="宋体" w:hAnsi="宋体" w:eastAsia="宋体" w:cs="Times New Roman"/>
          <w:color w:val="000000" w:themeColor="text1"/>
          <w:sz w:val="24"/>
          <w:highlight w:val="none"/>
          <w:lang w:val="zh-CN"/>
          <w14:textFill>
            <w14:solidFill>
              <w14:schemeClr w14:val="tx1"/>
            </w14:solidFill>
          </w14:textFill>
        </w:rPr>
        <w:t xml:space="preserve">同一采购程序环节提出</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的多次</w:t>
      </w:r>
      <w:r>
        <w:rPr>
          <w:rFonts w:hint="eastAsia" w:ascii="宋体" w:hAnsi="宋体" w:eastAsia="宋体" w:cs="Times New Roman"/>
          <w:color w:val="000000" w:themeColor="text1"/>
          <w:sz w:val="24"/>
          <w:highlight w:val="none"/>
          <w:lang w:val="zh-CN"/>
          <w14:textFill>
            <w14:solidFill>
              <w14:schemeClr w14:val="tx1"/>
            </w14:solidFill>
          </w14:textFill>
        </w:rPr>
        <w:t xml:space="preserve">质疑；</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lang w:val="zh-CN"/>
          <w14:textFill>
            <w14:solidFill>
              <w14:schemeClr w14:val="tx1"/>
            </w14:solidFill>
          </w14:textFill>
        </w:rPr>
        <w:t xml:space="preserve">6.3 法律法规规定的</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其他</w:t>
      </w:r>
      <w:r>
        <w:rPr>
          <w:rFonts w:hint="eastAsia" w:ascii="宋体" w:hAnsi="宋体" w:eastAsia="宋体" w:cs="Times New Roman"/>
          <w:color w:val="000000" w:themeColor="text1"/>
          <w:sz w:val="24"/>
          <w:highlight w:val="none"/>
          <w:lang w:val="zh-CN"/>
          <w14:textFill>
            <w14:solidFill>
              <w14:schemeClr w14:val="tx1"/>
            </w14:solidFill>
          </w14:textFill>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lang w:val="zh-CN"/>
          <w14:textFill>
            <w14:solidFill>
              <w14:schemeClr w14:val="tx1"/>
            </w14:solidFill>
          </w14:textFill>
        </w:rPr>
      </w:pPr>
      <w:r>
        <w:rPr>
          <w:rFonts w:hint="eastAsia" w:ascii="宋体" w:hAnsi="宋体" w:cs="Times New Roman"/>
          <w:color w:val="000000" w:themeColor="text1"/>
          <w:sz w:val="24"/>
          <w:highlight w:val="none"/>
          <w:lang w:val="en-US" w:eastAsia="zh-CN"/>
          <w14:textFill>
            <w14:solidFill>
              <w14:schemeClr w14:val="tx1"/>
            </w14:solidFill>
          </w14:textFill>
        </w:rPr>
        <w:t xml:space="preserve">37.</w:t>
      </w:r>
      <w:r>
        <w:rPr>
          <w:rFonts w:hint="eastAsia" w:ascii="宋体" w:hAnsi="宋体" w:eastAsia="宋体" w:cs="Times New Roman"/>
          <w:color w:val="000000" w:themeColor="text1"/>
          <w:sz w:val="24"/>
          <w:highlight w:val="none"/>
          <w:lang w:val="zh-CN"/>
          <w14:textFill>
            <w14:solidFill>
              <w14:schemeClr w14:val="tx1"/>
            </w14:solidFill>
          </w14:textFill>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97"/>
        <w:ind w:firstLine="465"/>
        <w:spacing w:before="145" w:after="145" w:line="240" w:lineRule="auto"/>
        <w:rPr>
          <w:rFonts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九、政策功能落实</w:t>
      </w:r>
      <w:r/>
    </w:p>
    <w:p>
      <w:pPr>
        <w:pStyle w:val="900"/>
        <w:ind w:firstLine="422"/>
        <w:spacing w:before="0" w:after="0" w:line="240" w:lineRule="auto"/>
        <w:rPr>
          <w:rFonts w:ascii="方正楷体_GBK" w:hAnsi="方正楷体_GBK" w:eastAsia="方正楷体_GBK" w:cs="方正楷体_GBK"/>
          <w:color w:val="000000" w:themeColor="text1"/>
          <w:highlight w:val="none"/>
          <w:lang w:val="zh-CN"/>
          <w14:textFill>
            <w14:solidFill>
              <w14:schemeClr w14:val="tx1"/>
            </w14:solidFill>
          </w14:textFill>
        </w:rPr>
      </w:pPr>
      <w:r>
        <w:rPr>
          <w:rFonts w:hint="eastAsia" w:ascii="方正楷体_GBK" w:hAnsi="方正楷体_GBK" w:eastAsia="方正楷体_GBK" w:cs="方正楷体_GBK"/>
          <w:color w:val="000000" w:themeColor="text1"/>
          <w:highlight w:val="none"/>
          <w:lang w:val="zh-CN"/>
          <w14:textFill>
            <w14:solidFill>
              <w14:schemeClr w14:val="tx1"/>
            </w14:solidFill>
          </w14:textFill>
        </w:rPr>
        <w:t xml:space="preserve">38.促进中小企业发展</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38.1 本项目中的</w:t>
      </w:r>
      <w:r>
        <w:rPr>
          <w:rFonts w:hint="eastAsia" w:ascii="宋体" w:hAnsi="宋体"/>
          <w:color w:val="000000" w:themeColor="text1"/>
          <w:sz w:val="24"/>
          <w:highlight w:val="none"/>
          <w:lang w:val="zh-CN"/>
          <w14:textFill>
            <w14:solidFill>
              <w14:schemeClr w14:val="tx1"/>
            </w14:solidFill>
          </w14:textFill>
        </w:rPr>
        <w:t xml:space="preserve">货物</w:t>
      </w:r>
      <w:r>
        <w:rPr>
          <w:rFonts w:hint="eastAsia" w:ascii="宋体" w:hAnsi="宋体"/>
          <w:color w:val="000000" w:themeColor="text1"/>
          <w:sz w:val="24"/>
          <w:highlight w:val="none"/>
          <w14:textFill>
            <w14:solidFill>
              <w14:schemeClr w14:val="tx1"/>
            </w14:solidFill>
          </w14:textFill>
        </w:rPr>
        <w:t xml:space="preserve">全部</w:t>
      </w:r>
      <w:r>
        <w:rPr>
          <w:rFonts w:hint="eastAsia" w:ascii="宋体" w:hAnsi="宋体"/>
          <w:color w:val="000000" w:themeColor="text1"/>
          <w:sz w:val="24"/>
          <w:highlight w:val="none"/>
          <w:lang w:val="zh-CN"/>
          <w14:textFill>
            <w14:solidFill>
              <w14:schemeClr w14:val="tx1"/>
            </w14:solidFill>
          </w14:textFill>
        </w:rPr>
        <w:t xml:space="preserve">由中小企业制造的，</w:t>
      </w:r>
      <w:r>
        <w:rPr>
          <w:rFonts w:hint="eastAsia" w:ascii="宋体" w:hAnsi="宋体"/>
          <w:color w:val="000000" w:themeColor="text1"/>
          <w:sz w:val="24"/>
          <w:highlight w:val="none"/>
          <w14:textFill>
            <w14:solidFill>
              <w14:schemeClr w14:val="tx1"/>
            </w14:solidFill>
          </w14:textFill>
        </w:rPr>
        <w:t xml:space="preserve">投标供应商</w:t>
      </w:r>
      <w:r>
        <w:rPr>
          <w:rFonts w:hint="eastAsia" w:ascii="宋体" w:hAnsi="宋体"/>
          <w:color w:val="000000" w:themeColor="text1"/>
          <w:sz w:val="24"/>
          <w:highlight w:val="none"/>
          <w:lang w:val="zh-CN"/>
          <w14:textFill>
            <w14:solidFill>
              <w14:schemeClr w14:val="tx1"/>
            </w14:solidFill>
          </w14:textFill>
        </w:rPr>
        <w:t xml:space="preserve">享受中小企业扶持政策。</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38.2 </w:t>
      </w:r>
      <w:r>
        <w:rPr>
          <w:rFonts w:hint="eastAsia" w:ascii="宋体" w:hAnsi="宋体"/>
          <w:color w:val="000000" w:themeColor="text1"/>
          <w:sz w:val="24"/>
          <w:highlight w:val="none"/>
          <w:lang w:val="zh-CN"/>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38.3 </w:t>
      </w:r>
      <w:r>
        <w:rPr>
          <w:rFonts w:hint="eastAsia" w:ascii="宋体" w:hAnsi="宋体"/>
          <w:color w:val="000000" w:themeColor="text1"/>
          <w:sz w:val="24"/>
          <w:highlight w:val="none"/>
          <w:lang w:val="zh-CN"/>
          <w14:textFill>
            <w14:solidFill>
              <w14:schemeClr w14:val="tx1"/>
            </w14:solidFill>
          </w14:textFill>
        </w:rPr>
        <w:t xml:space="preserve">中小企业参加政府采购活动，应当出具《中小企业声明函》，否则不享受相关中小企业</w:t>
      </w:r>
      <w:r>
        <w:rPr>
          <w:rFonts w:hint="eastAsia" w:ascii="宋体" w:hAnsi="宋体"/>
          <w:color w:val="000000" w:themeColor="text1"/>
          <w:sz w:val="24"/>
          <w:highlight w:val="none"/>
          <w14:textFill>
            <w14:solidFill>
              <w14:schemeClr w14:val="tx1"/>
            </w14:solidFill>
          </w14:textFill>
        </w:rPr>
        <w:t xml:space="preserve">支持</w:t>
      </w:r>
      <w:r>
        <w:rPr>
          <w:rFonts w:hint="eastAsia" w:ascii="宋体" w:hAnsi="宋体"/>
          <w:color w:val="000000" w:themeColor="text1"/>
          <w:sz w:val="24"/>
          <w:highlight w:val="none"/>
          <w:lang w:val="zh-CN"/>
          <w14:textFill>
            <w14:solidFill>
              <w14:schemeClr w14:val="tx1"/>
            </w14:solidFill>
          </w14:textFill>
        </w:rPr>
        <w:t xml:space="preserve">政策。</w:t>
      </w:r>
      <w:r>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t xml:space="preserve">评审委员会评审</w:t>
      </w:r>
      <w:r>
        <w:rPr>
          <w:rFonts w:hint="eastAsia" w:ascii="宋体" w:hAnsi="宋体" w:eastAsia="宋体" w:cs="Times New Roman"/>
          <w:i w:val="0"/>
          <w:iCs w:val="0"/>
          <w:caps w:val="0"/>
          <w:color w:val="000000" w:themeColor="text1"/>
          <w:spacing w:val="0"/>
          <w:sz w:val="24"/>
          <w:szCs w:val="22"/>
          <w:highlight w:val="none"/>
          <w:shd w:val="clear" w:color="auto" w:fill="auto"/>
          <w:lang w:val="zh-CN"/>
          <w14:textFill>
            <w14:solidFill>
              <w14:schemeClr w14:val="tx1"/>
            </w14:solidFill>
          </w14:textFill>
        </w:rPr>
        <w:t xml:space="preserve">中发现</w:t>
      </w:r>
      <w:r>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t xml:space="preserve">供应商提供的</w:t>
      </w:r>
      <w:r>
        <w:rPr>
          <w:rFonts w:hint="eastAsia" w:ascii="宋体" w:hAnsi="宋体" w:eastAsia="宋体" w:cs="Times New Roman"/>
          <w:color w:val="000000" w:themeColor="text1"/>
          <w:sz w:val="24"/>
          <w:highlight w:val="none"/>
          <w:lang w:val="zh-CN"/>
          <w14:textFill>
            <w14:solidFill>
              <w14:schemeClr w14:val="tx1"/>
            </w14:solidFill>
          </w14:textFill>
        </w:rPr>
        <w:t xml:space="preserve">《中小企业声明函》</w:t>
      </w:r>
      <w:r>
        <w:rPr>
          <w:rFonts w:hint="eastAsia" w:ascii="宋体" w:hAnsi="宋体" w:eastAsia="宋体" w:cs="Times New Roman"/>
          <w:i w:val="0"/>
          <w:iCs w:val="0"/>
          <w:caps w:val="0"/>
          <w:color w:val="000000" w:themeColor="text1"/>
          <w:spacing w:val="0"/>
          <w:sz w:val="24"/>
          <w:szCs w:val="22"/>
          <w:highlight w:val="none"/>
          <w:shd w:val="clear" w:color="auto" w:fill="auto"/>
          <w:lang w:val="zh-CN"/>
          <w14:textFill>
            <w14:solidFill>
              <w14:schemeClr w14:val="tx1"/>
            </w14:solidFill>
          </w14:textFill>
        </w:rPr>
        <w:t xml:space="preserve">内容含义不明确、同类事项与投标（响应）文件表述不一致或者有明显文字错误等情况的，应当以书面形式要求供应商作出必要的澄清、说明或者补正。</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38.4 </w:t>
      </w:r>
      <w:r>
        <w:rPr>
          <w:rFonts w:hint="eastAsia" w:ascii="宋体" w:hAnsi="宋体"/>
          <w:color w:val="000000" w:themeColor="text1"/>
          <w:sz w:val="24"/>
          <w:highlight w:val="none"/>
          <w:lang w:val="zh-CN"/>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8</w:t>
      </w:r>
      <w:r>
        <w:rPr>
          <w:rFonts w:hint="eastAsia" w:ascii="宋体" w:hAnsi="宋体"/>
          <w:color w:val="000000" w:themeColor="text1"/>
          <w:sz w:val="24"/>
          <w:highlight w:val="none"/>
          <w:lang w:val="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监狱和戒毒企业（简称监狱企业）视同小型、微型企业</w:t>
      </w:r>
      <w:r>
        <w:rPr>
          <w:rFonts w:hint="eastAsia" w:ascii="宋体" w:hAnsi="宋体"/>
          <w:color w:val="000000" w:themeColor="text1"/>
          <w:sz w:val="24"/>
          <w:highlight w:val="none"/>
          <w:lang w:val="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按照</w:t>
      </w:r>
      <w:r>
        <w:rPr>
          <w:rFonts w:hint="eastAsia" w:ascii="宋体" w:hAnsi="宋体"/>
          <w:color w:val="000000" w:themeColor="text1"/>
          <w:sz w:val="24"/>
          <w:highlight w:val="none"/>
          <w:lang w:val="zh-CN"/>
          <w14:textFill>
            <w14:solidFill>
              <w14:schemeClr w14:val="tx1"/>
            </w14:solidFill>
          </w14:textFill>
        </w:rPr>
        <w:t xml:space="preserve">《关于政府采购支持监狱企业发展有关问题的通知》（财库〔2014〕68号）</w:t>
      </w:r>
      <w:r>
        <w:rPr>
          <w:rFonts w:hint="eastAsia" w:ascii="宋体" w:hAnsi="宋体"/>
          <w:color w:val="000000" w:themeColor="text1"/>
          <w:sz w:val="24"/>
          <w:highlight w:val="none"/>
          <w14:textFill>
            <w14:solidFill>
              <w14:schemeClr w14:val="tx1"/>
            </w14:solidFill>
          </w14:textFill>
        </w:rPr>
        <w:t xml:space="preserve">规定，</w:t>
      </w:r>
      <w:r>
        <w:rPr>
          <w:rFonts w:hint="eastAsia" w:ascii="宋体" w:hAnsi="宋体"/>
          <w:color w:val="000000" w:themeColor="text1"/>
          <w:sz w:val="24"/>
          <w:highlight w:val="none"/>
          <w:lang w:val="zh-CN"/>
          <w14:textFill>
            <w14:solidFill>
              <w14:schemeClr w14:val="tx1"/>
            </w14:solidFill>
          </w14:textFill>
        </w:rPr>
        <w:t xml:space="preserve">监狱企业需提供由省级以上监狱管理局、戒毒管理局(含新疆生产建设兵团)出具的属于监狱企业的证明文件。</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8</w:t>
      </w:r>
      <w:r>
        <w:rPr>
          <w:rFonts w:hint="eastAsia" w:ascii="宋体" w:hAnsi="宋体"/>
          <w:color w:val="000000" w:themeColor="text1"/>
          <w:sz w:val="24"/>
          <w:highlight w:val="none"/>
          <w:lang w:val="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6</w:t>
      </w:r>
      <w:r>
        <w:rPr>
          <w:rFonts w:hint="eastAsia" w:ascii="宋体" w:hAnsi="宋体"/>
          <w:color w:val="000000" w:themeColor="text1"/>
          <w:sz w:val="24"/>
          <w:highlight w:val="none"/>
          <w:lang w:val="zh-CN"/>
          <w14:textFill>
            <w14:solidFill>
              <w14:schemeClr w14:val="tx1"/>
            </w14:solidFill>
          </w14:textFill>
        </w:rPr>
        <w:t xml:space="preserve"> 残疾人福利性单位</w:t>
      </w:r>
      <w:r>
        <w:rPr>
          <w:rFonts w:hint="eastAsia" w:ascii="宋体" w:hAnsi="宋体" w:cs="宋体"/>
          <w:color w:val="000000" w:themeColor="text1"/>
          <w:sz w:val="24"/>
          <w:szCs w:val="24"/>
          <w:highlight w:val="none"/>
          <w14:textFill>
            <w14:solidFill>
              <w14:schemeClr w14:val="tx1"/>
            </w14:solidFill>
          </w14:textFill>
        </w:rPr>
        <w:t xml:space="preserve">视同小型、微型企业</w:t>
      </w:r>
      <w:r>
        <w:rPr>
          <w:rFonts w:hint="eastAsia" w:ascii="宋体" w:hAnsi="宋体"/>
          <w:color w:val="000000" w:themeColor="text1"/>
          <w:sz w:val="24"/>
          <w:highlight w:val="none"/>
          <w:lang w:val="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按照《关于促进残疾人就业政府采购政策的通知》（财库〔2017〕141号）规定，</w:t>
      </w:r>
      <w:r>
        <w:rPr>
          <w:rFonts w:hint="eastAsia" w:ascii="宋体" w:hAnsi="宋体" w:cs="宋体"/>
          <w:color w:val="000000" w:themeColor="text1"/>
          <w:sz w:val="24"/>
          <w:szCs w:val="24"/>
          <w:highlight w:val="none"/>
          <w14:textFill>
            <w14:solidFill>
              <w14:schemeClr w14:val="tx1"/>
            </w14:solidFill>
          </w14:textFill>
        </w:rPr>
        <w:t xml:space="preserve">残疾人福利单位</w:t>
      </w:r>
      <w:r>
        <w:rPr>
          <w:rFonts w:hint="eastAsia" w:ascii="宋体" w:hAnsi="宋体"/>
          <w:color w:val="000000" w:themeColor="text1"/>
          <w:sz w:val="24"/>
          <w:highlight w:val="none"/>
          <w14:textFill>
            <w14:solidFill>
              <w14:schemeClr w14:val="tx1"/>
            </w14:solidFill>
          </w14:textFill>
        </w:rPr>
        <w:t xml:space="preserve">需</w:t>
      </w:r>
      <w:r>
        <w:rPr>
          <w:rFonts w:hint="eastAsia" w:ascii="宋体" w:hAnsi="宋体"/>
          <w:color w:val="000000" w:themeColor="text1"/>
          <w:sz w:val="24"/>
          <w:highlight w:val="none"/>
          <w:lang w:val="zh-CN"/>
          <w14:textFill>
            <w14:solidFill>
              <w14:schemeClr w14:val="tx1"/>
            </w14:solidFill>
          </w14:textFill>
        </w:rPr>
        <w:t xml:space="preserve">提供《残疾人福利性单位声明函》。</w:t>
      </w:r>
      <w:r/>
    </w:p>
    <w:p>
      <w:pPr>
        <w:pStyle w:val="900"/>
        <w:ind w:firstLine="422"/>
        <w:spacing w:before="0" w:after="0" w:line="240" w:lineRule="auto"/>
        <w:rPr>
          <w:rFonts w:ascii="方正楷体_GBK" w:hAnsi="方正楷体_GBK" w:eastAsia="方正楷体_GBK" w:cs="方正楷体_GBK"/>
          <w:color w:val="000000" w:themeColor="text1"/>
          <w:highlight w:val="none"/>
          <w14:textFill>
            <w14:solidFill>
              <w14:schemeClr w14:val="tx1"/>
            </w14:solidFill>
          </w14:textFill>
        </w:rPr>
      </w:pPr>
      <w:r>
        <w:rPr>
          <w:rFonts w:hint="eastAsia" w:ascii="方正楷体_GBK" w:hAnsi="方正楷体_GBK" w:eastAsia="方正楷体_GBK" w:cs="方正楷体_GBK"/>
          <w:color w:val="000000" w:themeColor="text1"/>
          <w:highlight w:val="none"/>
          <w:lang w:val="zh-CN"/>
          <w14:textFill>
            <w14:solidFill>
              <w14:schemeClr w14:val="tx1"/>
            </w14:solidFill>
          </w14:textFill>
        </w:rPr>
        <w:t xml:space="preserve">3</w:t>
      </w:r>
      <w:r>
        <w:rPr>
          <w:rFonts w:hint="eastAsia" w:ascii="方正楷体_GBK" w:hAnsi="方正楷体_GBK" w:eastAsia="方正楷体_GBK" w:cs="方正楷体_GBK"/>
          <w:color w:val="000000" w:themeColor="text1"/>
          <w:highlight w:val="none"/>
          <w14:textFill>
            <w14:solidFill>
              <w14:schemeClr w14:val="tx1"/>
            </w14:solidFill>
          </w14:textFill>
        </w:rPr>
        <w:t xml:space="preserve">9</w:t>
      </w:r>
      <w:r>
        <w:rPr>
          <w:rFonts w:hint="eastAsia" w:ascii="方正楷体_GBK" w:hAnsi="方正楷体_GBK" w:eastAsia="方正楷体_GBK" w:cs="方正楷体_GBK"/>
          <w:color w:val="000000" w:themeColor="text1"/>
          <w:highlight w:val="none"/>
          <w:lang w:val="zh-CN"/>
          <w14:textFill>
            <w14:solidFill>
              <w14:schemeClr w14:val="tx1"/>
            </w14:solidFill>
          </w14:textFill>
        </w:rPr>
        <w:t xml:space="preserve">.</w:t>
      </w:r>
      <w:r>
        <w:rPr>
          <w:rFonts w:hint="eastAsia" w:ascii="方正楷体_GBK" w:hAnsi="方正楷体_GBK" w:eastAsia="方正楷体_GBK" w:cs="方正楷体_GBK"/>
          <w:color w:val="000000" w:themeColor="text1"/>
          <w:highlight w:val="none"/>
          <w14:textFill>
            <w14:solidFill>
              <w14:schemeClr w14:val="tx1"/>
            </w14:solidFill>
          </w14:textFill>
        </w:rPr>
        <w:t xml:space="preserve">节能环保产品</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39.2 采购产品</w:t>
      </w:r>
      <w:r>
        <w:rPr>
          <w:rFonts w:hint="eastAsia" w:ascii="宋体" w:hAnsi="宋体"/>
          <w:color w:val="000000" w:themeColor="text1"/>
          <w:sz w:val="24"/>
          <w:highlight w:val="none"/>
          <w:lang w:val="zh-CN"/>
          <w14:textFill>
            <w14:solidFill>
              <w14:schemeClr w14:val="tx1"/>
            </w14:solidFill>
          </w14:textFill>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39.3 采购产品</w:t>
      </w:r>
      <w:r>
        <w:rPr>
          <w:rFonts w:hint="eastAsia" w:ascii="宋体" w:hAnsi="宋体"/>
          <w:color w:val="000000" w:themeColor="text1"/>
          <w:sz w:val="24"/>
          <w:highlight w:val="none"/>
          <w:lang w:val="zh-CN"/>
          <w14:textFill>
            <w14:solidFill>
              <w14:schemeClr w14:val="tx1"/>
            </w14:solidFill>
          </w14:textFill>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000000" w:themeColor="text1"/>
          <w:sz w:val="24"/>
          <w:highlight w:val="none"/>
          <w14:textFill>
            <w14:solidFill>
              <w14:schemeClr w14:val="tx1"/>
            </w14:solidFill>
          </w14:textFill>
        </w:rPr>
        <w:t xml:space="preserve">第五章评标方法与评标标准</w:t>
      </w:r>
      <w:r>
        <w:rPr>
          <w:rFonts w:hint="eastAsia" w:ascii="宋体" w:hAnsi="宋体"/>
          <w:color w:val="000000" w:themeColor="text1"/>
          <w:sz w:val="24"/>
          <w:highlight w:val="none"/>
          <w:lang w:val="zh-CN"/>
          <w14:textFill>
            <w14:solidFill>
              <w14:schemeClr w14:val="tx1"/>
            </w14:solidFill>
          </w14:textFill>
        </w:rPr>
        <w:t xml:space="preserve">）。</w:t>
      </w:r>
      <w:r/>
    </w:p>
    <w:p>
      <w:pPr>
        <w:pStyle w:val="900"/>
        <w:ind w:firstLine="422"/>
        <w:spacing w:before="0" w:after="0" w:line="240" w:lineRule="auto"/>
        <w:rPr>
          <w:rFonts w:ascii="方正楷体_GBK" w:hAnsi="方正楷体_GBK" w:eastAsia="方正楷体_GBK" w:cs="方正楷体_GBK"/>
          <w:color w:val="000000" w:themeColor="text1"/>
          <w:highlight w:val="none"/>
          <w14:textFill>
            <w14:solidFill>
              <w14:schemeClr w14:val="tx1"/>
            </w14:solidFill>
          </w14:textFill>
        </w:rPr>
      </w:pPr>
      <w:r>
        <w:rPr>
          <w:rFonts w:hint="eastAsia" w:ascii="方正楷体_GBK" w:hAnsi="方正楷体_GBK" w:eastAsia="方正楷体_GBK" w:cs="方正楷体_GBK"/>
          <w:color w:val="000000" w:themeColor="text1"/>
          <w:highlight w:val="none"/>
          <w14:textFill>
            <w14:solidFill>
              <w14:schemeClr w14:val="tx1"/>
            </w14:solidFill>
          </w14:textFill>
        </w:rPr>
        <w:t xml:space="preserve">40</w:t>
      </w:r>
      <w:r>
        <w:rPr>
          <w:rFonts w:hint="eastAsia" w:ascii="方正楷体_GBK" w:hAnsi="方正楷体_GBK" w:eastAsia="方正楷体_GBK" w:cs="方正楷体_GBK"/>
          <w:color w:val="000000" w:themeColor="text1"/>
          <w:highlight w:val="none"/>
          <w:lang w:val="zh-CN"/>
          <w14:textFill>
            <w14:solidFill>
              <w14:schemeClr w14:val="tx1"/>
            </w14:solidFill>
          </w14:textFill>
        </w:rPr>
        <w:t xml:space="preserve">.</w:t>
      </w:r>
      <w:r>
        <w:rPr>
          <w:rFonts w:hint="eastAsia" w:ascii="方正楷体_GBK" w:hAnsi="方正楷体_GBK" w:eastAsia="方正楷体_GBK" w:cs="方正楷体_GBK"/>
          <w:color w:val="000000" w:themeColor="text1"/>
          <w:highlight w:val="none"/>
          <w14:textFill>
            <w14:solidFill>
              <w14:schemeClr w14:val="tx1"/>
            </w14:solidFill>
          </w14:textFill>
        </w:rPr>
        <w:t xml:space="preserve">绿色采购</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40.1 采购产品</w:t>
      </w:r>
      <w:r>
        <w:rPr>
          <w:rFonts w:hint="eastAsia" w:ascii="宋体"/>
          <w:bCs/>
          <w:color w:val="000000" w:themeColor="text1"/>
          <w:sz w:val="24"/>
          <w:szCs w:val="24"/>
          <w:highlight w:val="none"/>
          <w14:textFill>
            <w14:solidFill>
              <w14:schemeClr w14:val="tx1"/>
            </w14:solidFill>
          </w14:textFill>
        </w:rPr>
        <w:t xml:space="preserve">中涉及商品包装、快递包装要求的，应按照</w:t>
      </w:r>
      <w:r>
        <w:rPr>
          <w:rFonts w:hint="eastAsia" w:ascii="宋体" w:hAnsi="宋体"/>
          <w:color w:val="000000" w:themeColor="text1"/>
          <w:sz w:val="24"/>
          <w:highlight w:val="none"/>
          <w14:textFill>
            <w14:solidFill>
              <w14:schemeClr w14:val="tx1"/>
            </w14:solidFill>
          </w14:textFill>
        </w:rPr>
        <w:t xml:space="preserve">《关于印发&lt;商品包装政府采购需求标准（试行）&gt;、&lt;快递包装政府采购需求标准（试行）&gt;的通知》（财办库〔2020〕123号）、</w:t>
      </w:r>
      <w:r>
        <w:rPr>
          <w:rFonts w:hint="eastAsia" w:ascii="宋体" w:hAnsi="宋体" w:cs="宋体"/>
          <w:color w:val="000000" w:themeColor="text1"/>
          <w:sz w:val="24"/>
          <w:szCs w:val="24"/>
          <w:highlight w:val="none"/>
          <w14:textFill>
            <w14:solidFill>
              <w14:schemeClr w14:val="tx1"/>
            </w14:solidFill>
          </w14:textFill>
        </w:rPr>
        <w:t xml:space="preserve">《江苏省财政厅关于加强政府绿色采购有关事项的通知》（苏财购〔2023〕65号）</w:t>
      </w:r>
      <w:r>
        <w:rPr>
          <w:rFonts w:hint="eastAsia" w:ascii="宋体" w:hAnsi="宋体"/>
          <w:color w:val="000000" w:themeColor="text1"/>
          <w:sz w:val="24"/>
          <w:highlight w:val="none"/>
          <w14:textFill>
            <w14:solidFill>
              <w14:schemeClr w14:val="tx1"/>
            </w14:solidFill>
          </w14:textFill>
        </w:rPr>
        <w:t xml:space="preserve">文件执行。采购文件对</w:t>
      </w:r>
      <w:r>
        <w:rPr>
          <w:rFonts w:hint="eastAsia" w:ascii="宋体"/>
          <w:bCs/>
          <w:color w:val="000000" w:themeColor="text1"/>
          <w:sz w:val="24"/>
          <w:szCs w:val="24"/>
          <w:highlight w:val="none"/>
          <w14:textFill>
            <w14:solidFill>
              <w14:schemeClr w14:val="tx1"/>
            </w14:solidFill>
          </w14:textFill>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40.2 采购产品中涉及数据中心相关设备、运维服务的，应按照《关于印发〈绿色数据中心政府采购需求标准（试行）的通知》（财办库〔2023〕7号）、</w:t>
      </w:r>
      <w:r>
        <w:rPr>
          <w:rFonts w:hint="eastAsia" w:ascii="宋体" w:hAnsi="宋体" w:cs="宋体"/>
          <w:color w:val="000000" w:themeColor="text1"/>
          <w:sz w:val="24"/>
          <w:szCs w:val="24"/>
          <w:highlight w:val="none"/>
          <w14:textFill>
            <w14:solidFill>
              <w14:schemeClr w14:val="tx1"/>
            </w14:solidFill>
          </w14:textFill>
        </w:rPr>
        <w:t xml:space="preserve">《江苏省财政厅关于加强政府绿色采购有关事项的通知》（苏财购〔2023〕65号）</w:t>
      </w:r>
      <w:r>
        <w:rPr>
          <w:rFonts w:hint="eastAsia" w:ascii="宋体" w:hAnsi="宋体"/>
          <w:color w:val="000000" w:themeColor="text1"/>
          <w:sz w:val="24"/>
          <w:highlight w:val="none"/>
          <w14:textFill>
            <w14:solidFill>
              <w14:schemeClr w14:val="tx1"/>
            </w14:solidFill>
          </w14:textFill>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900"/>
        <w:ind w:firstLine="422"/>
        <w:spacing w:before="0" w:after="0" w:line="240" w:lineRule="auto"/>
        <w:rPr>
          <w:rFonts w:ascii="方正楷体_GBK" w:hAnsi="方正楷体_GBK" w:eastAsia="方正楷体_GBK" w:cs="方正楷体_GBK"/>
          <w:color w:val="000000" w:themeColor="text1"/>
          <w:highlight w:val="none"/>
          <w14:textFill>
            <w14:solidFill>
              <w14:schemeClr w14:val="tx1"/>
            </w14:solidFill>
          </w14:textFill>
        </w:rPr>
      </w:pPr>
      <w:r>
        <w:rPr>
          <w:rFonts w:hint="eastAsia" w:ascii="方正楷体_GBK" w:hAnsi="方正楷体_GBK" w:eastAsia="方正楷体_GBK" w:cs="方正楷体_GBK"/>
          <w:color w:val="000000" w:themeColor="text1"/>
          <w:highlight w:val="none"/>
          <w14:textFill>
            <w14:solidFill>
              <w14:schemeClr w14:val="tx1"/>
            </w14:solidFill>
          </w14:textFill>
        </w:rPr>
        <w:t xml:space="preserve">41</w:t>
      </w:r>
      <w:r>
        <w:rPr>
          <w:rFonts w:hint="eastAsia" w:ascii="方正楷体_GBK" w:hAnsi="方正楷体_GBK" w:eastAsia="方正楷体_GBK" w:cs="方正楷体_GBK"/>
          <w:color w:val="000000" w:themeColor="text1"/>
          <w:highlight w:val="none"/>
          <w:lang w:val="zh-CN"/>
          <w14:textFill>
            <w14:solidFill>
              <w14:schemeClr w14:val="tx1"/>
            </w14:solidFill>
          </w14:textFill>
        </w:rPr>
        <w:t xml:space="preserve">.</w:t>
      </w:r>
      <w:r>
        <w:rPr>
          <w:rFonts w:hint="eastAsia" w:ascii="方正楷体_GBK" w:hAnsi="方正楷体_GBK" w:eastAsia="方正楷体_GBK" w:cs="方正楷体_GBK"/>
          <w:color w:val="000000" w:themeColor="text1"/>
          <w:highlight w:val="none"/>
          <w14:textFill>
            <w14:solidFill>
              <w14:schemeClr w14:val="tx1"/>
            </w14:solidFill>
          </w14:textFill>
        </w:rPr>
        <w:t xml:space="preserve">创新产品采购</w:t>
      </w:r>
      <w:r/>
    </w:p>
    <w:p>
      <w:pPr>
        <w:ind w:firstLine="420"/>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41.1 优先采购各级政府部门公开发布的有效期内的创新产品、首台套等《目录》内的创新产品。创新产品自进入《目录》起2年内视同具备相应销售业绩。</w:t>
      </w:r>
      <w:r/>
    </w:p>
    <w:p>
      <w:pPr>
        <w:pStyle w:val="900"/>
        <w:ind w:firstLine="422"/>
        <w:spacing w:before="0" w:after="0" w:line="240" w:lineRule="auto"/>
        <w:rPr>
          <w:rFonts w:ascii="方正楷体_GBK" w:hAnsi="方正楷体_GBK" w:eastAsia="方正楷体_GBK" w:cs="方正楷体_GBK"/>
          <w:color w:val="000000" w:themeColor="text1"/>
          <w:highlight w:val="none"/>
          <w14:textFill>
            <w14:solidFill>
              <w14:schemeClr w14:val="tx1"/>
            </w14:solidFill>
          </w14:textFill>
        </w:rPr>
      </w:pPr>
      <w:r>
        <w:rPr>
          <w:rFonts w:hint="eastAsia" w:ascii="方正楷体_GBK" w:hAnsi="方正楷体_GBK" w:eastAsia="方正楷体_GBK" w:cs="方正楷体_GBK"/>
          <w:color w:val="000000" w:themeColor="text1"/>
          <w:highlight w:val="none"/>
          <w14:textFill>
            <w14:solidFill>
              <w14:schemeClr w14:val="tx1"/>
            </w14:solidFill>
          </w14:textFill>
        </w:rPr>
        <w:t xml:space="preserve">42.</w:t>
      </w:r>
      <w:r>
        <w:rPr>
          <w:rFonts w:hint="eastAsia" w:ascii="方正楷体_GBK" w:hAnsi="方正楷体_GBK" w:eastAsia="方正楷体_GBK" w:cs="方正楷体_GBK"/>
          <w:color w:val="000000" w:themeColor="text1"/>
          <w:highlight w:val="none"/>
          <w:lang w:val="zh-CN"/>
          <w14:textFill>
            <w14:solidFill>
              <w14:schemeClr w14:val="tx1"/>
            </w14:solidFill>
          </w14:textFill>
        </w:rPr>
        <w:t xml:space="preserve">网络产品、市场准入类产品采购</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42.1 </w:t>
      </w:r>
      <w:r>
        <w:rPr>
          <w:rFonts w:hint="eastAsia" w:ascii="宋体" w:hAnsi="宋体"/>
          <w:color w:val="000000" w:themeColor="text1"/>
          <w:sz w:val="24"/>
          <w:highlight w:val="none"/>
          <w:lang w:val="zh-CN"/>
          <w14:textFill>
            <w14:solidFill>
              <w14:schemeClr w14:val="tx1"/>
            </w14:solidFill>
          </w14:textFill>
        </w:rPr>
        <w:t xml:space="preserve">本</w:t>
      </w:r>
      <w:r>
        <w:rPr>
          <w:rFonts w:hint="eastAsia" w:ascii="宋体" w:hAnsi="宋体"/>
          <w:color w:val="000000" w:themeColor="text1"/>
          <w:sz w:val="24"/>
          <w:highlight w:val="none"/>
          <w:lang w:val="zh-CN"/>
          <w14:textFill>
            <w14:solidFill>
              <w14:schemeClr w14:val="tx1"/>
            </w14:solidFill>
          </w14:textFill>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42.2 </w:t>
      </w:r>
      <w:r>
        <w:rPr>
          <w:rFonts w:hint="eastAsia" w:ascii="宋体" w:hAnsi="宋体"/>
          <w:color w:val="000000" w:themeColor="text1"/>
          <w:sz w:val="24"/>
          <w:highlight w:val="none"/>
          <w:lang w:val="zh-CN"/>
          <w14:textFill>
            <w14:solidFill>
              <w14:schemeClr w14:val="tx1"/>
            </w14:solidFill>
          </w14:textFill>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692"/>
        <w:ind w:firstLine="420"/>
        <w:spacing w:before="0" w:after="0" w:line="240" w:lineRule="auto"/>
        <w:rPr>
          <w:rFonts w:hint="eastAsia" w:ascii="方正楷体_GBK" w:hAnsi="方正楷体_GBK" w:eastAsia="方正楷体_GBK" w:cs="方正楷体_GBK"/>
          <w:bCs/>
          <w:color w:val="000000" w:themeColor="text1"/>
          <w:sz w:val="28"/>
          <w:szCs w:val="28"/>
          <w:highlight w:val="none"/>
          <w:lang w:val="zh-CN"/>
          <w14:textFill>
            <w14:solidFill>
              <w14:schemeClr w14:val="tx1"/>
            </w14:solidFill>
          </w14:textFill>
        </w:rPr>
      </w:pPr>
      <w:r>
        <w:rPr>
          <w:rFonts w:hint="eastAsia" w:ascii="方正楷体_GBK" w:hAnsi="方正楷体_GBK" w:eastAsia="方正楷体_GBK" w:cs="方正楷体_GBK"/>
          <w:color w:val="000000" w:themeColor="text1"/>
          <w:sz w:val="28"/>
          <w:highlight w:val="none"/>
          <w:lang w:val="zh-CN" w:eastAsia="zh-CN"/>
          <w14:textFill>
            <w14:solidFill>
              <w14:schemeClr w14:val="tx1"/>
            </w14:solidFill>
          </w14:textFill>
        </w:rPr>
        <w:t xml:space="preserve">43.</w:t>
      </w:r>
      <w:r>
        <w:rPr>
          <w:rFonts w:hint="eastAsia" w:ascii="方正楷体_GBK" w:hAnsi="方正楷体_GBK" w:eastAsia="方正楷体_GBK" w:cs="方正楷体_GBK"/>
          <w:bCs/>
          <w:color w:val="000000" w:themeColor="text1"/>
          <w:sz w:val="28"/>
          <w:szCs w:val="28"/>
          <w:highlight w:val="none"/>
          <w:lang w:val="zh-CN"/>
          <w14:textFill>
            <w14:solidFill>
              <w14:schemeClr w14:val="tx1"/>
            </w14:solidFill>
          </w14:textFill>
        </w:rPr>
        <w:t xml:space="preserve">实施本国产品标准及相关政策</w:t>
      </w:r>
      <w:r/>
    </w:p>
    <w:p>
      <w:pPr>
        <w:ind w:firstLine="420"/>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43.</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1</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w:t>
      </w:r>
      <w:r>
        <w:rPr>
          <w:rFonts w:hint="eastAsia" w:ascii="宋体" w:hAnsi="宋体" w:cs="Times New Roman"/>
          <w:color w:val="000000" w:themeColor="text1"/>
          <w:sz w:val="24"/>
          <w:highlight w:val="none"/>
          <w:lang w:val="en-US" w:eastAsia="zh-CN"/>
          <w14:textFill>
            <w14:solidFill>
              <w14:schemeClr w14:val="tx1"/>
            </w14:solidFill>
          </w14:textFill>
        </w:rPr>
        <w:t xml:space="preserve">采</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购中实施本国产品标准及相关政策的通知》（宁财购通〔2025〕78号）等文件规定，在政府采购中实施本国产品标准及相关政策</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w:t>
      </w:r>
      <w:r/>
    </w:p>
    <w:p>
      <w:pPr>
        <w:ind w:firstLine="420"/>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43.2</w:t>
      </w:r>
      <w:r>
        <w:rPr>
          <w:rFonts w:hint="eastAsia" w:ascii="宋体" w:hAnsi="宋体" w:eastAsia="宋体" w:cs="Times New Roman"/>
          <w:i w:val="0"/>
          <w:iCs w:val="0"/>
          <w:caps w:val="0"/>
          <w:color w:val="000000" w:themeColor="text1"/>
          <w:spacing w:val="0"/>
          <w:sz w:val="24"/>
          <w:szCs w:val="22"/>
          <w:highlight w:val="none"/>
          <w:shd w:val="clear" w:color="auto" w:fill="auto"/>
          <w:lang w:val="zh-CN"/>
          <w14:textFill>
            <w14:solidFill>
              <w14:schemeClr w14:val="tx1"/>
            </w14:solidFill>
          </w14:textFill>
        </w:rPr>
        <w:t xml:space="preserve">本国产品应当符合以下条件</w:t>
      </w:r>
      <w:r>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t xml:space="preserve">：</w:t>
      </w:r>
      <w:r/>
    </w:p>
    <w:p>
      <w:pPr>
        <w:ind w:firstLine="420"/>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pPr>
      <w:r>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t xml:space="preserve">（1）在中国境内生产</w:t>
      </w:r>
      <w:r/>
    </w:p>
    <w:p>
      <w:pPr>
        <w:ind w:firstLine="420"/>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pPr>
      <w:r>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（2）在中国境内生产的组件成本占比达到规定比例</w:t>
      </w:r>
      <w:r/>
    </w:p>
    <w:p>
      <w:pPr>
        <w:ind w:firstLine="420"/>
        <w:rPr>
          <w:rFonts w:hint="eastAsia" w:ascii="宋体" w:hAnsi="宋体" w:eastAsia="宋体" w:cs="Times New Roman"/>
          <w:i w:val="0"/>
          <w:iCs w:val="0"/>
          <w:caps w:val="0"/>
          <w:color w:val="000000" w:themeColor="text1"/>
          <w:spacing w:val="0"/>
          <w:sz w:val="24"/>
          <w:szCs w:val="22"/>
          <w:highlight w:val="none"/>
          <w:shd w:val="clear" w:color="auto" w:fill="auto"/>
          <w:lang w:val="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比例计算公式</w:t>
      </w:r>
      <w:r>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themeColor="text1"/>
          <w:spacing w:val="0"/>
          <w:sz w:val="24"/>
          <w:szCs w:val="22"/>
          <w:highlight w:val="none"/>
          <w:shd w:val="clear" w:color="auto" w:fill="auto"/>
          <w:lang w:val="zh-CN"/>
          <w14:textFill>
            <w14:solidFill>
              <w14:schemeClr w14:val="tx1"/>
            </w14:solidFill>
          </w14:textFill>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t xml:space="preserve">符合上述第（1）条“在中国境内生产”</w:t>
      </w:r>
      <w:r>
        <w:rPr>
          <w:rFonts w:hint="eastAsia" w:ascii="宋体" w:hAnsi="宋体" w:eastAsia="宋体" w:cs="Times New Roman"/>
          <w:i w:val="0"/>
          <w:iCs w:val="0"/>
          <w:caps w:val="0"/>
          <w:color w:val="000000" w:themeColor="text1"/>
          <w:spacing w:val="0"/>
          <w:sz w:val="24"/>
          <w:szCs w:val="22"/>
          <w:highlight w:val="none"/>
          <w:shd w:val="clear" w:color="auto" w:fill="auto"/>
          <w:lang w:val="zh-CN"/>
          <w14:textFill>
            <w14:solidFill>
              <w14:schemeClr w14:val="tx1"/>
            </w14:solidFill>
          </w14:textFill>
        </w:rPr>
        <w:t xml:space="preserve">条件的产品在政府采购活动中视同本国产品。</w:t>
      </w:r>
      <w:r/>
    </w:p>
    <w:p>
      <w:pPr>
        <w:ind w:firstLine="420"/>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pPr>
      <w:r>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t xml:space="preserve">（3）特定产品的关键组件、关键工序符合相关要求</w:t>
      </w:r>
      <w:r/>
    </w:p>
    <w:p>
      <w:pPr>
        <w:ind w:firstLine="420"/>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pPr>
      <w:r>
        <w:rPr>
          <w:rFonts w:hint="eastAsia" w:ascii="宋体" w:hAnsi="宋体" w:eastAsia="宋体" w:cs="Times New Roman"/>
          <w:i w:val="0"/>
          <w:iCs w:val="0"/>
          <w:caps w:val="0"/>
          <w:color w:val="000000" w:themeColor="text1"/>
          <w:spacing w:val="0"/>
          <w:sz w:val="24"/>
          <w:szCs w:val="22"/>
          <w:highlight w:val="none"/>
          <w:shd w:val="clear" w:color="auto" w:fill="auto"/>
          <w:lang w:val="zh-CN"/>
          <w14:textFill>
            <w14:solidFill>
              <w14:schemeClr w14:val="tx1"/>
            </w14:solidFill>
          </w14:textFill>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43.3本国产品标准的适用范围</w:t>
      </w:r>
      <w:r/>
    </w:p>
    <w:p>
      <w:pPr>
        <w:ind w:firstLine="420"/>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default"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43.4对本国产品的支持政策</w:t>
      </w:r>
      <w:r/>
    </w:p>
    <w:p>
      <w:pPr>
        <w:ind w:firstLine="422"/>
        <w:rPr>
          <w:rFonts w:hint="default" w:ascii="宋体" w:hAnsi="宋体" w:eastAsia="宋体" w:cs="Times New Roman"/>
          <w:b/>
          <w:bCs/>
          <w:color w:val="000000" w:themeColor="text1"/>
          <w:sz w:val="24"/>
          <w:highlight w:val="none"/>
          <w:lang w:val="en-US" w:eastAsia="zh-CN"/>
          <w14:textFill>
            <w14:solidFill>
              <w14:schemeClr w14:val="tx1"/>
            </w14:solidFill>
          </w14:textFill>
        </w:rPr>
      </w:pP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本项目如</w:t>
      </w:r>
      <w:r>
        <w:rPr>
          <w:rFonts w:hint="eastAsia" w:ascii="宋体" w:hAnsi="宋体" w:eastAsia="宋体" w:cs="Times New Roman"/>
          <w:b/>
          <w:bCs/>
          <w:color w:val="000000" w:themeColor="text1"/>
          <w:sz w:val="24"/>
          <w:highlight w:val="none"/>
          <w:lang w:val="zh-CN" w:eastAsia="zh-CN"/>
          <w14:textFill>
            <w14:solidFill>
              <w14:schemeClr w14:val="tx1"/>
            </w14:solidFill>
          </w14:textFill>
        </w:rPr>
        <w:t xml:space="preserve">既有本国产品又有非本国产品参与竞争，依法对本国产品给予价格评审优惠，</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具体详见第五章。</w:t>
      </w:r>
      <w:r/>
    </w:p>
    <w:p>
      <w:pPr>
        <w:ind w:firstLine="420"/>
        <w:rPr>
          <w:rFonts w:hint="default" w:ascii="宋体" w:hAnsi="宋体" w:eastAsia="宋体" w:cs="Times New Roman"/>
          <w:b w:val="0"/>
          <w:bCs w:val="0"/>
          <w:color w:val="000000" w:themeColor="text1"/>
          <w:sz w:val="24"/>
          <w:highlight w:val="none"/>
          <w:lang w:val="en-US" w:eastAsia="zh-CN"/>
          <w14:textFill>
            <w14:solidFill>
              <w14:schemeClr w14:val="tx1"/>
            </w14:solidFill>
          </w14:textFill>
        </w:rPr>
      </w:pPr>
      <w:r>
        <w:rPr>
          <w:rFonts w:hint="eastAsia" w:ascii="宋体" w:hAnsi="宋体" w:eastAsia="宋体" w:cs="Times New Roman"/>
          <w:b w:val="0"/>
          <w:bCs w:val="0"/>
          <w:color w:val="000000" w:themeColor="text1"/>
          <w:sz w:val="24"/>
          <w:highlight w:val="none"/>
          <w:lang w:val="en-US" w:eastAsia="zh-CN"/>
          <w14:textFill>
            <w14:solidFill>
              <w14:schemeClr w14:val="tx1"/>
            </w14:solidFill>
          </w14:textFill>
        </w:rPr>
        <w:t xml:space="preserve">43.5政策执行要求</w:t>
      </w:r>
      <w:r/>
    </w:p>
    <w:p>
      <w:pPr>
        <w:numPr>
          <w:ilvl w:val="0"/>
          <w:numId w:val="0"/>
        </w:numPr>
        <w:ind w:firstLine="420"/>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详见</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《国务院办公厅关于在政府采购中实施本国产品标准及相关政策的通知》（国办发〔2025〕34号）规定。</w:t>
      </w:r>
      <w:r/>
    </w:p>
    <w:p>
      <w:pPr>
        <w:numPr>
          <w:ilvl w:val="0"/>
          <w:numId w:val="0"/>
        </w:numPr>
        <w:ind w:firstLine="420"/>
        <w:rPr>
          <w:rFonts w:hint="eastAsia" w:ascii="宋体" w:hAnsi="宋体" w:eastAsia="宋体" w:cs="Times New Roman"/>
          <w:b/>
          <w:bCs/>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（2）有关证明文件。</w:t>
      </w:r>
      <w:r>
        <w:rPr>
          <w:rFonts w:hint="eastAsia" w:ascii="宋体" w:hAnsi="宋体" w:eastAsia="宋体" w:cs="Times New Roman"/>
          <w:b/>
          <w:bCs/>
          <w:color w:val="000000" w:themeColor="text1"/>
          <w:sz w:val="24"/>
          <w:highlight w:val="none"/>
          <w:lang w:val="en-US" w:eastAsia="zh-CN"/>
          <w14:textFill>
            <w14:solidFill>
              <w14:schemeClr w14:val="tx1"/>
            </w14:solidFill>
          </w14:textFill>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t xml:space="preserve">评审委员会评审</w:t>
      </w:r>
      <w:r>
        <w:rPr>
          <w:rFonts w:hint="eastAsia" w:ascii="宋体" w:hAnsi="宋体" w:eastAsia="宋体" w:cs="Times New Roman"/>
          <w:i w:val="0"/>
          <w:iCs w:val="0"/>
          <w:caps w:val="0"/>
          <w:color w:val="000000" w:themeColor="text1"/>
          <w:spacing w:val="0"/>
          <w:sz w:val="24"/>
          <w:szCs w:val="22"/>
          <w:highlight w:val="none"/>
          <w:shd w:val="clear" w:color="auto" w:fill="auto"/>
          <w:lang w:val="zh-CN"/>
          <w14:textFill>
            <w14:solidFill>
              <w14:schemeClr w14:val="tx1"/>
            </w14:solidFill>
          </w14:textFill>
        </w:rPr>
        <w:t xml:space="preserve">中发现</w:t>
      </w:r>
      <w:r>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t xml:space="preserve">供应商提供的</w:t>
      </w:r>
      <w:r>
        <w:rPr>
          <w:rFonts w:hint="eastAsia" w:ascii="宋体" w:hAnsi="宋体" w:eastAsia="宋体" w:cs="Times New Roman"/>
          <w:i w:val="0"/>
          <w:iCs w:val="0"/>
          <w:caps w:val="0"/>
          <w:color w:val="000000" w:themeColor="text1"/>
          <w:spacing w:val="0"/>
          <w:sz w:val="24"/>
          <w:szCs w:val="22"/>
          <w:highlight w:val="none"/>
          <w:shd w:val="clear" w:color="auto" w:fill="auto"/>
          <w:lang w:val="zh-CN"/>
          <w14:textFill>
            <w14:solidFill>
              <w14:schemeClr w14:val="tx1"/>
            </w14:solidFill>
          </w14:textFill>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t xml:space="preserve">在</w:t>
      </w:r>
      <w:r>
        <w:rPr>
          <w:rFonts w:hint="eastAsia" w:ascii="宋体" w:hAnsi="宋体" w:eastAsia="宋体" w:cs="Times New Roman"/>
          <w:i w:val="0"/>
          <w:iCs w:val="0"/>
          <w:caps w:val="0"/>
          <w:color w:val="000000" w:themeColor="text1"/>
          <w:spacing w:val="0"/>
          <w:sz w:val="24"/>
          <w:szCs w:val="22"/>
          <w:highlight w:val="none"/>
          <w:shd w:val="clear" w:color="auto" w:fill="auto"/>
          <w:lang w:val="zh-CN"/>
          <w14:textFill>
            <w14:solidFill>
              <w14:schemeClr w14:val="tx1"/>
            </w14:solidFill>
          </w14:textFill>
        </w:rPr>
        <w:t xml:space="preserve">政府采购中实施本国产品标准及相关政策规定要求的，供应商提供的相关产品视为不符合本国产品标准。</w:t>
      </w:r>
      <w:r/>
    </w:p>
    <w:p>
      <w:pPr>
        <w:pStyle w:val="882"/>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r>
      <w:r/>
    </w:p>
    <w:p>
      <w:pPr>
        <w:pStyle w:val="723"/>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p>
      <w:pPr>
        <w:pStyle w:val="882"/>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r>
      <w:r/>
    </w:p>
    <w:p>
      <w:pPr>
        <w:pStyle w:val="882"/>
        <w:ind w:left="0"/>
        <w:jc w:val="center"/>
        <w:rPr>
          <w:rFonts w:ascii="方正小标宋简体" w:hAnsi="方正小标宋简体" w:eastAsia="方正小标宋简体" w:cs="方正小标宋简体"/>
          <w:color w:val="000000" w:themeColor="text1"/>
          <w:sz w:val="36"/>
          <w:szCs w:val="36"/>
          <w:highlight w:val="none"/>
          <w:lang w:val="en-US"/>
          <w14:textFill>
            <w14:solidFill>
              <w14:schemeClr w14:val="tx1"/>
            </w14:solidFill>
          </w14:textFill>
        </w:rPr>
      </w:pPr>
      <w:r>
        <w:rPr>
          <w:rFonts w:ascii="方正小标宋简体" w:hAnsi="方正小标宋简体" w:eastAsia="方正小标宋简体" w:cs="方正小标宋简体"/>
          <w:color w:val="000000" w:themeColor="text1"/>
          <w:sz w:val="36"/>
          <w:szCs w:val="36"/>
          <w:highlight w:val="none"/>
          <w:lang w:val="en-US"/>
          <w14:textFill>
            <w14:solidFill>
              <w14:schemeClr w14:val="tx1"/>
            </w14:solidFill>
          </w14:textFill>
        </w:rPr>
      </w:r>
      <w:r/>
    </w:p>
    <w:p>
      <w:pPr>
        <w:pStyle w:val="882"/>
        <w:ind w:left="0" w:firstLine="0"/>
        <w:jc w:val="center"/>
        <w:rPr>
          <w:rFonts w:hint="eastAsia" w:ascii="方正小标宋简体" w:hAnsi="方正小标宋简体" w:eastAsia="方正小标宋简体" w:cs="方正小标宋简体"/>
          <w:color w:val="000000" w:themeColor="text1"/>
          <w:sz w:val="36"/>
          <w:szCs w:val="36"/>
          <w:highlight w:val="none"/>
          <w:lang w:val="en-US"/>
          <w14:textFill>
            <w14:solidFill>
              <w14:schemeClr w14:val="tx1"/>
            </w14:solidFill>
          </w14:textFill>
        </w:rPr>
      </w:pPr>
      <w:r>
        <w:rPr>
          <w:rFonts w:hint="eastAsia" w:ascii="方正小标宋简体" w:hAnsi="方正小标宋简体" w:eastAsia="方正小标宋简体" w:cs="方正小标宋简体"/>
          <w:color w:val="000000" w:themeColor="text1"/>
          <w:sz w:val="36"/>
          <w:szCs w:val="36"/>
          <w:highlight w:val="none"/>
          <w:lang w:val="en-US"/>
          <w14:textFill>
            <w14:solidFill>
              <w14:schemeClr w14:val="tx1"/>
            </w14:solidFill>
          </w14:textFill>
        </w:rPr>
      </w:r>
      <w:r/>
    </w:p>
    <w:p>
      <w:pPr>
        <w:pStyle w:val="882"/>
        <w:ind w:left="0" w:firstLine="0"/>
        <w:jc w:val="center"/>
        <w:rPr>
          <w:rFonts w:hint="eastAsia" w:ascii="方正小标宋简体" w:hAnsi="方正小标宋简体" w:eastAsia="方正小标宋简体" w:cs="方正小标宋简体"/>
          <w:color w:val="000000" w:themeColor="text1"/>
          <w:sz w:val="36"/>
          <w:szCs w:val="36"/>
          <w:highlight w:val="none"/>
          <w:lang w:val="en-US"/>
          <w14:textFill>
            <w14:solidFill>
              <w14:schemeClr w14:val="tx1"/>
            </w14:solidFill>
          </w14:textFill>
        </w:rPr>
      </w:pPr>
      <w:r>
        <w:rPr>
          <w:rFonts w:hint="eastAsia" w:ascii="方正小标宋简体" w:hAnsi="方正小标宋简体" w:eastAsia="方正小标宋简体" w:cs="方正小标宋简体"/>
          <w:color w:val="000000" w:themeColor="text1"/>
          <w:sz w:val="36"/>
          <w:szCs w:val="36"/>
          <w:highlight w:val="none"/>
          <w:lang w:val="en-US"/>
          <w14:textFill>
            <w14:solidFill>
              <w14:schemeClr w14:val="tx1"/>
            </w14:solidFill>
          </w14:textFill>
        </w:rPr>
      </w:r>
      <w:r/>
    </w:p>
    <w:p>
      <w:pPr>
        <w:pStyle w:val="882"/>
        <w:ind w:left="0" w:firstLine="0"/>
        <w:jc w:val="center"/>
        <w:rPr>
          <w:rFonts w:hint="eastAsia" w:ascii="方正小标宋简体" w:hAnsi="方正小标宋简体" w:eastAsia="方正小标宋简体" w:cs="方正小标宋简体"/>
          <w:color w:val="000000" w:themeColor="text1"/>
          <w:sz w:val="36"/>
          <w:szCs w:val="36"/>
          <w:highlight w:val="none"/>
          <w:lang w:val="en-US"/>
          <w14:textFill>
            <w14:solidFill>
              <w14:schemeClr w14:val="tx1"/>
            </w14:solidFill>
          </w14:textFill>
        </w:rPr>
      </w:pPr>
      <w:r>
        <w:rPr>
          <w:rFonts w:hint="eastAsia" w:ascii="方正小标宋简体" w:hAnsi="方正小标宋简体" w:eastAsia="方正小标宋简体" w:cs="方正小标宋简体"/>
          <w:color w:val="000000" w:themeColor="text1"/>
          <w:sz w:val="36"/>
          <w:szCs w:val="36"/>
          <w:highlight w:val="none"/>
          <w:lang w:val="en-US"/>
          <w14:textFill>
            <w14:solidFill>
              <w14:schemeClr w14:val="tx1"/>
            </w14:solidFill>
          </w14:textFill>
        </w:rPr>
      </w:r>
      <w:r/>
    </w:p>
    <w:p>
      <w:pPr>
        <w:pStyle w:val="882"/>
        <w:ind w:left="0" w:firstLine="0"/>
        <w:jc w:val="center"/>
        <w:rPr>
          <w:rFonts w:hint="eastAsia" w:ascii="方正小标宋简体" w:hAnsi="方正小标宋简体" w:eastAsia="方正小标宋简体" w:cs="方正小标宋简体"/>
          <w:color w:val="000000" w:themeColor="text1"/>
          <w:sz w:val="36"/>
          <w:szCs w:val="36"/>
          <w:highlight w:val="none"/>
          <w:lang w:val="en-US"/>
          <w14:textFill>
            <w14:solidFill>
              <w14:schemeClr w14:val="tx1"/>
            </w14:solidFill>
          </w14:textFill>
        </w:rPr>
      </w:pPr>
      <w:r>
        <w:rPr>
          <w:rFonts w:hint="eastAsia" w:ascii="方正小标宋简体" w:hAnsi="方正小标宋简体" w:eastAsia="方正小标宋简体" w:cs="方正小标宋简体"/>
          <w:color w:val="000000" w:themeColor="text1"/>
          <w:sz w:val="36"/>
          <w:szCs w:val="36"/>
          <w:highlight w:val="none"/>
          <w:lang w:val="en-US"/>
          <w14:textFill>
            <w14:solidFill>
              <w14:schemeClr w14:val="tx1"/>
            </w14:solidFill>
          </w14:textFill>
        </w:rPr>
      </w:r>
      <w:r/>
    </w:p>
    <w:p>
      <w:pPr>
        <w:pStyle w:val="882"/>
        <w:ind w:left="0" w:firstLine="0"/>
        <w:jc w:val="center"/>
        <w:rPr>
          <w:rFonts w:hint="eastAsia" w:ascii="方正小标宋简体" w:hAnsi="方正小标宋简体" w:eastAsia="方正小标宋简体" w:cs="方正小标宋简体"/>
          <w:color w:val="000000" w:themeColor="text1"/>
          <w:sz w:val="36"/>
          <w:szCs w:val="36"/>
          <w:highlight w:val="none"/>
          <w:lang w:val="en-US"/>
          <w14:textFill>
            <w14:solidFill>
              <w14:schemeClr w14:val="tx1"/>
            </w14:solidFill>
          </w14:textFill>
        </w:rPr>
      </w:pPr>
      <w:r>
        <w:rPr>
          <w:rFonts w:hint="eastAsia" w:ascii="方正小标宋简体" w:hAnsi="方正小标宋简体" w:eastAsia="方正小标宋简体" w:cs="方正小标宋简体"/>
          <w:color w:val="000000" w:themeColor="text1"/>
          <w:sz w:val="36"/>
          <w:szCs w:val="36"/>
          <w:highlight w:val="none"/>
          <w:lang w:val="en-US"/>
          <w14:textFill>
            <w14:solidFill>
              <w14:schemeClr w14:val="tx1"/>
            </w14:solidFill>
          </w14:textFill>
        </w:rPr>
      </w:r>
      <w:r/>
    </w:p>
    <w:p>
      <w:pPr>
        <w:pStyle w:val="882"/>
        <w:ind w:left="0" w:firstLine="0"/>
        <w:jc w:val="center"/>
        <w:rPr>
          <w:rFonts w:hint="eastAsia" w:ascii="方正小标宋简体" w:hAnsi="方正小标宋简体" w:eastAsia="方正小标宋简体" w:cs="方正小标宋简体"/>
          <w:color w:val="000000" w:themeColor="text1"/>
          <w:sz w:val="36"/>
          <w:szCs w:val="36"/>
          <w:highlight w:val="none"/>
          <w:lang w:val="en-US"/>
          <w14:textFill>
            <w14:solidFill>
              <w14:schemeClr w14:val="tx1"/>
            </w14:solidFill>
          </w14:textFill>
        </w:rPr>
      </w:pPr>
      <w:r>
        <w:rPr>
          <w:rFonts w:hint="eastAsia" w:ascii="方正小标宋简体" w:hAnsi="方正小标宋简体" w:eastAsia="方正小标宋简体" w:cs="方正小标宋简体"/>
          <w:color w:val="000000" w:themeColor="text1"/>
          <w:sz w:val="36"/>
          <w:szCs w:val="36"/>
          <w:highlight w:val="none"/>
          <w:lang w:val="en-US"/>
          <w14:textFill>
            <w14:solidFill>
              <w14:schemeClr w14:val="tx1"/>
            </w14:solidFill>
          </w14:textFill>
        </w:rPr>
      </w:r>
      <w:r/>
    </w:p>
    <w:p>
      <w:pPr>
        <w:rPr>
          <w:rFonts w:hint="eastAsia" w:ascii="方正小标宋简体" w:hAnsi="方正小标宋简体" w:eastAsia="方正小标宋简体" w:cs="方正小标宋简体"/>
          <w:color w:val="000000" w:themeColor="text1"/>
          <w:sz w:val="36"/>
          <w:szCs w:val="36"/>
          <w:highlight w:val="none"/>
          <w:lang w:val="en-US"/>
          <w14:textFill>
            <w14:solidFill>
              <w14:schemeClr w14:val="tx1"/>
            </w14:solidFill>
          </w14:textFill>
        </w:rPr>
      </w:pPr>
      <w:r>
        <w:rPr>
          <w:rFonts w:hint="eastAsia" w:ascii="方正小标宋简体" w:hAnsi="方正小标宋简体" w:eastAsia="方正小标宋简体" w:cs="方正小标宋简体"/>
          <w:color w:val="000000" w:themeColor="text1"/>
          <w:sz w:val="36"/>
          <w:szCs w:val="36"/>
          <w:highlight w:val="none"/>
          <w:lang w:val="en-US"/>
          <w14:textFill>
            <w14:solidFill>
              <w14:schemeClr w14:val="tx1"/>
            </w14:solidFill>
          </w14:textFill>
        </w:rPr>
      </w:r>
      <w:r/>
    </w:p>
    <w:p>
      <w:pPr>
        <w:rPr>
          <w:rFonts w:hint="eastAsia" w:ascii="方正小标宋简体" w:hAnsi="方正小标宋简体" w:eastAsia="方正小标宋简体" w:cs="方正小标宋简体"/>
          <w:color w:val="000000" w:themeColor="text1"/>
          <w:sz w:val="36"/>
          <w:szCs w:val="36"/>
          <w:highlight w:val="none"/>
          <w:lang w:val="en-US"/>
          <w14:textFill>
            <w14:solidFill>
              <w14:schemeClr w14:val="tx1"/>
            </w14:solidFill>
          </w14:textFill>
        </w:rPr>
      </w:pPr>
      <w:r>
        <w:rPr>
          <w:rFonts w:hint="eastAsia" w:ascii="方正小标宋简体" w:hAnsi="方正小标宋简体" w:eastAsia="方正小标宋简体" w:cs="方正小标宋简体"/>
          <w:color w:val="000000" w:themeColor="text1"/>
          <w:sz w:val="36"/>
          <w:szCs w:val="36"/>
          <w:highlight w:val="none"/>
          <w:lang w:val="en-US"/>
          <w14:textFill>
            <w14:solidFill>
              <w14:schemeClr w14:val="tx1"/>
            </w14:solidFill>
          </w14:textFill>
        </w:rPr>
        <w:br w:type="page" w:clear="all"/>
      </w:r>
      <w:r/>
    </w:p>
    <w:p>
      <w:pPr>
        <w:rPr>
          <w:rFonts w:hint="eastAsia"/>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r>
      <w:r/>
    </w:p>
    <w:p>
      <w:pPr>
        <w:pStyle w:val="882"/>
        <w:ind w:left="0" w:firstLine="0"/>
        <w:jc w:val="center"/>
        <w:rPr>
          <w:rFonts w:hint="eastAsia" w:ascii="黑体" w:hAnsi="Times New Roman" w:eastAsia="黑体" w:cs="Times New Roman"/>
          <w:color w:val="000000" w:themeColor="text1"/>
          <w:sz w:val="44"/>
          <w:szCs w:val="44"/>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6"/>
          <w:szCs w:val="36"/>
          <w:highlight w:val="none"/>
          <w:lang w:val="en-US"/>
          <w14:textFill>
            <w14:solidFill>
              <w14:schemeClr w14:val="tx1"/>
            </w14:solidFill>
          </w14:textFill>
        </w:rPr>
        <w:t xml:space="preserve">第三章  合同文本</w:t>
      </w:r>
      <w:r/>
    </w:p>
    <w:p>
      <w:pPr>
        <w:ind w:firstLine="480"/>
        <w:keepLines w:val="0"/>
        <w:keepNext w:val="0"/>
        <w:pageBreakBefore w:val="0"/>
        <w:spacing w:line="264" w:lineRule="auto"/>
        <w:widowControl w:val="off"/>
        <w:rPr>
          <w:rFonts w:hint="eastAsia" w:ascii="宋体" w:hAnsi="宋体"/>
          <w:bCs/>
          <w:color w:val="000000" w:themeColor="text1"/>
          <w:sz w:val="24"/>
          <w:szCs w:val="21"/>
          <w:highlight w:val="none"/>
          <w14:textFill>
            <w14:solidFill>
              <w14:schemeClr w14:val="tx1"/>
            </w14:solidFill>
          </w14:textFill>
        </w:rPr>
      </w:pPr>
      <w:r/>
      <w:bookmarkStart w:id="188" w:name="_Toc20823315"/>
      <w:r/>
      <w:bookmarkStart w:id="189" w:name="_Toc513029243"/>
      <w:r/>
      <w:bookmarkStart w:id="190" w:name="_Toc16938559"/>
      <w:r>
        <w:rPr>
          <w:rFonts w:hint="eastAsia" w:ascii="宋体" w:hAnsi="宋体"/>
          <w:bCs/>
          <w:color w:val="000000" w:themeColor="text1"/>
          <w:sz w:val="24"/>
          <w:szCs w:val="21"/>
          <w:highlight w:val="none"/>
          <w14:textFill>
            <w14:solidFill>
              <w14:schemeClr w14:val="tx1"/>
            </w14:solidFill>
          </w14:textFill>
        </w:rPr>
        <w:t xml:space="preserve">以下</w:t>
      </w:r>
      <w:r>
        <w:rPr>
          <w:rFonts w:hint="eastAsia" w:ascii="宋体" w:hAnsi="宋体"/>
          <w:bCs/>
          <w:color w:val="000000" w:themeColor="text1"/>
          <w:sz w:val="24"/>
          <w:szCs w:val="21"/>
          <w:highlight w:val="none"/>
          <w:lang w:val="en-US" w:eastAsia="zh-CN"/>
          <w14:textFill>
            <w14:solidFill>
              <w14:schemeClr w14:val="tx1"/>
            </w14:solidFill>
          </w14:textFill>
        </w:rPr>
        <w:t xml:space="preserve">为本项目的合同</w:t>
      </w:r>
      <w:r>
        <w:rPr>
          <w:rFonts w:hint="eastAsia" w:ascii="宋体" w:hAnsi="宋体"/>
          <w:bCs/>
          <w:color w:val="000000" w:themeColor="text1"/>
          <w:sz w:val="24"/>
          <w:szCs w:val="21"/>
          <w:highlight w:val="none"/>
          <w14:textFill>
            <w14:solidFill>
              <w14:schemeClr w14:val="tx1"/>
            </w14:solidFill>
          </w14:textFill>
        </w:rPr>
        <w:t xml:space="preserve">条款</w:t>
      </w:r>
      <w:r>
        <w:rPr>
          <w:rFonts w:hint="eastAsia" w:ascii="宋体" w:hAnsi="宋体"/>
          <w:bCs/>
          <w:color w:val="000000" w:themeColor="text1"/>
          <w:sz w:val="24"/>
          <w:szCs w:val="21"/>
          <w:highlight w:val="none"/>
          <w:lang w:eastAsia="zh-CN"/>
          <w14:textFill>
            <w14:solidFill>
              <w14:schemeClr w14:val="tx1"/>
            </w14:solidFill>
          </w14:textFill>
        </w:rPr>
        <w:t xml:space="preserve">，</w:t>
      </w:r>
      <w:r>
        <w:rPr>
          <w:rFonts w:hint="eastAsia" w:ascii="宋体" w:hAnsi="宋体"/>
          <w:bCs/>
          <w:color w:val="000000" w:themeColor="text1"/>
          <w:sz w:val="24"/>
          <w:szCs w:val="21"/>
          <w:highlight w:val="none"/>
          <w:lang w:val="en-US" w:eastAsia="zh-CN"/>
          <w14:textFill>
            <w14:solidFill>
              <w14:schemeClr w14:val="tx1"/>
            </w14:solidFill>
          </w14:textFill>
        </w:rPr>
        <w:t xml:space="preserve">合同双方不得对招标、投标文件内容作</w:t>
      </w:r>
      <w:r>
        <w:rPr>
          <w:rFonts w:hint="eastAsia" w:ascii="宋体" w:hAnsi="宋体"/>
          <w:bCs/>
          <w:color w:val="000000" w:themeColor="text1"/>
          <w:sz w:val="24"/>
          <w:szCs w:val="21"/>
          <w:highlight w:val="none"/>
          <w14:textFill>
            <w14:solidFill>
              <w14:schemeClr w14:val="tx1"/>
            </w14:solidFill>
          </w14:textFill>
        </w:rPr>
        <w:t xml:space="preserve">实质性修改。</w:t>
      </w:r>
      <w:r/>
    </w:p>
    <w:p>
      <w:pPr>
        <w:jc w:val="center"/>
        <w:keepLines w:val="0"/>
        <w:keepNext w:val="0"/>
        <w:pageBreakBefore w:val="0"/>
        <w:spacing w:before="145" w:after="145" w:line="264" w:lineRule="auto"/>
        <w:widowControl w:val="off"/>
        <w:rPr>
          <w:rFonts w:hint="eastAsia" w:ascii="宋体" w:hAnsi="宋体"/>
          <w:b/>
          <w:color w:val="000000" w:themeColor="text1"/>
          <w:sz w:val="30"/>
          <w:szCs w:val="21"/>
          <w:highlight w:val="none"/>
          <w14:textFill>
            <w14:solidFill>
              <w14:schemeClr w14:val="tx1"/>
            </w14:solidFill>
          </w14:textFill>
        </w:rPr>
        <w:outlineLvl w:val="0"/>
      </w:pPr>
      <w:r>
        <w:rPr>
          <w:rFonts w:hint="eastAsia" w:ascii="宋体" w:hAnsi="宋体"/>
          <w:b/>
          <w:color w:val="000000" w:themeColor="text1"/>
          <w:sz w:val="30"/>
          <w:szCs w:val="21"/>
          <w:highlight w:val="none"/>
          <w14:textFill>
            <w14:solidFill>
              <w14:schemeClr w14:val="tx1"/>
            </w14:solidFill>
          </w14:textFill>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themeColor="text1"/>
          <w:sz w:val="32"/>
          <w:szCs w:val="32"/>
          <w:highlight w:val="none"/>
          <w14:textFill>
            <w14:solidFill>
              <w14:schemeClr w14:val="tx1"/>
            </w14:solidFill>
          </w14:textFill>
        </w:rPr>
        <w:outlineLvl w:val="0"/>
      </w:pPr>
      <w:r>
        <w:rPr>
          <w:rFonts w:hint="eastAsia" w:ascii="方正小标宋简体" w:hAnsi="方正小标宋简体" w:eastAsia="方正小标宋简体" w:cs="方正小标宋简体"/>
          <w:b w:val="0"/>
          <w:bCs/>
          <w:color w:val="000000" w:themeColor="text1"/>
          <w:sz w:val="32"/>
          <w:szCs w:val="32"/>
          <w:highlight w:val="none"/>
          <w14:textFill>
            <w14:solidFill>
              <w14:schemeClr w14:val="tx1"/>
            </w14:solidFill>
          </w14:textFill>
        </w:rPr>
        <w:t xml:space="preserve">政府采购合同（货物）</w:t>
      </w:r>
      <w:r/>
    </w:p>
    <w:p>
      <w:pPr>
        <w:jc w:val="left"/>
        <w:keepLines w:val="0"/>
        <w:keepNext w:val="0"/>
        <w:pageBreakBefore w:val="0"/>
        <w:spacing w:before="145" w:after="145" w:line="264" w:lineRule="auto"/>
        <w:widowControl w:val="off"/>
        <w:rPr>
          <w:rFonts w:ascii="宋体" w:hAnsi="宋体" w:eastAsia="宋体" w:cs="Courier New"/>
          <w:b w:val="0"/>
          <w:bCs w:val="0"/>
          <w:color w:val="000000" w:themeColor="text1"/>
          <w:sz w:val="24"/>
          <w:szCs w:val="24"/>
          <w:highlight w:val="none"/>
          <w14:textFill>
            <w14:solidFill>
              <w14:schemeClr w14:val="tx1"/>
            </w14:solidFill>
          </w14:textFill>
        </w:rPr>
        <w:outlineLvl w:val="0"/>
      </w:pPr>
      <w:r>
        <w:rPr>
          <w:rFonts w:ascii="宋体" w:hAnsi="宋体" w:eastAsia="宋体" w:cs="Courier New"/>
          <w:b w:val="0"/>
          <w:color w:val="000000" w:themeColor="text1"/>
          <w:sz w:val="24"/>
          <w:szCs w:val="24"/>
          <w:highlight w:val="none"/>
          <w14:textFill>
            <w14:solidFill>
              <w14:schemeClr w14:val="tx1"/>
            </w14:solidFill>
          </w14:textFill>
        </w:rPr>
        <w:t xml:space="preserve">合同编号</w:t>
      </w:r>
      <w:r>
        <w:rPr>
          <w:rFonts w:ascii="宋体" w:hAnsi="宋体" w:eastAsia="宋体" w:cs="Courier New"/>
          <w:b w:val="0"/>
          <w:color w:val="000000" w:themeColor="text1"/>
          <w:sz w:val="24"/>
          <w:szCs w:val="24"/>
          <w:highlight w:val="none"/>
          <w:lang w:eastAsia="zh-CN"/>
          <w14:textFill>
            <w14:solidFill>
              <w14:schemeClr w14:val="tx1"/>
            </w14:solidFill>
          </w14:textFill>
        </w:rPr>
        <w:t xml:space="preserve">：</w:t>
      </w:r>
      <w:r/>
    </w:p>
    <w:p>
      <w:pPr>
        <w:keepLines w:val="0"/>
        <w:keepNext w:val="0"/>
        <w:pageBreakBefore w:val="0"/>
        <w:spacing w:before="145" w:after="145" w:line="264" w:lineRule="auto"/>
        <w:widowControl w:val="off"/>
        <w:rPr>
          <w:rFonts w:ascii="宋体" w:hAnsi="宋体" w:cs="Courier New"/>
          <w:color w:val="000000" w:themeColor="text1"/>
          <w:sz w:val="24"/>
          <w:szCs w:val="24"/>
          <w:highlight w:val="none"/>
          <w14:textFill>
            <w14:solidFill>
              <w14:schemeClr w14:val="tx1"/>
            </w14:solidFill>
          </w14:textFill>
        </w:rPr>
        <w:outlineLvl w:val="0"/>
      </w:pPr>
      <w:r>
        <w:rPr>
          <w:rFonts w:ascii="宋体" w:hAnsi="宋体" w:cs="Courier New"/>
          <w:color w:val="000000" w:themeColor="text1"/>
          <w:sz w:val="24"/>
          <w:szCs w:val="24"/>
          <w:highlight w:val="none"/>
          <w14:textFill>
            <w14:solidFill>
              <w14:schemeClr w14:val="tx1"/>
            </w14:solidFill>
          </w14:textFill>
        </w:rPr>
        <w:t xml:space="preserve">项目名称：                                       项目编号：</w:t>
      </w:r>
      <w:r/>
    </w:p>
    <w:p>
      <w:pPr>
        <w:jc w:val="left"/>
        <w:keepLines w:val="0"/>
        <w:keepNext w:val="0"/>
        <w:pageBreakBefore w:val="0"/>
        <w:spacing w:before="145" w:after="145" w:line="264" w:lineRule="auto"/>
        <w:widowControl w:val="off"/>
        <w:rPr>
          <w:rFonts w:ascii="宋体" w:hAnsi="宋体" w:eastAsia="宋体" w:cs="Courier New"/>
          <w:color w:val="000000" w:themeColor="text1"/>
          <w:sz w:val="24"/>
          <w:szCs w:val="24"/>
          <w:highlight w:val="none"/>
          <w14:textFill>
            <w14:solidFill>
              <w14:schemeClr w14:val="tx1"/>
            </w14:solidFill>
          </w14:textFill>
        </w:rPr>
        <w:outlineLvl w:val="0"/>
      </w:pPr>
      <w:r>
        <w:rPr>
          <w:rFonts w:ascii="宋体" w:hAnsi="宋体" w:eastAsia="宋体" w:cs="Courier New"/>
          <w:color w:val="000000" w:themeColor="text1"/>
          <w:sz w:val="24"/>
          <w:szCs w:val="24"/>
          <w:highlight w:val="none"/>
          <w14:textFill>
            <w14:solidFill>
              <w14:schemeClr w14:val="tx1"/>
            </w14:solidFill>
          </w14:textFill>
        </w:rPr>
        <w:t xml:space="preserve">甲方（买方）：</w:t>
      </w:r>
      <w:r/>
    </w:p>
    <w:p>
      <w:pPr>
        <w:jc w:val="left"/>
        <w:keepLines w:val="0"/>
        <w:keepNext w:val="0"/>
        <w:pageBreakBefore w:val="0"/>
        <w:spacing w:before="145" w:after="145" w:line="264" w:lineRule="auto"/>
        <w:widowControl w:val="off"/>
        <w:rPr>
          <w:rFonts w:ascii="宋体" w:hAnsi="宋体" w:eastAsia="宋体" w:cs="Courier New"/>
          <w:color w:val="000000" w:themeColor="text1"/>
          <w:sz w:val="24"/>
          <w:szCs w:val="24"/>
          <w:highlight w:val="none"/>
          <w14:textFill>
            <w14:solidFill>
              <w14:schemeClr w14:val="tx1"/>
            </w14:solidFill>
          </w14:textFill>
        </w:rPr>
        <w:outlineLvl w:val="0"/>
      </w:pPr>
      <w:r>
        <w:rPr>
          <w:rFonts w:ascii="宋体" w:hAnsi="宋体" w:eastAsia="宋体" w:cs="Courier New"/>
          <w:color w:val="000000" w:themeColor="text1"/>
          <w:sz w:val="24"/>
          <w:szCs w:val="24"/>
          <w:highlight w:val="none"/>
          <w14:textFill>
            <w14:solidFill>
              <w14:schemeClr w14:val="tx1"/>
            </w14:solidFill>
          </w14:textFill>
        </w:rPr>
        <w:t xml:space="preserve">乙方（卖方）：</w:t>
      </w:r>
      <w:r/>
    </w:p>
    <w:p>
      <w:pPr>
        <w:keepLines w:val="0"/>
        <w:keepNext w:val="0"/>
        <w:pageBreakBefore w:val="0"/>
        <w:spacing w:before="0" w:after="0" w:line="264" w:lineRule="auto"/>
        <w:widowControl w:val="off"/>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   </w:t>
      </w:r>
      <w:r>
        <w:rPr>
          <w:rFonts w:hint="eastAsia" w:ascii="宋体" w:hAnsi="宋体" w:cs="Courier New"/>
          <w:b/>
          <w:color w:val="000000" w:themeColor="text1"/>
          <w:sz w:val="24"/>
          <w:szCs w:val="24"/>
          <w:highlight w:val="none"/>
          <w:lang w:val="en-US" w:eastAsia="zh-CN"/>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甲、乙</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双</w:t>
      </w:r>
      <w:r>
        <w:rPr>
          <w:rFonts w:ascii="宋体" w:hAnsi="宋体" w:cs="Courier New"/>
          <w:color w:val="000000" w:themeColor="text1"/>
          <w:sz w:val="24"/>
          <w:szCs w:val="24"/>
          <w:highlight w:val="none"/>
          <w14:textFill>
            <w14:solidFill>
              <w14:schemeClr w14:val="tx1"/>
            </w14:solidFill>
          </w14:textFill>
        </w:rPr>
        <w:t xml:space="preserve">方根据</w:t>
      </w:r>
      <w:r>
        <w:rPr>
          <w:rFonts w:hint="eastAsia" w:ascii="宋体" w:hAnsi="宋体" w:cs="Courier New"/>
          <w:color w:val="000000" w:themeColor="text1"/>
          <w:sz w:val="24"/>
          <w:szCs w:val="24"/>
          <w:highlight w:val="none"/>
          <w:lang w:eastAsia="zh-CN"/>
          <w14:textFill>
            <w14:solidFill>
              <w14:schemeClr w14:val="tx1"/>
            </w14:solidFill>
          </w14:textFill>
        </w:rPr>
        <w:t xml:space="preserve">南京市公共资源交易中心江北新区分中心</w:t>
      </w:r>
      <w:r>
        <w:rPr>
          <w:rFonts w:hint="eastAsia" w:ascii="宋体" w:hAnsi="宋体" w:cs="Courier New"/>
          <w:color w:val="000000" w:themeColor="text1"/>
          <w:sz w:val="24"/>
          <w:szCs w:val="24"/>
          <w:highlight w:val="none"/>
          <w:u w:val="none"/>
          <w:lang w:val="en-US" w:eastAsia="zh-CN"/>
          <w14:textFill>
            <w14:solidFill>
              <w14:schemeClr w14:val="tx1"/>
            </w14:solidFill>
          </w14:textFill>
        </w:rPr>
        <w:t xml:space="preserve">组织的</w:t>
      </w:r>
      <w:r>
        <w:rPr>
          <w:rFonts w:hint="eastAsia" w:hAnsi="宋体" w:eastAsia="宋体" w:cs="Courier New"/>
          <w:color w:val="000000" w:themeColor="text1"/>
          <w:sz w:val="24"/>
          <w:szCs w:val="24"/>
          <w:highlight w:val="none"/>
          <w14:textFill>
            <w14:solidFill>
              <w14:schemeClr w14:val="tx1"/>
            </w14:solidFill>
          </w14:textFill>
        </w:rPr>
        <w:t xml:space="preserve">____________________</w:t>
      </w:r>
      <w:r>
        <w:rPr>
          <w:rFonts w:ascii="宋体" w:hAnsi="宋体" w:cs="Courier New"/>
          <w:color w:val="000000" w:themeColor="text1"/>
          <w:sz w:val="24"/>
          <w:szCs w:val="24"/>
          <w:highlight w:val="none"/>
          <w14:textFill>
            <w14:solidFill>
              <w14:schemeClr w14:val="tx1"/>
            </w14:solidFill>
          </w14:textFill>
        </w:rPr>
        <w:t xml:space="preserve">项目公开招标结果</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ascii="宋体" w:hAnsi="宋体" w:cs="Courier New"/>
          <w:color w:val="000000" w:themeColor="text1"/>
          <w:sz w:val="24"/>
          <w:szCs w:val="24"/>
          <w:highlight w:val="none"/>
          <w14:textFill>
            <w14:solidFill>
              <w14:schemeClr w14:val="tx1"/>
            </w14:solidFill>
          </w14:textFill>
        </w:rPr>
        <w:t xml:space="preserve">签署本合同。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t xml:space="preserve">一、合同内容</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1.1 标的名称：</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1.2 标的质量：</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ascii="宋体" w:hAnsi="宋体" w:eastAsia="宋体" w:cs="Courier New"/>
          <w:color w:val="000000" w:themeColor="text1"/>
          <w:sz w:val="24"/>
          <w:szCs w:val="24"/>
          <w:highlight w:val="none"/>
          <w:lang w:val="en-US"/>
          <w14:textFill>
            <w14:solidFill>
              <w14:schemeClr w14:val="tx1"/>
            </w14:solidFill>
          </w14:textFill>
        </w:rPr>
        <w:t xml:space="preserve">1</w:t>
      </w:r>
      <w:r>
        <w:rPr>
          <w:rFonts w:hint="eastAsia" w:ascii="宋体" w:hAnsi="宋体" w:eastAsia="宋体" w:cs="Courier New"/>
          <w:color w:val="000000" w:themeColor="text1"/>
          <w:sz w:val="24"/>
          <w:szCs w:val="24"/>
          <w:highlight w:val="none"/>
          <w14:textFill>
            <w14:solidFill>
              <w14:schemeClr w14:val="tx1"/>
            </w14:solidFill>
          </w14:textFill>
        </w:rPr>
        <w:t xml:space="preserve">.3 标的数量（规模）：</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按招标文件及投标文件执行</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ascii="宋体" w:hAnsi="宋体" w:eastAsia="宋体" w:cs="Courier New"/>
          <w:color w:val="000000" w:themeColor="text1"/>
          <w:sz w:val="24"/>
          <w:szCs w:val="24"/>
          <w:highlight w:val="none"/>
          <w:lang w:val="en-US"/>
          <w14:textFill>
            <w14:solidFill>
              <w14:schemeClr w14:val="tx1"/>
            </w14:solidFill>
          </w14:textFill>
        </w:rPr>
        <w:t xml:space="preserve">1</w:t>
      </w:r>
      <w:r>
        <w:rPr>
          <w:rFonts w:hint="eastAsia" w:ascii="宋体" w:hAnsi="宋体" w:eastAsia="宋体" w:cs="Courier New"/>
          <w:color w:val="000000" w:themeColor="text1"/>
          <w:sz w:val="24"/>
          <w:szCs w:val="24"/>
          <w:highlight w:val="none"/>
          <w14:textFill>
            <w14:solidFill>
              <w14:schemeClr w14:val="tx1"/>
            </w14:solidFill>
          </w14:textFill>
        </w:rPr>
        <w:t xml:space="preserve">.4 履行时间（期限）：</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lang w:eastAsia="zh-CN"/>
          <w14:textFill>
            <w14:solidFill>
              <w14:schemeClr w14:val="tx1"/>
            </w14:solidFill>
          </w14:textFill>
        </w:rPr>
      </w:pPr>
      <w:r>
        <w:rPr>
          <w:rFonts w:ascii="宋体" w:hAnsi="宋体" w:eastAsia="宋体" w:cs="Courier New"/>
          <w:color w:val="000000" w:themeColor="text1"/>
          <w:sz w:val="24"/>
          <w:szCs w:val="24"/>
          <w:highlight w:val="none"/>
          <w:lang w:val="en-US"/>
          <w14:textFill>
            <w14:solidFill>
              <w14:schemeClr w14:val="tx1"/>
            </w14:solidFill>
          </w14:textFill>
        </w:rPr>
        <w:t xml:space="preserve">1</w:t>
      </w:r>
      <w:r>
        <w:rPr>
          <w:rFonts w:hint="eastAsia" w:ascii="宋体" w:hAnsi="宋体" w:eastAsia="宋体" w:cs="Courier New"/>
          <w:color w:val="000000" w:themeColor="text1"/>
          <w:sz w:val="24"/>
          <w:szCs w:val="24"/>
          <w:highlight w:val="none"/>
          <w14:textFill>
            <w14:solidFill>
              <w14:schemeClr w14:val="tx1"/>
            </w14:solidFill>
          </w14:textFill>
        </w:rPr>
        <w:t xml:space="preserve">.5 履行地点：</w:t>
      </w:r>
      <w:r>
        <w:rPr>
          <w:rFonts w:hint="eastAsia" w:ascii="宋体" w:hAnsi="宋体" w:cs="Courier New"/>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指定地点。</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lang w:eastAsia="zh-CN"/>
          <w14:textFill>
            <w14:solidFill>
              <w14:schemeClr w14:val="tx1"/>
            </w14:solidFill>
          </w14:textFill>
        </w:rPr>
      </w:pPr>
      <w:r>
        <w:rPr>
          <w:rFonts w:ascii="宋体" w:hAnsi="宋体" w:eastAsia="宋体" w:cs="Courier New"/>
          <w:color w:val="000000" w:themeColor="text1"/>
          <w:sz w:val="24"/>
          <w:szCs w:val="24"/>
          <w:highlight w:val="none"/>
          <w:lang w:val="en-US"/>
          <w14:textFill>
            <w14:solidFill>
              <w14:schemeClr w14:val="tx1"/>
            </w14:solidFill>
          </w14:textFill>
        </w:rPr>
        <w:t xml:space="preserve">1</w:t>
      </w:r>
      <w:r>
        <w:rPr>
          <w:rFonts w:hint="eastAsia" w:ascii="宋体" w:hAnsi="宋体" w:eastAsia="宋体" w:cs="Courier New"/>
          <w:color w:val="000000" w:themeColor="text1"/>
          <w:sz w:val="24"/>
          <w:szCs w:val="24"/>
          <w:highlight w:val="none"/>
          <w14:textFill>
            <w14:solidFill>
              <w14:schemeClr w14:val="tx1"/>
            </w14:solidFill>
          </w14:textFill>
        </w:rPr>
        <w:t xml:space="preserve">.6 履行方式：</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lang w:eastAsia="zh-CN"/>
          <w14:textFill>
            <w14:solidFill>
              <w14:schemeClr w14:val="tx1"/>
            </w14:solidFill>
          </w14:textFill>
        </w:rPr>
      </w:pPr>
      <w:r>
        <w:rPr>
          <w:rFonts w:hint="eastAsia" w:ascii="宋体" w:hAnsi="宋体" w:eastAsia="宋体" w:cs="Courier New"/>
          <w:color w:val="000000" w:themeColor="text1"/>
          <w:sz w:val="24"/>
          <w:szCs w:val="24"/>
          <w:highlight w:val="none"/>
          <w:lang w:val="en-US"/>
          <w14:textFill>
            <w14:solidFill>
              <w14:schemeClr w14:val="tx1"/>
            </w14:solidFill>
          </w14:textFill>
        </w:rPr>
        <w:t xml:space="preserve">1</w:t>
      </w:r>
      <w:r>
        <w:rPr>
          <w:rFonts w:hint="eastAsia" w:ascii="宋体" w:hAnsi="宋体" w:eastAsia="宋体" w:cs="Courier New"/>
          <w:color w:val="000000" w:themeColor="text1"/>
          <w:sz w:val="24"/>
          <w:szCs w:val="24"/>
          <w:highlight w:val="none"/>
          <w14:textFill>
            <w14:solidFill>
              <w14:schemeClr w14:val="tx1"/>
            </w14:solidFill>
          </w14:textFill>
        </w:rPr>
        <w:t xml:space="preserve">.7 包装方式：</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按招标文件及投标文件执行。</w:t>
      </w:r>
      <w:r/>
    </w:p>
    <w:p>
      <w:pPr>
        <w:keepLines w:val="0"/>
        <w:keepNext w:val="0"/>
        <w:pageBreakBefore w:val="0"/>
        <w:spacing w:before="0" w:after="0" w:line="264" w:lineRule="auto"/>
        <w:widowControl w:val="off"/>
        <w:rPr>
          <w:rFonts w:hint="default" w:ascii="宋体" w:hAnsi="宋体" w:eastAsia="宋体" w:cs="Courier New"/>
          <w:color w:val="000000" w:themeColor="text1"/>
          <w:sz w:val="24"/>
          <w:szCs w:val="24"/>
          <w:highlight w:val="none"/>
          <w:lang w:val="en-US"/>
          <w14:textFill>
            <w14:solidFill>
              <w14:schemeClr w14:val="tx1"/>
            </w14:solidFill>
          </w14:textFill>
        </w:rPr>
      </w:pP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1.8合同组成：关于本项目的招标文件、投标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t xml:space="preserve">二、合同金额</w:t>
      </w:r>
      <w:r/>
    </w:p>
    <w:p>
      <w:pPr>
        <w:pStyle w:val="901"/>
        <w:keepLines w:val="0"/>
        <w:keepNext w:val="0"/>
        <w:pageBreakBefore w:val="0"/>
        <w:spacing w:before="0" w:after="0" w:line="264" w:lineRule="auto"/>
        <w:widowControl w:val="off"/>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2.1 </w:t>
      </w:r>
      <w:r>
        <w:rPr>
          <w:rFonts w:hint="eastAsia" w:hAnsi="宋体" w:eastAsia="宋体" w:cs="Courier New"/>
          <w:color w:val="000000" w:themeColor="text1"/>
          <w:sz w:val="24"/>
          <w:szCs w:val="24"/>
          <w:highlight w:val="none"/>
          <w14:textFill>
            <w14:solidFill>
              <w14:schemeClr w14:val="tx1"/>
            </w14:solidFill>
          </w14:textFill>
        </w:rPr>
        <w:t xml:space="preserve">本合同金额为：人民币____________________元，（大写：_____________________）</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t xml:space="preserve">三、技术资料</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ascii="宋体" w:hAnsi="宋体" w:eastAsia="宋体" w:cs="Courier New"/>
          <w:color w:val="000000" w:themeColor="text1"/>
          <w:sz w:val="24"/>
          <w:szCs w:val="24"/>
          <w:highlight w:val="none"/>
          <w:lang w:val="en-US"/>
          <w14:textFill>
            <w14:solidFill>
              <w14:schemeClr w14:val="tx1"/>
            </w14:solidFill>
          </w14:textFill>
        </w:rPr>
        <w:t xml:space="preserve">3</w:t>
      </w:r>
      <w:r>
        <w:rPr>
          <w:rFonts w:hint="eastAsia" w:ascii="宋体" w:hAnsi="宋体" w:eastAsia="宋体" w:cs="Courier New"/>
          <w:color w:val="000000" w:themeColor="text1"/>
          <w:sz w:val="24"/>
          <w:szCs w:val="24"/>
          <w:highlight w:val="none"/>
          <w14:textFill>
            <w14:solidFill>
              <w14:schemeClr w14:val="tx1"/>
            </w14:solidFill>
          </w14:textFill>
        </w:rPr>
        <w:t xml:space="preserve">.1</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highlight w:val="none"/>
          <w14:textFill>
            <w14:solidFill>
              <w14:schemeClr w14:val="tx1"/>
            </w14:solidFill>
          </w14:textFill>
        </w:rPr>
        <w:t xml:space="preserve">乙方应按招标文件规定的时间向甲方提供货物(包含与货物相关的服务)的有关技术资料。</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ascii="宋体" w:hAnsi="宋体" w:eastAsia="宋体" w:cs="Courier New"/>
          <w:color w:val="000000" w:themeColor="text1"/>
          <w:sz w:val="24"/>
          <w:szCs w:val="24"/>
          <w:highlight w:val="none"/>
          <w:lang w:val="en-US"/>
          <w14:textFill>
            <w14:solidFill>
              <w14:schemeClr w14:val="tx1"/>
            </w14:solidFill>
          </w14:textFill>
        </w:rPr>
        <w:t xml:space="preserve">3</w:t>
      </w:r>
      <w:r>
        <w:rPr>
          <w:rFonts w:hint="eastAsia" w:ascii="宋体" w:hAnsi="宋体" w:eastAsia="宋体" w:cs="Courier New"/>
          <w:color w:val="000000" w:themeColor="text1"/>
          <w:sz w:val="24"/>
          <w:szCs w:val="24"/>
          <w:highlight w:val="none"/>
          <w14:textFill>
            <w14:solidFill>
              <w14:schemeClr w14:val="tx1"/>
            </w14:solidFill>
          </w14:textFill>
        </w:rPr>
        <w:t xml:space="preserve">.2 没有甲方事先书面同意</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乙方不得将</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由甲方提供的</w:t>
      </w:r>
      <w:r>
        <w:rPr>
          <w:rFonts w:hint="eastAsia" w:ascii="宋体" w:hAnsi="宋体" w:eastAsia="宋体" w:cs="Courier New"/>
          <w:color w:val="000000" w:themeColor="text1"/>
          <w:sz w:val="24"/>
          <w:szCs w:val="24"/>
          <w:highlight w:val="none"/>
          <w14:textFill>
            <w14:solidFill>
              <w14:schemeClr w14:val="tx1"/>
            </w14:solidFill>
          </w14:textFill>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也应注意保密并限于履行合同的必需范围。保密期至保密内容按照相关法律法规规定</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以合法方式和途径将其全部披露或本合同终止后5年为止</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以两者孰长为准</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t xml:space="preserve">四、知识产权</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4.1</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highlight w:val="none"/>
          <w14:textFill>
            <w14:solidFill>
              <w14:schemeClr w14:val="tx1"/>
            </w14:solidFill>
          </w14:textFill>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著作</w:t>
      </w:r>
      <w:r>
        <w:rPr>
          <w:rFonts w:hint="eastAsia" w:ascii="宋体" w:hAnsi="宋体" w:eastAsia="宋体" w:cs="Courier New"/>
          <w:color w:val="000000" w:themeColor="text1"/>
          <w:sz w:val="24"/>
          <w:szCs w:val="24"/>
          <w:highlight w:val="none"/>
          <w14:textFill>
            <w14:solidFill>
              <w14:schemeClr w14:val="tx1"/>
            </w14:solidFill>
          </w14:textFill>
        </w:rPr>
        <w:t xml:space="preserve">权、商标权</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工业设计权</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商业秘密</w:t>
      </w:r>
      <w:r>
        <w:rPr>
          <w:rFonts w:hint="eastAsia" w:ascii="宋体" w:hAnsi="宋体" w:eastAsia="宋体" w:cs="Courier New"/>
          <w:color w:val="000000" w:themeColor="text1"/>
          <w:sz w:val="24"/>
          <w:szCs w:val="24"/>
          <w:highlight w:val="none"/>
          <w14:textFill>
            <w14:solidFill>
              <w14:schemeClr w14:val="tx1"/>
            </w14:solidFill>
          </w14:textFill>
        </w:rPr>
        <w:t xml:space="preserve">等知识产权的起诉。一旦出现侵权</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由乙方负全部责任。</w:t>
      </w:r>
      <w:r/>
    </w:p>
    <w:p>
      <w:pPr>
        <w:keepLines w:val="0"/>
        <w:keepNext w:val="0"/>
        <w:pageBreakBefore w:val="0"/>
        <w:spacing w:before="0" w:after="0" w:line="264" w:lineRule="auto"/>
        <w:widowControl w:val="off"/>
        <w:rPr>
          <w:rFonts w:hint="eastAsia" w:ascii="方正黑体_GBK" w:hAnsi="方正黑体_GBK" w:eastAsia="方正黑体_GBK" w:cs="方正黑体_GBK"/>
          <w:bCs/>
          <w:color w:val="000000" w:themeColor="text1"/>
          <w:sz w:val="24"/>
          <w:szCs w:val="24"/>
          <w:highlight w:val="none"/>
          <w:u w:val="none"/>
          <w14:textFill>
            <w14:solidFill>
              <w14:schemeClr w14:val="tx1"/>
            </w14:solidFill>
          </w14:textFill>
        </w:rPr>
      </w:pPr>
      <w:r>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t xml:space="preserve">五、产权担保</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5.1 乙方保证所交付的货物（包含与货物相关的服务）的所有权完全属于乙方且无任何抵押、查封等产权瑕疵。</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t xml:space="preserve">六、履约保证金</w:t>
      </w:r>
      <w:r/>
    </w:p>
    <w:p>
      <w:pPr>
        <w:keepLines w:val="0"/>
        <w:keepNext w:val="0"/>
        <w:pageBreakBefore w:val="0"/>
        <w:spacing w:line="264" w:lineRule="auto"/>
        <w:widowControl w:val="off"/>
        <w:rPr>
          <w:rFonts w:hint="eastAsia" w:ascii="宋体" w:hAnsi="宋体" w:eastAsia="宋体" w:cs="Courier New"/>
          <w:b w:val="0"/>
          <w:bCs w:val="0"/>
          <w:color w:val="000000" w:themeColor="text1"/>
          <w:sz w:val="24"/>
          <w:szCs w:val="24"/>
          <w:highlight w:val="none"/>
          <w:lang w:eastAsia="zh-CN"/>
          <w14:textFill>
            <w14:solidFill>
              <w14:schemeClr w14:val="tx1"/>
            </w14:solidFill>
          </w14:textFill>
        </w:rPr>
      </w:pPr>
      <w:r>
        <w:rPr>
          <w:rFonts w:hint="eastAsia" w:ascii="宋体" w:hAnsi="宋体" w:eastAsia="宋体" w:cs="Courier New"/>
          <w:b w:val="0"/>
          <w:bCs w:val="0"/>
          <w:color w:val="000000" w:themeColor="text1"/>
          <w:sz w:val="24"/>
          <w:szCs w:val="24"/>
          <w:highlight w:val="none"/>
          <w:lang w:val="en-US" w:eastAsia="zh-CN"/>
          <w14:textFill>
            <w14:solidFill>
              <w14:schemeClr w14:val="tx1"/>
            </w14:solidFill>
          </w14:textFill>
        </w:rPr>
        <w:t xml:space="preserve">6.1 本项目乙方无需缴纳</w:t>
      </w:r>
      <w:r>
        <w:rPr>
          <w:rFonts w:hint="eastAsia" w:ascii="宋体" w:hAnsi="宋体" w:eastAsia="宋体" w:cs="Courier New"/>
          <w:b w:val="0"/>
          <w:bCs w:val="0"/>
          <w:color w:val="000000" w:themeColor="text1"/>
          <w:sz w:val="24"/>
          <w:szCs w:val="24"/>
          <w:highlight w:val="none"/>
          <w14:textFill>
            <w14:solidFill>
              <w14:schemeClr w14:val="tx1"/>
            </w14:solidFill>
          </w14:textFill>
        </w:rPr>
        <w:t xml:space="preserve">履约保证金</w:t>
      </w:r>
      <w:r>
        <w:rPr>
          <w:rFonts w:hint="eastAsia" w:ascii="宋体" w:hAnsi="宋体" w:eastAsia="宋体" w:cs="Courier New"/>
          <w:b w:val="0"/>
          <w:bCs w:val="0"/>
          <w:color w:val="000000" w:themeColor="text1"/>
          <w:sz w:val="24"/>
          <w:szCs w:val="24"/>
          <w:highlight w:val="none"/>
          <w:lang w:eastAsia="zh-CN"/>
          <w14:textFill>
            <w14:solidFill>
              <w14:schemeClr w14:val="tx1"/>
            </w14:solidFill>
          </w14:textFill>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7.1</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highlight w:val="none"/>
          <w14:textFill>
            <w14:solidFill>
              <w14:schemeClr w14:val="tx1"/>
            </w14:solidFill>
          </w14:textFill>
        </w:rPr>
        <w:t xml:space="preserve">乙方不得将合同标的转包给他人履行。</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7.2</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highlight w:val="none"/>
          <w14:textFill>
            <w14:solidFill>
              <w14:schemeClr w14:val="tx1"/>
            </w14:solidFill>
          </w14:textFill>
        </w:rPr>
        <w:t xml:space="preserve">除招标文件接受分包并经甲方同意</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乙方可按分包意向协议分包情况外</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乙方不得将合同标的分包给他人履行。</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7.3</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highlight w:val="none"/>
          <w14:textFill>
            <w14:solidFill>
              <w14:schemeClr w14:val="tx1"/>
            </w14:solidFill>
          </w14:textFill>
        </w:rPr>
        <w:t xml:space="preserve">乙方如有转包或未经甲方同意的分包行为</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甲方有权终止合同。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t xml:space="preserve">八、合同款项支付</w:t>
      </w:r>
      <w:r/>
    </w:p>
    <w:p>
      <w:pPr>
        <w:pStyle w:val="90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lang w:val="en-US" w:eastAsia="zh-CN"/>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8.1</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highlight w:val="none"/>
          <w14:textFill>
            <w14:solidFill>
              <w14:schemeClr w14:val="tx1"/>
            </w14:solidFill>
          </w14:textFill>
        </w:rPr>
        <w:t xml:space="preserve">合同款项的支付方式及</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时间</w:t>
      </w:r>
      <w:r/>
    </w:p>
    <w:p>
      <w:pPr>
        <w:pStyle w:val="708"/>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lang w:val="en-US" w:eastAsia="zh-CN"/>
          <w14:textFill>
            <w14:solidFill>
              <w14:schemeClr w14:val="tx1"/>
            </w14:solidFill>
          </w14:textFill>
        </w:rPr>
      </w:pPr>
      <w:r>
        <w:rPr>
          <w:rFonts w:hint="eastAsia" w:hAnsi="宋体" w:cs="Courier New"/>
          <w:color w:val="000000" w:themeColor="text1"/>
          <w:sz w:val="24"/>
          <w:szCs w:val="24"/>
          <w:highlight w:val="none"/>
          <w:lang w:val="en-US" w:eastAsia="zh-CN"/>
          <w14:textFill>
            <w14:solidFill>
              <w14:schemeClr w14:val="tx1"/>
            </w14:solidFill>
          </w14:textFill>
        </w:rPr>
        <w:t xml:space="preserve">8.1.1 </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合同签订15日内支付合同总价的30%。</w:t>
      </w:r>
      <w:r/>
    </w:p>
    <w:p>
      <w:pPr>
        <w:pStyle w:val="708"/>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lang w:val="en-US" w:eastAsia="zh-CN"/>
          <w14:textFill>
            <w14:solidFill>
              <w14:schemeClr w14:val="tx1"/>
            </w14:solidFill>
          </w14:textFill>
        </w:rPr>
      </w:pPr>
      <w:r>
        <w:rPr>
          <w:rFonts w:hint="eastAsia" w:hAnsi="宋体" w:cs="Courier New"/>
          <w:color w:val="000000" w:themeColor="text1"/>
          <w:sz w:val="24"/>
          <w:szCs w:val="24"/>
          <w:highlight w:val="none"/>
          <w:lang w:val="en-US" w:eastAsia="zh-CN"/>
          <w14:textFill>
            <w14:solidFill>
              <w14:schemeClr w14:val="tx1"/>
            </w14:solidFill>
          </w14:textFill>
        </w:rPr>
        <w:t xml:space="preserve">8.1.2 </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全部设备送货到位并安装调试完成后，15日内支付合同总价的30%。</w:t>
      </w:r>
      <w:r/>
    </w:p>
    <w:p>
      <w:pPr>
        <w:pStyle w:val="708"/>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lang w:val="en-US" w:eastAsia="zh-CN"/>
          <w14:textFill>
            <w14:solidFill>
              <w14:schemeClr w14:val="tx1"/>
            </w14:solidFill>
          </w14:textFill>
        </w:rPr>
      </w:pPr>
      <w:r>
        <w:rPr>
          <w:rFonts w:hint="eastAsia" w:hAnsi="宋体" w:cs="Courier New"/>
          <w:color w:val="000000" w:themeColor="text1"/>
          <w:sz w:val="24"/>
          <w:szCs w:val="24"/>
          <w:highlight w:val="none"/>
          <w:lang w:val="en-US" w:eastAsia="zh-CN"/>
          <w14:textFill>
            <w14:solidFill>
              <w14:schemeClr w14:val="tx1"/>
            </w14:solidFill>
          </w14:textFill>
        </w:rPr>
        <w:t xml:space="preserve">8.1.3 </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整体项目验收合格后，15日内支付合同总价的20%。</w:t>
      </w:r>
      <w:r/>
    </w:p>
    <w:p>
      <w:pPr>
        <w:pStyle w:val="708"/>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lang w:val="en-US" w:eastAsia="zh-CN"/>
          <w14:textFill>
            <w14:solidFill>
              <w14:schemeClr w14:val="tx1"/>
            </w14:solidFill>
          </w14:textFill>
        </w:rPr>
      </w:pPr>
      <w:r>
        <w:rPr>
          <w:rFonts w:hint="eastAsia" w:hAnsi="宋体" w:cs="Courier New"/>
          <w:color w:val="000000" w:themeColor="text1"/>
          <w:sz w:val="24"/>
          <w:szCs w:val="24"/>
          <w:highlight w:val="none"/>
          <w:lang w:val="en-US" w:eastAsia="zh-CN"/>
          <w14:textFill>
            <w14:solidFill>
              <w14:schemeClr w14:val="tx1"/>
            </w14:solidFill>
          </w14:textFill>
        </w:rPr>
        <w:t xml:space="preserve">8.1.4 </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项目审计结束后，15日内付至审定价的97%。</w:t>
      </w:r>
      <w:r/>
    </w:p>
    <w:p>
      <w:pPr>
        <w:pStyle w:val="708"/>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lang w:val="en-US" w:eastAsia="zh-CN"/>
          <w14:textFill>
            <w14:solidFill>
              <w14:schemeClr w14:val="tx1"/>
            </w14:solidFill>
          </w14:textFill>
        </w:rPr>
      </w:pPr>
      <w:r>
        <w:rPr>
          <w:rFonts w:hint="eastAsia" w:hAnsi="宋体" w:cs="Courier New"/>
          <w:color w:val="000000" w:themeColor="text1"/>
          <w:sz w:val="24"/>
          <w:szCs w:val="24"/>
          <w:highlight w:val="none"/>
          <w:lang w:val="en-US" w:eastAsia="zh-CN"/>
          <w14:textFill>
            <w14:solidFill>
              <w14:schemeClr w14:val="tx1"/>
            </w14:solidFill>
          </w14:textFill>
        </w:rPr>
        <w:t xml:space="preserve">8.1.5 </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质保期满后，15日内支付剩余款项。 </w:t>
      </w:r>
      <w:r/>
    </w:p>
    <w:p>
      <w:pPr>
        <w:pStyle w:val="708"/>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8.2 </w:t>
      </w:r>
      <w:r>
        <w:rPr>
          <w:rFonts w:hint="eastAsia" w:ascii="宋体" w:hAnsi="宋体" w:eastAsia="宋体" w:cs="Courier New"/>
          <w:color w:val="000000" w:themeColor="text1"/>
          <w:sz w:val="24"/>
          <w:szCs w:val="24"/>
          <w:highlight w:val="none"/>
          <w14:textFill>
            <w14:solidFill>
              <w14:schemeClr w14:val="tx1"/>
            </w14:solidFill>
          </w14:textFill>
        </w:rPr>
        <w:t xml:space="preserve">根据</w:t>
      </w:r>
      <w:r>
        <w:rPr>
          <w:rFonts w:hint="eastAsia" w:ascii="宋体" w:hAnsi="宋体" w:eastAsia="宋体" w:cs="Courier New"/>
          <w:b w:val="0"/>
          <w:bCs w:val="0"/>
          <w:i w:val="0"/>
          <w:iCs w:val="0"/>
          <w:caps w:val="0"/>
          <w:color w:val="000000" w:themeColor="text1"/>
          <w:spacing w:val="0"/>
          <w:sz w:val="24"/>
          <w:szCs w:val="24"/>
          <w:highlight w:val="none"/>
          <w:shd w:val="clear" w:color="auto" w:fill="auto"/>
          <w:vertAlign w:val="baseline"/>
          <w14:textFill>
            <w14:solidFill>
              <w14:schemeClr w14:val="tx1"/>
            </w14:solidFill>
          </w14:textFill>
        </w:rPr>
        <w:t xml:space="preserve">《保障中小企业款项支付条例》</w:t>
      </w:r>
      <w:r>
        <w:rPr>
          <w:rFonts w:hint="eastAsia" w:ascii="宋体" w:hAnsi="宋体" w:eastAsia="宋体" w:cs="Courier New"/>
          <w:b w:val="0"/>
          <w:bCs w:val="0"/>
          <w:i w:val="0"/>
          <w:iCs w:val="0"/>
          <w:caps w:val="0"/>
          <w:color w:val="000000" w:themeColor="text1"/>
          <w:spacing w:val="0"/>
          <w:sz w:val="24"/>
          <w:szCs w:val="24"/>
          <w:highlight w:val="none"/>
          <w:shd w:val="clear" w:color="auto" w:fill="auto"/>
          <w:vertAlign w:val="baseline"/>
          <w:lang w:val="en-US" w:eastAsia="zh-CN"/>
          <w14:textFill>
            <w14:solidFill>
              <w14:schemeClr w14:val="tx1"/>
            </w14:solidFill>
          </w14:textFill>
        </w:rPr>
        <w:t xml:space="preserve">规定</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Courier New"/>
          <w:color w:val="000000" w:themeColor="text1"/>
          <w:sz w:val="24"/>
          <w:szCs w:val="24"/>
          <w:highlight w:val="none"/>
          <w14:textFill>
            <w14:solidFill>
              <w14:schemeClr w14:val="tx1"/>
            </w14:solidFill>
          </w14:textFill>
        </w:rPr>
        <w:t xml:space="preserve">未按合同约定支付款项的</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Courier New"/>
          <w:color w:val="000000" w:themeColor="text1"/>
          <w:sz w:val="24"/>
          <w:szCs w:val="24"/>
          <w:highlight w:val="none"/>
          <w14:textFill>
            <w14:solidFill>
              <w14:schemeClr w14:val="tx1"/>
            </w14:solidFill>
          </w14:textFill>
        </w:rPr>
        <w:t xml:space="preserve">可以向有关部门投诉。</w:t>
      </w:r>
      <w:r/>
    </w:p>
    <w:p>
      <w:pPr>
        <w:pStyle w:val="708"/>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8.</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3 </w:t>
      </w:r>
      <w:r>
        <w:rPr>
          <w:rFonts w:hint="eastAsia" w:ascii="宋体" w:hAnsi="宋体" w:eastAsia="宋体" w:cs="Courier New"/>
          <w:color w:val="000000" w:themeColor="text1"/>
          <w:sz w:val="24"/>
          <w:szCs w:val="24"/>
          <w:highlight w:val="none"/>
          <w14:textFill>
            <w14:solidFill>
              <w14:schemeClr w14:val="tx1"/>
            </w14:solidFill>
          </w14:textFill>
        </w:rPr>
        <w:t xml:space="preserve">当采购数量与实际使用数量不一致时</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乙方应根据实际使用量供货</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合同的最终结算金额按实际使用量乘以成交单价进行计算。</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t xml:space="preserve">九、税费</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9.1</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highlight w:val="none"/>
          <w14:textFill>
            <w14:solidFill>
              <w14:schemeClr w14:val="tx1"/>
            </w14:solidFill>
          </w14:textFill>
        </w:rPr>
        <w:t xml:space="preserve">本合同执行中</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Courier New"/>
          <w:color w:val="000000" w:themeColor="text1"/>
          <w:sz w:val="24"/>
          <w:szCs w:val="24"/>
          <w:highlight w:val="none"/>
          <w14:textFill>
            <w14:solidFill>
              <w14:schemeClr w14:val="tx1"/>
            </w14:solidFill>
          </w14:textFill>
        </w:rPr>
        <w:t xml:space="preserve">相关税费均由乙方负担。</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t xml:space="preserve">十、质量保修范围和保修期及售后服务</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10.1</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highlight w:val="none"/>
          <w14:textFill>
            <w14:solidFill>
              <w14:schemeClr w14:val="tx1"/>
            </w14:solidFill>
          </w14:textFill>
        </w:rPr>
        <w:t xml:space="preserve">乙方应按招标文件规定的货物性能、技术要求、质量标准向甲方提供未经使用的全新产品。</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10.2</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highlight w:val="none"/>
          <w14:textFill>
            <w14:solidFill>
              <w14:schemeClr w14:val="tx1"/>
            </w14:solidFill>
          </w14:textFill>
        </w:rPr>
        <w:t xml:space="preserve">乙方提供的货物在质</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保</w:t>
      </w:r>
      <w:r>
        <w:rPr>
          <w:rFonts w:hint="eastAsia" w:ascii="宋体" w:hAnsi="宋体" w:eastAsia="宋体" w:cs="Courier New"/>
          <w:color w:val="000000" w:themeColor="text1"/>
          <w:sz w:val="24"/>
          <w:szCs w:val="24"/>
          <w:highlight w:val="none"/>
          <w14:textFill>
            <w14:solidFill>
              <w14:schemeClr w14:val="tx1"/>
            </w14:solidFill>
          </w14:textFill>
        </w:rPr>
        <w:t xml:space="preserve">期内因货物本身的质量问题发生故障</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乙方应负责免费更换。对达不到技术要求者</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根据实际情况</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经双方协商可按以下</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方式</w:t>
      </w:r>
      <w:r>
        <w:rPr>
          <w:rFonts w:hint="eastAsia" w:ascii="宋体" w:hAnsi="宋体" w:eastAsia="宋体" w:cs="Courier New"/>
          <w:color w:val="000000" w:themeColor="text1"/>
          <w:sz w:val="24"/>
          <w:szCs w:val="24"/>
          <w:highlight w:val="none"/>
          <w14:textFill>
            <w14:solidFill>
              <w14:schemeClr w14:val="tx1"/>
            </w14:solidFill>
          </w14:textFill>
        </w:rPr>
        <w:t xml:space="preserve">处理：</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lang w:eastAsia="zh-CN"/>
          <w14:textFill>
            <w14:solidFill>
              <w14:schemeClr w14:val="tx1"/>
            </w14:solidFill>
          </w14:textFill>
        </w:rPr>
      </w:pP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10.2.1 </w:t>
      </w:r>
      <w:r>
        <w:rPr>
          <w:rFonts w:hint="eastAsia" w:ascii="宋体" w:hAnsi="宋体" w:eastAsia="宋体" w:cs="Courier New"/>
          <w:color w:val="000000" w:themeColor="text1"/>
          <w:sz w:val="24"/>
          <w:szCs w:val="24"/>
          <w:highlight w:val="none"/>
          <w14:textFill>
            <w14:solidFill>
              <w14:schemeClr w14:val="tx1"/>
            </w14:solidFill>
          </w14:textFill>
        </w:rPr>
        <w:t xml:space="preserve">更换：由乙方承担所发生的全部费用</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lang w:eastAsia="zh-CN"/>
          <w14:textFill>
            <w14:solidFill>
              <w14:schemeClr w14:val="tx1"/>
            </w14:solidFill>
          </w14:textFill>
        </w:rPr>
      </w:pP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10.2.2 </w:t>
      </w:r>
      <w:r>
        <w:rPr>
          <w:rFonts w:hint="eastAsia" w:ascii="宋体" w:hAnsi="宋体" w:eastAsia="宋体" w:cs="Courier New"/>
          <w:color w:val="000000" w:themeColor="text1"/>
          <w:sz w:val="24"/>
          <w:szCs w:val="24"/>
          <w:highlight w:val="none"/>
          <w14:textFill>
            <w14:solidFill>
              <w14:schemeClr w14:val="tx1"/>
            </w14:solidFill>
          </w14:textFill>
        </w:rPr>
        <w:t xml:space="preserve">贬值处理：由甲乙双方合议定价</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10.2.3 </w:t>
      </w:r>
      <w:r>
        <w:rPr>
          <w:rFonts w:hint="eastAsia" w:ascii="宋体" w:hAnsi="宋体" w:eastAsia="宋体" w:cs="Courier New"/>
          <w:color w:val="000000" w:themeColor="text1"/>
          <w:sz w:val="24"/>
          <w:szCs w:val="24"/>
          <w:highlight w:val="none"/>
          <w14:textFill>
            <w14:solidFill>
              <w14:schemeClr w14:val="tx1"/>
            </w14:solidFill>
          </w14:textFill>
        </w:rPr>
        <w:t xml:space="preserve">退货处理：乙方应退还甲方支付的合同款</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同时应承担该货物的直接费用（运输、保险、检验、货款利息及银行手续费等）。</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10.3</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highlight w:val="none"/>
          <w14:textFill>
            <w14:solidFill>
              <w14:schemeClr w14:val="tx1"/>
            </w14:solidFill>
          </w14:textFill>
        </w:rPr>
        <w:t xml:space="preserve">如在使用过程中发生质量问题</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乙方</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应</w:t>
      </w:r>
      <w:r>
        <w:rPr>
          <w:rFonts w:hint="eastAsia" w:ascii="宋体" w:hAnsi="宋体" w:eastAsia="宋体" w:cs="Courier New"/>
          <w:color w:val="000000" w:themeColor="text1"/>
          <w:sz w:val="24"/>
          <w:szCs w:val="24"/>
          <w:highlight w:val="none"/>
          <w14:textFill>
            <w14:solidFill>
              <w14:schemeClr w14:val="tx1"/>
            </w14:solidFill>
          </w14:textFill>
        </w:rPr>
        <w:t xml:space="preserve">在接到甲方通知后</w:t>
      </w:r>
      <w:r>
        <w:rPr>
          <w:rFonts w:hint="eastAsia" w:ascii="宋体" w:hAnsi="宋体" w:eastAsia="宋体" w:cs="Courier New"/>
          <w:color w:val="000000" w:themeColor="text1"/>
          <w:sz w:val="24"/>
          <w:szCs w:val="24"/>
          <w:highlight w:val="none"/>
          <w:u w:val="single"/>
          <w14:textFill>
            <w14:solidFill>
              <w14:schemeClr w14:val="tx1"/>
            </w14:solidFill>
          </w14:textFill>
        </w:rPr>
        <w:t xml:space="preserve">     </w:t>
      </w:r>
      <w:r>
        <w:rPr>
          <w:rFonts w:hint="eastAsia" w:ascii="宋体" w:hAnsi="宋体" w:eastAsia="宋体" w:cs="Courier New"/>
          <w:color w:val="000000" w:themeColor="text1"/>
          <w:sz w:val="24"/>
          <w:szCs w:val="24"/>
          <w:highlight w:val="none"/>
          <w14:textFill>
            <w14:solidFill>
              <w14:schemeClr w14:val="tx1"/>
            </w14:solidFill>
          </w14:textFill>
        </w:rPr>
        <w:t xml:space="preserve">小时内到达甲方现场。</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10.4</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highlight w:val="none"/>
          <w14:textFill>
            <w14:solidFill>
              <w14:schemeClr w14:val="tx1"/>
            </w14:solidFill>
          </w14:textFill>
        </w:rPr>
        <w:t xml:space="preserve">质保期内</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乙方应对货物出现的质量及安全问题负责处理解决并承担一切费用。</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10.5</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highlight w:val="none"/>
          <w14:textFill>
            <w14:solidFill>
              <w14:schemeClr w14:val="tx1"/>
            </w14:solidFill>
          </w14:textFill>
        </w:rPr>
        <w:t xml:space="preserve">质保期为</w:t>
      </w:r>
      <w:r>
        <w:rPr>
          <w:rFonts w:hint="eastAsia" w:ascii="宋体" w:hAnsi="宋体" w:eastAsia="宋体" w:cs="Courier New"/>
          <w:color w:val="000000" w:themeColor="text1"/>
          <w:sz w:val="24"/>
          <w:szCs w:val="24"/>
          <w:highlight w:val="none"/>
          <w:u w:val="none"/>
          <w14:textFill>
            <w14:solidFill>
              <w14:schemeClr w14:val="tx1"/>
            </w14:solidFill>
          </w14:textFill>
        </w:rPr>
        <w:t xml:space="preserve">自交货验收合格之日起</w:t>
      </w:r>
      <w:r>
        <w:rPr>
          <w:rFonts w:hint="eastAsia" w:ascii="宋体" w:hAnsi="宋体" w:eastAsia="宋体" w:cs="Courier New"/>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Courier New"/>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highlight w:val="none"/>
          <w14:textFill>
            <w14:solidFill>
              <w14:schemeClr w14:val="tx1"/>
            </w14:solidFill>
          </w14:textFill>
        </w:rPr>
        <w:t xml:space="preserve">年</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因人为因素出现的故障不在质保范围内。超过质保期的</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乙方负责</w:t>
      </w:r>
      <w:r>
        <w:rPr>
          <w:rFonts w:hint="eastAsia" w:ascii="宋体" w:hAnsi="宋体" w:eastAsia="宋体" w:cs="Courier New"/>
          <w:color w:val="000000" w:themeColor="text1"/>
          <w:sz w:val="24"/>
          <w:szCs w:val="24"/>
          <w:highlight w:val="none"/>
          <w14:textFill>
            <w14:solidFill>
              <w14:schemeClr w14:val="tx1"/>
            </w14:solidFill>
          </w14:textFill>
        </w:rPr>
        <w:t xml:space="preserve">终</w:t>
      </w:r>
      <w:r>
        <w:rPr>
          <w:rFonts w:hint="eastAsia" w:ascii="宋体" w:hAnsi="宋体" w:cs="Courier New"/>
          <w:color w:val="000000" w:themeColor="text1"/>
          <w:sz w:val="24"/>
          <w:szCs w:val="24"/>
          <w:highlight w:val="none"/>
          <w:lang w:eastAsia="zh-CN"/>
          <w14:textFill>
            <w14:solidFill>
              <w14:schemeClr w14:val="tx1"/>
            </w14:solidFill>
          </w14:textFill>
        </w:rPr>
        <w:t xml:space="preserve">身</w:t>
      </w:r>
      <w:r>
        <w:rPr>
          <w:rFonts w:hint="eastAsia" w:ascii="宋体" w:hAnsi="宋体" w:eastAsia="宋体" w:cs="Courier New"/>
          <w:color w:val="000000" w:themeColor="text1"/>
          <w:sz w:val="24"/>
          <w:szCs w:val="24"/>
          <w:highlight w:val="none"/>
          <w14:textFill>
            <w14:solidFill>
              <w14:schemeClr w14:val="tx1"/>
            </w14:solidFill>
          </w14:textFill>
        </w:rPr>
        <w:t xml:space="preserve">维修</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维修时只收</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取</w:t>
      </w:r>
      <w:r>
        <w:rPr>
          <w:rFonts w:hint="eastAsia" w:ascii="宋体" w:hAnsi="宋体" w:eastAsia="宋体" w:cs="Courier New"/>
          <w:color w:val="000000" w:themeColor="text1"/>
          <w:sz w:val="24"/>
          <w:szCs w:val="24"/>
          <w:highlight w:val="none"/>
          <w14:textFill>
            <w14:solidFill>
              <w14:schemeClr w14:val="tx1"/>
            </w14:solidFill>
          </w14:textFill>
        </w:rPr>
        <w:t xml:space="preserve">部件成本费。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t xml:space="preserve">十一、项目验收</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11.1</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highlight w:val="none"/>
          <w14:textFill>
            <w14:solidFill>
              <w14:schemeClr w14:val="tx1"/>
            </w14:solidFill>
          </w14:textFill>
        </w:rPr>
        <w:t xml:space="preserve">甲方依法组织履约验收工作。</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11.2</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highlight w:val="none"/>
          <w14:textFill>
            <w14:solidFill>
              <w14:schemeClr w14:val="tx1"/>
            </w14:solidFill>
          </w14:textFill>
        </w:rPr>
        <w:t xml:space="preserve">甲方在组织履约验收前</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将根据项目特点制定验收方案</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明确验收的时间、方式、程序等</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内容，</w:t>
      </w:r>
      <w:r>
        <w:rPr>
          <w:rFonts w:hint="eastAsia" w:ascii="宋体" w:hAnsi="宋体" w:eastAsia="宋体" w:cs="Courier New"/>
          <w:color w:val="000000" w:themeColor="text1"/>
          <w:sz w:val="24"/>
          <w:szCs w:val="24"/>
          <w:highlight w:val="none"/>
          <w14:textFill>
            <w14:solidFill>
              <w14:schemeClr w14:val="tx1"/>
            </w14:solidFill>
          </w14:textFill>
        </w:rPr>
        <w:t xml:space="preserve">并可根据项目特点对服务期内的服务实施情况进行分期考核</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综合考核情况和服务效果进行验收。乙方应根据验收方案做好相应配合工作。</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11.3</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highlight w:val="none"/>
          <w14:textFill>
            <w14:solidFill>
              <w14:schemeClr w14:val="tx1"/>
            </w14:solidFill>
          </w14:textFill>
        </w:rPr>
        <w:t xml:space="preserve">对于实际使用人和甲方分离的项目</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甲方邀请实际使用人参与验收。</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11.4</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highlight w:val="none"/>
          <w14:textFill>
            <w14:solidFill>
              <w14:schemeClr w14:val="tx1"/>
            </w14:solidFill>
          </w14:textFill>
        </w:rPr>
        <w:t xml:space="preserve">如有必要</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甲方</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可</w:t>
      </w:r>
      <w:r>
        <w:rPr>
          <w:rFonts w:hint="eastAsia" w:ascii="宋体" w:hAnsi="宋体" w:eastAsia="宋体" w:cs="Courier New"/>
          <w:color w:val="000000" w:themeColor="text1"/>
          <w:sz w:val="24"/>
          <w:szCs w:val="24"/>
          <w:highlight w:val="none"/>
          <w14:textFill>
            <w14:solidFill>
              <w14:schemeClr w14:val="tx1"/>
            </w14:solidFill>
          </w14:textFill>
        </w:rPr>
        <w:t xml:space="preserve">邀请参加本项目</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Courier New"/>
          <w:color w:val="000000" w:themeColor="text1"/>
          <w:sz w:val="24"/>
          <w:szCs w:val="24"/>
          <w:highlight w:val="none"/>
          <w14:textFill>
            <w14:solidFill>
              <w14:schemeClr w14:val="tx1"/>
            </w14:solidFill>
          </w14:textFill>
        </w:rPr>
        <w:t xml:space="preserve">的其他供应商或第三方专业机构及专家参与验收</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相关意见将作为验收</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结论</w:t>
      </w:r>
      <w:r>
        <w:rPr>
          <w:rFonts w:hint="eastAsia" w:ascii="宋体" w:hAnsi="宋体" w:eastAsia="宋体" w:cs="Courier New"/>
          <w:color w:val="000000" w:themeColor="text1"/>
          <w:sz w:val="24"/>
          <w:szCs w:val="24"/>
          <w:highlight w:val="none"/>
          <w14:textFill>
            <w14:solidFill>
              <w14:schemeClr w14:val="tx1"/>
            </w14:solidFill>
          </w14:textFill>
        </w:rPr>
        <w:t xml:space="preserve">的参考。</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11.5</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highlight w:val="none"/>
          <w14:textFill>
            <w14:solidFill>
              <w14:schemeClr w14:val="tx1"/>
            </w14:solidFill>
          </w14:textFill>
        </w:rPr>
        <w:t xml:space="preserve">甲方成立验收小组</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列明各项标准的验收情况及项目总体评价</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由验收双方共同签署。验收结果与采购合同约定的资金支付及履约保证金</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退</w:t>
      </w:r>
      <w:r>
        <w:rPr>
          <w:rFonts w:hint="eastAsia" w:ascii="宋体" w:hAnsi="宋体" w:eastAsia="宋体" w:cs="Courier New"/>
          <w:color w:val="000000" w:themeColor="text1"/>
          <w:sz w:val="24"/>
          <w:szCs w:val="24"/>
          <w:highlight w:val="none"/>
          <w14:textFill>
            <w14:solidFill>
              <w14:schemeClr w14:val="tx1"/>
            </w14:solidFill>
          </w14:textFill>
        </w:rPr>
        <w:t xml:space="preserve">还挂钩。履约验收的各项资料存档备查。</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11.6</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highlight w:val="none"/>
          <w14:textFill>
            <w14:solidFill>
              <w14:schemeClr w14:val="tx1"/>
            </w14:solidFill>
          </w14:textFill>
        </w:rPr>
        <w:t xml:space="preserve">验收合格的项目</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甲方根据采购合同的约定及时向乙方支付合同款项、退还履约保证金。验收不合格的项目</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甲方依法及时处理。采购合同的履行、违约责任和解决争议的方式等适用《</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中华人民共和国</w:t>
      </w:r>
      <w:r>
        <w:rPr>
          <w:rFonts w:hint="eastAsia" w:ascii="宋体" w:hAnsi="宋体" w:eastAsia="宋体" w:cs="Courier New"/>
          <w:color w:val="000000" w:themeColor="text1"/>
          <w:sz w:val="24"/>
          <w:szCs w:val="24"/>
          <w:highlight w:val="none"/>
          <w14:textFill>
            <w14:solidFill>
              <w14:schemeClr w14:val="tx1"/>
            </w14:solidFill>
          </w14:textFill>
        </w:rPr>
        <w:t xml:space="preserve">民法典》。乙方在履约过程中有政府采购法律法规规定的违法违规情形的</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甲方将及时报告本级财政部门。</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t xml:space="preserve">十二、货物的包装、发运及运输</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ascii="宋体" w:hAnsi="宋体" w:eastAsia="宋体" w:cs="Courier New"/>
          <w:color w:val="000000" w:themeColor="text1"/>
          <w:sz w:val="24"/>
          <w:szCs w:val="24"/>
          <w:highlight w:val="none"/>
          <w:lang w:val="en-US"/>
          <w14:textFill>
            <w14:solidFill>
              <w14:schemeClr w14:val="tx1"/>
            </w14:solidFill>
          </w14:textFill>
        </w:rPr>
        <w:t xml:space="preserve">12.</w:t>
      </w:r>
      <w:r>
        <w:rPr>
          <w:rFonts w:hint="eastAsia" w:ascii="宋体" w:hAnsi="宋体" w:eastAsia="宋体" w:cs="Courier New"/>
          <w:color w:val="000000" w:themeColor="text1"/>
          <w:sz w:val="24"/>
          <w:szCs w:val="24"/>
          <w:highlight w:val="none"/>
          <w14:textFill>
            <w14:solidFill>
              <w14:schemeClr w14:val="tx1"/>
            </w14:solidFill>
          </w14:textFill>
        </w:rPr>
        <w:t xml:space="preserve">1</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highlight w:val="none"/>
          <w14:textFill>
            <w14:solidFill>
              <w14:schemeClr w14:val="tx1"/>
            </w14:solidFill>
          </w14:textFill>
        </w:rPr>
        <w:t xml:space="preserve">乙方应在货物发运前对其进行满足运输距离、防潮、防震、防锈和防破损装卸等要求包装</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以保证货物安全运达甲方指定地点。货物的包装应符合《商品包装政府采购需求标准（试行）》《快递包装政府采购需求标准（试行）》的规定。</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12.2</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highlight w:val="none"/>
          <w14:textFill>
            <w14:solidFill>
              <w14:schemeClr w14:val="tx1"/>
            </w14:solidFill>
          </w14:textFill>
        </w:rPr>
        <w:t xml:space="preserve">使用说明书、质量检验证明书、随配附件和工具以及清单一并附于货物内。</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12.3</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highlight w:val="none"/>
          <w14:textFill>
            <w14:solidFill>
              <w14:schemeClr w14:val="tx1"/>
            </w14:solidFill>
          </w14:textFill>
        </w:rPr>
        <w:t xml:space="preserve">乙方在货物发运手续办理完毕后24小时内或货到甲方48小时前通知甲方</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以准备接货。</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12.4</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highlight w:val="none"/>
          <w14:textFill>
            <w14:solidFill>
              <w14:schemeClr w14:val="tx1"/>
            </w14:solidFill>
          </w14:textFill>
        </w:rPr>
        <w:t xml:space="preserve">货物在交付甲方前发生的风险均由乙方负责。</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12.5</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highlight w:val="none"/>
          <w14:textFill>
            <w14:solidFill>
              <w14:schemeClr w14:val="tx1"/>
            </w14:solidFill>
          </w14:textFill>
        </w:rPr>
        <w:t xml:space="preserve">货物在规定的交付期限内由乙方送达甲方指定的地点视为交付</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乙方同时需通知甲方货物已送达。</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t xml:space="preserve">十三、违约责任</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13.1</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highlight w:val="none"/>
          <w14:textFill>
            <w14:solidFill>
              <w14:schemeClr w14:val="tx1"/>
            </w14:solidFill>
          </w14:textFill>
        </w:rPr>
        <w:t xml:space="preserve">甲方无正当理由拒收货物的</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应</w:t>
      </w:r>
      <w:r>
        <w:rPr>
          <w:rFonts w:hint="eastAsia" w:ascii="宋体" w:hAnsi="宋体" w:eastAsia="宋体" w:cs="Courier New"/>
          <w:color w:val="000000" w:themeColor="text1"/>
          <w:sz w:val="24"/>
          <w:szCs w:val="24"/>
          <w:highlight w:val="none"/>
          <w14:textFill>
            <w14:solidFill>
              <w14:schemeClr w14:val="tx1"/>
            </w14:solidFill>
          </w14:textFill>
        </w:rPr>
        <w:t xml:space="preserve">向乙方偿付拒收货</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物</w:t>
      </w:r>
      <w:r>
        <w:rPr>
          <w:rFonts w:hint="eastAsia" w:ascii="宋体" w:hAnsi="宋体" w:eastAsia="宋体" w:cs="Courier New"/>
          <w:color w:val="000000" w:themeColor="text1"/>
          <w:sz w:val="24"/>
          <w:szCs w:val="24"/>
          <w:highlight w:val="none"/>
          <w14:textFill>
            <w14:solidFill>
              <w14:schemeClr w14:val="tx1"/>
            </w14:solidFill>
          </w14:textFill>
        </w:rPr>
        <w:t xml:space="preserve">总</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价</w:t>
      </w:r>
      <w:r>
        <w:rPr>
          <w:rFonts w:hint="eastAsia" w:ascii="宋体" w:hAnsi="宋体" w:eastAsia="宋体" w:cs="Courier New"/>
          <w:color w:val="000000" w:themeColor="text1"/>
          <w:sz w:val="24"/>
          <w:szCs w:val="24"/>
          <w:highlight w:val="none"/>
          <w14:textFill>
            <w14:solidFill>
              <w14:schemeClr w14:val="tx1"/>
            </w14:solidFill>
          </w14:textFill>
        </w:rPr>
        <w:t xml:space="preserve">款</w:t>
      </w:r>
      <w:r>
        <w:rPr>
          <w:rFonts w:hint="eastAsia" w:ascii="宋体" w:hAnsi="宋体" w:eastAsia="宋体" w:cs="Courier New"/>
          <w:color w:val="000000" w:themeColor="text1"/>
          <w:sz w:val="24"/>
          <w:szCs w:val="24"/>
          <w:highlight w:val="none"/>
          <w:u w:val="single"/>
          <w14:textFill>
            <w14:solidFill>
              <w14:schemeClr w14:val="tx1"/>
            </w14:solidFill>
          </w14:textFill>
        </w:rPr>
        <w:t xml:space="preserve"> </w:t>
      </w:r>
      <w:r>
        <w:rPr>
          <w:rFonts w:hint="eastAsia" w:ascii="宋体" w:hAnsi="宋体" w:eastAsia="宋体" w:cs="Courier New"/>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highlight w:val="none"/>
          <w14:textFill>
            <w14:solidFill>
              <w14:schemeClr w14:val="tx1"/>
            </w14:solidFill>
          </w14:textFill>
        </w:rPr>
        <w:t xml:space="preserve">的违约金。</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lang w:eastAsia="zh-CN"/>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13.2</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highlight w:val="none"/>
          <w14:textFill>
            <w14:solidFill>
              <w14:schemeClr w14:val="tx1"/>
            </w14:solidFill>
          </w14:textFill>
        </w:rPr>
        <w:t xml:space="preserve">甲方无故逾期验收和办理货款支付手续的</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应按逾期付款总额每日</w:t>
      </w:r>
      <w:r>
        <w:rPr>
          <w:rFonts w:hint="eastAsia" w:ascii="宋体" w:hAnsi="宋体" w:eastAsia="宋体" w:cs="Courier New"/>
          <w:color w:val="000000" w:themeColor="text1"/>
          <w:sz w:val="24"/>
          <w:szCs w:val="24"/>
          <w:highlight w:val="none"/>
          <w:u w:val="single"/>
          <w14:textFill>
            <w14:solidFill>
              <w14:schemeClr w14:val="tx1"/>
            </w14:solidFill>
          </w14:textFill>
        </w:rPr>
        <w:t xml:space="preserve">  </w:t>
      </w:r>
      <w:r>
        <w:rPr>
          <w:rFonts w:hint="eastAsia" w:ascii="宋体" w:hAnsi="宋体" w:eastAsia="宋体" w:cs="Courier New"/>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highlight w:val="none"/>
          <w14:textFill>
            <w14:solidFill>
              <w14:schemeClr w14:val="tx1"/>
            </w14:solidFill>
          </w14:textFill>
        </w:rPr>
        <w:t xml:space="preserve">向乙方支付违约金</w:t>
      </w:r>
      <w:r>
        <w:rPr>
          <w:rFonts w:hint="eastAsia" w:ascii="宋体" w:hAnsi="宋体" w:cs="Courier New"/>
          <w:color w:val="000000" w:themeColor="text1"/>
          <w:sz w:val="24"/>
          <w:szCs w:val="24"/>
          <w:highlight w:val="none"/>
          <w:lang w:eastAsia="zh-CN"/>
          <w14:textFill>
            <w14:solidFill>
              <w14:schemeClr w14:val="tx1"/>
            </w14:solidFill>
          </w14:textFill>
        </w:rPr>
        <w:t xml:space="preserve">，但违约金最高不得超过合同总价的</w:t>
      </w:r>
      <w:r>
        <w:rPr>
          <w:rFonts w:hint="eastAsia" w:ascii="宋体" w:hAnsi="宋体" w:eastAsia="宋体" w:cs="Courier New"/>
          <w:color w:val="000000" w:themeColor="text1"/>
          <w:sz w:val="24"/>
          <w:szCs w:val="24"/>
          <w:highlight w:val="none"/>
          <w:u w:val="single"/>
          <w14:textFill>
            <w14:solidFill>
              <w14:schemeClr w14:val="tx1"/>
            </w14:solidFill>
          </w14:textFill>
        </w:rPr>
        <w:t xml:space="preserve"> </w:t>
      </w:r>
      <w:r>
        <w:rPr>
          <w:rFonts w:hint="eastAsia" w:ascii="宋体" w:hAnsi="宋体" w:eastAsia="宋体" w:cs="Courier New"/>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13.3</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highlight w:val="none"/>
          <w14:textFill>
            <w14:solidFill>
              <w14:schemeClr w14:val="tx1"/>
            </w14:solidFill>
          </w14:textFill>
        </w:rPr>
        <w:t xml:space="preserve">乙方逾期交付货物的</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应按逾期交货总额每日</w:t>
      </w:r>
      <w:r>
        <w:rPr>
          <w:rFonts w:hint="eastAsia" w:ascii="宋体" w:hAnsi="宋体" w:eastAsia="宋体" w:cs="Courier New"/>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highlight w:val="none"/>
          <w:u w:val="single"/>
          <w14:textFill>
            <w14:solidFill>
              <w14:schemeClr w14:val="tx1"/>
            </w14:solidFill>
          </w14:textFill>
        </w:rPr>
        <w:t xml:space="preserve"> </w:t>
      </w:r>
      <w:r>
        <w:rPr>
          <w:rFonts w:hint="eastAsia" w:ascii="宋体" w:hAnsi="宋体" w:eastAsia="宋体" w:cs="Courier New"/>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highlight w:val="none"/>
          <w14:textFill>
            <w14:solidFill>
              <w14:schemeClr w14:val="tx1"/>
            </w14:solidFill>
          </w14:textFill>
        </w:rPr>
        <w:t xml:space="preserve">向甲方支付违约金</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由甲方从待付货款中扣除。逾期超过约定日期10个工作日不能交货的</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甲方可解除本合同。乙方因逾期交货或因其他违约行为导致甲方解除合同的</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应向甲方支付合同总</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价</w:t>
      </w:r>
      <w:r>
        <w:rPr>
          <w:rFonts w:hint="eastAsia" w:ascii="宋体" w:hAnsi="宋体" w:eastAsia="宋体" w:cs="Courier New"/>
          <w:color w:val="000000" w:themeColor="text1"/>
          <w:sz w:val="24"/>
          <w:szCs w:val="24"/>
          <w:highlight w:val="none"/>
          <w:u w:val="single"/>
          <w14:textFill>
            <w14:solidFill>
              <w14:schemeClr w14:val="tx1"/>
            </w14:solidFill>
          </w14:textFill>
        </w:rPr>
        <w:t xml:space="preserve"> </w:t>
      </w:r>
      <w:r>
        <w:rPr>
          <w:rFonts w:hint="eastAsia" w:ascii="宋体" w:hAnsi="宋体" w:eastAsia="宋体" w:cs="Courier New"/>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highlight w:val="none"/>
          <w14:textFill>
            <w14:solidFill>
              <w14:schemeClr w14:val="tx1"/>
            </w14:solidFill>
          </w14:textFill>
        </w:rPr>
        <w:t xml:space="preserve">的违约金。 </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13.4 乙方所交</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付</w:t>
      </w:r>
      <w:r>
        <w:rPr>
          <w:rFonts w:hint="eastAsia" w:ascii="宋体" w:hAnsi="宋体" w:eastAsia="宋体" w:cs="Courier New"/>
          <w:color w:val="000000" w:themeColor="text1"/>
          <w:sz w:val="24"/>
          <w:szCs w:val="24"/>
          <w:highlight w:val="none"/>
          <w14:textFill>
            <w14:solidFill>
              <w14:schemeClr w14:val="tx1"/>
            </w14:solidFill>
          </w14:textFill>
        </w:rPr>
        <w:t xml:space="preserve">的货物品种、型号、规格、技术参数、质量不符合合同规定及招标文件规定标准的</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甲方有权拒收该货物</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乙方愿意更换货物但逾期交货的</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按乙方逾期交货处理。乙方拒绝更换货物的</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甲方可单方面解除合同。</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lang w:val="en-US" w:eastAsia="zh-CN"/>
          <w14:textFill>
            <w14:solidFill>
              <w14:schemeClr w14:val="tx1"/>
            </w14:solidFill>
          </w14:textFill>
        </w:rPr>
      </w:pP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64" w:lineRule="auto"/>
        <w:widowControl w:val="off"/>
        <w:rPr>
          <w:rFonts w:hint="default" w:ascii="宋体" w:hAnsi="宋体" w:eastAsia="宋体" w:cs="Courier New"/>
          <w:color w:val="000000" w:themeColor="text1"/>
          <w:sz w:val="24"/>
          <w:szCs w:val="24"/>
          <w:highlight w:val="none"/>
          <w:lang w:val="en-US" w:eastAsia="zh-CN"/>
          <w14:textFill>
            <w14:solidFill>
              <w14:schemeClr w14:val="tx1"/>
            </w14:solidFill>
          </w14:textFill>
        </w:rPr>
      </w:pP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13.6 乙方完成标的物所有权、使用权整体移交甲方后，不得在甲方系统、网络、设备及相关产品中设置未授权隐蔽访问接口、私设远程管控通道，严禁未经甲方授权擅自访问、操控甲方信息系统。违规所致全部法律责任与损失，由乙方全额承担。</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t xml:space="preserve">十四、不可抗力事件处理</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14.1 在合同有效期内</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任何一方因不可抗力事件导致不能履行合同</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则合同履行期可延长</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其延长期与不可抗力影响期相同。</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14.2 不可抗力事件发生后</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应立即通知对方并寄送有关权威机构出具的证明。</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14.3 不可抗力事件延续120天以上</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双方应通过友好协商确定是否继续履行合同。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t xml:space="preserve">十五、解决争议的方法</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15.1</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highlight w:val="none"/>
          <w14:textFill>
            <w14:solidFill>
              <w14:schemeClr w14:val="tx1"/>
            </w14:solidFill>
          </w14:textFill>
        </w:rPr>
        <w:t xml:space="preserve">甲乙双方因合同签订、履行而发生的一切争议</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应通过友好协商解决。协商不成</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Courier New"/>
          <w:color w:val="000000" w:themeColor="text1"/>
          <w:sz w:val="24"/>
          <w:szCs w:val="24"/>
          <w:highlight w:val="none"/>
          <w14:textFill>
            <w14:solidFill>
              <w14:schemeClr w14:val="tx1"/>
            </w14:solidFill>
          </w14:textFill>
        </w:rPr>
        <w:t xml:space="preserve">由甲方住所地人民法院管辖。</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 w:val="0"/>
          <w:bCs/>
          <w:color w:val="000000" w:themeColor="text1"/>
          <w:sz w:val="24"/>
          <w:szCs w:val="24"/>
          <w:highlight w:val="none"/>
          <w14:textFill>
            <w14:solidFill>
              <w14:schemeClr w14:val="tx1"/>
            </w14:solidFill>
          </w14:textFill>
        </w:rPr>
        <w:t xml:space="preserve">十六、合同生效及其它</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16.1 </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本</w:t>
      </w:r>
      <w:r>
        <w:rPr>
          <w:rFonts w:hint="eastAsia" w:ascii="宋体" w:hAnsi="宋体" w:eastAsia="宋体" w:cs="Courier New"/>
          <w:color w:val="000000" w:themeColor="text1"/>
          <w:sz w:val="24"/>
          <w:szCs w:val="24"/>
          <w:highlight w:val="none"/>
          <w14:textFill>
            <w14:solidFill>
              <w14:schemeClr w14:val="tx1"/>
            </w14:solidFill>
          </w14:textFill>
        </w:rPr>
        <w:t xml:space="preserve">合同经双方加盖单位公章后生效。</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16.2</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highlight w:val="none"/>
          <w14:textFill>
            <w14:solidFill>
              <w14:schemeClr w14:val="tx1"/>
            </w14:solidFill>
          </w14:textFill>
        </w:rPr>
        <w:t xml:space="preserve">本合同未尽事宜</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遵照《</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中华人民共和国</w:t>
      </w:r>
      <w:r>
        <w:rPr>
          <w:rFonts w:hint="eastAsia" w:ascii="宋体" w:hAnsi="宋体" w:eastAsia="宋体" w:cs="Courier New"/>
          <w:color w:val="000000" w:themeColor="text1"/>
          <w:sz w:val="24"/>
          <w:szCs w:val="24"/>
          <w:highlight w:val="none"/>
          <w14:textFill>
            <w14:solidFill>
              <w14:schemeClr w14:val="tx1"/>
            </w14:solidFill>
          </w14:textFill>
        </w:rPr>
        <w:t xml:space="preserve">民法典》《</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中华人民共和国</w:t>
      </w:r>
      <w:r>
        <w:rPr>
          <w:rFonts w:hint="eastAsia" w:ascii="宋体" w:hAnsi="宋体" w:eastAsia="宋体" w:cs="Courier New"/>
          <w:color w:val="000000" w:themeColor="text1"/>
          <w:sz w:val="24"/>
          <w:szCs w:val="24"/>
          <w:highlight w:val="none"/>
          <w14:textFill>
            <w14:solidFill>
              <w14:schemeClr w14:val="tx1"/>
            </w14:solidFill>
          </w14:textFill>
        </w:rPr>
        <w:t xml:space="preserve">政府采购法》有关条文执行。</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16.3 本合同正本一式</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肆</w:t>
      </w:r>
      <w:r>
        <w:rPr>
          <w:rFonts w:hint="eastAsia" w:ascii="宋体" w:hAnsi="宋体" w:eastAsia="宋体" w:cs="Courier New"/>
          <w:color w:val="000000" w:themeColor="text1"/>
          <w:sz w:val="24"/>
          <w:szCs w:val="24"/>
          <w:highlight w:val="none"/>
          <w14:textFill>
            <w14:solidFill>
              <w14:schemeClr w14:val="tx1"/>
            </w14:solidFill>
          </w14:textFill>
        </w:rPr>
        <w:t xml:space="preserve">份</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具有同等法律效力</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甲方、乙方各执</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贰</w:t>
      </w:r>
      <w:r>
        <w:rPr>
          <w:rFonts w:hint="eastAsia" w:ascii="宋体" w:hAnsi="宋体" w:eastAsia="宋体" w:cs="Courier New"/>
          <w:color w:val="000000" w:themeColor="text1"/>
          <w:sz w:val="24"/>
          <w:szCs w:val="24"/>
          <w:highlight w:val="none"/>
          <w14:textFill>
            <w14:solidFill>
              <w14:schemeClr w14:val="tx1"/>
            </w14:solidFill>
          </w14:textFill>
        </w:rPr>
        <w:t xml:space="preserve">份。</w:t>
      </w:r>
      <w:bookmarkEnd w:id="188"/>
      <w:r/>
      <w:bookmarkEnd w:id="189"/>
      <w:r/>
      <w:bookmarkEnd w:id="190"/>
      <w:r/>
      <w:r/>
    </w:p>
    <w:p>
      <w:pPr>
        <w:pStyle w:val="901"/>
        <w:keepLines w:val="0"/>
        <w:keepNext w:val="0"/>
        <w:pageBreakBefore w:val="0"/>
        <w:spacing w:before="120" w:after="120" w:line="264" w:lineRule="auto"/>
        <w:widowControl w:val="off"/>
        <w:rPr>
          <w:rFonts w:hint="eastAsia" w:hAnsi="宋体" w:eastAsia="宋体" w:cs="Courier New"/>
          <w:color w:val="000000" w:themeColor="text1"/>
          <w:sz w:val="24"/>
          <w:szCs w:val="24"/>
          <w:highlight w:val="none"/>
          <w14:textFill>
            <w14:solidFill>
              <w14:schemeClr w14:val="tx1"/>
            </w14:solidFill>
          </w14:textFill>
        </w:rPr>
      </w:pPr>
      <w:r/>
      <w:bookmarkStart w:id="191" w:name="_Hlt16619369"/>
      <w:r/>
      <w:bookmarkEnd w:id="191"/>
      <w:r>
        <w:rPr>
          <w:rFonts w:hint="eastAsia" w:hAnsi="宋体" w:eastAsia="宋体" w:cs="Courier New"/>
          <w:color w:val="000000" w:themeColor="text1"/>
          <w:sz w:val="24"/>
          <w:szCs w:val="24"/>
          <w:highlight w:val="none"/>
          <w14:textFill>
            <w14:solidFill>
              <w14:schemeClr w14:val="tx1"/>
            </w14:solidFill>
          </w14:textFill>
        </w:rPr>
        <w:t xml:space="preserve">  </w:t>
      </w:r>
      <w:r/>
    </w:p>
    <w:p>
      <w:pPr>
        <w:pStyle w:val="901"/>
        <w:ind w:firstLine="0"/>
        <w:keepLines w:val="0"/>
        <w:keepNext w:val="0"/>
        <w:pageBreakBefore w:val="0"/>
        <w:spacing w:before="120" w:after="120" w:line="264" w:lineRule="auto"/>
        <w:widowControl w:val="off"/>
        <w:rPr>
          <w:rFonts w:hint="eastAsia" w:hAnsi="宋体" w:eastAsia="宋体" w:cs="Courier New"/>
          <w:color w:val="000000" w:themeColor="text1"/>
          <w:sz w:val="24"/>
          <w:szCs w:val="24"/>
          <w:highlight w:val="none"/>
          <w14:textFill>
            <w14:solidFill>
              <w14:schemeClr w14:val="tx1"/>
            </w14:solidFill>
          </w14:textFill>
        </w:rPr>
      </w:pPr>
      <w:r>
        <w:rPr>
          <w:rFonts w:hint="eastAsia" w:hAnsi="宋体" w:eastAsia="宋体" w:cs="Courier New"/>
          <w:color w:val="000000" w:themeColor="text1"/>
          <w:sz w:val="24"/>
          <w:szCs w:val="24"/>
          <w:highlight w:val="none"/>
          <w14:textFill>
            <w14:solidFill>
              <w14:schemeClr w14:val="tx1"/>
            </w14:solidFill>
          </w14:textFill>
        </w:rPr>
        <w:t xml:space="preserve">甲</w:t>
      </w:r>
      <w:r>
        <w:rPr>
          <w:rFonts w:hint="eastAsia"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hAnsi="宋体" w:eastAsia="宋体" w:cs="Courier New"/>
          <w:color w:val="000000" w:themeColor="text1"/>
          <w:sz w:val="24"/>
          <w:szCs w:val="24"/>
          <w:highlight w:val="none"/>
          <w14:textFill>
            <w14:solidFill>
              <w14:schemeClr w14:val="tx1"/>
            </w14:solidFill>
          </w14:textFill>
        </w:rPr>
        <w:t xml:space="preserve">方：</w:t>
      </w:r>
      <w:r>
        <w:rPr>
          <w:rFonts w:hint="eastAsia" w:hAnsi="宋体" w:eastAsia="宋体" w:cs="Courier New"/>
          <w:color w:val="000000" w:themeColor="text1"/>
          <w:sz w:val="24"/>
          <w:szCs w:val="24"/>
          <w:highlight w:val="none"/>
          <w:lang w:eastAsia="zh-CN"/>
          <w14:textFill>
            <w14:solidFill>
              <w14:schemeClr w14:val="tx1"/>
            </w14:solidFill>
          </w14:textFill>
        </w:rPr>
        <w:t xml:space="preserve">（</w:t>
      </w:r>
      <w:r>
        <w:rPr>
          <w:rFonts w:hint="eastAsia" w:hAnsi="宋体" w:eastAsia="宋体" w:cs="Courier New"/>
          <w:color w:val="000000" w:themeColor="text1"/>
          <w:sz w:val="24"/>
          <w:szCs w:val="24"/>
          <w:highlight w:val="none"/>
          <w:lang w:val="en-US" w:eastAsia="zh-CN"/>
          <w14:textFill>
            <w14:solidFill>
              <w14:schemeClr w14:val="tx1"/>
            </w14:solidFill>
          </w14:textFill>
        </w:rPr>
        <w:t xml:space="preserve">公章</w:t>
      </w:r>
      <w:r>
        <w:rPr>
          <w:rFonts w:hint="eastAsia" w:hAnsi="宋体" w:eastAsia="宋体" w:cs="Courier New"/>
          <w:color w:val="000000" w:themeColor="text1"/>
          <w:sz w:val="24"/>
          <w:szCs w:val="24"/>
          <w:highlight w:val="none"/>
          <w:lang w:eastAsia="zh-CN"/>
          <w14:textFill>
            <w14:solidFill>
              <w14:schemeClr w14:val="tx1"/>
            </w14:solidFill>
          </w14:textFill>
        </w:rPr>
        <w:t xml:space="preserve">）</w:t>
      </w:r>
      <w:r>
        <w:rPr>
          <w:rFonts w:hint="eastAsia" w:hAnsi="宋体" w:eastAsia="宋体" w:cs="Courier New"/>
          <w:color w:val="000000" w:themeColor="text1"/>
          <w:sz w:val="24"/>
          <w:szCs w:val="24"/>
          <w:highlight w:val="none"/>
          <w14:textFill>
            <w14:solidFill>
              <w14:schemeClr w14:val="tx1"/>
            </w14:solidFill>
          </w14:textFill>
        </w:rPr>
        <w:t xml:space="preserve">                       乙</w:t>
      </w:r>
      <w:r>
        <w:rPr>
          <w:rFonts w:hint="eastAsia"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hAnsi="宋体" w:eastAsia="宋体" w:cs="Courier New"/>
          <w:color w:val="000000" w:themeColor="text1"/>
          <w:sz w:val="24"/>
          <w:szCs w:val="24"/>
          <w:highlight w:val="none"/>
          <w14:textFill>
            <w14:solidFill>
              <w14:schemeClr w14:val="tx1"/>
            </w14:solidFill>
          </w14:textFill>
        </w:rPr>
        <w:t xml:space="preserve">方：</w:t>
      </w:r>
      <w:r>
        <w:rPr>
          <w:rFonts w:hint="eastAsia" w:hAnsi="宋体" w:eastAsia="宋体" w:cs="Courier New"/>
          <w:color w:val="000000" w:themeColor="text1"/>
          <w:sz w:val="24"/>
          <w:szCs w:val="24"/>
          <w:highlight w:val="none"/>
          <w:lang w:eastAsia="zh-CN"/>
          <w14:textFill>
            <w14:solidFill>
              <w14:schemeClr w14:val="tx1"/>
            </w14:solidFill>
          </w14:textFill>
        </w:rPr>
        <w:t xml:space="preserve">（</w:t>
      </w:r>
      <w:r>
        <w:rPr>
          <w:rFonts w:hint="eastAsia" w:hAnsi="宋体" w:eastAsia="宋体" w:cs="Courier New"/>
          <w:color w:val="000000" w:themeColor="text1"/>
          <w:sz w:val="24"/>
          <w:szCs w:val="24"/>
          <w:highlight w:val="none"/>
          <w:lang w:val="en-US" w:eastAsia="zh-CN"/>
          <w14:textFill>
            <w14:solidFill>
              <w14:schemeClr w14:val="tx1"/>
            </w14:solidFill>
          </w14:textFill>
        </w:rPr>
        <w:t xml:space="preserve">公章</w:t>
      </w:r>
      <w:r>
        <w:rPr>
          <w:rFonts w:hint="eastAsia" w:hAnsi="宋体" w:eastAsia="宋体" w:cs="Courier New"/>
          <w:color w:val="000000" w:themeColor="text1"/>
          <w:sz w:val="24"/>
          <w:szCs w:val="24"/>
          <w:highlight w:val="none"/>
          <w:lang w:eastAsia="zh-CN"/>
          <w14:textFill>
            <w14:solidFill>
              <w14:schemeClr w14:val="tx1"/>
            </w14:solidFill>
          </w14:textFill>
        </w:rPr>
        <w:t xml:space="preserve">）</w:t>
      </w:r>
      <w:r>
        <w:rPr>
          <w:rFonts w:hint="eastAsia" w:hAnsi="宋体" w:eastAsia="宋体" w:cs="Courier New"/>
          <w:color w:val="000000" w:themeColor="text1"/>
          <w:sz w:val="24"/>
          <w:szCs w:val="24"/>
          <w:highlight w:val="none"/>
          <w14:textFill>
            <w14:solidFill>
              <w14:schemeClr w14:val="tx1"/>
            </w14:solidFill>
          </w14:textFill>
        </w:rPr>
        <w:t xml:space="preserve"> </w:t>
      </w:r>
      <w:r/>
    </w:p>
    <w:p>
      <w:pPr>
        <w:pStyle w:val="901"/>
        <w:keepLines w:val="0"/>
        <w:keepNext w:val="0"/>
        <w:pageBreakBefore w:val="0"/>
        <w:spacing w:before="120" w:after="120" w:line="264" w:lineRule="auto"/>
        <w:widowControl w:val="off"/>
        <w:rPr>
          <w:rFonts w:hint="eastAsia" w:hAnsi="宋体" w:eastAsia="宋体" w:cs="Courier New"/>
          <w:color w:val="000000" w:themeColor="text1"/>
          <w:sz w:val="24"/>
          <w:szCs w:val="24"/>
          <w:highlight w:val="none"/>
          <w14:textFill>
            <w14:solidFill>
              <w14:schemeClr w14:val="tx1"/>
            </w14:solidFill>
          </w14:textFill>
        </w:rPr>
      </w:pPr>
      <w:r>
        <w:rPr>
          <w:rFonts w:hint="eastAsia" w:hAnsi="宋体" w:eastAsia="宋体" w:cs="Courier New"/>
          <w:color w:val="000000" w:themeColor="text1"/>
          <w:sz w:val="24"/>
          <w:szCs w:val="24"/>
          <w:highlight w:val="none"/>
          <w14:textFill>
            <w14:solidFill>
              <w14:schemeClr w14:val="tx1"/>
            </w14:solidFill>
          </w14:textFill>
        </w:rPr>
        <w:t xml:space="preserve">地</w:t>
      </w:r>
      <w:r>
        <w:rPr>
          <w:rFonts w:hint="eastAsia"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hAnsi="宋体" w:eastAsia="宋体" w:cs="Courier New"/>
          <w:color w:val="000000" w:themeColor="text1"/>
          <w:sz w:val="24"/>
          <w:szCs w:val="24"/>
          <w:highlight w:val="none"/>
          <w14:textFill>
            <w14:solidFill>
              <w14:schemeClr w14:val="tx1"/>
            </w14:solidFill>
          </w14:textFill>
        </w:rPr>
        <w:t xml:space="preserve">址：                        </w:t>
      </w:r>
      <w:r>
        <w:rPr>
          <w:rFonts w:hint="eastAsia"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hAnsi="宋体" w:eastAsia="宋体" w:cs="Courier New"/>
          <w:color w:val="000000" w:themeColor="text1"/>
          <w:sz w:val="24"/>
          <w:szCs w:val="24"/>
          <w:highlight w:val="none"/>
          <w14:textFill>
            <w14:solidFill>
              <w14:schemeClr w14:val="tx1"/>
            </w14:solidFill>
          </w14:textFill>
        </w:rPr>
        <w:t xml:space="preserve">地</w:t>
      </w:r>
      <w:r>
        <w:rPr>
          <w:rFonts w:hint="eastAsia"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hAnsi="宋体" w:eastAsia="宋体" w:cs="Courier New"/>
          <w:color w:val="000000" w:themeColor="text1"/>
          <w:sz w:val="24"/>
          <w:szCs w:val="24"/>
          <w:highlight w:val="none"/>
          <w14:textFill>
            <w14:solidFill>
              <w14:schemeClr w14:val="tx1"/>
            </w14:solidFill>
          </w14:textFill>
        </w:rPr>
        <w:t xml:space="preserve">址： </w:t>
      </w:r>
      <w:r/>
    </w:p>
    <w:p>
      <w:pPr>
        <w:pStyle w:val="901"/>
        <w:keepLines w:val="0"/>
        <w:keepNext w:val="0"/>
        <w:pageBreakBefore w:val="0"/>
        <w:spacing w:before="120" w:after="120" w:line="264" w:lineRule="auto"/>
        <w:widowControl w:val="off"/>
        <w:rPr>
          <w:rFonts w:hint="eastAsia" w:hAnsi="宋体" w:eastAsia="宋体" w:cs="Courier New"/>
          <w:color w:val="000000" w:themeColor="text1"/>
          <w:sz w:val="24"/>
          <w:szCs w:val="24"/>
          <w:highlight w:val="none"/>
          <w14:textFill>
            <w14:solidFill>
              <w14:schemeClr w14:val="tx1"/>
            </w14:solidFill>
          </w14:textFill>
        </w:rPr>
      </w:pPr>
      <w:r>
        <w:rPr>
          <w:rFonts w:hint="eastAsia" w:hAnsi="宋体" w:eastAsia="宋体" w:cs="Courier New"/>
          <w:color w:val="000000" w:themeColor="text1"/>
          <w:sz w:val="24"/>
          <w:szCs w:val="24"/>
          <w:highlight w:val="none"/>
          <w14:textFill>
            <w14:solidFill>
              <w14:schemeClr w14:val="tx1"/>
            </w14:solidFill>
          </w14:textFill>
        </w:rPr>
        <w:t xml:space="preserve">法定代表人或授权代表：        </w:t>
      </w:r>
      <w:r>
        <w:rPr>
          <w:rFonts w:hint="eastAsia"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hAnsi="宋体" w:eastAsia="宋体" w:cs="Courier New"/>
          <w:color w:val="000000" w:themeColor="text1"/>
          <w:sz w:val="24"/>
          <w:szCs w:val="24"/>
          <w:highlight w:val="none"/>
          <w14:textFill>
            <w14:solidFill>
              <w14:schemeClr w14:val="tx1"/>
            </w14:solidFill>
          </w14:textFill>
        </w:rPr>
        <w:t xml:space="preserve">法定代表人或授权代表：</w:t>
      </w:r>
      <w:r/>
    </w:p>
    <w:p>
      <w:pPr>
        <w:pStyle w:val="901"/>
        <w:ind w:firstLine="0"/>
        <w:keepLines w:val="0"/>
        <w:keepNext w:val="0"/>
        <w:pageBreakBefore w:val="0"/>
        <w:spacing w:before="120" w:after="120" w:line="264" w:lineRule="auto"/>
        <w:widowControl w:val="off"/>
        <w:rPr>
          <w:rFonts w:hint="eastAsia" w:hAnsi="宋体" w:eastAsia="宋体" w:cs="Courier New"/>
          <w:color w:val="000000" w:themeColor="text1"/>
          <w:sz w:val="24"/>
          <w:szCs w:val="24"/>
          <w:highlight w:val="none"/>
          <w14:textFill>
            <w14:solidFill>
              <w14:schemeClr w14:val="tx1"/>
            </w14:solidFill>
          </w14:textFill>
        </w:rPr>
      </w:pPr>
      <w:r>
        <w:rPr>
          <w:rFonts w:hint="eastAsia" w:hAnsi="宋体" w:eastAsia="宋体" w:cs="Courier New"/>
          <w:color w:val="000000" w:themeColor="text1"/>
          <w:sz w:val="24"/>
          <w:szCs w:val="24"/>
          <w:highlight w:val="none"/>
          <w14:textFill>
            <w14:solidFill>
              <w14:schemeClr w14:val="tx1"/>
            </w14:solidFill>
          </w14:textFill>
        </w:rPr>
        <w:t xml:space="preserve">联系电话：                    </w:t>
      </w:r>
      <w:r>
        <w:rPr>
          <w:rFonts w:hint="eastAsia" w:hAnsi="宋体" w:eastAsia="宋体" w:cs="Courier New"/>
          <w:color w:val="000000" w:themeColor="text1"/>
          <w:sz w:val="24"/>
          <w:szCs w:val="24"/>
          <w:highlight w:val="none"/>
          <w:lang w:val="en-US" w:eastAsia="zh-CN"/>
          <w14:textFill>
            <w14:solidFill>
              <w14:schemeClr w14:val="tx1"/>
            </w14:solidFill>
          </w14:textFill>
        </w:rPr>
        <w:t xml:space="preserve">         </w:t>
      </w:r>
      <w:r>
        <w:rPr>
          <w:rFonts w:hint="eastAsia" w:hAnsi="宋体" w:eastAsia="宋体" w:cs="Courier New"/>
          <w:color w:val="000000" w:themeColor="text1"/>
          <w:sz w:val="24"/>
          <w:szCs w:val="24"/>
          <w:highlight w:val="none"/>
          <w14:textFill>
            <w14:solidFill>
              <w14:schemeClr w14:val="tx1"/>
            </w14:solidFill>
          </w14:textFill>
        </w:rPr>
        <w:t xml:space="preserve">联系电话： </w:t>
      </w:r>
      <w:r/>
    </w:p>
    <w:p>
      <w:pPr>
        <w:pStyle w:val="901"/>
        <w:ind w:firstLine="0"/>
        <w:keepLines w:val="0"/>
        <w:keepNext w:val="0"/>
        <w:pageBreakBefore w:val="0"/>
        <w:spacing w:before="120" w:after="120" w:line="264" w:lineRule="auto"/>
        <w:widowControl w:val="off"/>
        <w:rPr>
          <w:rFonts w:hint="eastAsia" w:hAnsi="宋体" w:eastAsia="宋体" w:cs="Courier New"/>
          <w:color w:val="000000" w:themeColor="text1"/>
          <w:sz w:val="24"/>
          <w:szCs w:val="24"/>
          <w:highlight w:val="none"/>
          <w14:textFill>
            <w14:solidFill>
              <w14:schemeClr w14:val="tx1"/>
            </w14:solidFill>
          </w14:textFill>
        </w:rPr>
      </w:pPr>
      <w:r>
        <w:rPr>
          <w:rFonts w:hint="eastAsia" w:hAnsi="宋体" w:eastAsia="宋体" w:cs="Courier New"/>
          <w:color w:val="000000" w:themeColor="text1"/>
          <w:sz w:val="24"/>
          <w:szCs w:val="24"/>
          <w:highlight w:val="none"/>
          <w14:textFill>
            <w14:solidFill>
              <w14:schemeClr w14:val="tx1"/>
            </w14:solidFill>
          </w14:textFill>
        </w:rPr>
      </w:r>
      <w:r/>
    </w:p>
    <w:p>
      <w:pPr>
        <w:pStyle w:val="901"/>
        <w:keepLines w:val="0"/>
        <w:keepNext w:val="0"/>
        <w:pageBreakBefore w:val="0"/>
        <w:spacing w:before="120" w:after="120" w:line="264" w:lineRule="auto"/>
        <w:widowControl w:val="off"/>
        <w:rPr>
          <w:rFonts w:hint="eastAsia" w:hAnsi="宋体" w:eastAsia="宋体" w:cs="Courier New"/>
          <w:color w:val="000000" w:themeColor="text1"/>
          <w:sz w:val="24"/>
          <w:szCs w:val="24"/>
          <w:highlight w:val="none"/>
          <w14:textFill>
            <w14:solidFill>
              <w14:schemeClr w14:val="tx1"/>
            </w14:solidFill>
          </w14:textFill>
        </w:rPr>
      </w:pPr>
      <w:r>
        <w:rPr>
          <w:rFonts w:hint="eastAsia" w:hAnsi="宋体" w:eastAsia="宋体" w:cs="Courier New"/>
          <w:color w:val="000000" w:themeColor="text1"/>
          <w:sz w:val="24"/>
          <w:szCs w:val="24"/>
          <w:highlight w:val="none"/>
          <w14:textFill>
            <w14:solidFill>
              <w14:schemeClr w14:val="tx1"/>
            </w14:solidFill>
          </w14:textFill>
        </w:rPr>
        <w:t xml:space="preserve">                                          </w:t>
      </w:r>
      <w:r/>
    </w:p>
    <w:p>
      <w:pPr>
        <w:pStyle w:val="901"/>
        <w:ind w:firstLine="4800"/>
        <w:keepLines w:val="0"/>
        <w:keepNext w:val="0"/>
        <w:pageBreakBefore w:val="0"/>
        <w:spacing w:before="120" w:after="120" w:line="264" w:lineRule="auto"/>
        <w:widowControl w:val="off"/>
        <w:rPr>
          <w:rFonts w:hint="eastAsia" w:hAnsi="宋体" w:eastAsia="宋体" w:cs="Courier New"/>
          <w:color w:val="000000" w:themeColor="text1"/>
          <w:sz w:val="24"/>
          <w:szCs w:val="24"/>
          <w:highlight w:val="none"/>
          <w14:textFill>
            <w14:solidFill>
              <w14:schemeClr w14:val="tx1"/>
            </w14:solidFill>
          </w14:textFill>
        </w:rPr>
      </w:pPr>
      <w:r>
        <w:rPr>
          <w:rFonts w:hint="eastAsia" w:hAnsi="宋体" w:eastAsia="宋体" w:cs="Courier New"/>
          <w:color w:val="000000" w:themeColor="text1"/>
          <w:sz w:val="24"/>
          <w:szCs w:val="24"/>
          <w:highlight w:val="none"/>
          <w14:textFill>
            <w14:solidFill>
              <w14:schemeClr w14:val="tx1"/>
            </w14:solidFill>
          </w14:textFill>
        </w:rPr>
        <w:t xml:space="preserve">签订日期：      </w:t>
      </w:r>
      <w:r/>
    </w:p>
    <w:p>
      <w:pPr>
        <w:jc w:val="center"/>
        <w:keepLines w:val="0"/>
        <w:keepNext w:val="0"/>
        <w:pageBreakBefore w:val="0"/>
        <w:spacing w:before="145" w:after="145" w:line="264" w:lineRule="auto"/>
        <w:widowControl w:val="off"/>
        <w:rPr>
          <w:rFonts w:hint="eastAsia" w:ascii="宋体" w:hAnsi="宋体" w:eastAsia="宋体" w:cs="Times New Roman"/>
          <w:b/>
          <w:bCs w:val="0"/>
          <w:color w:val="000000" w:themeColor="text1"/>
          <w:sz w:val="30"/>
          <w:szCs w:val="21"/>
          <w:highlight w:val="none"/>
          <w14:textFill>
            <w14:solidFill>
              <w14:schemeClr w14:val="tx1"/>
            </w14:solidFill>
          </w14:textFill>
        </w:rPr>
        <w:outlineLvl w:val="0"/>
      </w:pPr>
      <w:r>
        <w:rPr>
          <w:rFonts w:hint="eastAsia" w:ascii="宋体" w:hAnsi="宋体" w:eastAsia="宋体" w:cs="Times New Roman"/>
          <w:b/>
          <w:bCs w:val="0"/>
          <w:color w:val="000000" w:themeColor="text1"/>
          <w:sz w:val="30"/>
          <w:szCs w:val="21"/>
          <w:highlight w:val="none"/>
          <w14:textFill>
            <w14:solidFill>
              <w14:schemeClr w14:val="tx1"/>
            </w14:solidFill>
          </w14:textFill>
        </w:rPr>
      </w:r>
      <w:r/>
    </w:p>
    <w:p>
      <w:pPr>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themeColor="text1"/>
          <w:sz w:val="32"/>
          <w:szCs w:val="32"/>
          <w:highlight w:val="none"/>
          <w14:textFill>
            <w14:solidFill>
              <w14:schemeClr w14:val="tx1"/>
            </w14:solidFill>
          </w14:textFill>
        </w:rPr>
        <w:outlineLvl w:val="0"/>
      </w:pPr>
      <w:r>
        <w:rPr>
          <w:rFonts w:hint="eastAsia" w:ascii="方正小标宋简体" w:hAnsi="方正小标宋简体" w:eastAsia="方正小标宋简体" w:cs="方正小标宋简体"/>
          <w:b w:val="0"/>
          <w:bCs/>
          <w:color w:val="000000" w:themeColor="text1"/>
          <w:sz w:val="32"/>
          <w:szCs w:val="32"/>
          <w:highlight w:val="none"/>
          <w14:textFill>
            <w14:solidFill>
              <w14:schemeClr w14:val="tx1"/>
            </w14:solidFill>
          </w14:textFill>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themeColor="text1"/>
          <w:sz w:val="32"/>
          <w:szCs w:val="32"/>
          <w:highlight w:val="none"/>
          <w14:textFill>
            <w14:solidFill>
              <w14:schemeClr w14:val="tx1"/>
            </w14:solidFill>
          </w14:textFill>
        </w:rPr>
        <w:outlineLvl w:val="0"/>
      </w:pPr>
      <w:r>
        <w:rPr>
          <w:rFonts w:hint="eastAsia" w:ascii="方正小标宋简体" w:hAnsi="方正小标宋简体" w:eastAsia="方正小标宋简体" w:cs="方正小标宋简体"/>
          <w:b w:val="0"/>
          <w:bCs/>
          <w:color w:val="000000" w:themeColor="text1"/>
          <w:sz w:val="32"/>
          <w:szCs w:val="32"/>
          <w:highlight w:val="none"/>
          <w14:textFill>
            <w14:solidFill>
              <w14:schemeClr w14:val="tx1"/>
            </w14:solidFill>
          </w14:textFill>
        </w:rPr>
        <w:t xml:space="preserve">《*******合同》补充协议（合同附件）</w:t>
      </w:r>
      <w:r/>
    </w:p>
    <w:p>
      <w:pPr>
        <w:pStyle w:val="901"/>
        <w:ind w:firstLine="480"/>
        <w:jc w:val="left"/>
        <w:keepLines w:val="0"/>
        <w:keepNext w:val="0"/>
        <w:pageBreakBefore w:val="0"/>
        <w:spacing w:before="120" w:after="120" w:line="264" w:lineRule="auto"/>
        <w:widowControl w:val="off"/>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招标文件及合同未约定事项</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双方可友好协商签订补充协议。</w:t>
      </w:r>
      <w:r/>
    </w:p>
    <w:p>
      <w:pPr>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r>
      <w:r/>
    </w:p>
    <w:p>
      <w:pPr>
        <w:pStyle w:val="882"/>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eastAsia="宋体" w:cs="Times New Roman"/>
          <w:color w:val="000000" w:themeColor="text1"/>
          <w:sz w:val="24"/>
          <w:highlight w:val="none"/>
          <w:lang w:val="zh-CN" w:eastAsia="zh-CN"/>
          <w14:textFill>
            <w14:solidFill>
              <w14:schemeClr w14:val="tx1"/>
            </w14:solidFill>
          </w14:textFill>
        </w:rPr>
      </w:r>
      <w:r/>
    </w:p>
    <w:p>
      <w:pPr>
        <w:pStyle w:val="703"/>
        <w:jc w:val="center"/>
        <w:rPr>
          <w:rFonts w:hint="default" w:ascii="宋体" w:hAnsi="宋体" w:eastAsia="宋体" w:cs="Courier New"/>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Courier New"/>
          <w:b/>
          <w:bCs/>
          <w:color w:val="000000" w:themeColor="text1"/>
          <w:sz w:val="24"/>
          <w:szCs w:val="24"/>
          <w:highlight w:val="none"/>
          <w:lang w:val="en-US" w:eastAsia="zh-CN" w:bidi="ar-SA"/>
          <w14:textFill>
            <w14:solidFill>
              <w14:schemeClr w14:val="tx1"/>
            </w14:solidFill>
          </w14:textFill>
        </w:rPr>
        <w:t xml:space="preserve">注：本合同模板仅供参考，具体以实际</w:t>
      </w:r>
      <w:r>
        <w:rPr>
          <w:rFonts w:hint="eastAsia" w:ascii="宋体" w:hAnsi="宋体" w:cs="Courier New"/>
          <w:b/>
          <w:bCs/>
          <w:color w:val="000000" w:themeColor="text1"/>
          <w:sz w:val="24"/>
          <w:szCs w:val="24"/>
          <w:highlight w:val="none"/>
          <w:lang w:val="en-US" w:eastAsia="zh-CN" w:bidi="ar-SA"/>
          <w14:textFill>
            <w14:solidFill>
              <w14:schemeClr w14:val="tx1"/>
            </w14:solidFill>
          </w14:textFill>
        </w:rPr>
        <w:t xml:space="preserve">签订</w:t>
      </w:r>
      <w:r>
        <w:rPr>
          <w:rFonts w:hint="eastAsia" w:ascii="宋体" w:hAnsi="宋体" w:eastAsia="宋体" w:cs="Courier New"/>
          <w:b/>
          <w:bCs/>
          <w:color w:val="000000" w:themeColor="text1"/>
          <w:sz w:val="24"/>
          <w:szCs w:val="24"/>
          <w:highlight w:val="none"/>
          <w:lang w:val="en-US" w:eastAsia="zh-CN" w:bidi="ar-SA"/>
          <w14:textFill>
            <w14:solidFill>
              <w14:schemeClr w14:val="tx1"/>
            </w14:solidFill>
          </w14:textFill>
        </w:rPr>
        <w:t xml:space="preserve">为准。</w:t>
      </w:r>
      <w:r/>
    </w:p>
    <w:p>
      <w:pPr>
        <w:jc w:val="both"/>
        <w:spacing w:before="120" w:after="120" w:line="0" w:lineRule="atLeast"/>
        <w:rPr>
          <w:rFonts w:hint="eastAsia"/>
          <w:color w:val="000000" w:themeColor="text1"/>
          <w:highlight w:val="none"/>
          <w:lang w:val="zh-CN" w:eastAsia="zh-CN"/>
          <w14:textFill>
            <w14:solidFill>
              <w14:schemeClr w14:val="tx1"/>
            </w14:solidFill>
          </w14:textFill>
        </w:rPr>
      </w:pPr>
      <w:r>
        <w:rPr>
          <w:rFonts w:hint="eastAsia"/>
          <w:color w:val="000000" w:themeColor="text1"/>
          <w:highlight w:val="none"/>
          <w:lang w:val="zh-CN" w:eastAsia="zh-CN"/>
          <w14:textFill>
            <w14:solidFill>
              <w14:schemeClr w14:val="tx1"/>
            </w14:solidFill>
          </w14:textFill>
        </w:rPr>
      </w:r>
      <w:bookmarkEnd w:id="55"/>
      <w:r/>
      <w:bookmarkEnd w:id="56"/>
      <w:r/>
      <w:bookmarkEnd w:id="57"/>
      <w:r/>
      <w:bookmarkEnd w:id="58"/>
      <w:r/>
      <w:bookmarkEnd w:id="59"/>
      <w:r/>
      <w:r/>
    </w:p>
    <w:p>
      <w:pPr>
        <w:jc w:val="center"/>
        <w:spacing w:before="120" w:after="120" w:line="0" w:lineRule="atLeast"/>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pPr>
      <w:r/>
      <w:bookmarkStart w:id="192" w:name="_Hlt16619350"/>
      <w:r/>
      <w:bookmarkStart w:id="193" w:name="_Toc16938590"/>
      <w:r/>
      <w:bookmarkStart w:id="194" w:name="_Toc20823346"/>
      <w:r/>
      <w:bookmarkStart w:id="195" w:name="_Toc120614244"/>
      <w:r/>
      <w:bookmarkStart w:id="196" w:name="_Toc479757211"/>
      <w:r/>
      <w:bookmarkStart w:id="197" w:name="_Toc462564139"/>
      <w:r/>
      <w:r/>
    </w:p>
    <w:p>
      <w:pPr>
        <w:pStyle w:val="729"/>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r>
      <w:r/>
    </w:p>
    <w:p>
      <w:pP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r>
      <w:r/>
    </w:p>
    <w:p>
      <w:pP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br w:type="page" w:clear="all"/>
      </w:r>
      <w:r/>
    </w:p>
    <w:p>
      <w:pPr>
        <w:jc w:val="center"/>
        <w:spacing w:before="120" w:after="120" w:line="0" w:lineRule="atLeast"/>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t xml:space="preserve">第</w:t>
      </w:r>
      <w:bookmarkEnd w:id="192"/>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t xml:space="preserve">四章</w:t>
      </w:r>
      <w:r>
        <w:rPr>
          <w:rFonts w:hint="eastAsia" w:ascii="方正小标宋简体" w:hAnsi="方正小标宋简体" w:eastAsia="方正小标宋简体" w:cs="方正小标宋简体"/>
          <w:color w:val="000000" w:themeColor="text1"/>
          <w:sz w:val="36"/>
          <w:szCs w:val="36"/>
          <w:highlight w:val="none"/>
          <w:lang w:val="en-US" w:eastAsia="zh-CN"/>
          <w14:textFill>
            <w14:solidFill>
              <w14:schemeClr w14:val="tx1"/>
            </w14:solidFill>
          </w14:textFill>
        </w:rPr>
        <w:t xml:space="preserve">  </w:t>
      </w:r>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t xml:space="preserve">采购需求</w:t>
      </w:r>
      <w:bookmarkEnd w:id="193"/>
      <w:r/>
      <w:bookmarkEnd w:id="194"/>
      <w:r/>
      <w:bookmarkEnd w:id="195"/>
      <w:r/>
      <w:r/>
    </w:p>
    <w:p>
      <w:pPr>
        <w:ind w:firstLine="480"/>
        <w:keepLines w:val="0"/>
        <w:keepNext w:val="0"/>
        <w:pageBreakBefore w:val="0"/>
        <w:spacing w:line="264" w:lineRule="auto"/>
        <w:widowControl w:val="off"/>
        <w:rPr>
          <w:rFonts w:hint="eastAsia" w:ascii="黑体" w:hAnsi="黑体" w:eastAsia="黑体" w:cs="黑体"/>
          <w:color w:val="000000" w:themeColor="text1"/>
          <w:sz w:val="24"/>
          <w:szCs w:val="24"/>
          <w:highlight w:val="none"/>
          <w14:textFill>
            <w14:solidFill>
              <w14:schemeClr w14:val="tx1"/>
            </w14:solidFill>
          </w14:textFill>
        </w:rPr>
      </w:pPr>
      <w:r/>
      <w:bookmarkStart w:id="198" w:name="_Toc26554093"/>
      <w:r/>
      <w:bookmarkStart w:id="199" w:name="_Toc49090575"/>
      <w:r>
        <w:rPr>
          <w:rFonts w:hint="eastAsia" w:ascii="黑体" w:hAnsi="黑体" w:eastAsia="黑体" w:cs="黑体"/>
          <w:color w:val="000000" w:themeColor="text1"/>
          <w:sz w:val="24"/>
          <w:szCs w:val="24"/>
          <w:highlight w:val="none"/>
          <w:lang w:eastAsia="zh-CN"/>
          <w14:textFill>
            <w14:solidFill>
              <w14:schemeClr w14:val="tx1"/>
            </w14:solidFill>
          </w14:textFill>
        </w:rPr>
        <w:t xml:space="preserve">一、</w:t>
      </w:r>
      <w:r>
        <w:rPr>
          <w:rFonts w:hint="eastAsia" w:ascii="黑体" w:hAnsi="黑体" w:eastAsia="黑体" w:cs="黑体"/>
          <w:color w:val="000000" w:themeColor="text1"/>
          <w:sz w:val="24"/>
          <w:szCs w:val="24"/>
          <w:highlight w:val="none"/>
          <w14:textFill>
            <w14:solidFill>
              <w14:schemeClr w14:val="tx1"/>
            </w14:solidFill>
          </w14:textFill>
        </w:rPr>
        <w:t xml:space="preserve">项目属性</w:t>
      </w:r>
      <w:r>
        <w:rPr>
          <w:rFonts w:hint="eastAsia" w:ascii="黑体" w:hAnsi="黑体" w:eastAsia="黑体" w:cs="黑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货物</w:t>
      </w:r>
      <w:r>
        <w:rPr>
          <w:rFonts w:hint="eastAsia" w:ascii="宋体" w:hAnsi="宋体" w:eastAsia="宋体" w:cs="宋体"/>
          <w:color w:val="000000" w:themeColor="text1"/>
          <w:sz w:val="24"/>
          <w:szCs w:val="24"/>
          <w:highlight w:val="none"/>
          <w14:textFill>
            <w14:solidFill>
              <w14:schemeClr w14:val="tx1"/>
            </w14:solidFill>
          </w14:textFill>
        </w:rPr>
        <w:t xml:space="preserve">类项目。</w:t>
      </w:r>
      <w:r/>
    </w:p>
    <w:p>
      <w:pPr>
        <w:ind w:firstLine="480"/>
        <w:keepLines w:val="0"/>
        <w:keepNext w:val="0"/>
        <w:pageBreakBefore w:val="0"/>
        <w:spacing w:line="264" w:lineRule="auto"/>
        <w:widowControl w:val="off"/>
        <w:rPr>
          <w:rFonts w:hint="eastAsia" w:ascii="黑体" w:hAnsi="黑体" w:eastAsia="黑体" w:cs="黑体"/>
          <w:color w:val="000000" w:themeColor="text1"/>
          <w:sz w:val="24"/>
          <w:szCs w:val="24"/>
          <w:highlight w:val="none"/>
          <w14:textFill>
            <w14:solidFill>
              <w14:schemeClr w14:val="tx1"/>
            </w14:solidFill>
          </w14:textFill>
        </w:rPr>
      </w:pPr>
      <w:r>
        <w:rPr>
          <w:rFonts w:hint="eastAsia" w:ascii="黑体" w:hAnsi="黑体" w:eastAsia="黑体" w:cs="黑体"/>
          <w:color w:val="000000" w:themeColor="text1"/>
          <w:sz w:val="24"/>
          <w:szCs w:val="24"/>
          <w:highlight w:val="none"/>
          <w:lang w:eastAsia="zh-CN"/>
          <w14:textFill>
            <w14:solidFill>
              <w14:schemeClr w14:val="tx1"/>
            </w14:solidFill>
          </w14:textFill>
        </w:rPr>
        <w:t xml:space="preserve">二、</w:t>
      </w:r>
      <w:r>
        <w:rPr>
          <w:rFonts w:hint="eastAsia" w:ascii="黑体" w:hAnsi="黑体" w:eastAsia="黑体" w:cs="黑体"/>
          <w:color w:val="000000" w:themeColor="text1"/>
          <w:sz w:val="24"/>
          <w:szCs w:val="24"/>
          <w:highlight w:val="none"/>
          <w14:textFill>
            <w14:solidFill>
              <w14:schemeClr w14:val="tx1"/>
            </w14:solidFill>
          </w14:textFill>
        </w:rPr>
        <w:t xml:space="preserve">项目概况</w:t>
      </w:r>
      <w:r/>
    </w:p>
    <w:p>
      <w:pPr>
        <w:ind w:firstLine="480"/>
        <w:keepLines w:val="0"/>
        <w:keepNext w:val="0"/>
        <w:pageBreakBefore w:val="0"/>
        <w:spacing w:line="264" w:lineRule="auto"/>
        <w:widowControl w:val="off"/>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（一）项目背景</w:t>
      </w:r>
      <w:r/>
    </w:p>
    <w:p>
      <w:pPr>
        <w:ind w:firstLine="480"/>
        <w:rPr>
          <w:rFonts w:hint="eastAsia"/>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为全面提升校园信息化、智能化水平，构建安全、高效、智慧的教育教学环境，满足现代化教学、校园管理、师生服务等核心需求，旨在打造符合小学办学特点的智慧校园技术底座，助力学校教育教学质量与管理效率的双提升。</w:t>
      </w:r>
      <w:r/>
    </w:p>
    <w:p>
      <w:pPr>
        <w:ind w:firstLine="480"/>
        <w:keepLines w:val="0"/>
        <w:keepNext w:val="0"/>
        <w:pageBreakBefore w:val="0"/>
        <w:spacing w:line="264" w:lineRule="auto"/>
        <w:widowControl w:val="off"/>
        <w:rPr>
          <w:rFonts w:hint="eastAsia"/>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本项目为江北新区侨康路学校信息化设备采购项目，采购范围包含综合布线系统、计算机网络系统、综合安防系统、公共广播系统、LED屏显示系统等，需满足小学教育教学、校园管理、师生服务等全场景需求，建设地点位于南京江北新区沿江街道</w:t>
      </w:r>
      <w:r>
        <w:rPr>
          <w:rFonts w:hint="eastAsia"/>
          <w:color w:val="000000" w:themeColor="text1"/>
          <w:sz w:val="24"/>
          <w:szCs w:val="28"/>
          <w:highlight w:val="none"/>
          <w:lang w:eastAsia="zh-CN"/>
          <w14:textFill>
            <w14:solidFill>
              <w14:schemeClr w14:val="tx1"/>
            </w14:solidFill>
          </w14:textFill>
        </w:rPr>
        <w:t xml:space="preserve">兰</w:t>
      </w:r>
      <w:r>
        <w:rPr>
          <w:rFonts w:hint="eastAsia"/>
          <w:color w:val="000000" w:themeColor="text1"/>
          <w:sz w:val="24"/>
          <w:szCs w:val="28"/>
          <w:highlight w:val="none"/>
          <w14:textFill>
            <w14:solidFill>
              <w14:schemeClr w14:val="tx1"/>
            </w14:solidFill>
          </w14:textFill>
        </w:rPr>
        <w:t xml:space="preserve">园路以东，江北大道快速路以西，龙山南路以南，侨谊路以北。</w:t>
      </w:r>
      <w:r/>
    </w:p>
    <w:p>
      <w:pPr>
        <w:ind w:firstLine="480"/>
        <w:keepLines w:val="0"/>
        <w:keepNext w:val="0"/>
        <w:pageBreakBefore w:val="0"/>
        <w:spacing w:line="264" w:lineRule="auto"/>
        <w:widowControl w:val="off"/>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（二）项目建设遵循标准</w:t>
      </w:r>
      <w:r/>
    </w:p>
    <w:p>
      <w:pPr>
        <w:ind w:firstLine="480"/>
        <w:keepLines w:val="0"/>
        <w:keepNext w:val="0"/>
        <w:pageBreakBefore w:val="0"/>
        <w:spacing w:line="264" w:lineRule="auto"/>
        <w:widowControl w:val="off"/>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本项目系统设计与实施过程中，必须严格遵循信息化建设领域已颁布执行的国家、行业及地方标准，包括但不限于《综合布线</w:t>
      </w:r>
      <w:r>
        <w:rPr>
          <w:rFonts w:hint="eastAsia" w:ascii="Times New Roman" w:hAnsi="Times New Roman" w:eastAsia="宋体" w:cs="Times New Roman"/>
          <w:color w:val="000000" w:themeColor="text1"/>
          <w:sz w:val="24"/>
          <w:szCs w:val="28"/>
          <w:highlight w:val="none"/>
          <w14:textFill>
            <w14:solidFill>
              <w14:schemeClr w14:val="tx1"/>
            </w14:solidFill>
          </w14:textFill>
        </w:rPr>
        <w:t xml:space="preserve">系统工程</w:t>
      </w:r>
      <w:r>
        <w:rPr>
          <w:rFonts w:hint="eastAsia"/>
          <w:color w:val="000000" w:themeColor="text1"/>
          <w:sz w:val="24"/>
          <w:szCs w:val="28"/>
          <w:highlight w:val="none"/>
          <w14:textFill>
            <w14:solidFill>
              <w14:schemeClr w14:val="tx1"/>
            </w14:solidFill>
          </w14:textFill>
        </w:rPr>
        <w:t xml:space="preserve">设计规范》（GB 50311）、《计算机网络工程设计规范》（GB 50373）、《安全防范工程技术标准》（GB 50348）、《公共广播系统工程技术规范》（GB50526）等。针对教育行业信息化特点，参照教育部门相关标准技术规范，构建符合侨康路学校实际需求的标准体系。</w:t>
      </w:r>
      <w:r/>
    </w:p>
    <w:p>
      <w:pPr>
        <w:numPr>
          <w:ilvl w:val="0"/>
          <w:numId w:val="2"/>
        </w:numPr>
        <w:ind w:firstLine="480"/>
        <w:keepLines w:val="0"/>
        <w:keepNext w:val="0"/>
        <w:pageBreakBefore w:val="0"/>
        <w:spacing w:line="264" w:lineRule="auto"/>
        <w:widowControl w:val="off"/>
        <w:rPr>
          <w:color w:val="000000" w:themeColor="text1"/>
          <w:highlight w:val="none"/>
          <w14:textFill>
            <w14:solidFill>
              <w14:schemeClr w14:val="tx1"/>
            </w14:solidFill>
          </w14:textFill>
        </w:rPr>
      </w:pP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项目</w:t>
      </w:r>
      <w:r>
        <w:rPr>
          <w:rFonts w:hint="eastAsia" w:ascii="黑体" w:hAnsi="黑体" w:eastAsia="黑体" w:cs="黑体"/>
          <w:color w:val="000000" w:themeColor="text1"/>
          <w:sz w:val="24"/>
          <w:szCs w:val="24"/>
          <w:highlight w:val="none"/>
          <w:lang w:eastAsia="zh-CN"/>
          <w14:textFill>
            <w14:solidFill>
              <w14:schemeClr w14:val="tx1"/>
            </w14:solidFill>
          </w14:textFill>
        </w:rPr>
        <w:t xml:space="preserve">清单</w:t>
      </w:r>
      <w:r/>
    </w:p>
    <w:tbl>
      <w:tblPr>
        <w:tblStyle w:val="69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81"/>
        <w:gridCol w:w="1610"/>
        <w:gridCol w:w="1220"/>
        <w:gridCol w:w="1161"/>
        <w:gridCol w:w="1269"/>
        <w:gridCol w:w="1110"/>
        <w:gridCol w:w="920"/>
        <w:gridCol w:w="889"/>
        <w:gridCol w:w="1002"/>
      </w:tblGrid>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分项名称</w:t>
            </w:r>
            <w:r/>
          </w:p>
        </w:tc>
        <w:tc>
          <w:tcPr>
            <w:shd w:val="clear" w:color="auto" w:fill="auto"/>
            <w:tcBorders>
              <w:top w:val="single" w:color="000000" w:sz="4" w:space="0"/>
              <w:left w:val="single" w:color="000000" w:sz="4" w:space="0"/>
              <w:bottom w:val="single" w:color="auto"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auto"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auto"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单项限价（元）</w:t>
            </w:r>
            <w:r/>
          </w:p>
        </w:tc>
        <w:tc>
          <w:tcPr>
            <w:shd w:val="clear" w:color="auto" w:fill="auto"/>
            <w:tcBorders>
              <w:top w:val="single" w:color="000000" w:sz="4" w:space="0"/>
              <w:left w:val="single" w:color="000000" w:sz="4" w:space="0"/>
              <w:bottom w:val="single" w:color="auto" w:sz="4" w:space="0"/>
              <w:right w:val="single" w:color="000000" w:sz="4" w:space="0"/>
            </w:tcBorders>
            <w:tcW w:w="557"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产品类型</w:t>
            </w:r>
            <w:r/>
          </w:p>
        </w:tc>
        <w:tc>
          <w:tcPr>
            <w:shd w:val="clear" w:color="auto" w:fill="auto"/>
            <w:tcBorders>
              <w:top w:val="single" w:color="000000" w:sz="4" w:space="0"/>
              <w:left w:val="single" w:color="000000" w:sz="4" w:space="0"/>
              <w:bottom w:val="single" w:color="auto"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所属行业</w:t>
            </w:r>
            <w:r/>
          </w:p>
        </w:tc>
        <w:tc>
          <w:tcPr>
            <w:shd w:val="clear" w:color="auto" w:fill="auto"/>
            <w:tcBorders>
              <w:top w:val="single" w:color="000000" w:sz="4" w:space="0"/>
              <w:left w:val="single" w:color="000000" w:sz="4" w:space="0"/>
              <w:bottom w:val="single" w:color="auto" w:sz="4" w:space="0"/>
              <w:right w:val="single" w:color="000000" w:sz="4" w:space="0"/>
            </w:tcBorders>
            <w:tcW w:w="446"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属性</w:t>
            </w:r>
            <w:r/>
          </w:p>
        </w:tc>
        <w:tc>
          <w:tcPr>
            <w:shd w:val="clear" w:color="auto" w:fill="auto"/>
            <w:tcBorders>
              <w:top w:val="single" w:color="000000" w:sz="4" w:space="0"/>
              <w:left w:val="single" w:color="000000" w:sz="4" w:space="0"/>
              <w:bottom w:val="single" w:color="auto" w:sz="4" w:space="0"/>
              <w:right w:val="single" w:color="000000" w:sz="4" w:space="0"/>
            </w:tcBorders>
            <w:tcW w:w="502"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政府强制采购节能产品</w:t>
            </w:r>
            <w:r/>
          </w:p>
        </w:tc>
      </w:tr>
      <w:tr>
        <w:trPr>
          <w:trHeight w:val="280"/>
        </w:trPr>
        <w:tc>
          <w:tcPr>
            <w:gridSpan w:val="9"/>
            <w:shd w:val="clear" w:color="auto" w:fill="auto"/>
            <w:tcBorders>
              <w:top w:val="single" w:color="000000" w:sz="4" w:space="0"/>
              <w:left w:val="single" w:color="000000" w:sz="4" w:space="0"/>
              <w:bottom w:val="single" w:color="000000" w:sz="4" w:space="0"/>
              <w:right w:val="single" w:color="auto" w:sz="4" w:space="0"/>
            </w:tcBorders>
            <w:tcW w:w="5000" w:type="pct"/>
            <w:vAlign w:val="center"/>
            <w:textDirection w:val="lrTb"/>
            <w:noWrap/>
          </w:tcPr>
          <w:p>
            <w:pPr>
              <w:jc w:val="left"/>
              <w:rPr>
                <w:rFonts w:hint="eastAsia" w:ascii="宋体" w:hAnsi="宋体" w:eastAsia="宋体" w:cs="宋体"/>
                <w:b/>
                <w:bCs/>
                <w:i w:val="0"/>
                <w:iCs w:val="0"/>
                <w:color w:val="000000" w:themeColor="text1"/>
                <w:sz w:val="22"/>
                <w:szCs w:val="22"/>
                <w:highlight w:val="none"/>
                <w:u w:val="none"/>
                <w14:textFill>
                  <w14:solidFill>
                    <w14:schemeClr w14:val="tx1"/>
                  </w14:solidFill>
                </w14:textFill>
              </w:rPr>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一、综合布线</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综合布线机柜42U</w:t>
            </w:r>
            <w:r/>
          </w:p>
        </w:tc>
        <w:tc>
          <w:tcPr>
            <w:shd w:val="clear" w:color="auto" w:fill="auto"/>
            <w:tcBorders>
              <w:top w:val="single" w:color="auto"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w:t>
            </w:r>
            <w:r/>
          </w:p>
        </w:tc>
        <w:tc>
          <w:tcPr>
            <w:shd w:val="clear" w:color="auto" w:fill="auto"/>
            <w:tcBorders>
              <w:top w:val="single" w:color="auto"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auto"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4545.45</w:t>
            </w:r>
            <w:r/>
          </w:p>
        </w:tc>
        <w:tc>
          <w:tcPr>
            <w:shd w:val="clear" w:color="auto" w:fill="auto"/>
            <w:tcBorders>
              <w:top w:val="single" w:color="auto"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auto"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auto"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auto"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综合布线机柜22U</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1710.73</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室外设备箱</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302.92</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LC型光配线架</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164.1</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1U理线架</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271.66</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单孔面板</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469</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18.61</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61"/>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双孔面板</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综合布线接线盒</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9.17</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6类非屏蔽模块</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561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LC单模跳线</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15.25</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LC单模尾纤（含LC耦合器）</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37.06</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6类四对非屏蔽双绞线</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16860</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7.36</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多媒体箱</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218.4</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4.34</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2芯蝶形光缆</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14600</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DN25配管</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25470</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18.03</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桥架200*100</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2837</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135.41</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桥架支吊架</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3124.67</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gridSpan w:val="9"/>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rPr>
                <w:rFonts w:hint="eastAsia" w:ascii="宋体" w:hAnsi="宋体" w:eastAsia="宋体" w:cs="宋体"/>
                <w:b/>
                <w:bCs/>
                <w:i w:val="0"/>
                <w:iCs w:val="0"/>
                <w:color w:val="000000" w:themeColor="text1"/>
                <w:sz w:val="22"/>
                <w:szCs w:val="22"/>
                <w:highlight w:val="none"/>
                <w:u w:val="none"/>
                <w14:textFill>
                  <w14:solidFill>
                    <w14:schemeClr w14:val="tx1"/>
                  </w14:solidFill>
                </w14:textFill>
              </w:rPr>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二、计算机网络</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出口防火墙</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40533.72</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上网行为管理</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39029.06</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校园网核心交换机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111594.74</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24口汇聚交换机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16669.17</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48口汇聚交换机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17496.6</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8口POE交换机</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2492.66</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16口POE交换机</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4699.12</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光模块</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219.79</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无线控制器</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22394.63</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放装AP</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1916.39</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高密AP</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2787.94</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室外AP</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5413.63</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电源适配器</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343.79</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安装结构件</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162.42</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外部电源线/机箱</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49.73</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gridSpan w:val="9"/>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rPr>
                <w:rFonts w:hint="eastAsia" w:ascii="宋体" w:hAnsi="宋体" w:eastAsia="宋体" w:cs="宋体"/>
                <w:b/>
                <w:bCs/>
                <w:i w:val="0"/>
                <w:iCs w:val="0"/>
                <w:color w:val="000000" w:themeColor="text1"/>
                <w:sz w:val="22"/>
                <w:szCs w:val="22"/>
                <w:highlight w:val="none"/>
                <w:u w:val="none"/>
                <w14:textFill>
                  <w14:solidFill>
                    <w14:schemeClr w14:val="tx1"/>
                  </w14:solidFill>
                </w14:textFill>
              </w:rPr>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三、综合布防</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张力围栏用六线制双防区控制杆</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5636.83</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高压避雷器</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120.02</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接地桩</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130.33</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接地线</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26.15</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张力终端受力杆</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283.26</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张力中间支撑杆</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282.15</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警示牌</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17.48</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周界总线报警主机</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4291.17</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报警键盘</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473.77</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双防区模块</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149.39</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蓄电池(报警）</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254.33</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声光警号</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70.54</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红外对射</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739.04</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单防区扩展模块</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38.54</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报警管理软件</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3233.93</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货物(成品</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室内警灯</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70.54</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周界主机备用电池</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254.33</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配线（周界）</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4.88</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配管（周界）</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18.03</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报警总线主机</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4291.17</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控制键盘</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602.25</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壁挂双鉴红外探测器</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203.65</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紧急按钮</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69.53</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单防区地址模块</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55.63</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单防区输入输出模块</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55.63</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声光报警器</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70.54</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报警主机备用电池</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254.33</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电源12V10A</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77.52</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配线（报警）</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4.88</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配管（报警）</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18.03</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室内高清半球摄像机</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648.05</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室内高清枪型摄像机</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332.05</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枪机壁装支架</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24.68</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轨迹高清半球</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1424.01</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400万防油污红外定焦枪型网络摄像机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980.61</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油污枪机壁装支架</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24.68</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室内防拥挤枪型摄像机</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1645.72</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防拥挤枪机壁装支架</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24.68</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室外低照度摄像机</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891.92</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低照度枪机壁装支架</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24.68</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防遮挡电梯(楼显)电瓶车检测定焦红外普通半球网络摄像机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1013.86</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行为分析摄像机</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13423.72</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全景网络摄像机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21027.04</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热成像感温摄像机</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1662.34</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人脸识别摄像机</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2992.57</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LCD高亮一体式整机</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6743.91</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拼接屏支架</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323.62</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消控室HDMI线</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138.19</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6路超高清解码器</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3982.22</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明厨亮灶用屏</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4005.84</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明厨亮灶HDMI线</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138.19</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解码器</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9081.4</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梯控主机</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1201.32</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梯控联动模块</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77.34</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开关电源</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61.4</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梯控控制器箱体</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161.68</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IC卡读卡器</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413.99</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六芯信号线</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5.83</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梯控配线</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11.85</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立杆</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389.2</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立杆防水箱</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377.84</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6类四对非屏蔽双绞线（监控）</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36330</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7.36</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配线（室外供电）</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13.23</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空气开关</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48.76</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摄像机立杆（含基础）</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300.25</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防雷保护器</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128.74</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安防管理主机</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5682.52</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访客管理系统</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7036.15</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45119.67</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12259.56</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接入交换机24口</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2282.9</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接入交换机8口</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1174.39</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工业接入交换24口</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4644.05</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设备运维系统路数授权</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16.37</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综合管理平台</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55555.98</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8T企业级硬盘（平台）</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2831.29</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网络时间同步服务器</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25856.91</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智能视频数据中枢</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89004.23</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8T企业级硬盘（存储）</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2831.29</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全自动液压升降柱</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6730.77</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升降柱控制器</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8181.21</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D32配管</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18.87</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21.84</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升降柱电磁阀配线</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8.83</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升降柱控制配线</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13.23</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升降柱电源配线</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18.46</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室外一键报警柱</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6779.56</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中心管理机</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5682.52</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报警柱电源线</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4.88</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6类四对非屏蔽双绞线（报警柱）</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7.36</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室外单机芯摆闸（左）</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10149.85</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室外单机芯摆闸（右）</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10149.85</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不锈钢摆臂</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293.24</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遥控器（发）</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142.81</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遥控器（收）</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142.81</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信号同步线</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5.26</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闸机人脸一体机</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1973.51</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人脸一体机电源</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61.4</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6类四对非屏蔽双绞线（闸机）</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7.36</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闸机配线</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13.23</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巡更棒</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1808.64</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地点钮</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49.26</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人员钮</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53.7</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安防系统管线接线盒</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9.17</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巡更系统管理软件</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1626.58</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货物(成品</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gridSpan w:val="9"/>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rPr>
                <w:rFonts w:hint="eastAsia" w:ascii="宋体" w:hAnsi="宋体" w:eastAsia="宋体" w:cs="宋体"/>
                <w:b/>
                <w:bCs/>
                <w:i w:val="0"/>
                <w:iCs w:val="0"/>
                <w:color w:val="000000" w:themeColor="text1"/>
                <w:sz w:val="22"/>
                <w:szCs w:val="22"/>
                <w:highlight w:val="none"/>
                <w:u w:val="none"/>
                <w14:textFill>
                  <w14:solidFill>
                    <w14:schemeClr w14:val="tx1"/>
                  </w14:solidFill>
                </w14:textFill>
              </w:rPr>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四、公共广播</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管理主机（机房）</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5682.52</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数字化IP网络广播客户端管理软件</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7562.93</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货物(成品</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寻呼话筒（机房）</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3599.14</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话筒呼叫控制嵌入软件（机房）</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1874.92</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货物(成品</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广播电源管理器</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1808.89</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采集器</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1717.86</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消防语音系统软件</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2009.05</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货物(成品</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公共广播机柜</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3591.6</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广播交换机</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2443.94</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管理主机(分控)</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5682.52</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IP网络广播系统分控软件(分控)</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1003.05</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货物(成品</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寻呼话筒(分控)</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3599.14</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话筒呼叫控制嵌入软件(分控)</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1874.92</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货物(成品</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管理主机（广播室）</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5682.52</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是</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IP网络广播系统分控软件（广播室）</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1003.05</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货物(成品</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寻呼话筒（广播室）</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3599.14</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话筒呼叫控制嵌入软件（广播室）</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1874.92</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货物(成品</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IP网络音箱（广播室）</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1426.05</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IP有源音箱扩声软件（广播室）</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2076.12</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货物(成品</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前置放大器</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1747.17</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IP音频采集器</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2099.84</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话筒Ⅰ</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394.1</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合并式播放器</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3925.55</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IP网络功放终端（室外）</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2048.09</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数字IP网络平台终端嵌入软件（室外）</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1874.92</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货物(成品</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IP网络功放终端（室内）</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2048.09</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数字IP网络平台终端嵌入软件（室内）</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1874.92</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货物(成品</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壁挂音箱</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123.21</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音柱I</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441.96</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音柱II</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1243.21</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IP终端</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2329.16</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数字化IP网络终端嵌入软件</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1874.92</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货物(成品</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3661.38</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纯后级功放</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12013.53</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U段无线话筒</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3688.91</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话筒呼叫控制嵌入软件</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1874.92</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话筒天线</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1643.89</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IP网络音箱Ⅰ</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1426.05</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IP有源音箱扩声软件</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2076.12</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货物(成品</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音频连接线Ⅰ</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14.52</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音频连接线Ⅱ</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12.39</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6类四对非屏蔽双绞线</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7.36</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配线Ⅵ</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4.98</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gridSpan w:val="9"/>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rPr>
                <w:rFonts w:hint="eastAsia" w:ascii="宋体" w:hAnsi="宋体" w:eastAsia="宋体" w:cs="宋体"/>
                <w:b/>
                <w:bCs/>
                <w:i w:val="0"/>
                <w:iCs w:val="0"/>
                <w:color w:val="000000" w:themeColor="text1"/>
                <w:sz w:val="22"/>
                <w:szCs w:val="22"/>
                <w:highlight w:val="none"/>
                <w:u w:val="none"/>
                <w14:textFill>
                  <w14:solidFill>
                    <w14:schemeClr w14:val="tx1"/>
                  </w14:solidFill>
                </w14:textFill>
              </w:rPr>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五、报告厅</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线阵列主扩扬声器</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13311.67</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线性阵列吊架</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2371.77</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 超低频音箱</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4480.26</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台唇扬声器</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2367.17</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辅助扬声器</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2400.39</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流动返听扬声器</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4603.92</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线阵列主扩扬声器功率放大器</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16222</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超低扬声器功率放大器</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10694.07</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台唇扬声器功率放大器Ⅰ</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6522.39</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台唇扬声器功率放大器Ⅱ</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5522.39</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辅助扬声器功率放大器</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3521.55</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流动返听扬声器功率放大器</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4521.55</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数字调音台</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22686.24</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接口箱</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12254.66</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数字音频处理器I</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15437.53</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监听扬声器</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3543.23</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监听耳机</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569.97</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音箱支架</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168.24</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双通道无线手持话筒套装</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2067.77</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双通道无线头戴话筒套装</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2067.77</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天线放大器及分配器</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9393.79</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合唱话筒</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3855.49</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室内全彩LED显示屏（主屏）</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35.84</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7119</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室内全彩LED显示屏（侧屏）</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5.99</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7119</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LED视频处理器</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38304.19</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多媒体播放器</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6533.71</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钢结构</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41.83</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1201</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无线投屏器</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3259.59</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LED专用配电柜</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4255.43</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广播扩声管理主机</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5682.52</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4K30 HDMI 分布式节点（墙面/地面）</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3588.84</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4K30 HDMI 分布式节点</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3365.17</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分布式安装笼</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3623.39</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报告厅交换机</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3847.23</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中控主机</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35534.63</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9486.64</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货物(成品</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1U机架式8路电源控制器</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3879.71</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36路单向IR/RS232分配器</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4537.48</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专业版成像灯</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1483.52</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三合一光束灯</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8861.72</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四合一全彩帕灯</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641.67</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平板柔光灯</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1920.97</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控台</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35304.89</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直通柜</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5797.52</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信号放大器</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2666.14</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雾机</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1359.21</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舞台机械控制系统</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1422.47</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电动景幕吊杆装置（前檐幕）</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16766.69</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舞台前沿幕（含衬里）</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59.04</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电动灯光吊杆装置</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22303.2</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收线框</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1723.58</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双管桁架杆体</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道</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2482.5</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舞台栅顶钢结构</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59.04</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1201</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舞台专用航空钢丝绳</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4.91</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吊杆号码牌</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21.89</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电源电缆线Ⅰ</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9.52</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电源电缆线Ⅱ</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11.68</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报告厅信号线</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8.74</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报告厅时序电源</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1617.72</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操作台</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2296.98</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报告厅42U机柜</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4545.45</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多媒体地插盒</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147.88</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墙面接口箱</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83.01</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报告厅音箱线</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报告厅话筒线</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8.16</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报告厅电源线</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13.23</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6类四对非屏蔽双绞线</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7.36</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gridSpan w:val="9"/>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rPr>
                <w:rFonts w:hint="eastAsia" w:ascii="宋体" w:hAnsi="宋体" w:eastAsia="宋体" w:cs="宋体"/>
                <w:b/>
                <w:bCs/>
                <w:i w:val="0"/>
                <w:iCs w:val="0"/>
                <w:color w:val="000000" w:themeColor="text1"/>
                <w:sz w:val="22"/>
                <w:szCs w:val="22"/>
                <w:highlight w:val="none"/>
                <w:u w:val="none"/>
                <w14:textFill>
                  <w14:solidFill>
                    <w14:schemeClr w14:val="tx1"/>
                  </w14:solidFill>
                </w14:textFill>
              </w:rPr>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六、智慧黑板</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触控一体机</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5762.12</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内置主机</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2329.16</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壁挂展台</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222.37</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推拉绿板（无边框）</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952.14</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gridSpan w:val="9"/>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rPr>
                <w:rFonts w:hint="eastAsia" w:ascii="宋体" w:hAnsi="宋体" w:eastAsia="宋体" w:cs="宋体"/>
                <w:b/>
                <w:bCs/>
                <w:i w:val="0"/>
                <w:iCs w:val="0"/>
                <w:color w:val="000000" w:themeColor="text1"/>
                <w:sz w:val="22"/>
                <w:szCs w:val="22"/>
                <w:highlight w:val="none"/>
                <w:u w:val="none"/>
                <w14:textFill>
                  <w14:solidFill>
                    <w14:schemeClr w14:val="tx1"/>
                  </w14:solidFill>
                </w14:textFill>
              </w:rPr>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七、计算机教室</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虚拟化平台软件</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节点</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8948.58</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货物(成品</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桌面云软件</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用户</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823.88</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货物(成品</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云一体机服务器</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84490.01</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云终端</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1313.18</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电子教室管理软件</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8397.37</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货物(成品</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云桌面显示器+键鼠</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753.73</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报告厅扩声管理主机</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5682.52</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是</w:t>
            </w:r>
            <w:r/>
          </w:p>
        </w:tc>
      </w:tr>
      <w:tr>
        <w:trPr>
          <w:trHeight w:val="280"/>
        </w:trPr>
        <w:tc>
          <w:tcPr>
            <w:gridSpan w:val="9"/>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rPr>
                <w:rFonts w:hint="eastAsia" w:ascii="宋体" w:hAnsi="宋体" w:eastAsia="宋体" w:cs="宋体"/>
                <w:b/>
                <w:bCs/>
                <w:i w:val="0"/>
                <w:iCs w:val="0"/>
                <w:color w:val="000000" w:themeColor="text1"/>
                <w:sz w:val="22"/>
                <w:szCs w:val="22"/>
                <w:highlight w:val="none"/>
                <w:u w:val="none"/>
                <w14:textFill>
                  <w14:solidFill>
                    <w14:schemeClr w14:val="tx1"/>
                  </w14:solidFill>
                </w14:textFill>
              </w:rPr>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八、自动录播教室</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录播教室话筒</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1500.64</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录播导播控制屏</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2163.56</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6500.98</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音箱</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3592.91</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专业功放</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6500.51</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支架</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155.35</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录播教室电源管理器</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1531.2</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录播主机</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22475.85</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嵌入式DSP的编解码器系统</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2009.05</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前置摄像机</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5232.42</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后置摄像机</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5232.42</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高清摄像机</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5232.42</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高清摄像机管理软件</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1606.65</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货物(成品</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教师定位分析仪</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1485.75</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学生定位分析仪</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1485.75</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教师定位分析软件</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1606.65</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货物(成品</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学生定位分析软件</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1606.65</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货物(成品</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录播教室机柜</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4545.45</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录播教室音箱线</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5.26</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录播教室话筒线</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8.16</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高清线</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36.48</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地插</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128.27</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接线盒</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9.17</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卡侬头</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9.48</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6.5mm三芯音频头</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9.48</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接头</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9.48</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gridSpan w:val="9"/>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rPr>
                <w:rFonts w:hint="eastAsia" w:ascii="宋体" w:hAnsi="宋体" w:eastAsia="宋体" w:cs="宋体"/>
                <w:b/>
                <w:bCs/>
                <w:i w:val="0"/>
                <w:iCs w:val="0"/>
                <w:color w:val="000000" w:themeColor="text1"/>
                <w:sz w:val="22"/>
                <w:szCs w:val="22"/>
                <w:highlight w:val="none"/>
                <w:u w:val="none"/>
                <w14:textFill>
                  <w14:solidFill>
                    <w14:schemeClr w14:val="tx1"/>
                  </w14:solidFill>
                </w14:textFill>
              </w:rPr>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九、年级组会议室</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主扩音箱</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2164.4</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吸顶音箱</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1915.58</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主扩音箱功放</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5167.24</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吸顶音箱功放</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4854.07</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会议室数字音频处理器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6827.68</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会议室时序电源</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1617.72</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一拖二手持麦克风</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2597.41</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一拖四短杆会议麦克风</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10444.83</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会议室机柜</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1867.61</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多媒体桌插</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109.57</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会议室音箱线</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128编话筒线</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8.16</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会议室电源线</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13.23</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gridSpan w:val="9"/>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rPr>
                <w:rFonts w:hint="eastAsia" w:ascii="宋体" w:hAnsi="宋体" w:eastAsia="宋体" w:cs="宋体"/>
                <w:b/>
                <w:bCs/>
                <w:i w:val="0"/>
                <w:iCs w:val="0"/>
                <w:color w:val="000000" w:themeColor="text1"/>
                <w:sz w:val="22"/>
                <w:szCs w:val="22"/>
                <w:highlight w:val="none"/>
                <w:u w:val="none"/>
                <w14:textFill>
                  <w14:solidFill>
                    <w14:schemeClr w14:val="tx1"/>
                  </w14:solidFill>
                </w14:textFill>
              </w:rPr>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十、LED屏显示系统</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户外全彩LED屏（入口）</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11.47</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8795</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钢结构、立柱（入口）</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11.47</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1201</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接受卡（入口）</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128.29</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电源（入口）</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69.86</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配电柜（入口）</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2445.79</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视频处理器（入口）</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3542.93</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户外全彩LED屏（操场）</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39.94</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8795</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钢结构、立柱（操场）</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39.94</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1201</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接受卡（操场）</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128.29</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电源（操场）</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69.86</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配电柜（操场）</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2445.79</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视频处理器（操场）</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3542.93</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信息发布平台管理软件</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4932.11</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发布客户端软件</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2089.61</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货物(成品</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发布盒</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3067.57</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gridSpan w:val="9"/>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rPr>
                <w:rFonts w:hint="eastAsia" w:ascii="宋体" w:hAnsi="宋体" w:eastAsia="宋体" w:cs="宋体"/>
                <w:b/>
                <w:bCs/>
                <w:i w:val="0"/>
                <w:iCs w:val="0"/>
                <w:color w:val="000000" w:themeColor="text1"/>
                <w:sz w:val="22"/>
                <w:szCs w:val="22"/>
                <w:highlight w:val="none"/>
                <w:u w:val="none"/>
                <w14:textFill>
                  <w14:solidFill>
                    <w14:schemeClr w14:val="tx1"/>
                  </w14:solidFill>
                </w14:textFill>
              </w:rPr>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十一、消控室/弱电机房</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电源防浪涌电压保护器I（消控室）</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360.79</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电源防浪涌电压保护器II（消控室）</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249.01</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防雷插座（消控室）</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208.06</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等电位均压带（消控室）</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85.99</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接地连接线（消控室）</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24.38</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主干接地线（消控室）</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35.64</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UPS主机（消控室）</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34365.91</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蓄电池(UPS)（消控室）</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节</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1025.37</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电池柜（消控室）</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2237.23</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直流控制柜（消控室）</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4338.67</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UPS输出配电箱（消控室）</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5212.31</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UPS输入输出线缆（消控室）</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94.45</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电力电缆头（消控室）</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15.76</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空调器（消控室）</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4251.92</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328</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电源防浪涌电压保护器I(弱电机房)</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360.79</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329</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电源防浪涌电压保护器Ⅱ(弱电机房)</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249.01</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防雷插座(弱电机房)</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208.06</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331</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等电位均压带(弱电机房)</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85.99</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接地连接线(弱电机房)</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24.38</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333</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主干接地线(弱电机房)</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35.64</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UPS主机(弱电机房)</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34365.91</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蓄电池(UPS)(弱电机房)</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节</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1025.37</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电池柜(弱电机房)</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2237.23</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直流控制柜(弱电机房)</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4338.67</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338</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UPS输出配电箱(弱电机房)</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5212.31</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339</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UPS输入输出线缆(弱电机房)</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94.45</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电力电缆头(弱电机房)</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15.76</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空调器(弱电机房)</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4251.92</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是</w:t>
            </w:r>
            <w:r/>
          </w:p>
        </w:tc>
      </w:tr>
      <w:tr>
        <w:trPr>
          <w:trHeight w:val="280"/>
        </w:trPr>
        <w:tc>
          <w:tcPr>
            <w:gridSpan w:val="9"/>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rPr>
                <w:rFonts w:hint="eastAsia" w:ascii="宋体" w:hAnsi="宋体" w:eastAsia="宋体" w:cs="宋体"/>
                <w:b/>
                <w:bCs/>
                <w:i w:val="0"/>
                <w:iCs w:val="0"/>
                <w:color w:val="000000" w:themeColor="text1"/>
                <w:sz w:val="22"/>
                <w:szCs w:val="22"/>
                <w:highlight w:val="none"/>
                <w:u w:val="none"/>
                <w14:textFill>
                  <w14:solidFill>
                    <w14:schemeClr w14:val="tx1"/>
                  </w14:solidFill>
                </w14:textFill>
              </w:rPr>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十二、综合管路</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SC100镀锌钢管</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3126</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90.56</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建筑业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SC50镀锌钢管</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508</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46.52</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建筑业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SK1 新建通信手孔井(一块板)</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663</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建筑业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挖沟槽土方</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1075.74</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建筑业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840.73</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建筑业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347</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碎石垫层</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46.37</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387</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建筑业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348</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C15混凝土垫层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43.28</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740</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建筑业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349</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采用混凝土包封</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145.36</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666</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建筑业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土方外运</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235.01</w:t>
            </w:r>
            <w:r/>
          </w:p>
        </w:tc>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left"/>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建筑业</w:t>
            </w:r>
            <w:r/>
          </w:p>
        </w:tc>
        <w:tc>
          <w:tcPr>
            <w:shd w:val="clear" w:color="auto" w:fill="auto"/>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r>
    </w:tbl>
    <w:p>
      <w:pPr>
        <w:pStyle w:val="729"/>
        <w:ind w:left="0" w:firstLine="0"/>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ind w:firstLine="480"/>
        <w:keepLines w:val="0"/>
        <w:keepNext w:val="0"/>
        <w:pageBreakBefore w:val="0"/>
        <w:spacing w:line="264" w:lineRule="auto"/>
        <w:widowControl w:val="off"/>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黑体" w:hAnsi="黑体" w:eastAsia="黑体" w:cs="黑体"/>
          <w:bCs w:val="0"/>
          <w:color w:val="000000" w:themeColor="text1"/>
          <w:sz w:val="24"/>
          <w:szCs w:val="24"/>
          <w:highlight w:val="none"/>
          <w:lang w:eastAsia="zh-CN"/>
          <w14:textFill>
            <w14:solidFill>
              <w14:schemeClr w14:val="tx1"/>
            </w14:solidFill>
          </w14:textFill>
        </w:rPr>
        <w:t xml:space="preserve">四、</w:t>
      </w:r>
      <w:r>
        <w:rPr>
          <w:rFonts w:hint="eastAsia" w:ascii="黑体" w:hAnsi="黑体" w:eastAsia="黑体" w:cs="黑体"/>
          <w:bCs w:val="0"/>
          <w:color w:val="000000" w:themeColor="text1"/>
          <w:sz w:val="24"/>
          <w:szCs w:val="24"/>
          <w:highlight w:val="none"/>
          <w14:textFill>
            <w14:solidFill>
              <w14:schemeClr w14:val="tx1"/>
            </w14:solidFill>
          </w14:textFill>
        </w:rPr>
        <w:t xml:space="preserve">拟采购标的需要满足的技术、商务要求</w:t>
      </w:r>
      <w:r/>
    </w:p>
    <w:p>
      <w:pPr>
        <w:ind w:firstLine="480"/>
        <w:keepLines w:val="0"/>
        <w:keepNext w:val="0"/>
        <w:pageBreakBefore w:val="0"/>
        <w:spacing w:line="264" w:lineRule="auto"/>
        <w:widowControl w:val="off"/>
        <w:rPr>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（一）技术要求</w:t>
      </w:r>
      <w:r/>
    </w:p>
    <w:tbl>
      <w:tblPr>
        <w:tblStyle w:val="69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51"/>
        <w:gridCol w:w="1451"/>
        <w:gridCol w:w="4690"/>
        <w:gridCol w:w="820"/>
        <w:gridCol w:w="1150"/>
        <w:gridCol w:w="800"/>
      </w:tblGrid>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参数要求</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备注</w:t>
            </w:r>
            <w:r/>
          </w:p>
        </w:tc>
      </w:tr>
      <w:tr>
        <w:trPr>
          <w:trHeight w:val="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一、综合布线</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综合布线机柜42U</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规格:42U</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600*600*2000mm</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综合布线机柜22U</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规格:22U，600*600*1200mm</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室外设备箱</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功能:不锈钢</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600*800*250mm</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LC型光配线架</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1、配线架内可容纳12芯SC、ST、FC尾纤或24芯LC尾纤的熔接；</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2、1U高度、19英寸宽度。</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1U理线架</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1、1U高度、19英寸宽度；</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2、夹接方式；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3、最多可安装五十条跳线；</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4、盖板可以上下双向翻盖，也可以取下盖板。</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单孔面板</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面板采用快速拆卸设计，表面无螺丝孔。面板表面带嵌入式图表及标签位置，配有电话和网络标签，可识别数据和语音端口，并配有防尘滑门用以保护模块、遮蔽灰尘和污物进入。背面使用交叉加强筋使面部安装后更平整，且具有防尘门半透明防误插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2、材料：所有塑料材料采用ABS材质耐腐塑料。</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469</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双孔面板</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面板采用快速拆卸设计，表面无螺丝孔。面板表面带嵌入式图表及标签位置，配有电话和网络标签，可识别数据和语音端口，并配有防尘滑门用以保护模块、遮蔽灰尘和污物进入。背面使用交叉加强筋使面部安装后更平整，且具有防尘门半透明防误插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2、材料：所有塑料材料采用ABS材质耐腐塑料。</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综合布线接线盒</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材质：金属</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规格：86线盒</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6类非屏蔽模块</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1、符合ISO/IEC 11801和ANSI/TIA 568.2.D标准；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2、色码清晰，便于端接，兼容T568A&amp;T568B线序；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3、锁扣灵活，易于模块嵌入面板和从面板上拆卸；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4、模块自带防尘门；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5、绝缘电阻：最小200MΩ</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6、接触阻抗：1MΩ</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7、温度范围：-40～70℃</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8、可卡接22～26AWG规格导体</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9、材料：镀镍磷青铜</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10、IDC主体：可插拔1500次以上，端接300次以上。</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561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LC单模跳线</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1、外皮材料采用阻燃型高分子PVC材料；</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2、符合YD/T1272、 ANSI/TIA-568、ISO/IEC 11801标准；</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3、光学特性</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平均连接损耗：≤ 0.2 dB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重复插拔：&lt; 0.2 dB，每500次插拔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最小反射损耗：20 dB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最大回损：-50 dB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4、物理特性</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光纤外径:单芯：3mm、双芯：3.6mm×6.6mm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最小弯曲半径：3.8cm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工作温度范围：-20～70℃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材料：陶瓷</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LC单模尾纤（含LC耦合器）</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1、外皮材料采用阻燃型高分子PVC材料；</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2、符合YD/T1272、 ANSI/TIA-568、ISO/IEC 11801标准；</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3、光学特性</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平均连接损耗：≤ 0.2 dB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重复插拔：&lt; 0.2 dB，每500次插拔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最小反射损耗：20 dB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最大回损：-50 dB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4、物理特性</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光纤外径:单芯：3mm、双芯：3.6mm×6.6mm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最小弯曲半径：3.8cm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工作温度范围：-20～70℃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材料：陶瓷</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5、耦合器：1、设备性能符合TIA/EIA 568，ISO/IEC 11801标准。采用高密度陶瓷内芯，符合JIS规格。</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6、插拔次数：≥1200次，典型插入损耗为-0.3db，设备具有低插入损耗，高回波损耗的特点。</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7、光纤适配器有单工SC、ST、FC和双工SC、LC等类型。</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6类四对非屏蔽双绞线</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规格:6类四对非屏蔽双绞线</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16860</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多媒体箱</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1、尺寸400*300*120mm，上部设置有电源插座空间支持两个ONU设备供电；</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2、右部设置电源线放置槽，翻盖式门板固定结构，使箱体内部更加整洁美观；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3、配置熔纤盘，最大支持安装2个ONU8口；</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4、1个8位电源插座</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1、规格：12芯</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2、符合TIA/EIA-568-C.3标准，ITU G.651 、IEC793-2A1b技术要求；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3、光纤传输特性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衰减：1310nm ≤0.36dB/km</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1550nm ≤0.22dB/km</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2芯蝶形光缆</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1、规格：2芯</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2、特性：阻燃型高强度、高韧性聚氨酯（TPU）弹性体护套，氧指数高，阻燃性好，耐油和化学腐蚀，抗撕裂，低温柔韧性好，弹性强，应力缓冲性好，耐磨耐压护套。</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14600</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DN25配管</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1.材质:JDG</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2.规格:DN25</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25470</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桥架200*100</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规格:200*100mm</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2837</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桥架支吊架</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1.规格:满足设计使用要求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2.包含开孔、封堵</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3124.67</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二、计算机网络</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出口防火墙</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1、端口要求：千兆电口≥16个，千兆光口≥8，万兆光口≥4，以太管理口≥1，USB接口≥2，接口卡扩展槽位≥1，硬盘插槽≥1，配置双交流电源；</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2、吞吐量≥4Gbps，最大并发连接数≥250万，每秒新建连接数≥4万；</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3、实现路由模式、透明（网桥）模式、混合模式；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4、IPv4&amp;IPv6路由：支持RIP、OSPF、BGP、IS-IS、RIPng、OSPFv3、BGP4+、静态路由、策略路由、PIM-SM、PIM-DM等；</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5、支持多对多的NAT功能，NAT地址池支持动态探测和可用地址分配；</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6、支持IPsec VPN智能选路，根据隧道质量调度流量；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7、支持SSL VPN支持页面定制功能特性，包括登录页面、交互信息、提示信息的定制功能； 防火墙在SSL VPN页面上修改用户密码，支持防暴力破解密码；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8、支持基于应用风险的自动批量和手动逐条策略调优，可根据流量、应用、风险类型等细粒度展示，并给出总体安全评分；</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9、支持流量自学习功能，可设置自学习时间，并自动生成DDoS防范策略；</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10、支持DNS透明代理功能，可基于负载均衡算法代理内网用户进行DNS请求转发，避免单运营商DNS解析出现单一链路流量过载，平衡多条运营商线路的带宽利用率；</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上网行为管理</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1、设备实配：千兆电口≥8，千兆光口≥2，万兆光口≥2，扩展槽位≥2，硬件bypass≥2，USB接口≥2，硬盘≥1T，双交流电源</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2、吞吐量≥5</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G</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bps，最大并发连接数≥120万；新建连接数≥6万；应用层吞吐量≥2Gbps</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3、接口模式支持桥接口、聚合接口、隧道接口、4G无线接口、IPv6隧道接口、Ipsec隧道接口，支持端口镜像</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4、支持4G扩展网卡。支持在4G接口上运行IPSec VPN</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5、支持http、邮件、即时通讯、基础协议、娱乐股票、网络应用六个大类维度的用户应用审计。</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6、支持IM聊天行为审计、网页版微信审计、移动飞信审计、其他即时通讯类软件审计等细粒度的审计。</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7、支持私接用户的PPPoE账号、认证服务器同步账号展示</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8、支持高性能的限制通道，限制通道支持基于接口、地址、用户、用户组、应用、服务、时间维护的条件匹配，支持每IP和每用户限速配置。</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9、支持惩罚通道建立、支持惩罚通道内限制每IP和每用户限速。</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10、支持APP认证，APP运行或登录后方可认证上网</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校园网核心交换机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1、交换容量≥68Tbps，包转发率≥51200Mpps</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2、独立主控引擎插槽≥2个，独立业务插槽≥3个，电源槽位≥2</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3、单台配置冗余主控、冗余电源，整机提供不少于24个千兆光口、16个万兆光口、48个千兆电口，堆叠线缆2根，单台万兆单模光模块不少于8个</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24口汇聚交换机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1、性能：交换容量≥2.4Tbps，包转发率≥670Mpps</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2、端口：千兆光口≥28个（其中≥4个combo口），万兆光口≥8个，扩展插槽≥1，支持100G光口扩展万兆SFP+端口，独立的管理以太口≥1</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48口汇聚交换机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1、性能：交换容量≥2.4Tbps，包转发率≥670Mpps</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2、端口：端口：千兆光口≥48个，万兆光口≥4个，扩展插槽≥1，支持100G光口扩展万兆SFP+端口，独立的管理以太口≥1</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8口POE交换机</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1、交换容量≥670Gbps，整机包转发率≥150Mpps</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2、端口要求：≥8个10/100/1000BASE-T电口 （整机PoE供电功率≥120W），≥2个1000BASE-X SFP端口，≥2个1/2.5/10GE SFP+端口</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3、要求8口POE交换机为高性能、高端口密度且易于安装的网络环境而设计的智能型可网管交换机，可构建具备高可靠性、易扩展性和易管理性的新型智能网络。</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16口POE交换机</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1、交换容量≥670Gbps，整机包转发率≥150Mpps</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2、端口要求：≥16个10/100/1000BASE-T电口 （整机PoE供电功率≥248W），≥4个1000BASE-X SFP端口</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3、要求16口POE交换机为高性能、高端口密度且易于安装的网络环境而设计的智能型可网管交换机，可构建具备高可靠性、易扩展性和易管理性的新型智能网络。</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光模块</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规格:光模块-SFP-GE-单模模块-(1310nm,10km,LC)</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无线控制器</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1、管理AP最大数量≥512个，最大用户数≥8000，最大可配置AP数≥2000，集中转发性能≥10Gbps</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2、提供≥8个千兆电口，≥2个2.5GE口，≥2个万兆光口，配置双交流电源</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3、实配无线管理授权</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250</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放装AP</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1、采用整机双频4流设计，可同时工作在802.11a/b/g/n/ac/ac wave2/ax模式</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2、整机协商速率≥2.975Gbps，内置智能天线；</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3、端口 ≥1个10M/100M/1000M电口</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 支持物联网，内置BLE5.1</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5、支持POE供电和本地供电</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6、支持Wi-Fi 6高性能无线接入。（提供承诺函，格式自拟）</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核心产品</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高密AP</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1、采用整机三频六流设计，可工作在802.11a/b/g/n/ac/ac wave2/ax模式</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2、整机协商速率≥5.375Gbps，内置智能天线；</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3、≥2个接口，其中1个固化100/1000M/2.5G电口；</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4、AP为Wi-Fi 6高性能无线接入设备，满足学校高带宽低延迟的校园网络需求，配合无线控制器可构建安全准入和多维度自主优化的智能无线网络。</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室外AP</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1、整机采用双频4流设计，可工作在802.11a/b/g/n/ac/ac wave2/ax/be模式</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2、整机接入速率≥3.5Gbps</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3、≥2个接口，其中1个10G SFP光口，1个100/1000M/2.5G电口</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电源适配器</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规格:两端口网络PoE注入器60W-55V-1.1A-DC-1m</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安装结构件</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类别:室外安装件-室外系列-结构件</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外部电源线/机箱</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规格:外部电源线-机箱PGND-12AWG-3m-(OT6-4)</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三、综合布防</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张力围栏用六线制双防区控制杆</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六线制张力模块和控制器一体化设计，使安装更方便、简捷；</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高精度张力传感器：能够侦测微小的张力变化，实时安全监测周界</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多种报警监测：钢索拉紧、松弛、剪断、防拆、断电等均报警输出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自适应温度变化：创新设计侦测算法，能够自动追踪补偿环境温度变化而引起的张力误差</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5、</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零售后维护设计：自适应系统张力变形，使用模糊控制算法，能自动补偿钢丝等变形而产生的误差，使系统长期稳定运行</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6、</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宽电压供电范围，本地声光报警接口</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7、</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含控制杆专用底座，可两种角度调节，304不锈钢，分三部份组成：底座背板和两个侧耳</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高压避雷器</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氧化锌、复合材料</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85*170mm</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接地桩</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角铁，984mm长，38mm宽</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接地线</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6平方铜导线，3m</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张力终端受力杆</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探测范围:铝制材料+抗氧化处理，所有配件螺丝采用SUS304不锈钢；安装角度可调节</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含受力杆专用底座，一包含两个底座和螺丝，铝合金材质</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张力中间支撑杆</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类别:铝合金</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安装方式:一包含一个底座和配套螺丝，铝合金材质</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含铝合金万向滑轮、12号304不锈钢多股张力线、不锈钢张力收紧器、铝合金张力线束线器、高压绝缘线等</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警示牌</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夜光型警示牌</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周界总线报警主机</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总线制:周界总线报警主机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控制点数量:报警输入：支持本地16路，最大可扩展到256路；</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报警输出：本地4路，最大可扩展到256路；</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无线防区：支持通过网络模块扩展最大64路无线防区；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网络制式：4G可选；</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网络接口：2个RJ-45 10M/100M以太网口；</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电话线：1路PSTN；</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RS-485接口：2路，支持键盘、扩展模块、打印机；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M-BUS总线接口：支持2路MBUS扩展，单路最大通信距离2.4KM；</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蓄电池：1个接口，蓄电池规格DC12V/7Ah；</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辅电输出：1路DC12V/1A；</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蜂鸣器：1个；</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供电方式：AC100~AC240V，50Hz/60Hz；</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功耗：空载功耗：5W满载功耗：60W；</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工作湿度：10%～90%RH（无凝结）</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报警键盘</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本地16路输入4路输出，可扩展最大256路输入256路输出，可通过mbus总线扩展，或者通过RS485扩展模块扩展输入输出。</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双防区模块</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分辨率：128x64 LCD</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p>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屏尺寸：56.27x38.35mm</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支持对报警机进行布撤防参数设置；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支持通过快捷键报警；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支持多用户权限操作；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可显示报警机的运行状态；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采用LCD液晶屏，支持可视化操作；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即插即用，和报警主机连接无须重启；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支持壁挂和手持操作</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蓄电池(报警）</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型号:额定工作电压12V</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容量(A·h):标称容量7.0Ah</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声光警号</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ABS外壳，具有一定阻燃性能，多种安装方式可选</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红外对射</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四光束主动红外对射，固定光束频率</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报警方式：四光束同时遮挡报警</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产品包括发射端和接收端，发射端发送红外信号，接收端接收，并输出报警信号</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探测器探测距离100m（户外）</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5、</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报警输出NC/NO可选</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6、</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探测器感应速度可调节：35-700msec可调</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探测器内置防拆开关，防拆报警输出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7、</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支持数字抗白光技术，专用滤光镜片，抗白光等级6500Lux</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8、</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抗EMC、RFI干扰</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9、</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抗雷击、抗冰霜设计</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10、</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含主动红外对射T型支架</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单防区扩展模块</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单防区扩展；常开、常闭类型探测器可选；最大级联数240；通信协议Mbus</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报警管理软件</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具有人机界面；</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通过电脑串口连接相应的保安系统设备，在统一的多媒体电脑平台上进行集中管理；</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视频联动：报警防区对应的摄像头自动弹出画面，并启动录像（预录10-30秒）</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声光报警：机房内或周界现场警号启动（输出DC12V，持续时间可设1-60秒）。</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室内警灯</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供电电压12V，室内安装，报警时发出声光报警信号</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周界主机备用电池</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型号:额定工作电压 12V</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容量(A·h):标称容量7.0Ah</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配线（周界）</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型号:RVV</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规格:2*1.0</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材质:铜</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配管（周界）</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材质:JDG</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规格:DN25</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报警总线主机</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总线制:报警总线主机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控制点数量:报警输入：支持本地16路，最大可扩展到256路；</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报警输出：本地4路，最大可扩展到256路；</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无线防区：支持通过网络模块扩展最大64路无线防区；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网络制式：4G可选；</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网络接口：2个RJ-45 10M/100M以太网口；</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电话线：1路PSTN；</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RS-485接口：2路，支持键盘、扩展模块、打印机；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M-BUS总线接口：支持2路MBUS扩展，单路最大通信距离2.4KM；</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蓄电池：1个接口，蓄电池规格DC12V/7Ah；</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辅电输出：1路DC12V/1A；</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蜂鸣器：1个；</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供电方式：AC100~AC240V，50Hz/60Hz；</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功耗：空载功耗：5W满载功耗：60W；</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工作湿度：10%～90%RH（无凝结）</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控制键盘</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分辨率：128x64 ，LCD屏尺寸：56.27x38.35mm；</w:t>
            </w:r>
            <w:r/>
          </w:p>
          <w:p>
            <w:pPr>
              <w:numPr>
                <w:ilvl w:val="0"/>
                <w:numId w:val="3"/>
              </w:num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具防区状态指示灯、故障指示灯、布撤防指示灯、网络指示灯、通讯指示灯；</w:t>
            </w:r>
            <w:r/>
          </w:p>
          <w:p>
            <w:pPr>
              <w:numPr>
                <w:ilvl w:val="0"/>
                <w:numId w:val="3"/>
              </w:num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具有0~9数字键和菜单键；</w:t>
            </w:r>
            <w:r/>
          </w:p>
          <w:p>
            <w:pPr>
              <w:numPr>
                <w:ilvl w:val="0"/>
                <w:numId w:val="3"/>
              </w:num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具蜂鸣器；壳体防拆；对</w:t>
            </w:r>
            <w:r/>
          </w:p>
          <w:p>
            <w:pPr>
              <w:numPr>
                <w:ilvl w:val="0"/>
                <w:numId w:val="3"/>
              </w:num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主机编程、布撤防、消警、旁路/旁路恢复、 子系统操作、继电器操作、防区状态查询、步测模式等功能；</w:t>
            </w:r>
            <w:r/>
          </w:p>
          <w:p>
            <w:pPr>
              <w:numPr>
                <w:ilvl w:val="0"/>
                <w:numId w:val="3"/>
              </w:num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支持防区状态、系统故障、程序版本、通信参数查询；支持无线433MHz,支持无线遥控器，RS485接口与主机连接</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壁挂双鉴红外探测器</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规格:微波+红外+智能复核算法；支持双鉴和三鉴</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指示灯：3个LED指示灯，绿色：红外被触发，黄色：微波被触发，红色：报警</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防拆报警输出：常闭</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探测方式：红外+微波+智能复核算法</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探测范围：12m/90°</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探测速度：0.3m/s~3m/s</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防宠物等级：≤25Kg</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双向数字温度补偿：支持，可确保高温环境下探测距离不衰减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AND/OR技术：支持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动态阈值技术：支持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继电器：常闭、常开可选</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脉冲计数：支持，1P/2P可选</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工作电流：≤30mA（12V）</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供电方式：9V-16V</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紧急按钮</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支持在电压≤250VDC，电流≤300mA的环境下工作，设备无需供电，自带配套复位钥匙，出警确认后通过钥匙复位，报警输出支持常开；常闭的触点模式；86盒安装方式，螺丝固定，ABS材质。</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单防区地址模块</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单防区扩展；常开、常闭类型探测器可选；最大级联数240；通信协议Mbus</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单防区输入输出模块</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单防区扩展；单路继电器输出扩展；常开、常闭类型探测器可选；最大级联数120；通信协议Mbus</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声光报警器</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声光报警一体式报警；</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ABS材质；</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报警联动配件；</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额定电压：12VDC；</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工作电压范围：9~15VDC；</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额定电流≤140mA；</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安装环境：室内安装；</w:t>
            </w:r>
            <w:r/>
          </w:p>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闪动次数/分钟：300±30次；</w:t>
            </w:r>
            <w:r/>
          </w:p>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声压：108±3dB（30cm处）</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报警主机备用电池</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1.型号:额定工作电压12V</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2.容量(A·h):标称容量7.0 Ah</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电源12V10A</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给前端设备供电电源输入AC220V</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输出DC12V10A</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配线（报警）</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1.型号:RVV</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2.规格:2*1.0</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3.材质:铜</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371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配管（报警）</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1.材质:JDG</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2.规格:DN25</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室内高清半球摄像机</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1.分辨率不低于400万像素；</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2.采用不低于1/1.8英寸CMOS图像传感器；</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3.支持DC12V/POE供电方式；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4.支持IP67防护等级</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室内高清枪型摄像机</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采用不低于400万1/3英寸CMOS图像传感器；</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支持数字宽动态，3D降噪，强光抑制，背光补偿，数字水印，适用不同监控环境；</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支持对人、机动车、全部(人或机动车)进行检测,当小狗、树叶等非人或车辆目标经过检测区域时,不会触发报警；</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最大补光距离不小于50m（红外）；</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支持绊线入侵；区域入侵；</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补光灯开启后,正面不可见补光灯灯珠；</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当补光灯开启后,补光亮度均匀,无明显波纹状、圆环状、麻点状、条纹状及不规则亮斑；</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内置1个麦克风；</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支持DC12V/PoE供电方式；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支持IP67防护等级</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枪机壁装支架</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材质：高强度铝合金（主流，轻便防锈）或 SECC（镀锌钢板，用于重型支架）</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表面处理：白色粉末喷涂，具备防腐蚀、抗紫外线能力</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环境适应性：工作温度 -40℃ ~ +60℃，工作湿度≤90%RH（配合摄像机防护等级）</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轨迹高清半球</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采用单个电动变焦镜头一体化设计，半球外观，自带补光灯；</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采用不低于400万像素1/1.8英寸CMOS图像传感器；</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内置GPU芯片，支持深度学习算法，有效提升检测准确率；</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支持2.7mm~12mm镜头焦距；</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在环境光照度低于50lx，可对速度不小于40km/h的机动车，速度不大于25km/h的非机动车，速度不大于5km/h的行人三种同时经过画面的目标进行分类曝光，可抓拍人脸、人体、非机动车和机动车目标，抓拍的人脸和车牌号码图片应清晰可辨，无过曝、欠曝情况；</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相同照度场景下，速度不同的运动目标，同时经过监控画面时，相机可自适应控制2套快门曝光时间，来适配不同速度目标，以保证抓拍目标图片效果；</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自带3颗红外灯；</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支持六种智能资源切换：通用行为分析、人脸检测、人脸识别、视频结构化、人数统计、道路监控；</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设备具有抓拍功能，在低照度环境下抓拍功能可自动开启，在混合场景下，可同时分别抓拍清晰的车牌、车辆及人脸；</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设备支持场景大模型算法， 开启环境自适应功能后， 可自动识别不同环境光的监控场景并切换图像配置，包括宽动态、曝光、增益等参数；</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支持走廊模式，强光抑制，背光补偿，3D降噪，畸变矫正，数字水印，适用不同监控环境；</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当人脸、人体、车身、车牌目标在画面中横向运动时，因速度过快或环境亮度动态范围过大，导致画面出现拖影与重影现象时，开启对应功能，可消除人脸、人体、车身、车牌目标横向拖影与重影现象，并自动调节画面亮度、锐度；</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支持ROI，AI编码，平均码流控制，适用不同带宽和存储环境；</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支持报警3进2出，音频2进1出，485，BNC，支持不小于512GMicroSD卡，内置双麦克风，内置扬声器；</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支持DC12V/AC24V/PoE供电方式，支持12V电源返送，最大电流165mA，峰值电流700mA，方便工程安装；</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支持IP67防护等级</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400万防油污红外定焦枪型网络摄像机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采用不低于400万像素1/2.7英寸CMOS图像传感器；</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内置GPU芯片，支持深度学习算法；</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支持玩手机检测、垃圾桶未盖检测、老鼠检测功能；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设备可对垃圾桶未盖进行检测，当检测到垃圾桶未盖时可触发报警；报警的最短持续时间和重复报警时间可设置；设备可对未盖的垃圾桶持续报警；</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设备可对老鼠进行检测，当检测到老鼠时可触发报警；报警的最短持续时间和重复报警时间可设置；设备可对老鼠持续报警；</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内置高效红外补光灯，最大补光监控距离80米;内置暖光灯，最大补光监控距离30米；</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支持报警2进2出，音频1进1出，485，BNC，电源返送，支持不小于512GMicroSD卡；</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设备可通过RS485接口接入温湿度传感器，当温度、湿度超过预设的阈值时可触发报警；</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支持DC12V/POE供电方式；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支持IP67防护等级</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油污枪机壁装支架</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材质：高强度铝合金（主流，轻便防锈）或 SECC（镀锌钢板，用于重型支架）。</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表面处理：白色粉末喷涂，具备防腐蚀、抗紫外线能力。</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环境适应性：工作温度 -40℃ ~ +60℃，工作湿度 ≤90%RH（配合摄像机防护等级）</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室内防拥挤枪型摄像机</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支持人流密度检测算法，可实现拥挤区域的检测及报警；</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可结合人体特征，可对重复客流进行去重，并区分经过客流及出入客流；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内置GPU芯片，支持深度学习算法，有效提升检测准确率；</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支持三种智能资源切换：通用行为分析、人数统计、异常行为分析；</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支持人数统计：支持排队管理；支持区域内人数统计；进入/离开人数统计，并可生成人数统计日/月/年报表，导出使用；</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可检测在设定区域内是否有人员拥挤，报警类型可设置为自适应或自定义；可设置灵敏度</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当超过设置的最短持续时间时，可触发报警</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报警类型设置为自定义后，可添加拥堵等级；</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支持绊线入侵，区域入侵，快速移动，物品遗留，物品搬移，徘徊检测，人员聚集，停车检测，离岗检测；</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支持声光报警联动，当报警产生时，可触发联动声音警报和灯光闪烁；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采用不低于1/2.7英寸CMOS图像传感器，最大可输出400万（2688 × 1520）@25fps；</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支持H.265编码，压缩比高，实现超低码流传输</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内置高效暖光和红外补光灯，最大红外监控距离60米，最大暖光监控距离30米</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支持报警2进2出，音频1进1出，485，最大支持512G Micro SD卡，内置双麦克风，内置扬声器；</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支持DC12V/PoE供电方式，支持12V电源返送，最大电流165mA；支持IP67防护等级</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防拥挤枪机壁装支架</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材质：高强度铝合金（主流，轻便防锈）或 SECC（镀锌钢板，用于重型支架）。</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表面处理：白色粉末喷涂，具备防腐蚀、抗紫外线能力。</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环境适应性：工作温度 -40℃ ~ +60℃，工作湿度 ≤90%RH（配合摄像机防护等级）</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室外低照度摄像机</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分辨率不低于400万像素；</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采用不低于1/1.8英寸CMOS图像传感器；</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采用AI ISP技术，支持周界防范（绊线入侵，区域入侵）、SMD Plus(人形/车形检测)；</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支持防补光过曝功能，设备检测到人员后可自动调节补光灯的亮度,人员离开后补光灯恢复；</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设备采用4颗（暖光灯）补光，可见光：≥40米；</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可自动调节画面中人脸、人体目标以及环境景物的亮度、色彩饱和度、对比度、锐度;画面信噪比不小于50dB,色彩饱和度不小于120%；（实际试验环境照度:0.2lx信噪比:50dB色彩饱和度:144.9%）</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支持畸变矫正功能(LDC),开启畸变矫正功能后,输出图像的几何失真、画面畸变应减小;开启畸变矫正功能,几何失真应小于等于9.2%；</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低照度：彩色:≤0.0002lx，黑白:≤0.0001lx；</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内置MIC；</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支持DC12V/POE供电方式；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支持IP67防护等级</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低照度枪机壁装支架</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材质：高强度铝合金（主流，轻便防锈）或 SECC（镀锌钢板，用于重型支架）。</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表面处理：白色粉末喷涂，具备防腐蚀、抗紫外线能力。</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环境适应性：工作温度 -40℃ ~ +60℃，工作湿度 ≤90%RH（配合摄像机防护等级）</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防遮挡电梯(楼显)电瓶车检测定焦红外普通半球网络摄像机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采用不低于400万像素1/2.9英寸CMOS图像传感器；</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可输出不低于400万(2688×1520)@25/30fps；</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焦距≤2.8mm；</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内置GPU芯片，支持深度学习算法；</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支持电瓶车检测；</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内置ToF传感器，可对画面中人为手、雨伞等恶意遮挡相机行为进行报警；</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支持内置语音播放,播放次数可设置为1~10次;可将白光设置为常亮和闪烁2种模式,闪烁频率、闪烁时长、闪烁周期可设；</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支持同时开启视频遮挡和电瓶车入梯检测功能，当设备镜头被遮挡条件下电瓶车进入电梯，撤出遮挡物后应给出报警提示，直到电瓶车离开电梯，报警结束；</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设备可通过接口外接楼层传感器：传感器正常工作后，可通过IE浏览器对楼层信息进行配置；可配置地上楼层数、地下楼层数,当前楼层；支持"智能填充"功能;支持修改楼层名称,名称支持数字和大小写字母组合</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当设备进行重启操作后，无需重新配置楼层信息，监控画面可正确显示当前楼层</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报警1进1出（报警输出为干式报警，支持常开/常闭），最大支持256GMicroSD卡，内置MIC，内置扬声器；</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支持工作电压DC12V（±30%）</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行为分析摄像机</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全景细节像素均不小于400万,CMOS靶面尺寸均不小于1/1.8英寸；</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内置GPU芯片,支持深度学习算法,有效提升检测准确率；</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细节相机支持不小于25倍光学变倍；</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全景相机内置不小于30米白光灯补光,采用暖色调和柔化处理,有效降低炫目程度；细节相机内置不小于150米柔光补光,采用倍率与补光灯功率匹配算法,补光效果更均匀；</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设备可输出全景画面和细节画面,所有摄像机可通过IE浏览器设置云台转动位置；</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全景细节均支持远程电动云台；</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全景摄像机：水平：0°~360°,连续旋转,垂直角度：0°~30°；细节摄像机水平角度：0°~340°,垂直角度：-10°~180°,旋转过程中无水平翻转；</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支持视频结构化、周界防范、人脸检测、人脸识别（不少于1万人脸底库）；</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支持独立态、联动态等多种形式的智能抓拍组合；</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支持快速智能切换,当更换当前智能模式时设备不需重启,新智能使能后即可生效；</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多场景分别配置不同智能后,可进行多场景智能巡航,进行不同智能功能的分时复用；</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支持GB35114加密；支持GA/T1400；</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细节镜头从最小倍变倍聚焦至100m处人脸目标时间不大于0.3s，抓拍图片中人脸目标像素不低于70×70；从最小倍变倍聚焦至100m处车牌目标时间不大于0.3s，抓拍图片中车牌目标像素不低于150×50；</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支持手动或自动启动雨刷功能；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支持视窗玻璃加热除雾功能；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10mm到50mm变焦过程中镜头光圈保持不变（F1.2±0.1）</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内置2路报警输入和1路报警输出,支持报警联动功能；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支持IP67防护等级,8000V防雷、防浪涌和防突波保护</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全景网络摄像机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采用全景细节一体化设计，全景采用不低于4个镜头拼接成不小于180度全景画面，细节内置大倍率高速变焦镜头；</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采用4个不低于200万像素1/1.8英寸CMOS图像传感器；</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全景通道像素≥800万，细节通道像素≥400万；</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4个视频画面拼接后的全景画面:水平视场角:≥180°垂直视场角:≥103°；</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光学变倍应≥40倍；</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全景摄像机支持自动拼接功能,可将任意连续的2个至4个视频画面进行拼接显示；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支持不低于2颗GPU芯片，支持深度学习算法；</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全景、细节内置加热模块,可对镜头前盖玻璃加热,去除镜头玻璃上的冰状和水状附着物；</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细节摄像机自带雨刷,可远程控制开启雨刷；</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人员密度检测功能,可通过浏览器对全景画面设置不少于8个检测框,检测区域人数可通过OSD叠加的形式展示并可设置5个拥挤等级的人数,当检测框中的人数在5个拥挤等级之间变化时可触发报警,可按人数或按百分比报警；</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具有大模型开关设置选项,开启大模型模式后,对人群的检测距离可提升2倍；</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支持IP67防护等级</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热成像感温摄像机</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支持火点探测报警、吸烟等多种智能功能；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探测器像素：192×144；</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光谱范围：8μm～14μm；</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热成像镜头焦距：3.5mm；</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热成像视场角：H: 36.44°；V:27.73°；</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测温范围：–20℃~+150℃；</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测温距离（最近）：1m（目标大小0.1m×0.1m）；</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测温距离（最远）：5m（目标大小0.1m×0.1m）；</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传感器类型：1/2.7英寸CMOS；</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最大分辨率：2336×1752；</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可见光像素：400万；</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透雾功能：电子透雾；</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可见光镜头焦距：4mm；</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可见光视场角：H: 71.2°；V: 52°；</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补光类型：红外；</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最大补光距离：30m；</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火点侦测距离（最远）：35m；</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吸烟检测距离（最远）：3.5m；</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网络接口：1个，RJ45 网口，支持10M/100M 网络数据；</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报警输入：2路；报警输出：2路；</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音频输入：1路；音频输出：1路；</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RS-485接口：1路；</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供电方式：DC12V（±20%）;PoE（802.3af）；</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支持IP白名单和黑名单、MAC白名单与黑名单、多级用户管理，人性化监控保密和权限管理；</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支持GBT28181、ONVIF等网络协议，组网更便捷；</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支持多帧合一宽动态、高级图像降噪；</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单IP方案；</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支持白热，黑热，聚变，彩虹，金秋，午日，铁红，琥珀等18种伪彩可调；</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支持IP67防护等级；</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支持声光报警，支持双目融合</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人脸识别摄像机</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采用单个电动变焦镜头一体化设计，枪型外观，自带补光灯；</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采用不低于400万像素1/1.8英寸CMOS图像传感器；</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内置GPU芯片，支持深度学习算法，有效提升检测准确率；</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可输出不低于400万(2688×1520)@50/60fps；</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设备具有抓拍功能，在低照度环境下抓拍功能可自动开启，在混合场景下，可同时分别抓拍清晰的车牌、车辆及人脸；</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支持2.7mm-12mm可变焦距，支持不小于F1.2光圈；</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内置不少于4颗补光灯，每颗补光灯均有红外灯和白光灯组成；</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补光灯开启后，无明显波纹状、圆环状、麻点状、条纹状及不规则亮斑；</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最大支持输出分辨率2688×1520，支持五码流，不小于两路1080P高清视频；</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支持六种智能资源切换：通用行为分析、人脸检测、人脸识别、视频结构化、人数统计、道路监控</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支持声光报警联动，可触发联动声音警报和灯光闪烁；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0.001lux照度下，可自动提升视频画面中人脸与人体目标的亮度；</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设备支持场景大模型算法， 开启环境自适应功能后， 可自动识别不同环境光的监控场景并切换图像配置， 包括宽动态、曝光、增益等参数；</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支持报警3进2出，双MIC，扬声器，音频2进1出，485，BNC，支持不小于512GMicroSD卡；</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支持DC12V/AC24V/POE三合一供电方式，支持12V电源返送；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支持变焦镜头全焦段图像畸变校正功能，相机从短焦到长焦变倍全过程均可同步自动进行画面畸变校正，画面几何失真全焦段≤3%；</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支持IP67防护等级</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LCD高亮一体式整机</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产品尺寸：55吋</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双边拼缝：0.88mm</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分辨率：1920*1080</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亮度：500cd/m2</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对比度：1200:1</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色彩范围：8bit</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刷新率：60Hz</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功耗：155W</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视角：178°(水平)/ 178°</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供电方式：100–240VAC，50/60Hz</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工作温度：0℃～+50℃</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工作湿度：20%～90%RH（无凝结）</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储存温度：–20℃～+55℃</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储存湿度：5%～95%RH（无凝结）</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输入接口：VGA(D-Sub)*1、CVBS(BNC)*2、DVI-D*1、HDMI*1、RS232(RJ45)*1、USB（升级和多媒体）*1</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输出接口：CVBS(BNC)*2、RS232(RJ45)*1</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该产品为政府强制采购节能产品，签订合同时提供国家确定的认证机构出具的、处于有效期之内的节能产品认证证书。</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拼接屏支架</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材质与厚度：采用Q235冷轧钢或高强度铝合金，壁厚≥2.0mm（主受力梁建议≥3.0mm）。</w:t>
            </w:r>
            <w:r/>
          </w:p>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表面处理为防锈烤漆（室内）或热镀锌/喷塑（户外）。</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离墙距离：≥ 80mm。高亮一体机发热量大，支架需提供足够散热空间，防止热量积聚。部分型号支持前维护（支架带液压臂或滑轨），离墙距离需≥150mm。</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调节功能：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水平调节：±3°~5°（用于微调水平度）。</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俯仰调节：±5°~15°（部分型号支持，用于调整视角，防止眩光）。</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旋转：通常不支持左右旋转（因线缆限制及重量平衡问题）。</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消控室HDMI线</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10米HDMI线缆</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6路超高清解码器</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支持6路HDMI信号输出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具有智能防火功能，当火情传感器检测到当前环境存在火情时，可自动控制显示器关闭。</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输出接口最大支持1920×1080@60及以下常规分辨率输出</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支持超高超宽自定义分辨率输出设置，水平分辨率最宽可达3840像素，垂直分辨率最高可达3840像素</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支持2路HDMI信号输入</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具有智能节能功能，当传感器检测到当前环境无人时，可自动控制电视墙熄屏。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应能设置从检测到无人到进行熄屏的时间间隔。</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输入接口最大支持3840×2160@60Hz及以下常规分辨率</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具备1对语音对讲接口：1个3.5mm音频输入接口和1个3.5mm音频输出接口</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整机解码支持2路32MP@25fps（仅H.265支持）/7路12MP@25fps/10路8MP@25fps/14路6MP@25fps/18路5MP@25fps/21路4MP@25fps/28路3MP@25fps/43路1080p@25fps/108路D1@25fps</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支持MPEG2/MPEG4/H.264/H.265/SVAC/MJPEG标准网络视频流解码</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支持QCIF/CIF/2CIF/HD1/D1/960H/720p/1080p/3MP/4MP/5MP/6MP/8MP/12MP/32MP视频解码</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支持音频压缩格式：PCM/G.711</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支持每屏1/4/6/8/9/16/25/36分割，支持M×N自由分割</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支持任意开窗、漫游，每屏最大支持36路开窗</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支持电视墙默认底色设置，支持高清底图显示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支持预案轮巡</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支持多屏融合拼接，跨屏画面毫秒级完美同步</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支持在大屏上叠加OSD文字信息，支持位置，字体大小等自定义设置</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支持Onvif，RTSP，GB28181协议接入，支持主流厂商私有协议接入</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明厨亮灶用屏</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屏幕尺寸不小于43英寸；</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分辨率不低于1920×1080；</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亮度不低于350cd/m²；</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对比度：IPS：1200:1(Typ.)；</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刷新率：60Hz；</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背光类型：DLED；</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响应时间：8ms；</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使用寿命：≥30000小时；</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输入接口：HDMI 1.4×1, VGA×1, USB 2.0×1, Audio in×1</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明厨亮灶HDMI线</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10米HDMI线缆</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解码器</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画面分割：单屏支持1/4/6/8/9/16/25/36/64固定分割；支持M×N自定义分割，M×N≤64；</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视频压缩标准：H.265；H.264；MJPEG；MPEG4；SVAC；MPEG2；</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解码能力：支持1路32MP@25fps/3路12MP@15fps/4路8MP@30fps/6路6MP@25fps/8路5MP@25fps/9路4MP@25fps/10路3MP@30fps/16路1080p@30fps/64路D1@30fps同时解码；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视频输出路数：1路</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梯控主机</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支持LED指示灯；</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支持通过TCP/IP通信；</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支持2路继电器输出；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支持3路RS-485输出；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支持最大可接入4个联动模块</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梯控联动模块</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18个继电器输出接口</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开关电源</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输入电压范围：AC 85-264V/DC 120-370V；</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交直流两用（同一个端子输入电压）；</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工作温度范围：-30℃-70℃；</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待机功耗 0.3W；</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掉电保持时间 115VAC-230VAC；</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短路保护 短路状态消失后，恢复时间小于5s；</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过压保护 24V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低待机功耗、高效率；</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4000VAC 高隔离电压；</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支持输出短路、过流、过压保护</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梯控控制器箱体</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用于梯控主控器设备放置于轿顶时使用，可起到防尘作用</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含按钮转接线</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IC卡读卡器</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采用PC材质、亚克力面板，IP66防护等级，适用于室内、室外场景；</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非接触式读卡，可读取Mifare卡（IC卡）卡号、CPU序列号、身份证序列号；</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支持刷卡开门模式；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支持RS485和韦根通信协议；</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支持蜂鸣器蜂鸣和指示灯提示功能；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支持防拆报警；</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内置看门狗程序，能够检控设备的异常运行状态，并执行修复处理，确保设备长期运行</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六芯信号线</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六芯线（2芯485通信线，4芯联动线）</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梯控配线</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1.型号:RVVP</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2.规格:4*1.0mm2</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3.材质:铜</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立杆</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1.规格:杆体高度 3.5米</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2.垫层、基础：厚度、材料品种、强度等级:按设计要求实施</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立杆防水箱</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不锈钢</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250*300*160mm</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6类四对非屏蔽双绞线（监控）</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规格:6类四对非屏蔽双绞线</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36330</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配线（室外供电）</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1.型号:RVV</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2.规格:3*2.5mm2</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3.材质:铜</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空气开关</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型号:2P</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摄像机立杆（含基础）</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杆体高度</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1.2米</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杆体材质</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高强度铝合金（主流，轻便防锈）或 Q235碳钢</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杆体直径</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Φ50mm - Φ60mm（等径管，非锥形杆）</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壁厚≥1.5mm（铝合金）或 ≥2.0mm（碳钢）</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防雷保护器</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二合一</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安防管理主机</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规格:4核，8g，1Tb硬盘，满足基本管理要求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该产品为政府强制采购节能产品，签订合同时提供国家确定的认证机构出具的、处于有效期之内的节能产品认证证书。</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访客管理系统</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持多样化的访客登记/审核方式，如移动端APP、H5 预约/邀约、web端预约、访客机预约等，支持人员信息快速录入，审核方式自定义，权限一键下发，实现访客入园无纸化流程操作，无感通行，移动端应用接口开放，支持多种对接方式。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1、访客预约概览，支持展示访客今日在访人数、即将来访人数、已离访人数等；</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2、访客基础配置：支持自定义新增访客预约信息及字段是否必填，任意调整字段顺序、位置；支持自定义配置访客单模板，并且可以预览排布效果；</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3、访客审核标准配置：访客审核标准自定义，移动端审核、访客机审核等按需调整，满足不同访客场景下的业务需求；自定义审核标准支持配置审核对象，支持批量设置审核对象；</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4、访客区域配置：访客区域自定义配置，可授权门禁、梯控、可视对讲、道闸、智能识别设备等；访问区域精细化权限管控，按被访人部门实现权限隔离；</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5、访客移动端自助预约/邀约：支持APP/H5移动端自助预约，线上填写来访信息、访客信息、被访者信息等进行预约，同时以短信方式通知审核情况；访客H5 预约链接可内嵌入公众号/小程序；预约成功后线上生成通行二维码，访客可刷码/刷脸进入指定区域；支持移动端发起再次预约，基础信息保留并预填写，实现快速预约；</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6、访客web端管理员预约，填写访客相关信息为其完成预约，成功后可生成二维码进行下载发送给访客进行使用；</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7、访客机现场登记预约：支持二代身份证、军官证、学生证、驾驶证、护照、港澳通行证、台胞证等扫描登记；支持对来访人员进行实时图像抓拍；</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8、访客记录查询：支持列表展示访客通行记录，支持按开始时间、结束时间、访客姓名、通行方式、通行结果查询通行记录；访客异常信息记录展示，支持展示访客进入非指定区域后被智能设备抓拍的相关信息</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 交换容量≥68Tbps，包转发率≥51200Mpps，业务槽位≥3个</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 支持IPv4/IPv6 RIP、OSPF、IS-IS、BGP、等价路由、策略路由</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 支持OPENFLOW 1.3，支持VxLAN</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 支持横向虚拟化技术，支持纵向虚拟化技术</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 支持独立安全业务插卡</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 支持10G EPON OLT接口</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 支持FCoE功能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 支持内置智能图形化管理功能，对于下联设备具备统一管理的功能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 单台配置冗余主控、冗余电源，整机提供不少于24个千兆电口、24个千兆光口、8个万兆光口</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 ≥28个千兆SFP端口（其中4个combo口），≥8个万兆SFP+端口</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 交换容量≥2.4Tbps，包转发率≥660Mpps</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 ≥1个扩展插槽，支持100G光口扩展</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 实配冗余电源冗余风扇，支持前后、后前风道</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接入交换机24口</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 ≥24个10/100/1000BASE-T端口，≥4个1000 BASE-X SFP端口；</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 交换容量≥670Gbps，整机包转发率≥126Mpps</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接入交换机8口</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 ≥24个10/100/1000BASE-T端口，≥4个1000 BASE-X SFP端口；</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 交换容量≥670Gbps，整机包转发率≥126Mpps</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工业接入交换24口</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 机架式工业交换机，冗余电源；</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 交换容量≥520Gbps，包转发率≥183Mpps</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 整机提供≥8个10/100/1000BASE-T电口（PoE++），≥16个10/100/1000BASE-T电口（PoE+），提供≥4个1G/10G SFP+端口</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设备运维系统路数授权</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设备运维系统路数授权</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综合管理平台</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主处理器要求不低于2颗 CPU，单颗不低于24核 2.5GHz；</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硬盘：自带不低于1块8T 3.5英寸 SATA 热插拔机械硬盘，最大支持12块硬盘；</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内存：配置不低于128G内存（4根32G DDR4 ECC内存条），16个DDR4 DIMM插槽；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风扇：不少于4个热插拔的风扇，支持单风扇失效，支持N+1冗余；</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自带≥1张算力不低于88TOPS（INT 8)的GPU卡，最大可扩展至7张；</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▲支持物联平台及智能算力一体化部署，支持PCIe接口；（提供第三方检测机构出具的具有CMA标识的检测报告扫描件或复印件）</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软件要求：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应支持视频监控业务管理、门禁业务管理、设备运维业务管理、停车管理、人员布控业务管理、报警主机业务管理、访客管理、AR管理、边端调度、融合检索等；</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支持文搜功能，可通过文字语义描述，检索目标对象或内容；支持对搜索结果进行标定和本地微调训练，单次支持5～100张图片进行微调；</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具有可视化界面，支持通过拖拉拽方式实现算法串行、并行编排逻辑，可对外部报警、多模态算法混合编排，支持多通道、多算法逻辑编排；</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ascii="宋体" w:hAnsi="宋体" w:cs="宋体"/>
                <w:color w:val="000000" w:themeColor="text1"/>
                <w:szCs w:val="21"/>
                <w:highlight w:val="none"/>
                <w:lang w:bidi="ar"/>
                <w14:textFill>
                  <w14:solidFill>
                    <w14:schemeClr w14:val="tx1"/>
                  </w14:solidFill>
                </w14:textFill>
              </w:rPr>
              <w:t xml:space="preserve">▲支持部署第三方容器时进行可信校验，校验不通过不允许安装；（提供第三方检测机构出具的具有CMA标识的检测报告扫描件或复印件。）</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通过文本描述目标特征，开启布防任务；支持多模态模型功能管理，支持基于多模态能力扩展新算法，支持通过输入自然语言生成新算法并进行部署和应用；支持设置模型关联文本算法实现多个模型协同编排报警；支持零样本创建算法，可在1分钟内自定义算法并完成算法启动。</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支持设置私有化部署模型与互联网模型的混合接入，可设置模型名称、API 密钥、上下文长度、API 地址等基础参数；支持多模型并行管理，可同时接入多个大模型资源。</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支持算法列表视图与卡片视图切换展示，卡片视图支持缩略图预览功能，支持呈现算法识别场景；卡片悬浮支持展示算法提示词、报警名称、创建用户及时间等关键信息。</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统一入口对人员、车辆的登记档案信息和通行活动数据进行融合检索，实现找人找车，支持针对上传的图片进行自动扫描目标检测，识别出的目标支持按人像、人体分类展示，可选择选择目标进行检索，也支持手动框选进行检索。以图搜人时，支持配合聚类分析开启精准检索，选择人像和人体联合深度精确检索，实现侧脸、背影识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支持上传车辆图片、设置最低匹配相似度，可结合时间、地点条件，进行以图搜索车辆抓拍记录，支持对上传的图片自动扫描目标检测，可选择目标进行检索，也支持手动框车辆目标检索。</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支持第三方应用以容器方式批量上传和批量安装，用户可一次上传和安装多个容器包。</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数据规模：组织管理数量≤2万；逻辑组织树≤5；管理用户信息数量≤1万；管理角色信息数量≤1万；管理人员信息数量≤10万（包含人员、卡片、人脸）；管理车辆信息数量≤1万。</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支持人脸检测、人员识别；视频解析规格：64路200万或64路400万；支持剧烈运动检测、跌倒检测、奔跑检测、尾随检测</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8T企业级硬盘（平台）</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容量:8T企业级硬盘</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网络时间同步服务器</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规格:信号源：</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支持GPS/北斗/Galileo/GLONASS；</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硬件配置：</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CPU：Arm Cortex-A53双核, 1.0GHz；</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内存：2GB；</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网口：10/100/1000M；</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电源：96V-265VAC, 小于20W；</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接口：</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 x GNSS （SMA）；</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 x IEEE1588v2 1000Base-T with SyncE （RJ45）；</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 x PPS 输出（BNC）；</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 x 10MHz 输出（BNC）</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 x PPS&amp;TOD 输出 （RJ45、CMCC）；</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 x 10MHz 输入（BNC）；</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 x console（RJ45）用于管理；</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 x NMS（RJ45）；</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服务器同步精度：</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锁定精度：±20ns</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保持能力：50us /24小时（ΔT&lt;15℃）；</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10ms/月（ΔT&lt;15℃）；</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10000个NTP请求/秒；</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时间精度：</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符合标准：PRTC；</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锁定GNSS： ±20ns；</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保持能力 ：OCXO：50us/24小时（±15℃）</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10ms/月（ΔT&lt;15℃）；</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频率精度：</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PRS/PRC级别；</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锁定GNSS：1E-12；</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保持能力：OCXO &lt; 5E-9/天（±15℃）；</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智能视频数据中枢</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规格:设备规格：≤4U，≥24盘位；</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单颗64位多核高性能处理器，≥2个内存条共16（GB)内存，可扩展至4个内存条128(GB)内存，内置16颗高性能国产智能模块；</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▲内置64位处理器， 主频≥1.7GHz，单个GPU板卡的内存容量不小于8GB；（提供第三方检测机构出具的具有CMA标识的检测报告扫描件或复印件）</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最大支持不少于512路（1024 Mbps）前端接入、存储、转发，32路（64 Mbps）网络回放；</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单卡高性能国产智能模块可支持不少于16路1080p压缩存储或8路400万压缩存储或4路800万压缩存储或2路1600万压缩存储或1路2400万压缩存储；</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可查看整机最大支持压缩路数、剩余压缩路数，可查看接入的原始码流、压缩码流大小。可查看所有配置压缩通道信息，包含压缩类型、原始码率、原始分辨率、压缩码率、压缩分辨率、压缩状态。支持通过过滤压缩类型、压缩状态等字段快速查看通道运行情况；</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可通过ONVIF、GB28181、RTSP、视图库、主动注册等协议管理不同厂家前端摄像头，实现视频存储；</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针对第3方厂商分辨率为H264、H265模式音视频混合流，最大支持256路1080p压缩存储、转发，平均压缩率70%；</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视频压缩文件经过再次压缩后的压缩倍率不低于12倍，压缩前后视频文件的帧率、分辨率、时长保持一致，图像峰值信噪比PSNR≥32.5dB，结构相似度SSIM≥0.95；（提供第三方检测机构出具的具有CMA标识的检测报告扫描件或复印件）</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可支持对2400W/1600W/1200W/800W/600W/500W/400W/300W/1080p/1.3MP/720p/D1 分辨率压缩，压缩前后分辨率可保持一致；</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存储RAID支持JBOD、RAID 0/1/5/6/10/50/60、SRAID 支持全局热备和局部热备；</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支持存储配额管理，支持基于通道的维度进行存储周期管理；</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支持关键录像加锁，确保不被循环覆盖；</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支持N+M集群模式，可实现单台或多台设备故障时，故障设备业务自动迁移到其它健康设备上，保障业务不中断；</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可配合智能前端摄像头，实现结构化告警、周界告警、入户电梯告警、高空抛物告警等多种报警事件、图片透传平台；</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支持一键诊断功能：支持硬盘状态、单盘性能、RAID状态、raid配置、硬盘盘组、网络状态、录像状态的健康状态诊断，诊断用户配置合规性，协助用户更好的使用设备</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8T企业级硬盘（存储）</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容量:8T企业级硬盘</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全自动液压升降柱</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规格:柱体材料 304不锈钢</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地基盒 整体电泳+喷塑处理，防腐防锈</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运行时间 ≤3 s</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柱体直径 φ219.0 mm（±1 mm）</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升起高度 600.0 mm（±1 mm）</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通过压力&amp;nbsp;30吨货柜车</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警示装置 环绕式LED警示灯+5CM反光带</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驱动方式 一体式电动液压驱动系统</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升降控制 通过控制柜控制柱体的上升和下降</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升降提示 升降过程指示灯闪烁，下降到底灯灭，上升到位灯常亮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应急控制 断电情况下，通过蓄电池供电操作应急按钮控制柱体下降</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额定电压 220 VAC/ 50 Hz</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工作功率/瞬间功率 350 W/ 1050 W</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工作温度 -30℃～55℃(产品在0℃以下使用出现升降不同步，为正常现象)</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防护等级 IP68</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升降柱控制器</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规格:遥控频率 433.92MHz</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控制方式 手控盒操作、遥控器遥控</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运行时间 1s～10s可调</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通道数 单通道</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控制数量 最多支持接入8根升降柱</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手动按键控制 可通过手控盒按键控制升降柱的上升、下降</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无线遥控控制 可通过无线遥控器控制升降柱的上升、下降</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应急控制 内置蓄电池，支持断电操作应急按钮控制升降柱下降</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保护功能 预留安全保护接口，可接入红外、地感、雷达等保护信号，实现防撞防顶车功能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额定电压 220VAC/ 50HZ</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最大负载功率 8800W</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待机功率 100W</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工作温度-10℃～50℃(20%~80%RH，无凝露）</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防护等级IP54</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D32配管</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1.材质:PVC管</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2.规格:DN32</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3.含管件</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1.安装部位:室外</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2.介质:水</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3.材质、规格:UPVC，DN75</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4.连接形式:满足设计及使用要求</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升降柱电磁阀配线</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1.型号:RVV</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2.规格:4*1.5mm2</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3.材质:铜</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升降柱控制配线</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1.型号:RVV</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2.规格:3*2.5mm2</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3.材质:铜</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升降柱电源配线</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1.型号:RVV</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2.规格:3*6mm2</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3.材质:铜</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室外一键报警柱</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集成摄像头，视频压缩标准H.264/H.265；视频视场角105*88*44；分辨率704*480、640*480、1280*720、1920*1080；帧率1~25FPS</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红外补光范围30米；支持昼夜切换；</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音频压缩标准G.711a\G.711U\PCM\G.726\AAC；支持1路音频输入,可外接拾音器;本机最大拾音距离5米;</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音频输出1路，可外接有源音箱，本机喇叭最大功率30W;支持音量调节，支持语音对讲，支持多种音频格式的音频播放；</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2个功能指示灯（警灯 、紧急呼叫按键灯），一个紧急求助呼叫按键；</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支持2路报警输入，支持2路报警输出，2个RJ-45 10M/100M以太网口，支持1路PSTN电话接口，4G模块可选，1个RS-232接口,1路RS-485接口，可接点阵屏；支持1路12V 1A辅电输出，1个Micro SD卡槽；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支持电话告警，支持视频联动，支持联动视频抓图，WEB端支持OSD叠加，最大支持五行，每行20个汉字.支持web端布撤防；</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支持远程升级，支持FTP服务器；支持2路门磁防拆；</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支持64个远程用户；支持远程WEB访问、快速设置；支持10000条日志记录，包括报警事件、操作日志等, 支持远程报警事件检索</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中心管理机</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支持同时预览权限范围内的4路门口机或IPC的720P实时画面；</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支持与门口机、室内机、其他管理机、紧急求助及报警柱之间的实时对讲；</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支持远程打开单元门锁（支持预览开锁、对讲开锁）；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支持对讲过程中的录音录像，可存储在本地SD卡，最大支持512GB</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支持实时广播、定时广播功能；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实时接收、显示室内机或紧急求助终端发送的报警信息；</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支持USB拓展鹅颈麦话筒、HDMI外接显示屏、SD卡扩容和3.5mm音频输出外接音响或耳机</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设备支持对室内机校时，支持查看门口机、室内机在线状态可对门口机、室内机升级</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支持定制安装三方APP，便于三方个性化应用加载</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支持web进行参数配置、账号管理、系统维护等操作；</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网络协议：IPv4</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RTSP</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UDP</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FTP</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RTP</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TCP</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ROM：16GB</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RAM：2GB</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CPU：四核2GHz</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屏幕类型：电容触摸屏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显示屏：15.6英寸显示屏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显示屏分辨率：1920(H)×1080(V)</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摄像头：200万 CMOS高清宽动态双摄像头</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视场角：水平（H）：65.4°，垂直（V）：39.2°，对角（D）：73.1°</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视频分辨率：1080P</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视频码率：1024Kbps～8192Kbps</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音频压缩标准：G.711a; G.711u</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音效增强：支持回声抑制/数字降噪</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外壳材料：PC+ABS</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硬件接口：RS485*1、HDMI*1、USB接口*3（1个USB2.0接口、2个USB3.0接口）、报警输入*8、报警输出*2、电源输出*1、RJ45*2(10Mbps/100Mbps/1000Mbps以太网口)，音频输入输出*1</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供电方式：DC12V或标准POE；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防护等级：IP54，室内使用</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报警柱电源线</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1.型号:RVV</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2.规格:2*1mm2</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3.材质:铜</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6类四对非屏蔽双绞线（报警柱）</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规格:6类四对非屏蔽双绞线</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室外单机芯摆闸（左）</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机箱采用国标304不锈钢材质，机箱厚度1.5mm；</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标配12对红外检测；</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采用直流无刷电机；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支持开门超时自动复位功能；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支持声光报警提示，支持音量调节；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通道尺寸支持600mm-1200mm</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平均无故障使用次数（MCBF）大于600万次；</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支持消防应急常开功能；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支持机械防夹、红外防夹功能；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支持防冲撞功能；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支持三种安全等级设置，适用不同安全级别的场景；</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支持九种通行模式组合：授权通行、禁止通行、自由通行等组合；</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支持开关门速度调节；支持通行时间设置；支持延时关闸时间设置；</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支持二次开启功能，人员在通道内可以授权；</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支持出入口记忆功能，可以连续授权过人；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支持非法闯入、尾随、反向闯入、滞留、异常开门、非法翻越、门翼故障、红外异常、通信异常等声光报警提示；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标配超级电容，支持断电开闸</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室外单机芯摆闸（右）</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机箱采用国标304不锈钢材质，机箱厚度1.5mm；</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标配12对红外检测；</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采用直流无刷电机；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支持开门超时自动复位功能；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支持声光报警提示，支持音量调节；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通道尺寸支持600mm-1200mm;</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平均无故障使用次数（MCBF）大于600万次；</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支持消防应急常开功能；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支持机械防夹、红外防夹功能；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支持防冲撞功能；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支持三种安全等级设置，适用不同安全级别的场景；</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支持九种通行模式组合：授权通行、禁止通行、自由通行等组合；</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支持开关门速度调节；支持通行时间设置；支持延时关闸时间设置；</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支持二次开启功能，人员在通道内可以授权；</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支持出入口记忆功能，可以连续授权过人；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支持非法闯入、尾随、反向闯入、滞留、异常开门、非法翻越、门翼故障、红外异常、通信异常等声光报警提示；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标配超级电容，支持断电开闸</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不锈钢摆臂</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不锈钢304材质</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遥控器（发）</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1、遥控器采用加密方式处理，保障传输过程中安全高效可靠；</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2、配合闸机实现远程遥控，可实现多种开门方式（进向开门，出向开门，一键常开/恢复），灵活运用；</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3、发射器标配1对7号（3V）干电池；</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4、发射器支持一对一或一对多对码匹配，一个发射器可以匹配32个接收器；</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5、当按下发射器按键时，只闪烁一次绿灯表示发射成功，只闪烁一次红灯表示发射失败。</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遥控器（收）</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遥控器采用加密方式处理，保障传输过程中安全高效</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配合闸机实现远程遥控,可灵活实现多种开门方式</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接收器支持一对一和一对多对码匹配，一个接收器最多匹配32遥控器</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接收器包含2个拨码开关：拨码开关1为进行匹配，拨码开关2为解除匹配 </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支持指示灯提示</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信号同步线</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1.型号:RVV</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2.规格:2*1.5mm2</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闸机人脸一体机</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设备关键器件均为国产品牌，包括主控芯片、内存、EMMC。系统采用国产化操作系统；</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设备应采用7英寸IPS触摸显示屏,采用曲面屏设计，显示屏尺寸检查:屏幕分辨率应为1024×600；</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应具有双目摄像头,一路为可见光200万摄像头,另一路为红外200万摄像头；</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支持不低于5万个用户(包含50个管理员)、5万张人脸、5万个密码、10万张IC卡、30万条记录；</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设备应支持人脸、卡片、二维码、密码单凭证识读;除二维码凭证外,应支持上述任意两种或三种组合凭证识读开门；</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设备应支持通过U盘和WEB导出和导入人员信息（包含用户数据、卡数据、指纹数据、人脸数据等信息），其中WEB导入导出方式可支持模板方式及人员信息压缩包方式，压缩包导入导出支持数据加密；</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人脸识别(人脸特征比对)速度应&lt;60ms；</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识别通过率应≥99.99%；</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设备在距离地面1.4m安装高度情况下,距离屏幕正前方0.18m~4m范围内,应能有效人脸识别；</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支持口罩检测功能检查，支持口罩不检测、口罩提醒、口罩拦截3种模式设置；</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支持下模块扩展功能（指纹、二维码、人证、人证+二维码、指纹+二维码）；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支持不低于IP66防护等级；</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含铝合金闸机支架</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人脸一体机电源</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给人脸门禁一体机专用电源；输入AC220V50Hz</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输出DC24V5A</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6类四对非屏蔽双绞线（闸机）</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规格:6类四对非屏蔽双绞线</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闸机配线</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1.型号:RVV</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2.规格:3*2.5mm2</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3.材质:铜</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巡更棒</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存储记录数，65000条；读卡反应时间≤0.3s；通讯线: USB ；简体中文；3.67V充电电池 ；IP55等级</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地点钮</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类别:巡更点；读卡反应时间≤0.3s；简体中文；明装</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人员钮</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类别:巡更点；读卡反应时间≤0.3s；简体中文；携带</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安防系统管线接线盒</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材质：金属</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巡更系统管理软件</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人员管理：支持工号、姓名、部门、班组、照片录入，可绑定专属巡更棒编号。</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巡更点管理：支持点位编号、名称、位置描述（可关联地图坐标）、安装时间、状态（启用/停用）管理。</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路线规划：可自定义巡更路线，设定巡更点顺序、间隔时间（Tolerance Time）及停留时长。</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计划排班：支持按日、周、月或自定义周期排班，可设置班次（早/中/晚班）及轮班规则。</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时间窗设置：设定每个巡更点的“应到时间”与“最晚时间”，超出即判定为“误点”或“漏检”。</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采集方式：支持离线式（巡更棒插拔上传）与在线式（实时网络传输）数据采集。</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数据解析：自动比对计划与实际打卡记录，生成“正常”、“早到”、“迟到”、“漏检”、“顺序错”等状态标识。</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明细报表：按人员、路线、日期查询详细巡更记录（时间、地点、状态）。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统计报表：自动生成巡更率、漏检率、误点率、合格率等考核指标。</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四、公共广播</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管理主机（机房）</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规格:4核，8g，1Tb硬盘，满足基本管理要求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该产品为政府强制采购节能产品，签订合同时提供国家确定的认证机构出具的、处于有效期之内的节能产品认证证书。</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数字化IP网络广播客户端管理软件</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支撑各音频终端的运行，负责音频流传输管理，响应各音频终端播放请求和音频全双工交换，支持B/S架构，通过网页登陆可进行终端管理、用户管理、节目播放管理、音频文件管理、录音存贮、内部通讯调度处理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2.管理节目库资源，为所有音频终端器提供定时播放和实时点播媒体服务，响应各终端的节目播放请求，为各音频工作站提供数据接口服务。</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3.提供全双工语音数据交换，响应各对讲终端的呼叫和通话请求，支持一键呼叫、一键对讲、一键求助、一键报警通话模式，支持自动接听、手动接听，支持自定义接听提示音。</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支持多种呼叫策略，包括无响应转移、占线转移、关机转移，支持时间策略和转移策略自定义设置。支持设置对讲终端呼叫策略，可自定义通话时间0-180S或不受限，可选择是否自动接听，支持自定义选择来电铃声与等待铃声。</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5.支持终端短路输入联动触发，可任意设置联动触发方案和触发终端数量，触发方案包括短路输出、音乐播放、巡更警报。</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6.编程定时任务，支持编程多套定时方案，支持选择任意终端和设置任意时间；支持定时任务执行测试、设置重复周期。支持定时任务多种音源选择（音乐播放、声卡采集、终端采集）。</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7.支持多套定时打铃方案同时启用，每套定时打铃方案支持多套任务同时进行，支持一键启用/停用所有方案。支持定时打铃功能，支持打铃方案克隆，任务执行与停止控制、定时任务禁用与启用功能。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8.支持定时巡更功能，支持自定义巡更任务的执行时间及重复周期，可自定义指示灯闪烁间隔时间0-30s。</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9.支持今日任务列表查看，管理今日执行的所有定时任务信息和执行状态。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10.日志记录系统运行状态，实时记录系统运行及终端工作状态，每次呼叫、通话和广播操作均有记录。</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11.支持对≥8路功率分区终端进行功率控制分区设置，通过web页面后台或分控客户端均可设置分区。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12.支持对终端设置时间显示配置，可设置1-6级别亮度值，可设置断网后不显示时间模式。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13.支持对终端设置不同的灯光模式，可分别自定义设置红灯亮、红灯灭、绿灯/蓝灯亮、绿灯/蓝灯灭时间0-10S。</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14.支持配置终端冻结时间，在终端被冻结期间禁止终端执行任务。</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15.支持广播、对讲、实时采集、终端监听进行录音；支持文本广播功能，可实现将文本转成语音，支持后台调整语速。</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16.支持后台换肤功能，可根据喜好自由切换皮肤主题。</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17.支持终端明细导出功能，支持通过表格方式导出当前系统终端的配置详情。支持批量修改定时任务的时间、执行终端。</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18.后台功能管理模块自定义；首页快捷入口配置，入口数量提供2*3、3*3、2*4、3*4的排列布局显示。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19.支持4x100级自定义配置任务优先级(服务器优先级、任务优先级、用户优先级,终端优先级），满足各种优先级任务自动调度。</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寻呼话筒（机房）</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1.桌面式设计，带有≥7英寸显示屏。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2.自带数字键，功能键界面。支持呼叫分区及多个分区，呼叫全区广播；支持操作呼叫或对讲任意终端。</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3.内置≥1路网络硬件音频解码模块。</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4.具有≥1路3.5耳机接口，具有≥1路3.5话筒输入接口，具有≥1路短路输出接口，具有≥1路短路输入接口，具有≥1路音频线路输入接口，具有≥1路音频线路输出接口。</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5.支持≥10个按键自定义一键呼叫广播功能。</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话筒呼叫控制嵌入软件（机房）</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1.软件内嵌于话筒设备，实现话筒呼叫控制功能，支撑设备各项基本功能的运行。</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2.授权操作管理功能，支持服务器统一配置管理用户及密码。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3.支持新配置注册智能语音提示功能。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4.支持多种呼叫策略，包括呼叫转移、呼叫等待、无人接听提醒等。</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5.支持双向对讲功能，可与另一方对讲终端实现双向语音传输功能。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6.可实现分区/全区进行喊话/广播功能。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7.支持单独调节音量。</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广播电源管理器</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1.机柜式设计，黑色氧化铝拉丝面板。</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2.支持≥16路电源输出，具有≥14个AC220V(10A)，≥2个AC220V(16A)接口， 电源插口总容量达≥6KVA。</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3.设有船型开关，可手动控制≥16个电源上断电；也可与定时器、智能控制器相连接，实现自动控制；支持配置CH1和CH2通道为受控或不受控状态。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4.有≥1路24V消防信号输入接口；≥1路消防短路报警触发信号输出。</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采集器</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1.标准机柜式设计，1U高度，铝合金面板。</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2.设备采用嵌入式计算机技术和DSP音频处理技术设计。</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3.16路消防短路信号输入，可无限扩展输入接口。</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4.面板支持一键取消任务。</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5.标配网络接口，全速率连接最高可达100M。</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6.支持广播系统对终端进行远程固件升级。</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7.网络接口：标准RJ45输入</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8.传输速率：100Mbps</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9.支持协议：TCP/IP、UDP、IGMP（组播）</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10.短路接口：工业标准压线接线端子</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消防语音系统软件</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1.软件内嵌于消防语音系统主机设备，支撑设备各项基本功能的运行。</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2.支持分区监听、设备状态实时查看。</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3.实现对设备的控制、信号切换。</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公共广播机柜</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规格:24U，600mm*600mm*1255mm</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广播交换机</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功能:8口千兆非网管交换机</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管理主机(分控)</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规格:4核，8g，1Tb硬盘，满足基本管理要求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该产品为政府强制采购节能产品，签订合同时提供国家确定的认证机构出具的、处于有效期之内的节能产品认证证书。</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IP网络广播系统分控软件(分控)</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1.数字客户端分控软件：用户登陆通过系统服务器的权限验证即可进行对广播系统的控制。</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2.客户端软件利用网络（局域网、广域网）远程登录到服务器，支持多套客户端软件同时登录到服务器，各套客户端软件独立工作。</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3.可实现终端状态查看、音频播放、监听、广播及对讲、会话状态监控等功能。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4.支持实时查看终端工作状态、音量、任务，并且可在终端状态界面设置终端音量。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5.支持创建文本广播任务，可实现将文本转成语音，支持后台调整语速。</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6.支持创建终端采集任务，可设置普通、中级的采集音质类型。</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7.支持创建声卡采集任务，可通过分控客户端所在电脑的声卡进行实时采播，并且支持将采播的内容进行录音存储。</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8.支持创建音乐播放任务，可进行本地文件播放，可选择多首歌曲进行顺序播放或循环播放或随机播放。</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9.支持进行发起监听功能，在会话状态选择监听终端，可监听某任务播放的内容。</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10.支持远程对某终端/分区或全区进行实时的寻呼广播，支持选择网络寻呼话筒进行实时对讲。</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11.支持分控端查看终端上下线记录，可设置终端掉线弹窗提示。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12.支持方块视图或列表视图进行切换显示，方块视图每页显示终端数量提供3x5、3x6、4x6、4x7、5x8、5x9、5x10、5x11的排列布局显示。</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寻呼话筒(分控)</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1.桌面式设计，带有≥7英寸显示屏。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2.自带数字键，功能键界面。支持呼叫分区及多个分区，呼叫全区广播；支持操作呼叫或对讲任意终端。</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3.内置≥1路网络硬件音频解码模块。</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4.具有≥1路3.5耳机接口，具有≥1路3.5话筒输入接口，具有≥1路短路输出接口，具有≥1路短路输入接口，具有≥1路音频线路输入接口，具有≥1路音频线路输出接口。</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5.支持≥10个按键自定义一键呼叫广播功能。</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话筒呼叫控制嵌入软件(分控)</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1.软件内嵌于话筒设备，实现话筒呼叫控制功能，支撑设备各项基本功能的运行。</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2.授权操作管理功能，支持服务器统一配置管理用户及密码。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3.支持新配置注册智能语音提示功能。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4.支持多种呼叫策略，包括呼叫转移、呼叫等待、无人接听提醒等。</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5.支持双向对讲功能，可与另一方对讲终端实现双向语音传输功能。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6.可实现分区/全区进行喊话/广播功能。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7.支持单独调节音量。</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管理主机（广播室）</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规格:4核，8g，1Tb硬盘，满足基本管理要求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该产品为政府强制采购节能产品，签订合同时提供国家确定的认证机构出具的、处于有效期之内的节能产品认证证书。</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IP网络广播系统分控软件（广播室）</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1.数字客户端分控软件运行于Windows操作系统的台式电脑或笔记本电脑（兼容(win7-win10、server2008或更高版本)），用户登陆通过系统服务器的权限验证即可进行对广播系统的控制。</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2.客户端软件利用网络（局域网、广域网）远程登录到服务器，支持多套客户端软件同时登录到服务器，各套客户端软件独立工作。</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3.可实现终端状态查看、音频播放、监听、广播及对讲、会话状态监控等功能。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4.支持实时查看终端工作状态、音量、任务，并且可在终端状态界面设置终端音量。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5.支持创建文本广播任务，可实现将文本转成语音，支持后台调整语速。</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6.支持创建终端采集任务，可设置普通、中级的采集音质类型。</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7.支持创建声卡采集任务，可通过分控客户端所在电脑的声卡进行实时采播，并且支持将采播的内容进行录音存储。</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8.支持创建音乐播放任务，可进行本地文件播放，可选择多首歌曲进行顺序播放或循环播放或随机播放。</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9.支持进行发起监听功能，在会话状态选择监听终端，可监听某任务播放的内容。</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10.支持远程对某终端/分区或全区进行实时的寻呼广播，支持选择网络寻呼话筒进行实时对讲。</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11.支持分控端查看终端上下线记录，可设置终端掉线弹窗提示。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12.支持方块视图或列表视图进行切换显示，方块视图每页显示终端数量提供3x5、3x6、4x6、4x7、5x8、5x9、5x10、5x11的排列布局显示。</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寻呼话筒（广播室）</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1.桌面式设计，带有≥7英寸显示屏。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2.自带数字键，功能键界面。支持呼叫分区及多个分区，呼叫全区广播；支持操作呼叫或对讲任意终端。</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3.内置≥1路网络硬件音频解码模块。</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4.具有≥1路3.5耳机接口，具有≥1路3.5话筒输入接口，具有≥1路短路输出接口，具有≥1路短路输入接口，具有≥1路音频线路输入接口，具有≥1路音频线路输出接口。</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5.支持≥10个按键自定义一键呼叫广播功能。</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话筒呼叫控制嵌入软件（广播室）</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1.软件内嵌于话筒设备，实现话筒呼叫控制功能，支撑设备各项基本功能的运行。</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2.授权操作管理功能，支持服务器统一配置管理用户及密码。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3.支持新配置注册智能语音提示功能。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4.支持多种呼叫策略，包括呼叫转移、呼叫等待、无人接听提醒等。</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5.支持双向对讲功能，可与另一方对讲终端实现双向语音传输功能。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6.可实现分区/全区进行喊话/广播功能。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7.支持单独调节音量。</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IP网络音箱（广播室）</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1.内置≥1路网络硬件音频解码模块,具有≥1路RJ45网络接口，≥100Mbps传输速率。</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2.支持≥1路音频线路输入接口，具有独立的音量调节功能。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3.设备集成有数字功放，功率≥2×20W（MAX），≥1路接主音箱，≥1路外接到副音箱。</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4.内置≥2级优先级功能设计：(1)AUX与网络背景音乐信号同级，混音输出。(2)网络报警信号优先AUX与网络背景音乐信号。</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5.支持IPv6、IPv4网络协议。</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IP有源音箱扩声软件（广播室）</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1.软件内嵌于IP有源音箱扩声终端设备，支撑设备各项基本功能的运行。</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2.嵌入DSP音频处理技术，高保真解码音频文件；支持远程点播功能，支持节目播放。</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3.支持新配置注册智能语音提示功能。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4.支持播放背景音乐功能，支持单独调节音量。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5.支持播放本地服务器的MP3文件；支持单独播放或分区/全区播放。</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前置放大器</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1.具有≥5路话筒（MIC）输入接口，≥3路标准信号线路（AUX）输入接口，≥2路紧急线路（EMC）输入接口。</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2.MIC5具有最高优先、强行切入优先功能；MIC5和EMC最高优先权限功能可通过拨动开关交替选择。</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3.紧急输入线路具有二级优先，强行切入优先功能。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4.MIC1、2、3、4、5和≥2路紧急输入（EMC）通道均附设有线路辅助输入接口功能。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5.具有默音深度调节旋钮和EMC输入增益调节旋钮。</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6.MIC2、3、4、5通道灵敏度可通过拨码开关选择。</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IP音频采集器</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1.采集设备支持将模拟音频采集编码成数字音频，具有≥1路RJ45网络接口，支持定时采播任务、临时采播任务功能。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2.具有≥2组RCA音频输入接口，支持音量调节功能。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3.采播任务支持≥3种采集音质可选，支持普通、中级、高级音质选择模式。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4.支持声压触发采集外部音源，智能识别音频,自动建立采集任务,可自定义执行区域,可自定义延时关闭时间。</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话筒Ⅰ</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1.指向性：心形指向性</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2.信噪比：≥65dB SPL 1KHz at 1Pa</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3.频率响应等同或优于20-18KHz</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4.输出阻抗：≥75Ω</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5.灵敏度：≥-40dB±2dB</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合并式播放器</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1.设备采用机柜式设计。</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2.内置USB接口/SD卡槽、CD机芯和收音机、蓝牙≥四种音源，CD播放和MP3播放共用一个通道输出，收音机、蓝牙共用一个通道输出。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3.CD采用吸入式机芯；收音机采用收音模块； 调频、调幅（AM/FM）立体声二波段接收可选，电台频率记忆存储≥99个。</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4.具备有≥1路USB接口、≥1路SD卡槽口、≥1路收音FM天线口、≥2路音频输出接口。</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5.带红外遥控功能，并能够独立遥控音量控制。</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IP网络功放终端（室外）</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1.设备采用标准≥19英寸机架设计，带有LCD显示屏。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2.内置≥1路网络硬件音频解码模块。</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3.支持≥1路线路输入和≥1路话筒输入接口，可独立调节音量。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4.支持高低音调节电位器控制。</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5.具有≥1路EMC输入接口，具有最高优先级。</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6.具有≥1路音频输出接口。</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7.具有≥1路三线制强切输出接口，无需强切电源。</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8.集成数字功放，功率≥240W；支持定压方式输出。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9.支持通过后台软件对终端进行远程固件升级。</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10.具有≥1路RJ45网络接口，≥100Mbps传输速率。</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11.自带≥1路100V定压功率备份输入接口，可组成一主多备、多主一备、多主多备的公共打铃系统。</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12.内置主备切换检测模块，断网断电以及本机故障时≤0.3秒内切换到备份功率输入，主备切换过程无卡顿、不掉字。</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数字IP网络平台终端嵌入软件（室外）</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1.软件内嵌于数字IP网络平台终端设备，支撑设备各项基本功能的运行。</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2.嵌入DSP音频处理技术，高保真解码音频文件；支持远程点播功能，支持节目播放。</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3.支持新配置注册智能语音提示功能。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4.支持播放背景音乐功能，支持单独调节音量。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5.支持播放本地服务器的MP3文件；支持单独播放或分区/全区播放。</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IP网络功放终端（室内）</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1.设备采用标准≥19英寸机架设计，带有LCD显示屏。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2.内置≥1路网络硬件音频解码模块。</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3.支持≥1路线路输入和≥1路话筒输入接口，可独立调节音量。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4.支持高低音调节电位器控制。</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5.具有≥1路EMC输入接口，具有最高优先级。</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6.具有≥1路音频输出接口。</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7.具有≥1路三线制强切输出接口，无需强切电源。</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8.集成数字功放，功率≥350W；支持定压方式输出。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9.支持通过后台软件对终端进行远程固件升级。</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10.具有≥1路RJ45网络接口，≥100Mbps传输速率。</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11.自带≥1路100V定压功率备份输入接口，可组成一主多备、多主一备、多主多备的公共打铃系统。</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12.内置主备切换检测模块，断网断电以及本机故障时≤0.3秒内切换到备份功率输入，主备切换过程无卡顿、不掉字。</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数字IP网络平台终端嵌入软件（室内）</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1.软件内嵌于数字IP网络平台终端设备，支撑设备各项基本功能的运行。</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2.嵌入DSP音频处理技术，高保真解码音频文件；支持远程点播功能，支持节目播放。</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3.支持新配置注册智能语音提示功能。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4.支持播放背景音乐功能，支持单独调节音量。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5.支持播放本地服务器的MP3文件；支持单独播放或分区/全区播放。</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壁挂音箱</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1．额定功率（100V）：3W,6W,10W</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2．额定功率（70V）：1.5W,3W,5W</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3．灵敏度：91dB±3dB</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4．频率响应：130Hz-18KHz</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5．喇叭单元：6.5"×1</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6．防护等级：IP5X</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音柱I</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1．额定功率(100V)：30W</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2．额定功率(70V)：15W</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3．灵敏度≥89dB</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4．频率响应：110Hz-15KHz</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5．防护等级：IP66</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6．喇叭单元：6.5"×1+3"×1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音柱II</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1．额定功率(100V)：120W</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2．额定功率(70V)：60W</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3．灵敏度≥94dB</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4．频率响应：110Hz-15KHz</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5．防护等级：IP66</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6．喇叭单元：6.5"×4+3"×1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IP终端</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1.设备采用≥19英寸机架设计，带有LCD显示屏。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2.具有≥1路线路输入接口和≥1路话筒输入接口，可独立调节音量；支持高低音调节电位器控制。</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3.具有≥1路EMC输入接口，具有最高优先级；具有≥1路音频输出接口。</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4.具有≥2路三线制强切输出接口，无需强切电源。</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5.支持≥2路电源输出插座，内置智能电源管理，无音乐或呼叫时，自动切断输出座电源，有信号时自动打开输出座电源。</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数字化IP网络终端嵌入软件</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1.软件内嵌于数字化IP网络终端设备，支撑设备各项基本功能的运行。</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2.嵌入DSP音频处理技术，高保真解码音频文件；支持远程点播功能，支持节目播放。</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3.支持新配置注册智能语音提示功能。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4.支持播放背景音乐功能，支持单独调节音量。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5.支持播放本地服务器的MP3文件；支持单独播放或分区/全区播放。</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1.支持≥4路Mic输入兼容≥4路线路输入接口，话筒接口幻象电源：≥+48V，≥4组立体线性输入。</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2.具有≥1组立体声主输出、≥1组辅助输出、≥1路耳机监听输出、≥1组CD/Tape输出。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3.每路单声道输入通道设有≥3段EQ，设有峰值LED指示灯。</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4.内置≥24位DSP效果器，提供≥100种预设效果。</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纯后级功放</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1.采用D类数字功放技术，功率放大电路设计</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2.额定输出功率：≥1500W</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3.具有管道式散热结构，内置自动温度控制风扇冷却系统。</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4.具有≥1通道LINE不平衡TRS/XLR高品质多功能输入接口，≥1通道LINE平衡XLR级联输出。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5.内置PFC电路和软开关电源技术，开关机自动软启动控制。</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6.功放电路，零交越失真。</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7.内置智能削顶失真和过流压限系统，能保护扬声器单元。</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8.具有过温、过压、欠压、过流、短路多重智能检测保护系统。</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9.具有2种定阻和定压输出模式:4-16Ω/100V可选择。</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U段无线话筒</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1.基于数字U段的传输技术，pi/4-DQPSK调制方式，采用国产主控芯片，传输距离≥80米，接收机具有≥2路平衡输出、≥1路非平衡混音输出；具有混响、均衡、智能静音、音频加密、功率调节功能。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2.具有≥1台接收主机、≥2只手持发射机；频率范围等同或优于470MHz-510MHz、540MHz-590MHz、640MHz-690MHz、807MHz-830MHz四个频段使用。</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接收机前面板具有≥2个显示屏、≥2个编码旋钮、≥2个频率扫描实体按键、≥2个红外对频实体按键、≥1个电源开关按键、≥1个二合一指示灯（红外发射管+对频指示灯）；后面板具有≥1个LINE-OUT接口、≥2个XLR-OUT接口、≥2个BNC接口、≥1个DC接口。发射机具有≥1个OLED 显示屏、≥1个开关机/静音按键、≥2个工作状态指示灯。</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4.具有自动静音功能，麦克风跌落、抛掷时，毫秒级自动静音，避免冲击声；实时监测设备姿态，静置≥5秒静音，≥8分钟关机，无需手动干预。</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5.具有多档位混响调节功能，混响效果≥15625个，效果占比、回响延时、混响幅度调节，三种音效各具有≥25档调节方式。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6.具有多频段均衡调节功能，均衡调节≥2197种，麦克风均衡器调节功能，具有高、中、低音三种调节档位，每种效果支持≥13档调节。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7.具有长时间续航，发射机使用时长≥10小时。</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8.具有ID码防串扰功能，采用32位唯一ID码，用于接收和发射配对，收发ID码必须相同才能对码，能够有效防止相同频率的信号相互串台。</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▲9.具有实时监测设备姿态功能，麦克风跌落、抛时实现自动静音功能；静置≥5秒静音，≥8分钟关机。可实现工作状态实时监控功能，包括频率显示、音频加密</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状态识别、功率挡位提示、静音状态指示及电量显示。软件具有数据总览界面，可显示设备总数、设备在线、离线、异常数量；具有充电底座设备使用情况显示，可显示空闲、充电中、充满、异常、离线状态；在远端也可查看设备使用情况；支持通过区域筛选、状态筛选充电底座查看充电底座使用情况和设备定位功能；支持推送设备异常、离线、充满状态消息；支持新消息未读标识提示和声音提醒功能（可开关）；支持打开弹窗查看消息列表，可标记单条或批量消息为已读；支持一键清空消息列表。（提供第三方检测机构出具的具有CMA标识的检测报告扫描件或复印件。）</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话筒呼叫控制嵌入软件</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1.软件内嵌于无线话筒系统设备，话筒呼叫控制功能。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2.采用UHF超高频段双真分集接收，并采用PLL锁相环多信道频率合成技术。</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3.支持自动选讯接收方式。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4.支持信道选择、频率可调、可设置主机与话筒配对。</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话筒天线</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1.天线接收频段广，可接收等同或优于470-950MHZ的频率</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2.天线极化方式：线极化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3.天线驻波比：≤2.0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4.放大器增益：四档可调（-6dB/0dB/6dB/12dB)</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5.指向性：≥90度指向</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IP网络音箱Ⅰ</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1.内置≥1路网络硬件音频解码模块,具有≥1路RJ45网络接口，≥100Mbps传输速率。</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2.支持≥1路音频线路输入接口，具有独立的音量调节功能。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3.设备集成有数字功放，功率≥2×20W（MAX），≥1路接主音箱，≥1路外接到副音箱。</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4.内置≥2级优先级功能设计：(1)AUX与网络背景音乐信号同级，混音输出。(2)网络报警信号优先AUX与网络背景音乐信号。</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5.支持IPv6、IPv4网络协议。</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IP有源音箱扩声软件</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1.软件内嵌于IP有源音箱扩声终端设备，支撑设备各项基本功能的运行。</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2.嵌入DSP音频处理技术，高保真解码音频文件；支持远程点播功能，支持节目播放。</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3.支持新配置注册智能语音提示功能。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4.支持播放背景音乐功能，支持单独调节音量。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5.支持播放本地服务器的MP3文件；支持单独播放或分区/全区播放。</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音频连接线Ⅰ</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1.型号:莲花（RCA）-莲花（RCA）</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2.规格:1.8米音频连接线</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音频连接线Ⅱ</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1.型号:莲花（RCA）-6.35话筒插头</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2.规格:1.8米音频连接线</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6类四对非屏蔽双绞线</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规格:6类四对非屏蔽双绞线</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配线Ⅵ</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1.型号:RVV</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2.规格:2*1.5mm2</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3.材质:铜</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五、报告厅</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线阵列主扩扬声器</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1.类型</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二分频线性阵列音箱</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2.频率响应 70Hz~20KHz</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3.覆盖角 120°(H) x 10°(V)</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4.低音单元 2×10" /钕磁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5.高音单元 2×1.75" 压缩驱动器/钕磁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6.灵敏度(1W@1m) 106dB</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7.额定阻抗 ：8 Ω</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8.功率：800W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9.最大声压级：139dB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10.角度 0、1、2、3、4、5、6、7、8、9、10° 可调</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线性阵列吊架</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1.线性阵列吊架</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2.田字架</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 超低频音箱</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1.音箱类型:18寸低频音箱</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2.频率响应:不劣于35Hz~150Hz(±3dB)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3.灵敏度 (1w×1m):≥101dB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4.额定阻抗:≤8Ω</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5.额定功率:≥600W</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6.峰值功率:≥2400W</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7.分频点：100Hz</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8.低音单元: 不小于18”/100mm音圈</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9.最大声压级：≥135dB</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台唇扬声器</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类型</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无源两分频同轴音箱</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频率响应（-10dB） 90Hz -20kHz</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额定功率 150W（连续）</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额定阻抗 8Ω</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最大声压级(@1m) 118dB(峰值)</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覆盖角（水平x垂直） 90°x90°</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低音单元 1x5"/φ35mm音圈 /100W(钕磁) 高音单元 1x1.3"/φ34mm音圈 / 20W(钕磁)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灵敏度（1m@1w） 87 dB</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连接器 2xNL4MP/1xPHOENI</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尺寸（WxHxD） 195x190x230mm</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净重 4.8kg</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高频扬声器采用PEEK复合材料音膜，铝扁线音圈，音质清晰明亮，性能稳定；</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高硬度成型钢网，内粘专用透声棉，给扬声器提供有效的防护；</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采用点声源同轴驱动技术，可以避免非同轴结构造成的声干涉，有效提高声音的清晰度，声场覆盖更加均匀，音质听感真实而富有弹性，声像定位精准；</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箱体采用拉伸铝结构设计；配备3种方式安装（壁挂、吊顶、支撑）提供了便捷的安装可能性。</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辅助扬声器</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1.类型: 二分频10寸全频音箱</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2.频率响应:不劣于55Hz –20kHz (-10dB)</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3.灵敏度（1W＠1m）:≥98 dB</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4.额定阻抗：≤8Ω</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5.额定功率：≥200W</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6.峰值功率：≥800w</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7.分频点： 2.5KHz</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8.低音喇叭:不小于10" 中低音 / 65mm音圈</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9.高音喇叭:不小于PEN膜 / 34mm音圈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10.覆盖角（HxV）:≥90°×40°</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11.最大声压级 :≥127dB</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流动返听扬声器</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1.音箱类型</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两分频无源返听音箱</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2.频率响应（-10dB） 55Hz--20KHz</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3.阻抗（Ω） 8Ω</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4.灵敏度（1W@1m）101dB</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5.最大声压级(dB) 132dB</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6.额定功率（RMS） 300W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7.最大功率 600W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8.低音单元 12寸低音/75mm音圈/内磁/300W</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9.高音单元 44芯压缩驱动器/1寸喉口（C44）/40W</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10.覆盖角（V*H） 90*40</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11.分频点 2.1KHz</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12.输入连接 2XSPOKEN</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13.吊装系统 12个M10吊点</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线阵列主扩扬声器功率放大器</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1.额定功率（THD=1%,连续正弦1kHz，各通道同时工作）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8Ω/立体声：4×1500W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4Ω/立体声：4×2550W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2Ω/立体声：4×3570W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16Ω/桥接：2×3000W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8Ω/桥接：2×5100W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4Ω/桥接：2×7140W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2.上升斜率(1kHz,旁路低通滤波器) 50V/us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3.输入灵敏度(额定输出功率，1kHz) 可选择：41dB，38dB，35dB，32dB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THD+N (10% 额定输出功率，典型值) 0.01%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IMD-SMPTE(10% 额定输出功率，典型值) 0.01%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DIM30(10% 额定输出功率，典型值) 0.01%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4.串扰抑制（低于额定功率， 20 Hz ~1 kHz） ≥90 dB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5.频率响应（10% 额定输出功率，8Ω，20Hz~20kHz） ±0.2dB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6.输入阻抗 20kΩ（平衡) ，10kΩ（非平衡)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7.阻尼系数（8Ω，20Hz~200Hz） ≥300</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8.信噪比 105dB</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超低扬声器功率放大器</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1.额定功率（THD=1%,连续正弦1kHz，各通道同时工作）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8Ω/立体声：2×1500W</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4Ω/立体声：2×2550W</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2Ω/立体声：2×3570W</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16Ω/桥接：1×3000W</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8Ω/桥接：1×5100W</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4Ω/桥接：1×7140W</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2.上升斜率(1kHz,旁路低通滤波器) 50V/us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3.输入灵敏度(额定输出功率，1kHz) 可选择：41dB，38dB，35dB，32dB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THD+N (10% 额定输出功率，典型值) 0.01%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IMD-SMPTE(10% 额定输出功率，典型值) 0.01%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DIM30(10% 额定输出功率，典型值) 0.01%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4.串扰抑制（低于额定功率， 20 Hz ~1 kHz） ≥90 dB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5.频率响应（10% 额定输出功率，8Ω，20Hz~20kHz） ±0.2dB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6.输入阻抗 20kΩ（平衡) ，10kΩ（非平衡)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7.阻尼系数（8Ω，20Hz~200Hz） ≥300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8.信噪比 105dB</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台唇扬声器功率放大器Ⅰ</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1.额定功率（EIAJ THD=1%,1kHz，各通道同时工作）:8Ω/立体声 4×300W 、4Ω/立体声  4×450W 、8Ω/桥接  2*900W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2.RMS输出电压(THD=1%,1kHz)  49.0V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3.输入灵敏度&amp;增益: 0.775Vrms  26 dB 可选择（额定输出功率 ,1kHz）</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4.失真率+噪声：典型值0.05%（10%额定输出功率，1kHz、8Ω）</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5.串扰抑制（低于额定功率， 20 Hz -1 kHz）  ≥75 dB</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6.频率响应：典型值±0.5dB  （10% 额定输出功率，8Ω，20Hz - 20 kHz）</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7.输入阻抗  20kΩ（平衡) ，10kΩ（非平衡)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8.阻尼系数：典型值1000（8Ω，20 Hz -200 Hz）</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9.信噪比(A记权，20Hz-20kHz)  ≥100dB</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台唇扬声器功率放大器Ⅱ</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1.额定功率（EIAJ THD=1%,1kHz，各通道同时工作）:8Ω/立体声  2×300W 、4Ω/立体声  2×450W 、8Ω/桥接  1*900W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2.RMS输出电压(THD=1%,1kHz)   49.0V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3.输入灵敏度&amp;增益: 0.775Vrms  26 dB 可选择（额定输出功率 ,1kHz）</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4.失真率+噪声：典型值0.05%（10%额定输出功率，1kHz、8Ω）</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5.串扰抑制（低于额定功率， 20 Hz -1 kHz）  ≥75 dB</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6.频率响应：典型值±0.5dB  （10% 额定输出功率，8Ω，20Hz - 20 kHz）</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7.输入阻抗  20kΩ（平衡) ，10kΩ（非平衡)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8.阻尼系数：典型值1000（8Ω，20 Hz -200 Hz）</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9.信噪比(A记权，20Hz-20kHz)  ≥100dB</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辅助扬声器功率放大器</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1.额定功率（EIAJ THD=1%,1kHz，各通道同时工作）:8Ω/立体声  2×500W 、4Ω/立体声  2×750W 、8Ω/桥接  1*1500W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2.RMS输出电压(THD=1%,1kHz)   63.2V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3.输入灵敏度&amp;增益: 0.775Vrms  26 dB 可选择（额定输出功率 ,1kHz）</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4.失真率+噪声：典型值0.05%（10%额定输出功率，1kHz、8Ω）</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5.串扰抑制（低于额定功率， 20 Hz -1 kHz）  ≥75 dB</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6.频率响应：典型值±0.5dB  （10% 额定输出功率，8Ω，20Hz - 20 kHz）</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7.输入阻抗  20kΩ（平衡) ，10kΩ（非平衡)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8.阻尼系数：典型值1000（8Ω，20 Hz -200 Hz）</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9.信噪比(A记权，20Hz-20kHz)  ≥100dB</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流动返听扬声器功率放大器</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1.额定功率（EIAJ THD=1%,1kHz，各通道同时工作）:8Ω/立体声 4×600W 、4Ω/立体声  4×900W 、8Ω/桥接  2*1800W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2.RMS输出电压(THD=1%,1kHz) 69.3V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3.输入灵敏度&amp;增益: 0.775Vrms  26 dB 可选择（额定输出功率 ,1kHz）</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4.失真率+噪声：典型值0.05%（10%额定输出功率，1kHz、8Ω）</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5.串扰抑制（低于额定功率，20 Hz -1 kHz）  ≥75 dB</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6.频率响应：典型值±0.5dB（10% 额定输出功率，8Ω，20Hz - 20 kHz）</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7.输入阻抗  20kΩ（平衡) ，10kΩ（非平衡)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8.阻尼系数：典型值1000（8Ω，20 Hz -200 Hz）</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9.信噪比(A记权，20Hz-20kHz)  ≥100dB</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数字调音台</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操作系统：</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基于Linux操作系统开发，运行安全稳定</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4核CPU处理器，1G主频，17秒</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左右</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急速开机，运行速度更快</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10.1寸高清触控显示，中英文操作界面，自由切换，更易上手</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关机参数自动保存</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24路MIC/Line输入,2组3.5莲花立体声输入,1组3.5立体声耳机输入接口，2组数字输入:声卡，MP3，AES数字输入</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可同时连接两台16进8出的舞台接口箱，实现输入输出10扩展，最大支持66路信号输入，36路信号输出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支持网络音频协议，实现音频信号通过交换机进行输入输出信号路由</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8*8多通道播放录音功能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8个DCA编组,8个静音编组</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自带信号发生器(粉红噪音/正玄波/白噪声)选配蓝牙5.0无损数字播放</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每路输入独立5段参量EQ可调，高低通滤波器任意分频</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自带声卡/MP3,支持U盘/PC端播放、录音</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奇偶通道立体声联调功能(LINK)</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输入通道独立反馈抑制器功能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集成RTA实时频谱显示功能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20路混音信号输出，支持AES输出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每路输出独立15段参量EQ可调(主输出31段)，高低通滤波器任意分频</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内置4路独立效果器，专业效果DSP芯片</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集成自动混音功能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中英文界面显示，支持PC/iPad/android无线远程控制</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26个100mm，ALPS高精度电动推子</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Linux操作系统，非安卓系统，不死机无病毒干扰</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1280*800高清电容触摸屏显示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RS232中控联机控制</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接口箱</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1、16路MIC/Line输入1路 数字输入：光纤/声卡，MP3</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2、输入通道声像调节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3、自带反馈抑制器</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4、MIC输入增益调节（数字增益）</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5、+48V幻象电源（MIC通道均可独立打开关闭）</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6、内置噪声门、压限器，高低通，输入5段参量均衡，延时，输通道声像平衡调节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7、通道参数快速拷贝功能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8、输入输出EQ ON/OFF</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9、多功能旋钮，方向按键</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10、各通道均设有多功能菜单，哑音和监听</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11、8路信号输出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12、输出处理:高低通滤波，11段参量均衡，压缩器，延时，相位</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13、数字录音功能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14、双排3色12段电平指示灯</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15、内置声卡（MP3、PC直接播放音乐）</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16、4个快捷场景调用模式，20个场景存储</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17、用户参数的存储与调取（可在pc端管理）</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18、内置两路DSP效果器</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19、光纤输入/输出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20、支持有线网口调节（或外接路由器无线调节）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21、480*272电容触摸显示屏</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数字音频处理器I</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 工作电源:AC110~240V,50Hz/60Hz</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 采样率/量化位数：48K/24bit</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 40bit DSP浮点运算引擎</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 模拟输入、输出通道数量:16 x 16</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 输入益:0/3/6/9/12/15/18/21/24/27/30/33/36/39/42/45 dBu</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 幻象电源:+48V/10mA max</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 频率响应(20~20kHz):±0.15dB</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 最大电平:+18dBu</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 THD+N:&lt;-94dB @17dBu</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 输入动态范围：110dB</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 输出动态范围：112dB</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 通道隔离度 @1kHz:108dB</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13. 输入阻抗(平衡接法):5.4KΩ</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 输出阻抗(平衡接法):600Ω</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 系统延时:&lt;3ms</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监听扬声器</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1.频率响应  65Hz-20kHz (±3dB)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2.低音  FH0501H-1 (5")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3.高音  FE015 (3/4" dome)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4.最大声压级(@1m)  107dB (对)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5.额定功率  LF: 50W HF: 20W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6.音乐功率  LF: 100W HF: 40W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7.总谐波失真(音箱)  50Hz-100Hz &lt;2%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100Hz-20kHz &lt;1%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8.功率失真（T.H.D）  THD: 0.05% @ 1kHz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9.输入连接器  XLR(XLR+1/4"TRS)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10.输入灵敏度  0dBv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11.输入阻抗  10kΩ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12.分频点  2.2kHz</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监听耳机</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灵敏度：93dB士3 dB@1KHz</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频率响应：15Hz-28kHz</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阻抗：60Ω</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喇叭尺寸：Ф 40mm</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额定功率：20mW</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最大功率：60mW</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线缆长度：&gt;3m</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插头：Ф3.5mm 立体声</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标准头戴压力：3N</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类型：动圈振膜耳机</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音箱支架</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1.材质:铁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2.音箱支架</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3.承重：30KG</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双通道无线手持话筒套装</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主机工作电压：DC--12V</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工作电流：600mA</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功耗：7.2W</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显示屏：1.77彩色显示屏*1</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射频载波范围： 615~695MHZ</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工作距离150米</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制式：FM</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导频方式：数字导频</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最大频道数：60*2</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系统兼容性：12台同时使用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频率响应：80HZ ~ 15KHz (±3db)</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动态范围：&gt;90dB</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系统失真/总谐波失真THD：&lt; 0.5%</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信噪比：S/N&gt; 100db（A）</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射频灵敏度： -98dbm for 30db S/N Ratio</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镜像抑制：&gt; 75db</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输出接口： (XLRx4)/(1/4-inch connector×1)</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音频输出水平： (XLR:+10dbV) / (1/4-inch connector:+8dbV)</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输出阻抗： (XLR:3KΩ) / (1/4-inch connector:3KΩ)</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电源要求： 12V/1000mA</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工作温度范围：0-50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音频输出电压：0.3V</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邻频干扰抑制：&gt;60dB</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手持话筒参数：</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拾音器类型：动圈式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咪芯指向性：心形指向</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拾音灵敏度：&gt;-20dBM（1V）</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发射功率：&gt;+10dBM(10mW)</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麦克风功耗：110mHA</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有效距离：无障碍直线100米</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音频响应：100HZ—15KHZ</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频率稳定度：+-0.001%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防手机电磁波：有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增益：10db</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副波抑制：&gt; 50db</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导频：数字导频</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显示方式：单色LCD</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电源要求：1.5V*2(AA)</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电池寿命：&gt; 10小时/ 以2400mAH计算</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配支架</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双通道无线头戴话筒套装</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主机工作电压：DC--12V</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工作电流：600mA</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功耗：7.2W</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显示屏：1.77彩色显示屏*1</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射频载波范围： 615~695MHZ</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工作距离150米</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制式：FM</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导频方式：数字导频</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最大频道数：60*2</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系统兼容性：12台同时使用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频率响应：80HZ ~ 15KHz (±3db)</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动态范围：&gt;90dB</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系统失真/总谐波失真THD：&lt; 0.5%</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信噪比：S/N&gt; 100db（A）</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射频灵敏度： -98dbm for 30db S/N Ratio</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镜像抑制：&gt; 75db</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输出接口： (XLRx4)/(1/4-inch connector×1)</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音频输出水平： (XLR:+10dbV) / (1/4-inch connector:+8dbV)</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输出阻抗： (XLR:3KΩ) / (1/4-inch connector:3KΩ)</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电源要求： 12V/1000mA</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工作温度范围：0-50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音频输出电压：0.3V</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邻频干扰抑制：&gt;60dB</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话筒参数：</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拾音器类型：电容式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咪芯指向性：超心形指向</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拾音灵敏度：&gt;-20dBM（1V）</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发射功率：&gt;+10dBM(10mW)</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麦克风功耗：110mHA</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有效距离：无障碍直线100米</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音频响应：100HZ—15KHZ</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频率稳定度：+-0.001%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防手机电磁波：有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增益：10db</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副波抑制：&gt; 50db</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导频：数字导频</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显示方式：单色LCD</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电源要求：1.5V*2(AA)</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电池寿命：&gt; 10小时/ 以2400mAH计算</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配支架</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天线放大器及分配器</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产品尺寸 19”*1U</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供电 DC12 5000mA</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阻抗 50Ω</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增益 内置 3dB/12dB 拆保护盒后可调天线输入插座 BNC</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天线输出插座 TNC 转BNC</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信号覆盖角度 70°扇形信号覆盖UHF 兼容频率范围 470-960MHz</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功能特性:单指向 16 通道天线分配器</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 路话筒BNC天线接口,可接 8 套单频道自动选讯接收机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70 度扇形信号覆盖，指向更精准，避免死角。</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四个话筒电源输出口，工程话筒电源安装更便捷。</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BNC 接头确保连接可靠性。</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单指向天线板可固定在墙面上，或者使用集成式可旋转支架固定在墙面支架上</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合唱话筒</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大振膜人声话筒</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传感器类型：电容</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拾音模式：心形</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频率响应：20Hz-20kHz</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灵敏度：-35 dB V/PA，等效自噪：10 dB(A)</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输出阻抗：150 欧（1kHz）</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配支架</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室内全彩LED显示屏（主屏）</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显示屏尺寸：8000mm*4480mm</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1、物理像素点间距：1.86mm，采用SMD1515封装，像素密度≥288906点/㎡；</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2、刷新率≥3840HZ</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3、白平衡亮度：≥500cd/㎡可调</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4、视角：水平≥160°,垂直≥160°</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5、平整度等级：符合SJ/T 11141-2017标准C级；P≤O.5mm；拼接模块间隙≤0.05mm，模组间隙≤0.05mm；平整度≤0.03mm；像素中心距相对偏差等级：符合SJ/T 11141-2017标准C级；Jx≤5%；水平相对错位等级：符合SJ/T 11141-2017标准C级；Cs≤5%；垂直相对错位等级：符合SJ/T 11141-2017标准C级；Cc≤5%；发光点中心距偏差:≤1%；</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6、为保证LED显示屏的颜色表现能力，色域空间LED显示屏Color Space覆盖率≥120%YIQ（NTSC），LED显示屏Color Space覆盖率≥170%YUV（PAL），色域支持支持BT.2020、DCIP3、BT.709、sRGB 等多种模式切换；</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7、支持DVI、HDMI、DP信号输入，支持信号自动识别,无输入信号自动黑屏,检测到信号自动唤醒；支持任意非标准分辨率信号输入自适应，输出范围可进行缩放实现最佳分辨率匹配，避免屏幕比例异常及黑边现象；</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8、像素失控率≤1/1000000，依据SJ/T 11141-2017标准测试，出厂时为0，无连续失控点、常亮点。</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35.84</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室内全彩LED显示屏（侧屏）</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1、物理像素点间距：2.5mm，采用SMD2121封装，像素密度≥160000点/㎡；</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2、刷新率≥3840HZ</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3、白平衡亮度：≥500cd/㎡可调</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4、视角：水平≥160°,垂直≥160°</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5、平整度等级：符合SJ/T 11141-2017标准C级；P≤O.5mm；拼接模块间隙≤0.05mm，模组间隙≤0.05mm；平整度≤0.03mm；像素中心距相对偏差等级：符合SJ/T 11141-2017标准C级；Jx≤5%；水平相对错位等级：符合SJ/T 11141-2017标准C级；Cs≤5%；垂直相对错位等级：符合SJ/T 11141-2017标准C级；Cc≤5%；发光点中心距偏差:≤1%；</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6、为保证LED显示屏的颜色表现能力，色域空间LED显示屏Color Space覆盖率≥120%YIQ（NTSC），LED显示屏Color Space覆盖率≥170%YUV（PAL），色域支持支持BT.2020、DCIP3、BT.709、sRGB 等多种模式切换；</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7、支持DVI、HDMI、DP信号输入，支持信号自动识别,无输入信号自动黑屏,检测到信号自动唤醒；支持任意非标准分辨率信号输入自适应，输出范围可进行缩放实现最佳分辨率匹配，避免屏幕比例异常及黑边现象；</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8、像素失控率≤1/1000000，依据SJ/T 11141-2017标准测试，出厂时为0，无连续失控点、常亮点。</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5.99</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LED视频处理器</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单台设备最大带载2080万像素点，最大宽度可达16384像素，最高8192像素，满足现场超宽、超高显示屏控制。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最大支持4K×2K@60Hz视频输入，并最大可支持9路视频信号输入，最多支持16个图层资源并支持输出画面无级缩放、逐点亮色度校正等功能，可提供优异的图像显示。</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多媒体播放器</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带载不少于230万；</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最宽支持4096、最高支持4096。</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支持多路视频开窗，2路4K、6路1080P、10路720P、20路360P。</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支持USB3.0接口，支持U盘节目导入播放和即插即播两种方式。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支持同步异步双模式，支持外部HDMI输入与内部播放功能；并且支持HDMI 环出功能。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HDMI环出输出功能，支持外部HDMI输入的环出也可以切换到内部播放内容的环出。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支持千兆以太网通信。</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支持板载4G模块和5G模块。</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支持手动、射频模块、GPS和NTP对时同步播放机制。</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钢结构</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1.钢结构</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2.屏体主结构框架采用镀锌钢管制作，显示屏屏体主支撑采用镀锌钢管制作，以确保屏体强度.安全性及可维护性</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41.83</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无线投屏器</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 视频输出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可同时通过HDMI和VGA输出相同内容</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输出的分辨率可以不同</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输出分辨率</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可达1080p/1920×1200</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屏幕上同时显示的视频源数</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最大支持4分屏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同时连接数量16</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 帧数</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可达30帧/每秒</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 无线传输协议</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ieee802.11ac/802.11n</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 传输距离</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按键与主机之间最大距离为30m</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同频传输延时</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&lt;100m(平均值)</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 频段</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2.4hz或5g(默认5gHz)</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 温度范围</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运行:+5°C+40°C</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存放:-20°~+60c</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 湿度范围</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存放:0~90%相对湿度,无冷凝</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运行:0~90%相对湿度,无冷凝</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LED专用配电柜</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能配电柜，380V转220v配电装置，采用三相配电平衡方案，具有过流、短路、断路、欠压、过热等保护措施，保护屏幕用电安全，配电柜内部空开每路荷载3kw，具有延时上电功能。配电柜配置专业多功能卡，可与控制电脑通过网线连接，用户可通过电脑端软件读取屏幕相关数据、远程控制屏幕开关机，无需手动拉闸或按钮控制。</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广播扩声管理主机</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规格:4核，8g，1Tb硬盘，满足基本管理要求</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该产品为政府强制采购节能产品，签订合同时提供国家确定的认证机构出具的、处于有效期之内的节能产品认证证书。</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4K30 HDMI 分布式节点（墙面/地面）</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集H.264/265编解码的IP矩阵节点，采用墙面安装造型，支持4K30分辨率，可以作为编码也可以作为解码，支持POE供电，支持双向音频传输、RS232、USB(HID)等功能接口</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4K30 HDMI 分布式节点</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集H.264/265编解码的分布式节点，支持POE供电，支持4K30分辨率，可以作为编码也可以作为解码，支持双向音频传输、RS232/485、IR、USB(HID)等功能接口</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分布式安装笼</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分布式拼接的安装笼，一个安装笼可以装10台收发器</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报告厅交换机</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24口POE千兆网络交换机</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中控主机</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ARM 800MHz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Linux 4.1.15 内核 / 512M RAM / 8192M EMMC Flash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2Pin隔离低压继电器30VDC/AC 1A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2Pin数字I/O输入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2Pin红外或单向RS-232串行通讯口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DB9双向RS-232串行通讯口(带隔离保护)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7Pin双向RS-232/422/485串行通讯口(带隔离保护)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RST系统复位按钮</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LED系统状态指示灯</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RJ45 10M/100M以太网接口</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红外学习窗</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可编程按键</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液晶显示屏</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1.Windows、鸿蒙、安卓和IOS客户端，所有可视化界面相同，操作实时同步。</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2.支持系统中所有信号的预览，支持至少5路以上信号源同时预览。</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3.支持回显模式，交互平板实时回显大屏幕上显示的内容。</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4.支持多种开窗方式，支持从图像预览框拖动到屏幕区开窗，支持选中预览信源在屏组划区域开窗；</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支持交互平板双指或单指放大、缩小屏幕上的图像，支持单指移动图像到指定的位置，支持将图像移除屏幕区域。</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 支持自动缩放开窗，替换开窗，自由开窗模式，叠加开窗。</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6.支持一键调用已保存的场景，保证视频的内容和窗口位置信息、音频的状态等相关参数都通过一键恢复到之前的状态以应对应急需求。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7.支持全屏轮询和区域轮询。</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8.支持交互平板对大屏幕画面叠层之间的切换，支持图像置顶或置底等操作体现。</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9.支持交互平板对音频处理器等音频设备进行可视化的控制，实现调整音量大小，静音以及取消静音等功能。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10.支持控制端反向控制电脑。</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11.支持交互平板对大屏播放的宣传片进行播放、暂停，静音，播放进度等控制，可以快进到播放重要的内容。</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12.支持无需人为配合，实现交互平板对电脑的PPT播放，轻松实现向上或向下翻页。</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13.支持一个可视化终端同时管理多个屏组，实现可视化的便捷操作。</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14.支持多样化控件：一键打开网页，一键调用程序。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15.支持多种字幕、条幅、台标功能。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16.支持节点，亮度，对比度，色度，饱和度调整。</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17.支持交互平板对网络摄像头的远程控制包含聚焦、变焦、放大、缩小、定位等。</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18.支持交互平板对环控设备的直接控制，支持大屏的开关机，支持灯光、空调、窗帘、投影机、投影幕、会议摄像头等周边设备的控制。</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19.支持根据现场应用场景需求定制操控界面，对需求的控制元素进行图形化表达和控制，达到所见即所得的操作体验感受。</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多媒体实时分发服务系统；支持任意格式的视频文件转化为统一格式的流媒体信号源供分布式系统信号预览和开窗上屏显示；支持图像、视频等格式的文件转化为统一格式的流媒体信号源供分布式系统信号预览和开窗上屏显示；实现播放资源统一管理，无需多组电脑频繁操作。</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21.安防IPC对接服务系统：支持ONVIF类型的摄像机接入；支持不少于40000路IPC接入,不少于500路IPC定时自动轮巡显示,支持指定大屏幕某区域窗口轮巡。</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1U机架式8路电源控制器</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（1）≥8路强电或弱电开关控制；</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（2）支持可编程定义各种逻辑开关(常开、互锁、时序开关等)；</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（3）支持可定义时序开关动作时序，编程方式为行为记忆功能，开关顺序可随心所欲，最多支持16个动作，。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（4）选配标准RJ45网络控制接口，既可满足网络控制要求,支持TCP、UDP连接方式，使控制更方便。</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（5）支持标准RS232数据接口,开放控制协议，既可满足中央控制器和PC机控制要求。可级连8台设备</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（6）支持标准RS485数据接口,开放控制协议，既可满足中央控制器和PC机控制要求。可级连8台设备</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（7）支持外部IO接口,既可满足中央控制器IO、RELAY及纯开关的控制要求。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（8）支持标准USB数据接口，与PC连接更方便。</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（9）支持键盘锁(LOCK)功能，防止误操作，便于用户管理。</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（10）支持一键出厂恢复功能。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（11）支持一体化扩展功能,确保关机时序正确,彻底解决关机冲设备问题。</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36路单向IR/RS232分配器</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支持一路IR/RS232输入，36路IR/RS232输出</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专业版成像灯</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 总功率：220W/</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 LED光源:200W,双色温</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 输入电压：AC110-240V</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 色温3200K/5600K/发光角度19/26/36/50,控制模式：DMX512/手动。通道模式:4CH</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 使用寿命：50000万小时</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 显色指数：95%</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7.安装形式:含灯勾、保险绳、线管、辅材、吊装件等</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三合一光束灯</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1.输入电压：100-240V AC / 50-60Hz</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2.额定功率：500W@220V</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3.灯泡规格：YODN  17R  350W</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4.色温 7500K  额定寿命 2000H</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5.颜色：1个颜色盘 14个颜色+白光 可双向变速彩红流水效果</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6.图案：2个图案盘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一个固定图案片：15个光束图案、具有双向流动，变速抖动效果</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一个玻璃图案盘：8个玻璃图案，可插拔更换，可双向变速旋转</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7.棱镜：2个棱镜盘16棱镜和16+8棱镜(可双向变速旋转) 棱镜可重叠</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8.七彩：一个七彩盘  0-100%线性七彩</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9.雾化：1个雾化盘 0-100%线性雾化</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10.频闪：2个频闪片 双片式频闪 0.5-14次/秒</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11.调光：0-100%线性调光</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调焦：DMX线性调焦，光束角度（0-5°）</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12.控制方式：国际标准DMX512信号，3芯、5芯DMX512接口，20/24个通道控制</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13.其他功能：超静音三相电机，水平垂直速度可调，显示灯具灯泡使用时间，2.8寸触摸彩屏。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14.防水等级：耐高温工程塑料，IP20</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15.安装形式:含灯勾、保险绳、线管、辅材、吊装件等</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四合一全彩帕灯</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 额定电压：AC100V-240V，50HZ/60HZ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 额定功率：180W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 光源：18颗10W（RGBW 四合一）大功率LED</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 驱动电流：750MA   显示界面：数码管显示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 操作：显示板控制，自走/自定义编程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 接收信号：DMX512信号，带主/从机功能，内置自走程序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 通道：9个DMX通道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 调光：0-100%线性调节，会场暖光功能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 频闪：独立电子频闪，1-25Hz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 透镜：新型25゜珠面透镜，光效更加均匀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 投光角度：25゜，45゜ 可选</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 要求：耗电量小，环保节能，亮度高，光源寿命长，光效均匀，色彩丰富，电子温度检测，使整机工作更加稳定</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13. 冷却系统：智能风扇控制，常温工作时0噪音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 外壳：压铸铝</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15.安装形式:含灯勾、保险绳、线管、辅材、吊装件等</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平板柔光灯</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1.工作电压：100-240V AC50/60Hz</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2.寿命：50000小时</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3.额定功率：200W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4.色温：3200K/5600K (±200K)  可选</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5.显色指数：Ra≥90</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6.调光：0-100%线性调光平滑无闪烁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7.灯珠数量：432颗贴片灯珠</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8.显示方式：4种LED数码显示地址码</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控台</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规格:支持中文菜单显示且内置多国语言。</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内置一个15.6寸触摸屏并可扩展外接一个17寸触摸屏。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内置USP电源，不接入交流220V电可正常操作3小时。</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支持Artnet并可扩展至64个DMX输出口32768个通道。</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10个宏按键可编辑任何程序。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20个重放打推杆支持10000个虚拟重放。</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强大的CMY调色板功能。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支持涂鸦式手写命名功能。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支持CITP协议可预览服务器或数字灯的内置素材。</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预留一个外部的WI-FI接入点，可使用移动设备进行遥控。</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内置超过1000个世界主流灯具灯库并内置灯库编辑写入软件。</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内置可视化舞台模拟软件，支持视频。</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提供MIDI时间码控制，由MIDI摇控重放按钮或推子。</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内置像素映及内置图形发生器。</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直通柜</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1.供电电压:三相五线制AC380V+-10%, 频率50Hz+-5%.</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2.额定功率:12*4KW，采用镀银触点40A大功率继电器</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3.面板显示:采用高档1.3英寸OLED显示屏,中英文操作界面。</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4.过载和短路双保护空气开关</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5.2路485接线端口，支持DMX512协议,ModBus协议，也可定制各种485通信协议</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6.2路标准以太网接口，支持标准Artnet和MQTT协议，也可定制各种标准的网络接口协议</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7.电箱控制通道路数:12路</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8.支持手机、平板、控台、智控等联机控制</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信号放大器</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1.工作电压AC220 50HZ，功率：30W 电源保险：5A</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2.DMX通道1进8出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3.电源采用环形变压器降压；每路独立供电、桥式整流滤波电路，整体工作性能稳定，功耗低</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4.抗干扰能力强，防静电。</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雾机</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1.电压：110V/220V-250V/50-60HZ</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2.功率：600W</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3.控制方式：定时定量线控、DMX512</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4.预热时间：12分钟</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5.油瓶容量：2.5公升</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6.耗油量：（100﹪输出）：45分钟/公升</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7.喷烟量：3500cu.ft/min</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8.功能、用途:含双雾油</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舞台机械控制系统</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规格:5路舞台机械一体化控制箱，主要元器件采用：接触器．22／12型．每回路并配备单路电源保护装置，系统具备：自动防缺相、防过载、上、下限位保护等功能面板上带电锁、急停、复位、上下限位指示灯。</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电动景幕吊杆装置（前檐幕）</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类别:多层缠绕吊杆机  采用铝合金RV110系列减速机，减速机速比1:38.6；电机功率：2.2KW铝合金制动电机；额定电流：5.22A；转速：1450；功率因素：0.81；刹车力矩（Nm）：60；具有上下行程限位装置，超行程装置，冲顶极限装置（切断 380V 主电源）、过载保护装置以及传动装置；</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（1）载荷：400kg</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（2）功率：2.2KW  4P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（3）运行速度：0.25m/s</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（4）吊点：4个吊点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（5）升降行程：根据现场定制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（6）定位精度：≤5mm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（7）运行噪音：≤50dB（A）</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（8）制动装置：失电制动器</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（9）吊杆机卷绳形式：多层缠绕</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（10）安全措施：上下限位保护、防冲顶保护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（11）卷扬系统：电动机、齿轮箱、制动器、卷轮、滑轮组件和配件等；电机带制动器；钢丝绳安全系数不小于10。检测和保护装置：行程检测系统、超程保护、松绳检测、过流保护等。</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（12）通过国家权威部门依据WH/T28-2007（舞台设备台上设备安全）检验检测</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含防尘堵头</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舞台前沿幕（含衬里）</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1、选用150D自弹丝加密丝绒，</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2、每平方米重量为280克，具有吸音、吸光等；衬里为棉布,棉纱线织成,透气性好，吸湿性强,耐磨、</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强度高、湿强下降较少、手感柔软光洁；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3、燃烧性能等级</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参考</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GB 8624-2012 B1级+C71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59.04</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电动灯光吊杆装置</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类别:多层缠绕吊杆机  采用RV110系列减速机，减速机速比1:42.6；电机功率：3KW制动电机；额定电流：6.82A；转速：1450；功率因素：0.81；刹车力矩（Nm）：60；具有上下行程限位装置，超行程装置，冲顶极限装置（切断 380V 主电源）、过载保护装置以及传动装置；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（1）载荷：600kg</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（2）功率：3KW  4P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（3）运行速度：0.2m/s</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（4）吊点：4个吊点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（5）升降行程：根据现场定制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（6）定位精度：≤5mm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（7）运行噪音：≤50dB（A）</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（8）制动装置：失电制动器</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（9）吊杆机卷绳形式：多层缠绕</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（10）安全措施：上下限位保护、防冲顶保护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（11）卷扬系统：电动机、齿轮箱、制动器、卷轮、滑轮组件和配件等；电机带制动器；钢丝绳安全系数不小于10。检测和保护装置：行程检测系统、超程保护、松绳检测、过流保护等。</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含防尘堵头</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收线框</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类别:舞台灯光吊杆专用收线装置1000*400*250mm；每道升降灯杆配一个收线框，每个收线框配2套U型抱箍，每套平垫圈一个，弹簧垫圈一个，六角头螺母一个</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双管桁架杆体</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类别:H型杆体；￠48双管桁架结构，分上、下两层，中间采用40*20方管连接，防锈底漆、黑色面漆（前檐幕/横侧幕）</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含防尘堵头</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道</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舞台栅顶钢结构</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1.舞台栅顶钢结构</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参考</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钢结构设计标准GB 50017-2017 ；钢结构工程施工质量验收标准GB 50205-2020；钢结构高强度螺栓连接技术规程（JGJ 82-2011）；钢结构件应设计合理，强度、刚度及稳定性能均符合要求。</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59.04</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舞台专用航空钢丝绳</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规格:热镀锌≥￠4.2航空钢丝绳，抗拉强度达1770Mpa，6×19+NF，破断拉力≥16.5KN</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吊杆号码牌</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规格:双面标示号码，上面标明吊杆承载，蓝底白字反光号码牌</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电源电缆线Ⅰ</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1.配线形式:综合考虑</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2.型号:ZR-FVR</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3.规格:3*2.5mm2</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4.材质:铜</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电源电缆线Ⅱ</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1.配线形式:综合考虑</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2.型号:ZR-FVR</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3.规格:3*1mm2</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4.材质:铜</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报告厅信号线</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1.配线形式:综合考虑</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2.型号:RVVP</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3.规格:4*0.3mm2</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4.材质:铜</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报告厅时序电源</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1.面板颜色:铝黑色。</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2.通道数</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:8路万用插座继电器受控 2路直通插座。单路功率/总功率/输出电流：2000W/6000W/30A277VAC。输出电源插座规格:阻燃BS材料,最大可承受13A电流磷铜材质,标准万用插座。</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3.电路板规格:双面纤维板,主电源走线二次加厚加粗处理。</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4.供电规格:内置开关电源,适用全球电压AC90-2607 50-60H7</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5.开启类型:按键式轻触开关。</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6.短路过流保护断路器配置:断路器火线控制,过流保护,(40A短路保护)。</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操作台</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1.规格:1850*900*750mm，可根据用户现场需求调整</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基材：采用优质冷轧钢板，金属喷漆（塑）涂层(硬度、冲击强度、耐腐蚀、附着力）均检测合格，化学成分(碳、硅、锰、硫）均检测合格，力学性能（抗拉强度、断后伸长率）检测合格，中性盐雾试验（NSS）连续喷雾≥500h，镀（涂）层对基体的保护等级达到10级，镀（涂）层本身耐腐蚀等级达到10级；符合QB/T3826-1999《轻工产品金属镀层和化学处理层的耐腐蚀试验方法中性盐雾试验（NSS）法》；GB/T11253-2019《碳素结构钢冷轧钢板及钢带》标准。</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报告厅42U机柜</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规格:42U、600*600*2000mm</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多媒体地插盒</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规格:翻盖式</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墙面接口箱</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规格:音频接口</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报告厅音箱线</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规格:2.5平方金银线</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报告厅话筒线</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规格:128编话筒线</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报告厅电源线</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1.型号:RVV</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2.规格:3*2.5mm2</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6类四对非屏蔽双绞线</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规格:6类四对非屏蔽双绞线</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六、智慧黑板</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触控一体机</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1、液晶显示屏86吋，显示比例：16:9，分辨率不小于3840×2160，4K UHD超高清。屏幕亮度：≥350cd/㎡；</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2、采用红外触控技术，手指、触控笔轻触、实现多点互动、多人同时流畅书写，并支持40点触控；</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▲3、前置端口：≥3路双通道 PC/Android 共享 USB 接口 、≥1 路Touch-USB、≥1 路 HDMI输入接口、≥1路TYPE-C输入接口；（提供第三方检测机构出具的具有CMA标识的检测报告扫描件或复印件。）</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4、前置八个物理按键包含：开关机、信号源、菜单、音量+、音量-、节能、主页、电脑，并具有隐藏式电脑一键还原按钮；</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5、设备自带两支可磁吸式触控笔，并可吸附在设备正面，方便使用及收纳。</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6、RAM≥4GB，ROM≥32GB，并支持蓝牙5.0技术；</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7、支持同时四画面无线传屏，并支持反向控制，双向控制，支持扫码传屏，支持手机、PAD和电脑多终端平台使用；</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8、后置接口：≥HDMI×1、≥USB×2、≥Touch USB×1、≥同轴输出×1、≥TF CARD×1、≥耳机输出×1、≥RJ45×1、≥R232×1、≥VGA×1、≥PC audio in×1；</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9、智能护眼：设备具有全通道减滤蓝光护眼功能，具有检测到用户触摸屏幕时，自动调节屏幕亮度以减小对眼睛的刺激，并具有纸质护眼功能，全通道实现多种不同类型纸质护眼效果；</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信号源：支持用户自定义开机后直接进入对应通道画面，支持自定义设置安卓系统、内置电脑（OPS）、HDMI等、如果HDMI/VGA等有信号时可自动开机、并支持接入信号源时，可自动跳转到对应通道，并可在任意通道下将画面冻结；</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支持可以任意场景下截取屏幕内容，可调节大小部分截取、或者全屏截取，并具有支持一个按键将屏幕下移，方便老师操作，并具有全通道录屏功能，录屏的同时，可录制MIC输入声音、系统声音、可将屏幕UI、通道信号内容一起录制下来；</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12、支持手势快捷功能设定，可设置五指上滑、下滑、左滑、右滑可分别对应不同快捷功能，例如息屏、降屏、打开批注、降屏等，此功能可单独开启和关闭；</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13、具有应用锁功能，可通过密码锁定客户指定的APP，打开APP时需要输入密码，并可通过U盘放置特定文件，插拔U盘时解除/锁定屏幕，打开后系统将U盘访问权限锁定，用户无法通过U盘拷贝资料；</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自带白板功能：支持笔设置不同颜色、粗细，并支持三角板、直尺、圆规、量角器等数学工具，支持三角形、多边形、直线、虚线、箭头等十多种规则图形绘制，支持正方体、长方体、圆柱、圆锥等3D图形插入，并可多方协同书写，屏幕可同时启动2/3/4个白板，分开左右区域显示，并可通过二维码分享白板内容；</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其它要求：支持定时器、投票器、幕布、放大镜、聚光灯、录屏等小工具，并具有对触控单元、OPS模块、光感系统、网络模块等模块进行检测，一键清理缓存等垃圾文件清理，一键加速优化后台任务，增加ram可用空间；</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16、摄像头及麦克风：配备≥1300万像素摄像头及8阵列麦克风。</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该产品为政府强制采购节能产品，签订合同时提供国家确定的认证机构出具的、处于有效期之内的节能产品认证证书。</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内置主机</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规格:采用国产化芯片，CPU:≥8核；内存：≥8GB；硬盘：≥256GB 固态硬盘；配备国产化操作系统。</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壁挂展台</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1.像素：无线传输1100万像素（4224*3168）；</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2.图像速度：无线传输模式下，1300万像素动态速度：8~10帧/秒，动画流畅，无明显延时；</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3.展示幅面：A4纸大小。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4.网络频带与速度：5.8GHz，433Mbps(在系统的网络属性中可见)；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5.数据传输方式及切换：支持无线、有线双通道传输，无需换软件，无需按键或开关切换。</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6.开启方式：智能一键开启，无需寻找无线信号源，无需输入密码，打开软件就可使用。</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7.接口：USB3.0接口；</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8.补光灯：LED灯带4级触摸调光；</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9.蓄电池容量：2500mAh；</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10.超级旋钮：机身旋钮可实现视频图像放大缩小，可按压实现拍照；</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推拉绿板（无边框）</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1、结构为一体机居中，两块活动板两块固定板，使用一体机时将两块活动板分别拉开，活动板闭合后接触面为无边框折边设计无障碍书写，外观基本尺寸：420cm*124cm根据一体机尺寸和现场实际需求调整黑板尺寸；</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书写面材质:材料采用优质绿色烤漆板，板面基板厚度≥0.3mm,涂层硬度≥6H，涂层采用丙烯酸树脂漆；表面附有保护膜，用普通粉笔书写，笔迹均匀，字迹清晰，易写易擦，不反光、不变形，整板无拼接，有效保护学生视力；</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3、表面没有明显眩光；面板正常使用寿命≥8年；</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4、内芯材料:高强度泡沫板，厚度10mm；</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5、背板:材料为优质镀锌彩涂板，厚度≥0.2mm；</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边框材料:铝合金；银色，为了保证黑板滑动的强度大框型材壁厚不得小于1.1毫米，连接可靠牢固，接缝平整、光滑；包角材料:抗疲劳ABS工程塑料，模具一次成型；上轨道均为一字型配合T型滑块，下轨道为T型滑道配合半封口凹字滑块，超窄边框，上下左右边框正面宽度不大于2.5CM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7、每块活动板上安装4个滑块，在轨道内滑动无声响，书写不易左右活动，使用更加稳定；</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8.锁具和拉手均采用穿透板体固定更加牢固结实</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七、计算机教室</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虚拟化平台软件</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规格:提供计算虚拟化（含 CPU 配置、热迁移等）、存储虚拟化（含快照、QoS 等）、网络虚拟化（含虚拟网络、安全组等）及运维管理功能（含硬件管理、监控等），支持 API、可视化部署。包含软件授权。</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节点</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桌面云软件</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提供概览、桌面管理、桌面池、模板管理、直通网卡、磁盘管理、镜像管理、虚拟网络、安全组、回收站、终端管理、安装包、认证管理、部门管理、用户管理、角色管理、区域管理、报表统计、策略集、业务日志、资源日志、终端日志、审批管理、定时任务、工单管理、服务巡检、告警策略、告警信息、通知公告、标签管理、集群管理、平台配置（其中不包含文件服务器配置）、终端配置、应用商店、应用分发、GPU 管理、运营大屏、桌面云驾驶舱。包含软件授权。</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用户</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云一体机服务器</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规格:CPU：AMD 64C 128T 2.45GHz 256MB 280W * 2</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内存：64GB DDR4 * 16</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系统盘：480GB 混合型 SATA 6Gb SSD * 2</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数据盘：3.5" 8 T 7200RPM SATA HDD * 10</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存储控制卡：支持raid 0,1,5,6,10,50,60,JBOD* 1</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万兆网卡：双口万兆以太网 SFP+ 网卡 * 2（业务、管理）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光模块：10G SFP+ 多模光模块 * 4</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电源：冗余热插拔电源(1+1) * 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云终端</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规格:2.0GHz 4C 4T 处理器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2GB 内存、8GB 存储</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4×USB2.0 接口 、 2×USB3.0 接口、 1× 千兆网口 、 1×VGA 接口 、 1×HDMI 接口、 1× 音频输出 + 1× 音频输入</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电子教室管理软件</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规格:云课堂软件，供45个学生及1个教师使用，用于培训教室，包含软件授权</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云桌面显示器+键鼠</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规格:23.8英寸 120HZ VGA+HDMI IPS，含配套键鼠</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报告厅扩声管理主机</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规格:4核，8g，1Tb硬盘，满足基本管理要求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该产品为政府强制采购节能产品，签订合同时提供国家确定的认证机构出具的、处于有效期之内的节能产品认证证书。</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八、自动录播教室</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录播教室话筒</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1.采用背极式驻极体、单指向性设计。</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2.三针卡龙接口，输出阻抗:≤250Ω±30% (at 1KHz)。</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3.频率响应等同或优于:50Hz~16KHz，灵敏度:≥-35dB±3dB (0db=1V/Pa at 1KHz)。</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4.安装方式:采用T型杆锁紧螺丝或凸轮锁紧，确保悬臂在伸展状态下不因重力下垂。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关节内部含尼龙/塑料衬套，防止金属摩擦产生噪音。</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录播导播控制屏</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英寸电容式触摸屏，一体化硬件设计，具有录制功能、导播模式、直播、画面切换、开关机≥5大模块，实现开始、暂停、结束录制、设置手动导播或者自动导播、控制开启或关闭直播、切换画面、控制主机的开机或关机多种功能，易用易维护安全性高；</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2.录制功能：支持开始、暂停、结束录制功能；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3.导播模式：支持设置手动导播或者自动导播功能；支持≥8个通道画面进行切换导播。</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4.直播：控制开启或者关闭直播功能；</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1.处理器≥4核，主频≥2.0GHz。</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后面板具有≥8路线路音频凤凰端子平衡输入接口（具有48V幻象供电）、≥8路线路音频凤凰端子平衡输出接口、≥1个拨码开关、≥1个RJ45接口、≥1个RS232接口、≥1个RS485接口、≥8个可编程GPIO控制接口、≥1个接地柱；前面板具有≥2.0英寸 IPS 真彩显示屏、≥1个编码旋钮、≥1个USB存储设备接口。</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3.输入通道支持前级放大、信号发生</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器、扩展器、压缩器、均衡器（≥12段参量均衡、可选10/15/31段图示均衡器可调，图示均衡器可用于单独调节带宽）、闪避器、AGC自动增益、AM自动混音功能（门限式、增益共享式）、AFC自适应反馈消除、AEC回声消除、ANC噪声消除、音频矩阵；输出通道支持均衡器（≥16段参量均衡、可选10/15/31段图示均衡器可调，图示均衡器可用于单独调节带宽）、延时器、分频器、高低通滤波器、限幅器；基于啸叫检测门限更新法，具有移频+陷波组合反馈抑制，可以使用≥24个可编程陷波点，可自由分配动态/静态点，自动/手动切换。</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4.具有矩阵增益调节功能，每个输入通道参与混音的增益可调，增益调节范围等同或优于-72dB到12dB。</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5.音频处理器具有跨平台软件，可运行于windows操作系统或国产操作系统或macOS系统或Ubuntu桌面版操作系统。</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6.产品具有PC客户端、手机移动端、安卓平板端、IOS手机移动端、IOS平板端不同控制方式，可以同时登入APP软件、PC客户端同时连接设备，并实现多端数据的同步。</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7.设备具有编码旋钮和IPS屏幕，可用于控制和配置设备静音，增益，场景；IPS屏幕能够显示IP地址，输入和输出通道的实时电平。</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8.具有设备定位功能，客户端一键定位局域网内同类设备，被定位的设备会显示定位信息。</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9.设备具有统一集中控制功能，支持≥65535台设备通过软件集中控制。</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音频处理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提供第三方检测机构出具的具有CMA标识的检测报告扫描件或复印件。）</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11.支持双机热备份；当主机出现故障时，备用主机自动承担服务，切换时间≤2s。</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采用AI人工智能宽度学习算法进行噪声抑制，根据不同使用场景提供≥三个AI语音降噪档位可调整，有效降低甚至消除语言扩声系统中非人声类噪音信号，如拍掌、敲击桌子等非稳态噪声以及空调声、风扇声等稳态噪声，确保语音清晰度和可懂度（降噪能力≥40dB）。</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音箱</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1.采用≥8只3寸全频喇叭单元。</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2.箱体采用≥12mm高密度板，CNC加工，耐磨喷漆处理。</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3.额定功率≥300W；峰值功率≥1200W</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4.灵敏度≥95dB(1M/1W)</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5.最大声压级（额定/峰值）：120dB/126dB</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6.标称阻抗≤4Ω</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7.频率范围等同或优于70Hz-20kHz</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专业功放</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1.标准≤1U机箱设计。</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2.标准XLR输入接口，和LINK输出口。</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3.电源采用开关电源技术，效率高，有效的抑制电源谐波。</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4.内置智能削峰限幅器，支持开机软启动，防止开机时向电网吸收大电流，干扰其它用电设备。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5.具有：过压保护，欠压保护，过流保护，直流保护，输出短路保护，温控风扇等功能。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6.输出功率：立体声8Ω ：350W×2；立体声4Ω：600W×2；桥接16Ω：700W ；桥接8Ω：1200W。</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支架</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墙面L型支架、万向吊挂架、U型抱箍架</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压铸铝合金、加厚钢板</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15kg - 30kg（壁挂承重受墙体强度影响，需严格核算）</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水平360°旋转、垂直±15°~30°俯仰（部分万向支架支持）</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录播教室电源管理器</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1.支持≥8通道电源时序打开/关闭，每路动作延时时间：≤1秒，支持远程控制（上电+24V直流信号）8通道电源时序打开/关闭—当电源开关处于off位置时有效。支持配置CH1和CH2通道为受控或不受控状态。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2.当远程控制有效时同时控制后板ALARM（报警）端口导通以起到级联控制ALARM（报警）功能。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3.单个通道最大负载功率≥2200W，所有通道负载总功率≥6000W。输出连接器：多用途电源插座。</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4.具有≥1路USB接口。</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录播主机</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1.内置显示屏，显示设备运行状态、参数信息、硬盘容量、音频状态、资源通道录制状态、文件拷贝进度。设备具备≥4个物理按键，具备一键录制、停止、直播以及一键拷贝录制文件的能力。</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具备≥6路HDMI信号输入接口，全HDMI接口视频≥4K分辨率画面采集，具备≥1路Type-C接口采集画面，≥1080P分辨率采集画面。具备≥4路HDMI信号输出接口，其中≥2路4K分辨率以及音频同时输出；其他≥2路HDMI输出口具备自定义通道画面输出。具备≥1路3.5mm音频接口以及≥2路凤凰端子采集音频；≥1路3.5mm音频接口以及≥2路凤凰端子输出音频。</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具备≥3路RS-232凤凰端子接口和≥1路RS-485凤凰端子接口，其中≥1路RS232和≥1路RS485带12V电压供电，可对接各种串口协议设备并对该设备进行供电；具备≥5路USB接口，用于接U盘拷贝文件或者键盘鼠标操作内嵌导播台；具备≥1路802.3ab 1000Base-T千兆RJ45网络接口，≥1路光纤接口，支持IPv4地址和IPv6地址。</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4.设备可实现≥8路4K网络摄像头同时接入解码，具备≥6路资源画面合成输出≥4K分辨率PGM画面。</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具备嵌入式导播控制台，可实时预览≥9路画面，≥1路PGM画面预览和≥8路资源通道预览，≥9路视频流同时录制，录制的文件格式支持MP4、AVI、MOV、FLV、TS和MKV格式。具备独立录制功能，各路录制可自由绑定音频通道，可独立录制控制。</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6.异常修复：具备供电异常导致的损坏的视频文件可进行文件修复，修复的文件格式包括但不限于MP4、AVI、MOV、FLV和MKV视频封装格式。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7.支持对接语音转写服务器，实现语音转写功能，将语音转写成文本并自动生成字幕文件。</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具备软件中控，在录播管理界面填写好中控指令，即可通过界面进行中控操作，对接其它设备进行一键控制；支持录播安卓APP对接和控制；支持对接私有云平台服务器。对接成功后，云平台可对设备进行统一的管控，方便对多台录播设备进行管理。</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音视频互动模式下，可实现HDMI输出主会场和分会场的画面，当主会场开启辅流共享时，主会场和分会场的HDMI接口都输出主会场的电脑课件内容；主会场不开启辅流共享时，主会场的HDMI接口输出主会场的电脑课件内容，分会场的HDMI接口输出分会场的电脑课件内容。</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▲10.加密录制：可实现对录制文件加密录制，≥2种加密方式。（提供功能界面截图）</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具备用户模式和高级模式设置。用户设置：支持一键设置超高清、高清，标清，流畅四个等级；高级设置：可自定义分辨率、码率、帧率。码率支持256kbps~20Mbps，支持动态编码以及静态编码选择；支持自定义分辨率，不同分辨率比例设置，包括9:16、16:9、32:9设置，支持≥4K分辨率；</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12.音频编码支持多种格式，支持AAC、PCM、G.711A、G.711U、ADPCM格式，音频采样率支持48K、44.1K、8K。提供音频管理功能，支持音频混音管理，对≥5路音频输入混音设置以及每路通道音量大小单独控制。"</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嵌入式DSP的编解码器系统</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1.软件内嵌录播主机，运行在Linux操作系统环境，支持B/S管理。</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2.软件支持添加录制片头、添加字幕、添加logo以及预约录制等功能。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3.软件支持对课堂或培训课堂录制的控制和管理，具有录制资源模式、录制电影模式、录制暂停、选择录制格式等功能。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4.软件支持多画面模式等，支持自定义布局。</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5.软件支持通过导播台、导播键盘、导播软件等方式进行控制和管理录播主机。</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前置摄像机</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1.配置4K Sensor和4K镜头。</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2.内置领先的图像识别和跟踪算法。</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3.全自动对焦无畸变镜头，广角视场≥44°，同时支持EPTZ。</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4.CMOS图像传感器可有效降低在低照度情况下的图像噪声，同时应用2D和3D降噪算法，图像信噪比≥55dB。</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5.支持PoE一线通功能，电源、视频、音频、控制三线合一。</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6.支持交织模式，可实现单摄像头同时输出全景和特写信号，实现一机双镜效果。</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7.支持≥3840x2160@30fps分辨率编码网络流输出，并向下兼容。</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后置摄像机</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1.配置4K Sensor和4K镜头。</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2.内置领先的图像识别和跟踪算法。</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3.全自动对焦无畸变镜头，广角视场≥95°，同时支持EPTZ。</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4.CMOS图像传感器可有效降低在低照度情况下的图像噪声，同时应用2D和3D降噪算法，图像信噪比≥55dB。</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5.支持PoE一线通功能，电源、视频、音频、控制三线合一。</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6.支持交织模式，可实现单摄像头同时输出全景和特写信号，实现一机双镜效果。</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7.支持≥3840x2160@30fps分辨率编码网络流输出，并向下兼容。</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高清摄像机</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1.高清摄像机具备≥20倍光学变倍镜头，并支持≥16倍数字变焦；采用1/2.8英寸、≥207万有效像素的高品质HD CMOS传感器。</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2.镜头焦距f4.42mm ~ 88.5mm, 光圈系数F1.8 ~ F2.8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3.支持1080P60，1080P59.94，1080P50，1080I60，1080I59.94，1080I50，1080P30，1080P29.97，1080P25，720P60，720P59.94，720P50分辨率，支持输出帧率≥60帧/秒。</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4.支持HDMI、SDI、USB、网络四路视频同时输出。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5.支持RS232和RS485串口，可对摄像机进行控制；支持预置位数量≥255个，预置位精度：≤0.1°。</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6.水平视场角：60.7°～3.36°；支持水平转动范围：-170°～+170°，垂直转动范围：-30°～+90°，水平转动速度范围：水平：1.7°~ 100°/s，俯仰：1.7°~ 69.9°/s。</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7.支持先进的2D、3D降噪技术。</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8.内置AI技术和行人重识别技术，实现自动识别目标人形并跟踪、自动框选功能。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9.支持AAC音频编码，音质更佳，带宽占用更小。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10.支持PoE供电。</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11.具备≥1路HDMI输出接口、≥1路3G-SDI输出接口、≥1路USB3.0输出接口，具备≥1路3.5mm音频输入接口和≥1路3.5mm音频输出接口。</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高清摄像机管理软件</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 摄像机管理软件采用B/S架构，支持通用浏览器直接访问进行管理。</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 支持网络参数设置与修改，支持一键恢复默认参数。</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 支持曝光模式设置功能，包括自动、手动。</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 支持抗闪烁频率、动态范围、光圈、快门参数设置。</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 支持自动白平衡设置功能，红、蓝增益可调范围0~200。</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 支持噪声抑制设置功能，支持2D、3D降噪。</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 支持摄像机图像质量调节功能，包括亮度、对比度、色调、饱和度。</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 支持摄像机控制功能，包括云台控制、预置位设置与调用、焦距调节等。</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教师定位分析仪</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 扫描方式：逐行扫描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 输出帧率：30fps</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 摄像元件：1/3 "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 有效像素：1920（H）×1080（V）</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 最低照度：0.3Lux</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 通讯方式：RJ-45，支持POE供电</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学生定位分析仪</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 扫描方式：逐行扫描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 输出帧率：30fps</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 摄像元件：1/3 "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 有效像素：1920（H）×1080（V）</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 最低照度：0.3Lux</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 通讯方式：RJ-45，支持POE供电</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教师定位分析软件</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 采用B/S架构设计，支持通用浏览器进行远程访问进行管理；</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 采用图像识别定位分析技术，智能识别教学行为，根据预设的跟踪分析逻辑触发跟踪信号，与录播主机进行跟踪数据对接；</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 支持两种跟踪模式：紧跟模式、“特写”与“全景”切换跟踪模式。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 支持多个区域屏蔽功能，避免屏蔽区域内的干扰，提高系统识别效果；</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 支持检测区域设置，对指定区域进行跟踪分析，支持同时划分多个检测区域。</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 具有“模糊防抖”功能，避免人员小幅度活动时引起的摄像机画面抖动现象。</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学生定位分析软件</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 采用B/S架构设计，支持通用浏览器进行远程访问进行管理；</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 采用图像识别定位分析技术，智能识别教学行为，根据预设的跟踪分析逻辑触发跟踪信号，与录播主机进行跟踪数据对接；</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 支持学生起立跟踪功能，支持当学生起立特写跟踪拍摄，同时支持学生起立后自定义为学生与老师双分屏交互画面；</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 支持多个学生起立跟踪功能，多学生起立切换为学生全景拍摄；</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 支持自定义规定时间间隔自动切换为学生全景画面；</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 支持多个区域屏蔽功能，避免屏蔽区域内的干扰，提高系统识别效果；</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 支持检测区域设置，对指定区域进行跟踪分析，支持同时划分多个检测区域；</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 具有“模糊防抖”功能，避免人员小幅度活动时引起的摄像机画面抖动现象。</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录播教室机柜</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规格:42U、600*600*2000mm</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录播教室音箱线</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规格:E3CVVJ 2*2.5mm2</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录播教室话筒线</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规格:128编话筒线</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高清线</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规格:HDMI，10米</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地插</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规格:音视频插座</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接线盒</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材质：金属</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卡侬头</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规格:三芯卡侬头</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6.5mm三芯音频头</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规格:大三芯头</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接头</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规格:公母接头</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九、年级组会议室</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主扩音箱</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 类型：无源音柱系统</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 低音扬声器：4*3"</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 灵敏度：93dB</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 最大声压级：120dB</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 频率响应：140Hz-20kHz</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 额定功率： 120W</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 额定阻抗：8 OHMS</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 箱体材质：铝合金</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吸顶音箱</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1.类型：同轴吸顶音箱</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2.频率响应：80Hz～20kHz(-6dB)</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3.灵敏度(1W@1m)：90dB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4.定阻阻抗：8Ω</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5.定压定阻切换：70V/100V/8Ω</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6.覆盖角度：100°×100°(H×V)</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7.最大声压级：105dB(@1m)</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8.功率：40W,最大输入功率：≥80W</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9.低音单元：1x8"</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10.高音单元：采用球顶丝膜高音</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主扩音箱功放</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1.额定功率（EIAJ THD=1%,1kHz，各通道同时工作）:8Ω/立体声  2×300W 、4Ω/立体声  2×450W 、8Ω/桥接  1*900W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2.RMS输出电压(THD=1%,1kHz)   49.0V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3.输入灵敏度&amp;增益: 0.775Vrms  26 dB 可选择（额定输出功率 ,1kHz）</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4.失真率+噪声：典型值0.05%（10%额定输出功率，1kHz、8Ω）</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5.串扰抑制（低于额定功率， 20 Hz -1 kHz）  ≥75 dB</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6.频率响应：典型值±0.5dB  （10% 额定输出功率，8Ω，20Hz - 20 kHz）</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7.输入阻抗  20kΩ（平衡) ，10kΩ（非平衡)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8.阻尼系数：典型值1000（8Ω，20 Hz -200 Hz）</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9.信噪比(A记权，20Hz-20kHz)  ≥100dB</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吸顶音箱功放</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1.额定功率（EIAJ THD=1%,1kHz，各通道同时工作）:8Ω/立体声  2×200W 、4Ω/立体声  2×300W 、8Ω/桥接  1*600W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2.RMS输出电压(THD=1%,1kHz)   40.0V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3.输入灵敏度&amp;增益: 0.775Vrms  26 dB 可选择（额定输出功率 ,1kHz）</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4.失真率+噪声：典型值0.05%（10%额定输出功率，1kHz、8Ω）</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5.串扰抑制（低于额定功率， 20 Hz -1 kHz）  ≥75 dB</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6.频率响应：典型值±0.5dB  （10% 额定输出功率，8Ω，20Hz - 20 kHz）</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7.输入阻抗  20kΩ（平衡) ，10kΩ（非平衡)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8.阻尼系数：典型值1000（8Ω，20 Hz -200 Hz）</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9.信噪比(A记权，20Hz-20kHz)  ≥100dB</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会议室数字音频处理器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 工作电源:AC110~240V,50Hz/60Hz</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 采样率/量化位数：48K/24bit</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 40bit DSP浮点运算引擎</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 模拟输入、输出通道数量:8 x 8</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 输入益:0/3/6/9/12/15/18/21/24/27/30/33/36/39/42/45 dBu</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 幻象电源:+48V/10mA max</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 频率响应(20~20kHz):±0.15dB</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 最大电平:+18dBu</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 THD+N:&lt;-94dB @17dBu</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 输入动态范围：110dB</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 输出动态范围：112dB</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 通道隔离度 @1kHz:108dB</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13. 输入阻抗(平衡接法):5.4KΩ</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 输出阻抗(平衡接法):600Ω</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 系统延时:&lt;3ms</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会议室时序电源</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1.面板颜色:铝黑色。</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2.通道数</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:8路万用插座继电器受控 2路直通插座。单路功率/总功率/输出电流：2000W/6000W/30A277VAC。输出电源插座规格:阻燃BS材料,最大可承受13A电流磷铜材质,标准万用插座。</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3.电路板规格:双面纤维板,主电源走线二次加厚加粗处理。</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4.供电规格:内置开关电源,适用全球电压AC90-2607 50-60H7</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5.开启类型:按键式轻触开关。</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6.短路过流保护断路器配置:断路器火线控制,过流保护,(40A短路保护)。</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一拖二手持麦克风</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规格:主机参数:</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主机工作电压：DC--12V</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工作电流：600mA</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功耗：7.2W</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显示屏：1.77彩色显示屏*1</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射频载波范围： 615~695MHz</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工作距离150米</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制式：FM</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导频方式：数字导频</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最大频道数：60*2</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系统兼容性：12台同时使用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频率响应：80Hz ~ 15KHz (±3db)</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动态范围：&gt;90dB</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系统失真/总谐波失真THD：&lt; 0.5%</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信噪比：S/N&gt; 100db（A）</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射频灵敏度： -98dbm for 30db S/N Ratio</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镜像抑制：&gt; 75db</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输出接口： (XLRx4)/(1/4-inch connector×1)</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音频输出水平： (XLR:+10dbV) / (1/4-inch connector:+8dbV)</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输出阻抗： (XLR:3KΩ) / (1/4-inch connector:3KΩ)</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电源要求： 12V/1000mA</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工作温度范围：0-50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音频输出电压：0.3V</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邻频干扰抑制：&gt;60dB</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手持话筒参数：</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拾音器类型：动圈式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咪芯指向性：心形指向</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拾音灵敏度：&gt;-20dBM（1V）</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发射功率：&gt;+10dBM(10mW)</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麦克风功耗：110mHA</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有效距离：无障碍直线100米</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音频响应：100Hz—15KHz</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频率稳定度：+-0.001%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防手机电磁波：有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增益：10db</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副波抑制：&gt; 50db</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导频：数字导频</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显示方式：单色LCD</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电源要求：1.5V*2(AA)</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电池寿命：&gt; 10小时/ 以2400mAH计算</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一拖四短杆会议麦克风</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规格:主机参数:</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主机工作电压：DC--12V</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工作电流：600mA</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功耗：7.2W</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显示屏：1.77彩色显示屏*1</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射频载波范围： 615~695MHZ</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工作距离150米</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制式：FM</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导频方式：数字导频</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最大频道数：60*4</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系统兼容性：6台同时使用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频率响应：80HZ ~ 15KHz (±3db)</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动态范围：&gt;90dB</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系统失真/总谐波失真THD：&lt; 0.5%</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信噪比：S/N&gt; 100db（A）</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射频灵敏度： -98dbm for 30db S/N Ratio</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镜像抑制：&gt; 75db</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输出接口： (XLRx4)/(1/4-inch connector×1)</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音频输出水平： (XLR:+10dbV) / (1/4-inch connector:+8dbV)</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输出阻抗： (XLR:3KΩ) / (1/4-inch connector:3KΩ)</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电源要求： 12V/1000mA</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工作温度范围：0-50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音频输出电压：0.3V</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邻频干扰抑制：&gt;60dB</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会议话筒参数：</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拾音器类型：电容式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咪芯指向性：超心形指向</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拾音灵敏度：&gt;-20dBM（1V）</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发射功率：&gt;+10dBM(10mW)</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麦克风功耗：110mHA</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有效距离：无障碍直线100米</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音频响应：100HZ—15KHZ</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频率稳定度：+-0.001%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防手机电磁波：有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增益：10db</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副波抑制：&gt; 50db</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导频：数字导频</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显示方式：1.77彩色LCD</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电源要求：3.7V3200MAH锂电池</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电池寿命：&gt; 10小时/ 以2400mAH计算</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拾音杆形式：磁吸插拔式，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拾音有效距离：50cm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工作频率:610-690MHz采用微电脑CPU控制</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FM最大调制频率偏: ±45KHz</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通讯指令：采用微电脑CPU控制</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电量提醒：智能电池欠压预警显示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电路指标：PLL锁相环频率合成技术动态音频压缩及自动电平控制电路</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杂讯锁定静噪控制+音码导航锁定静噪控</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会议室机柜</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规格:标准网络机柜，600*600*1610mm 32U</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多媒体桌插</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规格:弹起式多媒体桌插，含音频、视频、网络、电源</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会议室音箱线</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规格:2.5平方金银线</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128编话筒线</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规格:128编话筒线</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会议室电源线</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1.型号:RVV</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2.规格:3*2.5mm2</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十、LED屏显示系统</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户外全彩LED屏（入口）</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规格:简易钣金箱体 常规/低刷 SMD1415 模组尺寸（mm）：320*160 箱体尺寸（mm）：960*960 后维护</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11.47</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钢结构、立柱（入口）</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规格:含8mm胶合免熏蒸木箱、方管、槽钢等</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11.47</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接受卡（入口）</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 集成HUB75；</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 支持常规芯片实现高刷新、高灰度、高亮度；</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 支持14bit精度的色度、亮度一体化逐点校正；</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 支持所有常规芯片、PWM芯片和灯饰芯片；</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 支持静态屏、1/2~1/64扫之间的任意扫描类型；</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 支持任意抽点，支持数据偏移，可轻松实现各种异型屏、球形屏、创意显示屏；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 单卡支持16组RGB信号输出；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 支持超大带载面积，单卡带载128*512，256*256；</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 支持DC 3.3V~6V超宽工作电压，有效减弱电压波动带来的影响；</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电源（入口）</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1.规格:4.5V、40A、180W</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2.全彩单元板专用电源，散热性能好，使用寿命长。</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配电柜（入口）</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1.额定功率：30kW，输出路数：9路</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2.输入电压：三相五线制AC380V±10％，频率50Hz±5％，具有高温断电、浪涌、短路、过流、过载等保护功能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内置避雷器，具有避雷防雷功能。配电柜含多功能卡控制，具有远程控制功能、RS232串口或千兆网口通信。通过LED显示屏智慧控制系统软件搭配多功能卡实现电源监视、温度监控、亮度调节（需搭配光探头）等操作。</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视频处理器（入口）</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1.集视频处理和视频控制于一体的二合一控制器，支持多类型接口高清输入。采用工业级外壳，可适应复杂的操作环境。</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2.支持DVI、HDMI的输入分辨率预设及自定义调节。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3.支持4个网口输出，最大带载260万像素，最大宽度3840像素，最大高度1920像素。</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户外全彩LED屏（操场）</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规格:简易钣金箱体 常规/低刷 SMD1415 模组尺寸（mm）：320*160 箱体尺寸（mm）：960*960 后维护</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39.94</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钢结构、立柱（操场）</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规格:含8mm胶合免熏蒸木箱、方管、槽钢等</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39.94</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接受卡（操场）</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 集成HUB75；</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 支持常规芯片实现高刷新、高灰度、高亮度；</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 支持14bit精度的色度、亮度一体化逐点校正；</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 支持所有常规芯片、PWM芯片和灯饰芯片；</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 支持静态屏、1/2~1/64扫之间的任意扫描类型；</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 支持任意抽点，支持数据偏移，可轻松实现各种异型屏、球形屏、创意显示屏；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 单卡支持16组RGB信号输出；</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 支持超大带载面积，单卡带载128*512，256*256；</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 支持DC 3.3V~6V超宽工作电压，有效减弱电压波动带来的影响；</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电源（操场）</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1.规格:4.5V、40A、180W</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2.全彩单元板专用电源，散热性能好，使用寿命长。</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配电柜（操场）</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1.额定功率：30kW，输出路数：9路</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2.输入电压：三相五线制AC380V±10％，频率50Hz±5％，具有高温断电、浪涌、短路、过流、过载等保护功能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内置避雷器，具有避雷防雷功能。配电柜含多功能卡控制，具有远程控制功能、RS232串口或千兆网口通信。通过LED显示屏智慧控制系统软件搭配多功能卡实现电源监视、温度监控、亮度调节（需搭配光探头）等操作。</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视频处理器（操场）</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1.集视频处理和视频控制于一体的二合一控制器，支持多类型接口高清输入。采用工业级外壳，可适应复杂的操作环境。</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2.支持DVI、HDMI的输入分辨率预设及自定义调节。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3.支持4个网口输出，最大带载260万像素，最大宽度3840像素，最大高度1920像素。</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信息发布平台管理软件</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1.具备≥4种播放模式，支持连续播放、周期播放、空闲播放、插播，支持未结束节目撤回功能。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2.具备查看设备硬件信息，查看设备存储使用率，支持清除设备缓存，刷新/下载设备当前播放画面截屏，具备设备当前播放任务日期形式查看，设备当前定时任务日期形式查看。</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3.具备图片、视频、文件、音频素材资源发布，支持文件上传管理，支持png、jpg、jpeg、gif、bmp、tiff图片格式，支持mp4视频格式，支持mp3音频格式，支持pdf文件格式。</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▲4.内嵌H5编辑器，支持多图层分层编辑，具备主图、标题、描述等基本设置，可添加背景音乐、加载动画、翻页动画、页面背景设置，支持背景、模板、尺寸、底色设置。（提供功能界面截图）</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5.具备文件批量上传图片、文件快速定位搜索、文件详情查看、具备列表/宫格形式查看、具备文件分组管理。</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6.具备插播字幕，自定义设置文本大小、背景颜色、字体颜色、滚动速度、显示位置，实时编辑实时预览。</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▲7.具备文件上传审核、文件发布审核、资源发布审核，支持设置≥5级审核人，每级≥1人；支持节目审核成功或拒绝后通知提交人，节目待审核时通知审核人。（提供功能界面截图）</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8.具备管理员创建多个角色，每个角色拥有不同的管理权限，设备管理权限可单独分配。</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支持通过安卓手机或iOS手机专属APP对信息发布系统进行访问和远程操作，具备在移动端上传本地图片、文档、视频、音频素材，具备创建和编辑节目，具备素材上传审核和节目发布审核，具备远程监控设备的运行状态和设备控制管理。</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发布客户端软件</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1、具有分区、分组、分控管理功能，网络传输功能，显示任意分区功能；支持编辑播放功能，图片任意放大缩小功能；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2、支持高清输出功能，电视播放功能；具有竖屏显示功能；支持互动查询控制功能；实时动态信息发布功能；支持终端监控功能；日志管理功能；综合信息管理平台功能。</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发布盒</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1.具备图片、视频、音频、文件素材资源播放，支持通过信息发布系统自定义编辑节目内容。</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2.支持设置节目播放方式和日程功能，支持周期播放、连续播放、插播、空闲播放，支持设定节目有效期，节目过期后自动停止播放、清除节目素材。</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3.具备插播字幕显示功能，支持通过信息发布系统自定义设置文本文字大小、文本背景、文本颜色、滚动速度、显示位置。</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4.配备≥六核处理器，≥4GB运行内存，≥32GB存储内存，运行等同或优于Android 7版本系统。</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5.配备≥3840×2160分辨率视频信号输出，支持兼容1080P全高清解码，具有WiFi和蓝牙功能。</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6.具有≥1个RJ45网络接口，≥1个HDMI接口，≥2个天线接口，≥1个3.5mm接口，≥1个TYPE-C接口，≥1个TF接口，≥4个USB接口。</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十一、消控室/弱电机房</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电源防浪涌电压保护器I（消控室）</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规格:电涌保护器，可承受通流容量为80kA</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电源防浪涌电压保护器II（消控室）</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规格:电涌保护器，可承受通流容量为40kA</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防雷插座（消控室）</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规格:防雷抗电涌排插，5插位</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等电位均压带（消控室）</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规格:定制3*30mm紫铜排</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接地连接线（消控室）</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1.型号:ZRBVR</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2.规格:1*16mm2</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3.材质:铜</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主干接地线（消控室）</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1.型号:ZRBVR</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2.规格:1*35mm2</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3.材质:铜</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UPS主机（消控室）</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1、三进三出40kVA在线式高频机，支持输入电压380/400/415V（线电压），输入频率范围40～70HZ。</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2、输入电压304~485V，UPS输入功率因数高达0.99，整机效率≥96.2%（30~50%负载），UPS输出功率因数为1，125%额定阻性负载＞10分钟。</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3、输入功率因数:100%非线性负载:0.998(I类)50%非线性负载:0.987(I类)30%非线性负载:0.985(I类);输出电压不平衡度（输出三相）:平衡负载：0.1%;100%不平衡负载：0.2%。</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蓄电池(UPS)（消控室）</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容量(A·h):容量12V120AH，与UPS同一品牌</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节</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电池柜（消控室）</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1.规格:32节电池柜；含配套线缆。</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2.含电池柜承重支架</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直流控制柜（消控室）</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规格:电池柜汇流箱</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UPS输出配电箱（消控室）</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规格:成套提供，满足设计使用要求</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UPS输入输出线缆（消控室）</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1.型号:WDZ-YJV</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2.规格:5*16mm2</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3.材质:铜</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4.敷设方式、部位:综合考虑</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电力电缆头（消控室）</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规格:16mm2以下</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空调器（消控室）</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1.规格:3P柜式空调</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2.含室内机、室外机及安装角钢等</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该产品为政府强制采购节能产品，签订合同时提供国家确定的认证机构出具的、处于有效期之内的节能产品认证证书。</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328</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电源防浪涌电压保护器I(弱电机房)</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规格:电涌保护器，可承受通流容量为80kA</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329</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电源防浪涌电压保护器Ⅱ(弱电机房)</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规格:电涌保护器，可承受通流容量为40kA</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防雷插座(弱电机房)</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规格:防雷抗电涌排插，5插位</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331</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等电位均压带(弱电机房)</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规格:定制3*30mm紫铜排</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接地连接线(弱电机房)</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1.型号:ZRBVR</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2.规格:1*16mm2</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3.材质:铜</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333</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主干接地线(弱电机房)</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1.型号:ZRBVR</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2.规格:1*35mm2</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3.材质:铜</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UPS主机(弱电机房)</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1、三进三出40kVA在线式高频机，支持输入电压380/400/415V（线电压），输入频率范围40～70HZ。</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2、输入电压304~485V，UPS输入功率因数高达0.99，整机效率≥96.2%（30~50%负载），UPS输出功率因数为1，125%额定阻性负载＞10分钟。</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3、输入功率因数:100%非线性负载:0.998(I类)50%非线性负载:0.987(I类)30%非线性负载:0.985(I类);输出电压不平衡度（输出三相）:平衡负载：0.1%;100%不平衡负载：0.2%。</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蓄电池(UPS)(弱电机房)</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容量(A·h):容量12V120AH，与UPS同一品牌</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节</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电池柜(弱电机房)</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1.规格:32节电池柜；含配套线缆。</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2.含电池柜承重支架</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直流控制柜(弱电机房)</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规格:电池柜汇流箱</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338</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UPS输出配电箱(弱电机房)</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规格:成套提供，满足设计使用要求</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339</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UPS输入输出线缆(弱电机房)</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1型号:WDZ-YJV</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2.规格:5*16mm2</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3.材质:铜</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4.敷设方式、部位:综合考虑</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电力电缆头(弱电机房)</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规格:16mm2以下</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空调器(弱电机房)</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1.规格:3P柜式空调</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2.含室内机、室外机及安装角钢等</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该产品为政府强制采购节能产品，签订合同时提供国家确定的认证机构出具的、处于有效期之内的节能产品认证证书。</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十二、综合管路</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SC100镀锌钢管</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1、规格：SC100</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2、配置形式：埋地</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3126</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SC50镀锌钢管</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1、规格：SC50</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2、配置形式：埋地</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508</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SK1 新建通信手孔井(一块板)</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1.规格尺寸:SK1 新建通信手孔井(一块板)</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2.盖板材质、规格:钢纤维盖板</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3.满足设计使用要求</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挖沟槽土方</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挖掘机挖沟槽土(斗容量1m3以内)</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1075.74</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基(槽)坑夯填回填土、原土回填</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840.73</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347</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碎石垫层</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1.垫层材料种类、配合比、厚度:碎石垫层</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46.37</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348</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C15混凝土垫层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1.混凝土强度等级:C15混凝土基础</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43.28</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349</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采用混凝土包封</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1.类型:C15砼满槽包封</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2.规格:包含管架等</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145.36</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土方外运</w:t>
            </w:r>
            <w:r/>
          </w:p>
        </w:tc>
        <w:tc>
          <w:tcPr>
            <w:shd w:val="clear" w:color="auto" w:fill="auto"/>
            <w:tcBorders>
              <w:top w:val="single" w:color="000000" w:sz="4" w:space="0"/>
              <w:left w:val="single" w:color="000000" w:sz="4" w:space="0"/>
              <w:bottom w:val="single" w:color="000000" w:sz="4" w:space="0"/>
              <w:right w:val="single" w:color="000000" w:sz="4" w:space="0"/>
            </w:tcBorders>
            <w:tcW w:w="235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不低于以下要求：</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1.类型:土方外运</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2.规格:运距自行考虑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235.01</w:t>
            </w:r>
            <w:r/>
          </w:p>
        </w:tc>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r>
    </w:tbl>
    <w:p>
      <w:pPr>
        <w:pStyle w:val="729"/>
        <w:ind w:left="0" w:firstLine="0"/>
        <w:rPr>
          <w:color w:val="000000" w:themeColor="text1"/>
          <w:highlight w:val="none"/>
          <w:lang w:val="en-US" w:eastAsia="zh-CN"/>
          <w14:textFill>
            <w14:solidFill>
              <w14:schemeClr w14:val="tx1"/>
            </w14:solidFill>
          </w14:textFill>
        </w:rPr>
      </w:pPr>
      <w:r>
        <w:rPr>
          <w:color w:val="000000" w:themeColor="text1"/>
          <w:highlight w:val="none"/>
          <w:lang w:val="en-US" w:eastAsia="zh-CN"/>
          <w14:textFill>
            <w14:solidFill>
              <w14:schemeClr w14:val="tx1"/>
            </w14:solidFill>
          </w14:textFill>
        </w:rPr>
      </w:r>
      <w:r/>
    </w:p>
    <w:p>
      <w:pPr>
        <w:ind w:firstLine="480"/>
        <w:keepLines w:val="0"/>
        <w:keepNext w:val="0"/>
        <w:pageBreakBefore w:val="0"/>
        <w:spacing w:line="264"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Times New Roman"/>
          <w:b w:val="0"/>
          <w:bCs w:val="0"/>
          <w:i w:val="0"/>
          <w:iCs w:val="0"/>
          <w:color w:val="000000" w:themeColor="text1"/>
          <w:sz w:val="24"/>
          <w:highlight w:val="none"/>
          <w:u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（二）商务要求</w:t>
      </w:r>
      <w:r/>
    </w:p>
    <w:p>
      <w:pPr>
        <w:numPr>
          <w:ilvl w:val="0"/>
          <w:numId w:val="4"/>
        </w:numPr>
        <w:ind w:firstLine="480"/>
        <w:keepLines w:val="0"/>
        <w:keepNext w:val="0"/>
        <w:pageBreakBefore w:val="0"/>
        <w:spacing w:line="264" w:lineRule="auto"/>
        <w:widowControl w:val="off"/>
        <w:rPr>
          <w:rFonts w:ascii="宋体" w:hAnsi="宋体" w:eastAsia="宋体" w:cs="宋体"/>
          <w:color w:val="000000" w:themeColor="text1"/>
          <w:sz w:val="24"/>
          <w:szCs w:val="24"/>
          <w:highlight w:val="none"/>
          <w:lang w:val="en-US" w:eastAsia="zh-CN"/>
          <w14:textFill>
            <w14:solidFill>
              <w14:schemeClr w14:val="tx1"/>
            </w14:solidFill>
          </w14:textFill>
        </w:rPr>
      </w:pPr>
      <w:r>
        <w:rPr>
          <w:rFonts w:ascii="宋体" w:hAnsi="宋体" w:eastAsia="宋体" w:cs="宋体"/>
          <w:color w:val="000000" w:themeColor="text1"/>
          <w:sz w:val="24"/>
          <w:szCs w:val="24"/>
          <w:highlight w:val="none"/>
          <w:lang w:val="en-US" w:eastAsia="zh-CN"/>
          <w14:textFill>
            <w14:solidFill>
              <w14:schemeClr w14:val="tx1"/>
            </w14:solidFill>
          </w14:textFill>
        </w:rPr>
        <w:t xml:space="preserve">报价要求</w:t>
      </w:r>
      <w:r/>
    </w:p>
    <w:p>
      <w:pPr>
        <w:pStyle w:val="742"/>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pStyle w:val="742"/>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（2）供应商的任何错漏、优惠、竞争性报价不得作为减轻责任、减少服务、增加收费、降低服务质量的理由。</w:t>
      </w:r>
      <w:r/>
    </w:p>
    <w:p>
      <w:pPr>
        <w:pStyle w:val="742"/>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（3）供应商报价除包含招标文件中列明的项目外，还应包括保障产品正常使用应当具有的物资和服务，对产品正常使用应当具有的物资和服务理解不一致的以采购单位理解为准。</w:t>
      </w:r>
      <w:r/>
    </w:p>
    <w:p>
      <w:pPr>
        <w:pStyle w:val="920"/>
        <w:ind w:firstLine="482"/>
        <w:rPr>
          <w:rFonts w:hint="eastAsia" w:eastAsia="宋体"/>
          <w:b w:val="0"/>
          <w:bCs/>
          <w:color w:val="000000" w:themeColor="text1"/>
          <w:sz w:val="24"/>
          <w:szCs w:val="24"/>
          <w:highlight w:val="none"/>
          <w:lang w:eastAsia="zh-CN"/>
          <w14:textFill>
            <w14:solidFill>
              <w14:schemeClr w14:val="tx1"/>
            </w14:solidFill>
          </w14:textFill>
        </w:rPr>
      </w:pPr>
      <w:r>
        <w:rPr>
          <w:rFonts w:hint="eastAsia"/>
          <w:b w:val="0"/>
          <w:bCs/>
          <w:color w:val="000000" w:themeColor="text1"/>
          <w:sz w:val="24"/>
          <w:szCs w:val="24"/>
          <w:highlight w:val="none"/>
          <w:lang w:val="en-US" w:eastAsia="zh-CN"/>
          <w14:textFill>
            <w14:solidFill>
              <w14:schemeClr w14:val="tx1"/>
            </w14:solidFill>
          </w14:textFill>
        </w:rPr>
        <w:t xml:space="preserve">2</w:t>
      </w:r>
      <w:r>
        <w:rPr>
          <w:rFonts w:hint="eastAsia"/>
          <w:b w:val="0"/>
          <w:bCs/>
          <w:color w:val="000000" w:themeColor="text1"/>
          <w:sz w:val="24"/>
          <w:szCs w:val="24"/>
          <w:highlight w:val="none"/>
          <w14:textFill>
            <w14:solidFill>
              <w14:schemeClr w14:val="tx1"/>
            </w14:solidFill>
          </w14:textFill>
        </w:rPr>
        <w:t xml:space="preserve">.</w:t>
      </w:r>
      <w:r>
        <w:rPr>
          <w:rFonts w:hint="eastAsia"/>
          <w:b w:val="0"/>
          <w:bCs/>
          <w:color w:val="000000" w:themeColor="text1"/>
          <w:sz w:val="24"/>
          <w:szCs w:val="24"/>
          <w:highlight w:val="none"/>
          <w:lang w:val="en-US" w:eastAsia="zh-CN"/>
          <w14:textFill>
            <w14:solidFill>
              <w14:schemeClr w14:val="tx1"/>
            </w14:solidFill>
          </w14:textFill>
        </w:rPr>
        <w:t xml:space="preserve">人员要求</w:t>
      </w:r>
      <w:r/>
    </w:p>
    <w:p>
      <w:pPr>
        <w:pStyle w:val="742"/>
        <w:ind w:firstLine="480"/>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1</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项目经理</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项目负责人</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人</w:t>
      </w:r>
      <w:r>
        <w:rPr>
          <w:rFonts w:hint="eastAsia"/>
          <w:color w:val="000000" w:themeColor="text1"/>
          <w:sz w:val="24"/>
          <w:szCs w:val="24"/>
          <w:highlight w:val="none"/>
          <w:lang w:eastAsia="zh-CN"/>
          <w14:textFill>
            <w14:solidFill>
              <w14:schemeClr w14:val="tx1"/>
            </w14:solidFill>
          </w14:textFill>
        </w:rPr>
        <w:t xml:space="preserve">；</w:t>
      </w:r>
      <w:r/>
    </w:p>
    <w:p>
      <w:pPr>
        <w:pStyle w:val="742"/>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2</w:t>
      </w:r>
      <w:r>
        <w:rPr>
          <w:rFonts w:hint="eastAsia"/>
          <w:color w:val="000000" w:themeColor="text1"/>
          <w:sz w:val="24"/>
          <w:szCs w:val="24"/>
          <w:highlight w:val="none"/>
          <w:lang w:eastAsia="zh-CN"/>
          <w14:textFill>
            <w14:solidFill>
              <w14:schemeClr w14:val="tx1"/>
            </w14:solidFill>
          </w14:textFill>
        </w:rPr>
        <w:t xml:space="preserve">）项目技术负责</w:t>
      </w:r>
      <w:r>
        <w:rPr>
          <w:rFonts w:hint="eastAsia"/>
          <w:color w:val="000000" w:themeColor="text1"/>
          <w:sz w:val="24"/>
          <w:szCs w:val="24"/>
          <w:highlight w:val="none"/>
          <w:lang w:val="en-US" w:eastAsia="zh-CN"/>
          <w14:textFill>
            <w14:solidFill>
              <w14:schemeClr w14:val="tx1"/>
            </w14:solidFill>
          </w14:textFill>
        </w:rPr>
        <w:t xml:space="preserve">人1</w:t>
      </w:r>
      <w:r>
        <w:rPr>
          <w:rFonts w:hint="eastAsia"/>
          <w:color w:val="000000" w:themeColor="text1"/>
          <w:sz w:val="24"/>
          <w:szCs w:val="24"/>
          <w:highlight w:val="none"/>
          <w:lang w:eastAsia="zh-CN"/>
          <w14:textFill>
            <w14:solidFill>
              <w14:schemeClr w14:val="tx1"/>
            </w14:solidFill>
          </w14:textFill>
        </w:rPr>
        <w:t xml:space="preserve">人；</w:t>
      </w:r>
      <w:r/>
    </w:p>
    <w:p>
      <w:pPr>
        <w:pStyle w:val="742"/>
        <w:ind w:firstLine="480"/>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3</w:t>
      </w:r>
      <w:r>
        <w:rPr>
          <w:rFonts w:hint="eastAsia"/>
          <w:color w:val="000000" w:themeColor="text1"/>
          <w:sz w:val="24"/>
          <w:szCs w:val="24"/>
          <w:highlight w:val="none"/>
          <w:lang w:eastAsia="zh-CN"/>
          <w14:textFill>
            <w14:solidFill>
              <w14:schemeClr w14:val="tx1"/>
            </w14:solidFill>
          </w14:textFill>
        </w:rPr>
        <w:t xml:space="preserve">）团队成员</w:t>
      </w:r>
      <w:r>
        <w:rPr>
          <w:rFonts w:hint="eastAsia"/>
          <w:color w:val="000000" w:themeColor="text1"/>
          <w:sz w:val="24"/>
          <w:szCs w:val="24"/>
          <w:highlight w:val="none"/>
          <w:lang w:val="en-US" w:eastAsia="zh-CN"/>
          <w14:textFill>
            <w14:solidFill>
              <w14:schemeClr w14:val="tx1"/>
            </w14:solidFill>
          </w14:textFill>
        </w:rPr>
        <w:t xml:space="preserve">不少于2</w:t>
      </w:r>
      <w:r>
        <w:rPr>
          <w:rFonts w:hint="eastAsia"/>
          <w:color w:val="000000" w:themeColor="text1"/>
          <w:sz w:val="24"/>
          <w:szCs w:val="24"/>
          <w:highlight w:val="none"/>
          <w:lang w:eastAsia="zh-CN"/>
          <w14:textFill>
            <w14:solidFill>
              <w14:schemeClr w14:val="tx1"/>
            </w14:solidFill>
          </w14:textFill>
        </w:rPr>
        <w:t xml:space="preserve">人。</w:t>
      </w:r>
      <w:r/>
    </w:p>
    <w:p>
      <w:pPr>
        <w:pStyle w:val="742"/>
        <w:ind w:firstLine="480"/>
        <w:rPr>
          <w:rFonts w:hint="eastAsia"/>
          <w:b w:val="0"/>
          <w:bCs w:val="0"/>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项目经理</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项目负责人</w:t>
      </w:r>
      <w:r>
        <w:rPr>
          <w:rFonts w:hint="eastAsia"/>
          <w:color w:val="000000" w:themeColor="text1"/>
          <w:sz w:val="24"/>
          <w:szCs w:val="24"/>
          <w:highlight w:val="none"/>
          <w:lang w:eastAsia="zh-CN"/>
          <w14:textFill>
            <w14:solidFill>
              <w14:schemeClr w14:val="tx1"/>
            </w14:solidFill>
          </w14:textFill>
        </w:rPr>
        <w:t xml:space="preserve">）与项目技术负责人不得为同一人。</w:t>
      </w:r>
      <w:r>
        <w:rPr>
          <w:rFonts w:hint="eastAsia"/>
          <w:color w:val="000000" w:themeColor="text1"/>
          <w:sz w:val="24"/>
          <w:szCs w:val="24"/>
          <w:highlight w:val="none"/>
          <w14:textFill>
            <w14:solidFill>
              <w14:schemeClr w14:val="tx1"/>
            </w14:solidFill>
          </w14:textFill>
        </w:rPr>
        <w:t xml:space="preserve">项目组所有人员必须为供应商正式工作人员，未经采购人同意，人员不得更换。</w:t>
      </w:r>
      <w:r>
        <w:rPr>
          <w:rFonts w:hint="eastAsia"/>
          <w:b w:val="0"/>
          <w:bCs w:val="0"/>
          <w:color w:val="000000" w:themeColor="text1"/>
          <w:sz w:val="24"/>
          <w:szCs w:val="24"/>
          <w:highlight w:val="none"/>
          <w14:textFill>
            <w14:solidFill>
              <w14:schemeClr w14:val="tx1"/>
            </w14:solidFill>
          </w14:textFill>
        </w:rPr>
        <w:t xml:space="preserve">签订合同时须提供人员毕业证书、劳动合同及社保缴费记录等证明材料。</w:t>
      </w:r>
      <w:r/>
    </w:p>
    <w:p>
      <w:pPr>
        <w:numPr>
          <w:ilvl w:val="0"/>
          <w:numId w:val="0"/>
        </w:numPr>
        <w:ind w:firstLine="480"/>
        <w:keepLines w:val="0"/>
        <w:keepNext w:val="0"/>
        <w:pageBreakBefore w:val="0"/>
        <w:spacing w:line="264"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3.实施要求</w:t>
      </w:r>
      <w:r/>
    </w:p>
    <w:tbl>
      <w:tblPr>
        <w:tblStyle w:val="724"/>
        <w:tblW w:w="4814" w:type="pct"/>
        <w:tblInd w:w="21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1719"/>
        <w:gridCol w:w="7110"/>
      </w:tblGrid>
      <w:tr>
        <w:trPr>
          <w:trHeight w:val="5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7" w:type="pct"/>
            <w:vAlign w:val="center"/>
            <w:textDirection w:val="lrTb"/>
            <w:noWrap w:val="false"/>
          </w:tcPr>
          <w:p>
            <w:pPr>
              <w:ind w:left="0" w:right="0" w:firstLine="0"/>
              <w:jc w:val="center"/>
              <w:spacing w:before="0" w:after="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szCs w:val="21"/>
                <w:highlight w:val="none"/>
                <w14:textFill>
                  <w14:solidFill>
                    <w14:schemeClr w14:val="tx1"/>
                  </w14:solidFill>
                </w14:textFill>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6" w:type="pct"/>
            <w:vAlign w:val="center"/>
            <w:textDirection w:val="lrTb"/>
            <w:noWrap w:val="false"/>
          </w:tcPr>
          <w:p>
            <w:pPr>
              <w:ind w:left="0" w:right="0" w:firstLine="0"/>
              <w:jc w:val="center"/>
              <w:spacing w:before="0" w:after="0" w:line="240" w:lineRule="auto"/>
              <w:rPr>
                <w:rFonts w:ascii="宋体" w:hAnsi="宋体" w:eastAsia="宋体" w:cs="宋体"/>
                <w:b/>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szCs w:val="21"/>
                <w:highlight w:val="none"/>
                <w14:textFill>
                  <w14:solidFill>
                    <w14:schemeClr w14:val="tx1"/>
                  </w14:solidFill>
                </w14:textFill>
              </w:rPr>
              <w:t xml:space="preserve">商务条款</w:t>
            </w:r>
            <w:r/>
          </w:p>
          <w:p>
            <w:pPr>
              <w:ind w:left="0" w:right="0" w:firstLine="0"/>
              <w:jc w:val="center"/>
              <w:spacing w:before="0" w:after="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szCs w:val="21"/>
                <w:highlight w:val="none"/>
                <w14:textFill>
                  <w14:solidFill>
                    <w14:schemeClr w14:val="tx1"/>
                  </w14:solidFill>
                </w14:textFill>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06" w:type="pct"/>
            <w:vAlign w:val="center"/>
            <w:textDirection w:val="lrTb"/>
            <w:noWrap w:val="false"/>
          </w:tcPr>
          <w:p>
            <w:pPr>
              <w:ind w:left="0" w:right="0" w:firstLine="0"/>
              <w:jc w:val="center"/>
              <w:spacing w:before="0" w:after="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szCs w:val="21"/>
                <w:highlight w:val="none"/>
                <w14:textFill>
                  <w14:solidFill>
                    <w14:schemeClr w14:val="tx1"/>
                  </w14:solidFill>
                </w14:textFill>
              </w:rPr>
              <w:t xml:space="preserve">商务条款的具体要求</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 w:type="pct"/>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6" w:type="pct"/>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质保期要求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06" w:type="pct"/>
            <w:vAlign w:val="center"/>
            <w:textDirection w:val="lrTb"/>
            <w:noWrap w:val="false"/>
          </w:tcPr>
          <w:p>
            <w:pPr>
              <w:ind w:left="0" w:right="0" w:firstLine="0"/>
              <w:jc w:val="both"/>
              <w:spacing w:before="0" w:after="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本项目所有产品均提供</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两</w:t>
            </w:r>
            <w:r>
              <w:rPr>
                <w:rFonts w:hint="eastAsia" w:ascii="宋体" w:hAnsi="宋体" w:cs="宋体"/>
                <w:b w:val="0"/>
                <w:bCs w:val="0"/>
                <w:color w:val="000000" w:themeColor="text1"/>
                <w:sz w:val="24"/>
                <w:szCs w:val="24"/>
                <w:highlight w:val="none"/>
                <w14:textFill>
                  <w14:solidFill>
                    <w14:schemeClr w14:val="tx1"/>
                  </w14:solidFill>
                </w14:textFill>
              </w:rPr>
              <w:t xml:space="preserve">年质保服务</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，费用包含在本次报价中</w:t>
            </w:r>
            <w:r>
              <w:rPr>
                <w:rFonts w:hint="eastAsia" w:ascii="宋体" w:hAnsi="宋体" w:eastAsia="宋体" w:cs="宋体"/>
                <w:color w:val="000000" w:themeColor="text1"/>
                <w:sz w:val="24"/>
                <w:szCs w:val="24"/>
                <w:highlight w:val="none"/>
                <w14:textFill>
                  <w14:solidFill>
                    <w14:schemeClr w14:val="tx1"/>
                  </w14:solidFill>
                </w14:textFill>
              </w:rPr>
              <w:t xml:space="preserve">（自验收报告签字确认日起，开始进入质保期）。</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 w:type="pct"/>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6" w:type="pct"/>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交货期要求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06" w:type="pct"/>
            <w:vAlign w:val="center"/>
            <w:textDirection w:val="lrTb"/>
            <w:noWrap w:val="false"/>
          </w:tcPr>
          <w:p>
            <w:pPr>
              <w:ind w:left="0" w:right="0" w:firstLine="0"/>
              <w:jc w:val="both"/>
              <w:spacing w:before="0"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120</w:t>
            </w:r>
            <w:r>
              <w:rPr>
                <w:rFonts w:hint="eastAsia" w:ascii="宋体" w:hAnsi="宋体" w:eastAsia="宋体" w:cs="宋体"/>
                <w:color w:val="000000" w:themeColor="text1"/>
                <w:sz w:val="24"/>
                <w:szCs w:val="24"/>
                <w:highlight w:val="none"/>
                <w14:textFill>
                  <w14:solidFill>
                    <w14:schemeClr w14:val="tx1"/>
                  </w14:solidFill>
                </w14:textFill>
              </w:rPr>
              <w:t xml:space="preserve">日历天</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r>
      <w:tr>
        <w:trPr>
          <w:trHeight w:val="7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 w:type="pct"/>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6" w:type="pct"/>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交货地点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06" w:type="pct"/>
            <w:vAlign w:val="center"/>
            <w:textDirection w:val="lrTb"/>
            <w:noWrap w:val="false"/>
          </w:tcPr>
          <w:p>
            <w:pPr>
              <w:ind w:left="0" w:right="0" w:firstLine="0"/>
              <w:jc w:val="both"/>
              <w:spacing w:before="0" w:after="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供应商负责将货物运到采购人指定地点，由供应商负责办理运输和装卸等，费用由供应商负责，由采购人组织验收，检验不合格或不符合质量要求，供应商除无条件退货、返工外，还应承担采购人的一切损失。</w:t>
            </w:r>
            <w:r/>
          </w:p>
        </w:tc>
      </w:tr>
      <w:tr>
        <w:trPr>
          <w:trHeight w:val="9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 w:type="pct"/>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6" w:type="pct"/>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售后服务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06" w:type="pct"/>
            <w:vAlign w:val="center"/>
            <w:textDirection w:val="lrTb"/>
            <w:noWrap w:val="false"/>
          </w:tcPr>
          <w:p>
            <w:pPr>
              <w:ind w:left="0" w:right="0" w:firstLine="0"/>
              <w:jc w:val="both"/>
              <w:spacing w:before="0" w:after="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质保期内，供应商接到报修请求，应在2小时内响应，6小时内维修人员到达现场。</w:t>
            </w:r>
            <w:r/>
          </w:p>
        </w:tc>
      </w:tr>
      <w:tr>
        <w:trPr>
          <w:trHeight w:val="12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 w:type="pct"/>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6" w:type="pct"/>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培训要求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06" w:type="pct"/>
            <w:vAlign w:val="center"/>
            <w:textDirection w:val="lrTb"/>
            <w:noWrap w:val="false"/>
          </w:tcPr>
          <w:p>
            <w:pPr>
              <w:ind w:left="0" w:right="0" w:firstLine="0"/>
              <w:jc w:val="both"/>
              <w:spacing w:before="0" w:after="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1、供应商对使用单位采购设备的使用和维护提供培训，培训的内容包括设备和软件的安装、使用以及软硬件基本维护知识。</w:t>
            </w:r>
            <w:r/>
          </w:p>
          <w:p>
            <w:pPr>
              <w:ind w:left="0" w:right="0" w:firstLine="0"/>
              <w:spacing w:before="0" w:after="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2、制定全面培训计划，要求分为使用培训、教学应用培训。方案中需提供具体培训安排、内容、讲义等。</w:t>
            </w:r>
            <w:r/>
          </w:p>
        </w:tc>
      </w:tr>
      <w:tr>
        <w:trPr>
          <w:trHeight w:val="12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 w:type="pct"/>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6" w:type="pct"/>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验收标准</w:t>
            </w:r>
            <w:r/>
          </w:p>
          <w:p>
            <w:pPr>
              <w:ind w:left="0" w:right="0" w:firstLine="0"/>
              <w:jc w:val="center"/>
              <w:spacing w:before="0" w:after="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与要求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06" w:type="pct"/>
            <w:vAlign w:val="center"/>
            <w:textDirection w:val="lrTb"/>
            <w:noWrap w:val="false"/>
          </w:tcPr>
          <w:p>
            <w:pPr>
              <w:ind w:left="0" w:right="0" w:firstLine="0"/>
              <w:jc w:val="both"/>
              <w:spacing w:before="0"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1、项目实施完成，供应商应完成文档整理，竣工文档是验收的必要条件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left="0" w:right="0" w:firstLine="0"/>
              <w:jc w:val="both"/>
              <w:spacing w:before="0"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2、验收的相关数据及中标产品信息</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left="0" w:right="0" w:firstLine="0"/>
              <w:jc w:val="both"/>
              <w:spacing w:before="0" w:after="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3、所供货物符合国家规定的质量标准。</w:t>
            </w:r>
            <w:r/>
          </w:p>
        </w:tc>
      </w:tr>
      <w:tr>
        <w:trPr>
          <w:trHeight w:val="41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7" w:type="pct"/>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6" w:type="pct"/>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付款</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06" w:type="pct"/>
            <w:vAlign w:val="center"/>
            <w:textDirection w:val="lrTb"/>
            <w:noWrap w:val="false"/>
          </w:tcPr>
          <w:p>
            <w:pPr>
              <w:ind w:left="0" w:right="0" w:firstLine="0"/>
              <w:jc w:val="both"/>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1、合同签订15日内支付合同总价的30%。</w:t>
            </w:r>
            <w:r/>
          </w:p>
          <w:p>
            <w:pPr>
              <w:ind w:left="0" w:right="0" w:firstLine="0"/>
              <w:jc w:val="both"/>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2、全部设备送货到位并安装调试完成后，15日内支付合同总价的30%。</w:t>
            </w:r>
            <w:r/>
          </w:p>
          <w:p>
            <w:pPr>
              <w:ind w:left="0" w:right="0" w:firstLine="0"/>
              <w:jc w:val="both"/>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3、整体项目验收合格后，15日内支付合同总价的20%。</w:t>
            </w:r>
            <w:r/>
          </w:p>
          <w:p>
            <w:pPr>
              <w:ind w:left="0" w:right="0" w:firstLine="0"/>
              <w:jc w:val="both"/>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4、项目审计结束后，15日内付至审定价的97%。</w:t>
            </w:r>
            <w:r/>
          </w:p>
          <w:p>
            <w:pPr>
              <w:ind w:left="0" w:right="0" w:firstLine="0"/>
              <w:jc w:val="both"/>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5、质保期满后，15日内支付剩余款项。</w:t>
            </w:r>
            <w:r/>
          </w:p>
        </w:tc>
      </w:tr>
    </w:tbl>
    <w:p>
      <w:pPr>
        <w:ind w:firstLine="480"/>
        <w:keepLines w:val="0"/>
        <w:keepNext w:val="0"/>
        <w:pageBreakBefore w:val="0"/>
        <w:spacing w:line="264" w:lineRule="auto"/>
        <w:widowControl w:val="off"/>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bookmarkStart w:id="200" w:name="OLE_LINK1"/>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.其他要求</w:t>
      </w:r>
      <w:bookmarkEnd w:id="200"/>
      <w:r/>
      <w:r/>
    </w:p>
    <w:p>
      <w:pPr>
        <w:ind w:firstLine="480"/>
        <w:keepLines w:val="0"/>
        <w:keepNext w:val="0"/>
        <w:pageBreakBefore w:val="0"/>
        <w:spacing w:line="264" w:lineRule="auto"/>
        <w:widowControl w:val="off"/>
        <w:rPr>
          <w:rFonts w:hint="eastAsia" w:ascii="宋体" w:hAnsi="宋体" w:eastAsia="宋体" w:cs="宋体"/>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val="0"/>
          <w:color w:val="000000" w:themeColor="text1"/>
          <w:sz w:val="24"/>
          <w:szCs w:val="24"/>
          <w:highlight w:val="none"/>
          <w:lang w:val="en-US" w:eastAsia="zh-CN"/>
          <w14:textFill>
            <w14:solidFill>
              <w14:schemeClr w14:val="tx1"/>
            </w14:solidFill>
          </w14:textFill>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keepLines w:val="0"/>
        <w:keepNext w:val="0"/>
        <w:pageBreakBefore w:val="0"/>
        <w:spacing w:line="264" w:lineRule="auto"/>
        <w:widowControl w:val="off"/>
        <w:rPr>
          <w:rFonts w:hint="eastAsia" w:ascii="宋体" w:hAnsi="宋体" w:eastAsia="宋体" w:cs="宋体"/>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val="0"/>
          <w:color w:val="000000" w:themeColor="text1"/>
          <w:sz w:val="24"/>
          <w:szCs w:val="24"/>
          <w:highlight w:val="none"/>
          <w:lang w:val="en-US" w:eastAsia="zh-CN"/>
          <w14:textFill>
            <w14:solidFill>
              <w14:schemeClr w14:val="tx1"/>
            </w14:solidFill>
          </w14:textFill>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pPr>
      <w:r/>
      <w:bookmarkStart w:id="201" w:name="_Toc120614281"/>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br w:type="page" w:clear="all"/>
      </w:r>
      <w:r/>
    </w:p>
    <w:p>
      <w:pPr>
        <w:ind w:right="840"/>
        <w:jc w:val="center"/>
        <w:spacing w:before="0" w:after="0" w:line="240" w:lineRule="auto"/>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t xml:space="preserve">第五章  评标方法与评标标准</w:t>
      </w:r>
      <w:r/>
    </w:p>
    <w:p>
      <w:pPr>
        <w:ind w:firstLine="480"/>
        <w:keepLines w:val="0"/>
        <w:keepNext w:val="0"/>
        <w:pageBreakBefore w:val="0"/>
        <w:spacing w:line="264" w:lineRule="auto"/>
        <w:widowControl w:val="off"/>
        <w:rPr>
          <w:rFonts w:hint="eastAsia" w:ascii="黑体" w:hAnsi="黑体" w:eastAsia="黑体" w:cs="黑体"/>
          <w:b w:val="0"/>
          <w:bCs w:val="0"/>
          <w:color w:val="000000" w:themeColor="text1"/>
          <w:sz w:val="24"/>
          <w:szCs w:val="24"/>
          <w:highlight w:val="none"/>
          <w:lang w:eastAsia="zh-CN"/>
          <w14:textFill>
            <w14:solidFill>
              <w14:schemeClr w14:val="tx1"/>
            </w14:solidFill>
          </w14:textFill>
        </w:rPr>
      </w:pPr>
      <w:r>
        <w:rPr>
          <w:rFonts w:hint="eastAsia" w:ascii="黑体" w:hAnsi="黑体" w:eastAsia="黑体" w:cs="黑体"/>
          <w:b w:val="0"/>
          <w:bCs w:val="0"/>
          <w:color w:val="000000" w:themeColor="text1"/>
          <w:sz w:val="24"/>
          <w:szCs w:val="24"/>
          <w:highlight w:val="none"/>
          <w:lang w:eastAsia="zh-CN"/>
          <w14:textFill>
            <w14:solidFill>
              <w14:schemeClr w14:val="tx1"/>
            </w14:solidFill>
          </w14:textFill>
        </w:rPr>
      </w:r>
      <w:r/>
    </w:p>
    <w:p>
      <w:pPr>
        <w:ind w:firstLine="480"/>
        <w:keepLines w:val="0"/>
        <w:keepNext w:val="0"/>
        <w:pageBreakBefore w:val="0"/>
        <w:spacing w:line="264" w:lineRule="auto"/>
        <w:widowControl w:val="off"/>
        <w:rPr>
          <w:rFonts w:hint="eastAsia" w:ascii="黑体" w:hAnsi="黑体" w:eastAsia="黑体" w:cs="黑体"/>
          <w:b w:val="0"/>
          <w:bCs w:val="0"/>
          <w:color w:val="000000" w:themeColor="text1"/>
          <w:sz w:val="24"/>
          <w:szCs w:val="24"/>
          <w:highlight w:val="none"/>
          <w:lang w:eastAsia="zh-CN"/>
          <w14:textFill>
            <w14:solidFill>
              <w14:schemeClr w14:val="tx1"/>
            </w14:solidFill>
          </w14:textFill>
        </w:rPr>
      </w:pPr>
      <w:r>
        <w:rPr>
          <w:rFonts w:hint="eastAsia" w:ascii="黑体" w:hAnsi="黑体" w:eastAsia="黑体" w:cs="黑体"/>
          <w:b w:val="0"/>
          <w:bCs w:val="0"/>
          <w:color w:val="000000" w:themeColor="text1"/>
          <w:sz w:val="24"/>
          <w:szCs w:val="24"/>
          <w:highlight w:val="none"/>
          <w:lang w:eastAsia="zh-CN"/>
          <w14:textFill>
            <w14:solidFill>
              <w14:schemeClr w14:val="tx1"/>
            </w14:solidFill>
          </w14:textFill>
        </w:rPr>
        <w:t xml:space="preserve">一、</w:t>
      </w:r>
      <w:r>
        <w:rPr>
          <w:rFonts w:hint="eastAsia" w:ascii="黑体" w:hAnsi="黑体" w:eastAsia="黑体" w:cs="黑体"/>
          <w:b w:val="0"/>
          <w:bCs w:val="0"/>
          <w:color w:val="000000" w:themeColor="text1"/>
          <w:sz w:val="24"/>
          <w:szCs w:val="24"/>
          <w:highlight w:val="none"/>
          <w14:textFill>
            <w14:solidFill>
              <w14:schemeClr w14:val="tx1"/>
            </w14:solidFill>
          </w14:textFill>
        </w:rPr>
        <w:t xml:space="preserve">评标</w:t>
      </w:r>
      <w:r>
        <w:rPr>
          <w:rFonts w:hint="eastAsia" w:ascii="黑体" w:hAnsi="黑体" w:eastAsia="黑体" w:cs="黑体"/>
          <w:b w:val="0"/>
          <w:bCs w:val="0"/>
          <w:color w:val="000000" w:themeColor="text1"/>
          <w:sz w:val="24"/>
          <w:szCs w:val="24"/>
          <w:highlight w:val="none"/>
          <w:lang w:eastAsia="zh-CN"/>
          <w14:textFill>
            <w14:solidFill>
              <w14:schemeClr w14:val="tx1"/>
            </w14:solidFill>
          </w14:textFill>
        </w:rPr>
        <w:t xml:space="preserve">方法</w:t>
      </w:r>
      <w:r/>
    </w:p>
    <w:p>
      <w:pPr>
        <w:ind w:firstLine="480"/>
        <w:keepLines w:val="0"/>
        <w:keepNext w:val="0"/>
        <w:pageBreakBefore w:val="0"/>
        <w:spacing w:line="264"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采用综合评分法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评标结果按评审后得分由高到低顺序排列。得分相同的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按投标报价由低到高顺序排列。得分且投标报价相同的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，按“三、评标标准中</w:t>
      </w:r>
      <w:r>
        <w:rPr>
          <w:rFonts w:hint="eastAsia" w:ascii="宋体" w:hAnsi="宋体" w:cs="宋体"/>
          <w:color w:val="000000" w:themeColor="text1"/>
          <w:sz w:val="24"/>
          <w:szCs w:val="24"/>
          <w:highlight w:val="none"/>
          <w:lang w:val="en-US" w:eastAsia="zh-CN"/>
          <w14:textFill>
            <w14:solidFill>
              <w14:schemeClr w14:val="tx1"/>
            </w14:solidFill>
          </w14:textFill>
        </w:rPr>
        <w:t xml:space="preserve">2.2</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、2.3、2.4、3.1</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”得分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之和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由高到低顺序排列。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投标文件满足招标文件全部实质性要求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的供应商中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，按照评审得分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由高到低推荐</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名</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中标候选人。</w:t>
      </w:r>
      <w:r/>
    </w:p>
    <w:p>
      <w:pPr>
        <w:ind w:firstLine="480"/>
        <w:keepLines w:val="0"/>
        <w:keepNext w:val="0"/>
        <w:pageBreakBefore w:val="0"/>
        <w:spacing w:line="264"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核心产品评审。多家供应商提供的核心产品品牌相同的，按一家供应商计算，评审后得分最高的同品牌供应商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获得中标人推荐资格</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264" w:lineRule="auto"/>
        <w:widowControl w:val="off"/>
        <w:rPr>
          <w:rFonts w:hint="eastAsia" w:ascii="黑体" w:hAnsi="黑体" w:eastAsia="黑体" w:cs="黑体"/>
          <w:b w:val="0"/>
          <w:bCs w:val="0"/>
          <w:color w:val="000000" w:themeColor="text1"/>
          <w:sz w:val="24"/>
          <w:szCs w:val="24"/>
          <w:highlight w:val="none"/>
          <w:lang w:val="en-US" w:eastAsia="zh-CN"/>
          <w14:textFill>
            <w14:solidFill>
              <w14:schemeClr w14:val="tx1"/>
            </w14:solidFill>
          </w14:textFill>
        </w:rPr>
      </w:pPr>
      <w:r>
        <w:rPr>
          <w:rFonts w:hint="eastAsia" w:ascii="黑体" w:hAnsi="黑体" w:eastAsia="黑体" w:cs="黑体"/>
          <w:b w:val="0"/>
          <w:bCs w:val="0"/>
          <w:color w:val="000000" w:themeColor="text1"/>
          <w:sz w:val="24"/>
          <w:szCs w:val="24"/>
          <w:highlight w:val="none"/>
          <w:lang w:eastAsia="zh-CN"/>
          <w14:textFill>
            <w14:solidFill>
              <w14:schemeClr w14:val="tx1"/>
            </w14:solidFill>
          </w14:textFill>
        </w:rPr>
        <w:t xml:space="preserve">二、</w:t>
      </w:r>
      <w:r>
        <w:rPr>
          <w:rFonts w:hint="eastAsia" w:ascii="黑体" w:hAnsi="黑体" w:eastAsia="黑体" w:cs="黑体"/>
          <w:b w:val="0"/>
          <w:bCs w:val="0"/>
          <w:color w:val="000000" w:themeColor="text1"/>
          <w:sz w:val="24"/>
          <w:szCs w:val="24"/>
          <w:highlight w:val="none"/>
          <w:lang w:val="en-US" w:eastAsia="zh-CN"/>
          <w14:textFill>
            <w14:solidFill>
              <w14:schemeClr w14:val="tx1"/>
            </w14:solidFill>
          </w14:textFill>
        </w:rPr>
        <w:t xml:space="preserve">本国产品价格扣除</w:t>
      </w:r>
      <w:r/>
    </w:p>
    <w:p>
      <w:pPr>
        <w:ind w:firstLine="420"/>
        <w:rPr>
          <w:rFonts w:hint="eastAsia" w:ascii="宋体" w:hAnsi="宋体" w:eastAsia="宋体" w:cs="Times New Roman"/>
          <w:color w:val="000000" w:themeColor="text1"/>
          <w:sz w:val="24"/>
          <w:szCs w:val="24"/>
          <w:highlight w:val="none"/>
          <w:lang w:val="zh-CN" w:eastAsia="zh-CN"/>
          <w14:textFill>
            <w14:solidFill>
              <w14:schemeClr w14:val="tx1"/>
            </w14:solidFill>
          </w14:textFill>
        </w:rPr>
      </w:pPr>
      <w:r>
        <w:rPr>
          <w:rFonts w:hint="eastAsia" w:ascii="宋体" w:hAnsi="宋体" w:eastAsia="宋体" w:cs="Times New Roman"/>
          <w:color w:val="000000" w:themeColor="text1"/>
          <w:sz w:val="24"/>
          <w:szCs w:val="24"/>
          <w:highlight w:val="none"/>
          <w:lang w:val="zh-CN" w:eastAsia="zh-CN"/>
          <w14:textFill>
            <w14:solidFill>
              <w14:schemeClr w14:val="tx1"/>
            </w14:solidFill>
          </w14:textFill>
        </w:rPr>
        <w:t xml:space="preserve">1.本</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项目如</w:t>
      </w:r>
      <w:r>
        <w:rPr>
          <w:rFonts w:hint="eastAsia" w:ascii="宋体" w:hAnsi="宋体" w:eastAsia="宋体" w:cs="Times New Roman"/>
          <w:color w:val="000000" w:themeColor="text1"/>
          <w:sz w:val="24"/>
          <w:szCs w:val="24"/>
          <w:highlight w:val="none"/>
          <w:lang w:val="zh-CN" w:eastAsia="zh-CN"/>
          <w14:textFill>
            <w14:solidFill>
              <w14:schemeClr w14:val="tx1"/>
            </w14:solidFill>
          </w14:textFill>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2.如本</w:t>
      </w:r>
      <w:r>
        <w:rPr>
          <w:rFonts w:hint="eastAsia" w:ascii="宋体" w:hAnsi="宋体" w:eastAsia="宋体" w:cs="Times New Roman"/>
          <w:color w:val="000000" w:themeColor="text1"/>
          <w:sz w:val="24"/>
          <w:szCs w:val="24"/>
          <w:highlight w:val="none"/>
          <w:lang w:val="zh-CN" w:eastAsia="zh-CN"/>
          <w14:textFill>
            <w14:solidFill>
              <w14:schemeClr w14:val="tx1"/>
            </w14:solidFill>
          </w14:textFill>
        </w:rPr>
        <w:t xml:space="preserve">项目或者</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其中</w:t>
      </w:r>
      <w:r>
        <w:rPr>
          <w:rFonts w:hint="eastAsia" w:ascii="宋体" w:hAnsi="宋体" w:eastAsia="宋体" w:cs="Times New Roman"/>
          <w:color w:val="000000" w:themeColor="text1"/>
          <w:sz w:val="24"/>
          <w:szCs w:val="24"/>
          <w:highlight w:val="none"/>
          <w:lang w:val="zh-CN" w:eastAsia="zh-CN"/>
          <w14:textFill>
            <w14:solidFill>
              <w14:schemeClr w14:val="tx1"/>
            </w14:solidFill>
          </w14:textFill>
        </w:rPr>
        <w:t xml:space="preserve">采购包中含有多种产品，供应商为</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本</w:t>
      </w:r>
      <w:r>
        <w:rPr>
          <w:rFonts w:hint="eastAsia" w:ascii="宋体" w:hAnsi="宋体" w:eastAsia="宋体" w:cs="Times New Roman"/>
          <w:color w:val="000000" w:themeColor="text1"/>
          <w:sz w:val="24"/>
          <w:szCs w:val="24"/>
          <w:highlight w:val="none"/>
          <w:lang w:val="zh-CN" w:eastAsia="zh-CN"/>
          <w14:textFill>
            <w14:solidFill>
              <w14:schemeClr w14:val="tx1"/>
            </w14:solidFill>
          </w14:textFill>
        </w:rPr>
        <w:t xml:space="preserve">项目或者</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其中</w:t>
      </w:r>
      <w:r>
        <w:rPr>
          <w:rFonts w:hint="eastAsia" w:ascii="宋体" w:hAnsi="宋体" w:eastAsia="宋体" w:cs="Times New Roman"/>
          <w:color w:val="000000" w:themeColor="text1"/>
          <w:sz w:val="24"/>
          <w:szCs w:val="24"/>
          <w:highlight w:val="none"/>
          <w:lang w:val="zh-CN" w:eastAsia="zh-CN"/>
          <w14:textFill>
            <w14:solidFill>
              <w14:schemeClr w14:val="tx1"/>
            </w14:solidFill>
          </w14:textFill>
        </w:rPr>
        <w:t xml:space="preserve">采购包提供的符合本国产品标准的产品成本之和占该供应商提供的全部产品成本之和的比例达到80%以上时，依法</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对该供应商提供的全部产品给予价格评审优惠，即对该供应商提供的全部产品的总报价给予20%的价格扣除，用扣除后的价格参与评审。</w:t>
      </w:r>
      <w:r/>
    </w:p>
    <w:p>
      <w:pPr>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3.供应商需按照采购文件要求提供《关于符合本国产品标准的声明函》（以下简称《声明函》），如不提供将不享受本国产品价格评审优惠。</w:t>
      </w:r>
      <w:r>
        <w:rPr>
          <w:rFonts w:hint="eastAsia" w:ascii="宋体" w:hAnsi="宋体" w:eastAsia="宋体" w:cs="Times New Roman"/>
          <w:color w:val="000000" w:themeColor="text1"/>
          <w:sz w:val="24"/>
          <w:szCs w:val="24"/>
          <w:highlight w:val="none"/>
          <w14:textFill>
            <w14:solidFill>
              <w14:schemeClr w14:val="tx1"/>
            </w14:solidFill>
          </w14:textFill>
        </w:rPr>
        <w:t xml:space="preserve">供应商需在《声明函》</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中逐项</w:t>
      </w:r>
      <w:r>
        <w:rPr>
          <w:rFonts w:hint="eastAsia" w:ascii="宋体" w:hAnsi="宋体" w:eastAsia="宋体" w:cs="Times New Roman"/>
          <w:color w:val="000000" w:themeColor="text1"/>
          <w:sz w:val="24"/>
          <w:szCs w:val="24"/>
          <w:highlight w:val="none"/>
          <w14:textFill>
            <w14:solidFill>
              <w14:schemeClr w14:val="tx1"/>
            </w14:solidFill>
          </w14:textFill>
        </w:rPr>
        <w:t xml:space="preserve">准确填写产品名称、厂名、生产厂址三项信息，三项信息中任意一项未填写的视为该项产品不符合本国产品标准，不享受本国产品价格评审优惠。</w:t>
      </w:r>
      <w:r/>
    </w:p>
    <w:p>
      <w:pPr>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供应商需在《声明函》中填写比例数值</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keepLines w:val="0"/>
        <w:keepNext w:val="0"/>
        <w:pageBreakBefore w:val="0"/>
        <w:spacing w:line="240" w:lineRule="auto"/>
        <w:widowControl/>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Times New Roman"/>
          <w:b/>
          <w:bCs/>
          <w:color w:val="000000" w:themeColor="text1"/>
          <w:sz w:val="24"/>
          <w:szCs w:val="24"/>
          <w:highlight w:val="none"/>
          <w:lang w:val="zh-CN" w:eastAsia="zh-CN"/>
          <w14:textFill>
            <w14:solidFill>
              <w14:schemeClr w14:val="tx1"/>
            </w14:solidFill>
          </w14:textFill>
        </w:rPr>
        <w:t xml:space="preserve">对本国产品的支持政策与政府采购支持中小企业、节能环保等优惠政策叠加适用，对应执行价格扣除政策的项目，统一在原报价的基础上给予价格扣除。</w:t>
      </w:r>
      <w:r/>
    </w:p>
    <w:p>
      <w:pPr>
        <w:ind w:firstLine="480"/>
        <w:keepLines w:val="0"/>
        <w:keepNext w:val="0"/>
        <w:pageBreakBefore w:val="0"/>
        <w:spacing w:line="264" w:lineRule="auto"/>
        <w:widowControl w:val="off"/>
        <w:rPr>
          <w:color w:val="000000" w:themeColor="text1"/>
          <w:highlight w:val="none"/>
          <w:lang w:val="en-US" w:eastAsia="zh-CN"/>
          <w14:textFill>
            <w14:solidFill>
              <w14:schemeClr w14:val="tx1"/>
            </w14:solidFill>
          </w14:textFill>
        </w:rPr>
      </w:pP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三、</w:t>
      </w:r>
      <w:r>
        <w:rPr>
          <w:rFonts w:hint="eastAsia" w:ascii="黑体" w:hAnsi="黑体" w:eastAsia="黑体" w:cs="黑体"/>
          <w:b w:val="0"/>
          <w:bCs w:val="0"/>
          <w:color w:val="000000" w:themeColor="text1"/>
          <w:sz w:val="24"/>
          <w:szCs w:val="24"/>
          <w:highlight w:val="none"/>
          <w:lang w:val="en-US" w:eastAsia="zh-CN"/>
          <w14:textFill>
            <w14:solidFill>
              <w14:schemeClr w14:val="tx1"/>
            </w14:solidFill>
          </w14:textFill>
        </w:rPr>
        <w:t xml:space="preserve">小微企业价格扣除</w:t>
      </w:r>
      <w:r/>
    </w:p>
    <w:p>
      <w:pPr>
        <w:ind w:firstLine="480"/>
        <w:keepLines w:val="0"/>
        <w:keepNext w:val="0"/>
        <w:pageBreakBefore w:val="0"/>
        <w:spacing w:line="264" w:lineRule="auto"/>
        <w:widowControl w:val="off"/>
        <w:rPr>
          <w:rFonts w:hint="eastAsia" w:ascii="宋体" w:hAnsi="宋体" w:eastAsia="宋体" w:cs="Times New Roman"/>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本项目全部货物制造商为小微企业</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对报价给予</w:t>
      </w: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Times New Roman"/>
          <w:b w:val="0"/>
          <w:bCs w:val="0"/>
          <w:color w:val="000000" w:themeColor="text1"/>
          <w:sz w:val="24"/>
          <w:szCs w:val="24"/>
          <w:highlight w:val="none"/>
          <w:u w:val="non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的扣除</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用扣除后的价格参与评审。</w:t>
      </w:r>
      <w:r/>
    </w:p>
    <w:p>
      <w:pPr>
        <w:ind w:firstLine="480"/>
        <w:keepLines w:val="0"/>
        <w:keepNext w:val="0"/>
        <w:pageBreakBefore w:val="0"/>
        <w:spacing w:line="264"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残疾人福利性单位视同小型、微型企业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给予</w:t>
      </w:r>
      <w:r>
        <w:rPr>
          <w:rFonts w:hint="eastAsia" w:ascii="宋体" w:hAnsi="宋体"/>
          <w:color w:val="000000" w:themeColor="text1"/>
          <w:sz w:val="24"/>
          <w:szCs w:val="24"/>
          <w:highlight w:val="none"/>
          <w:lang w:val="en-US" w:eastAsia="zh-CN"/>
          <w14:textFill>
            <w14:solidFill>
              <w14:schemeClr w14:val="tx1"/>
            </w14:solidFill>
          </w14:textFill>
        </w:rPr>
        <w:t xml:space="preserve">与小微企业</w:t>
      </w:r>
      <w:r>
        <w:rPr>
          <w:rFonts w:hint="eastAsia" w:ascii="宋体" w:hAnsi="宋体"/>
          <w:color w:val="000000" w:themeColor="text1"/>
          <w:sz w:val="24"/>
          <w:szCs w:val="24"/>
          <w:highlight w:val="none"/>
          <w:u w:val="none"/>
          <w:lang w:val="en-US" w:eastAsia="zh-CN"/>
          <w14:textFill>
            <w14:solidFill>
              <w14:schemeClr w14:val="tx1"/>
            </w14:solidFill>
          </w14:textFill>
        </w:rPr>
        <w:t xml:space="preserve">相同</w:t>
      </w:r>
      <w:r>
        <w:rPr>
          <w:rFonts w:hint="eastAsia" w:ascii="宋体" w:hAnsi="宋体" w:eastAsia="宋体" w:cs="宋体"/>
          <w:color w:val="000000" w:themeColor="text1"/>
          <w:sz w:val="24"/>
          <w:szCs w:val="24"/>
          <w:highlight w:val="none"/>
          <w14:textFill>
            <w14:solidFill>
              <w14:schemeClr w14:val="tx1"/>
            </w14:solidFill>
          </w14:textFill>
        </w:rPr>
        <w:t xml:space="preserve">的价格扣除</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用扣除后的价格参与评审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监狱和戒毒企业视同小型、微型企业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给予</w:t>
      </w:r>
      <w:r>
        <w:rPr>
          <w:rFonts w:hint="eastAsia" w:ascii="宋体" w:hAnsi="宋体"/>
          <w:color w:val="000000" w:themeColor="text1"/>
          <w:sz w:val="24"/>
          <w:szCs w:val="24"/>
          <w:highlight w:val="none"/>
          <w:lang w:val="en-US" w:eastAsia="zh-CN"/>
          <w14:textFill>
            <w14:solidFill>
              <w14:schemeClr w14:val="tx1"/>
            </w14:solidFill>
          </w14:textFill>
        </w:rPr>
        <w:t xml:space="preserve">与小微企业</w:t>
      </w:r>
      <w:r>
        <w:rPr>
          <w:rFonts w:hint="eastAsia" w:ascii="宋体" w:hAnsi="宋体"/>
          <w:color w:val="000000" w:themeColor="text1"/>
          <w:sz w:val="24"/>
          <w:szCs w:val="24"/>
          <w:highlight w:val="none"/>
          <w:u w:val="none"/>
          <w:lang w:val="en-US" w:eastAsia="zh-CN"/>
          <w14:textFill>
            <w14:solidFill>
              <w14:schemeClr w14:val="tx1"/>
            </w14:solidFill>
          </w14:textFill>
        </w:rPr>
        <w:t xml:space="preserve">相同</w:t>
      </w:r>
      <w:r>
        <w:rPr>
          <w:rFonts w:hint="eastAsia" w:ascii="宋体" w:hAnsi="宋体" w:eastAsia="宋体" w:cs="宋体"/>
          <w:color w:val="000000" w:themeColor="text1"/>
          <w:sz w:val="24"/>
          <w:szCs w:val="24"/>
          <w:highlight w:val="none"/>
          <w14:textFill>
            <w14:solidFill>
              <w14:schemeClr w14:val="tx1"/>
            </w14:solidFill>
          </w14:textFill>
        </w:rPr>
        <w:t xml:space="preserve">的价格扣除</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用扣除后的价格参与评审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残疾人福利单位、监狱企业属于小型、微型企业的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不重复享受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价格扣除</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2"/>
        <w:keepLines w:val="0"/>
        <w:keepNext w:val="0"/>
        <w:pageBreakBefore w:val="0"/>
        <w:spacing w:line="264"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3.</w:t>
      </w:r>
      <w:r>
        <w:rPr>
          <w:rFonts w:hint="eastAsia" w:ascii="宋体" w:hAnsi="宋体" w:eastAsia="宋体" w:cs="宋体"/>
          <w:b/>
          <w:bCs/>
          <w:color w:val="000000" w:themeColor="text1"/>
          <w:sz w:val="24"/>
          <w:szCs w:val="24"/>
          <w:highlight w:val="none"/>
          <w:u w:val="none"/>
          <w:lang w:eastAsia="zh-CN"/>
          <w14:textFill>
            <w14:solidFill>
              <w14:schemeClr w14:val="tx1"/>
            </w14:solidFill>
          </w14:textFill>
        </w:rPr>
        <w:t xml:space="preserve">上述价格扣除政策仅适用</w:t>
      </w: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于</w:t>
      </w:r>
      <w:r>
        <w:rPr>
          <w:rFonts w:hint="eastAsia" w:ascii="宋体" w:hAnsi="宋体" w:eastAsia="宋体" w:cs="宋体"/>
          <w:b/>
          <w:bCs/>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非</w:t>
      </w:r>
      <w:r>
        <w:rPr>
          <w:rFonts w:hint="eastAsia" w:ascii="宋体" w:hAnsi="宋体" w:eastAsia="宋体" w:cs="宋体"/>
          <w:b/>
          <w:bCs/>
          <w:color w:val="000000" w:themeColor="text1"/>
          <w:sz w:val="24"/>
          <w:szCs w:val="24"/>
          <w:highlight w:val="none"/>
          <w:u w:val="none"/>
          <w:lang w:eastAsia="zh-CN"/>
          <w14:textFill>
            <w14:solidFill>
              <w14:schemeClr w14:val="tx1"/>
            </w14:solidFill>
          </w14:textFill>
        </w:rPr>
        <w:t xml:space="preserve">专门面向中小企业采购项目”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264" w:lineRule="auto"/>
        <w:widowControl w:val="off"/>
        <w:rPr>
          <w:rFonts w:hint="eastAsia" w:ascii="黑体" w:hAnsi="黑体" w:eastAsia="黑体" w:cs="黑体"/>
          <w:b w:val="0"/>
          <w:bCs w:val="0"/>
          <w:color w:val="000000" w:themeColor="text1"/>
          <w:sz w:val="24"/>
          <w:szCs w:val="24"/>
          <w:highlight w:val="none"/>
          <w:lang w:eastAsia="zh-CN"/>
          <w14:textFill>
            <w14:solidFill>
              <w14:schemeClr w14:val="tx1"/>
            </w14:solidFill>
          </w14:textFill>
        </w:rPr>
      </w:pPr>
      <w:r>
        <w:rPr>
          <w:rFonts w:hint="eastAsia" w:ascii="黑体" w:hAnsi="黑体" w:eastAsia="黑体" w:cs="黑体"/>
          <w:b w:val="0"/>
          <w:bCs w:val="0"/>
          <w:color w:val="000000" w:themeColor="text1"/>
          <w:sz w:val="24"/>
          <w:szCs w:val="24"/>
          <w:highlight w:val="none"/>
          <w:lang w:eastAsia="zh-CN"/>
          <w14:textFill>
            <w14:solidFill>
              <w14:schemeClr w14:val="tx1"/>
            </w14:solidFill>
          </w14:textFill>
        </w:rPr>
      </w:r>
      <w:r/>
    </w:p>
    <w:p>
      <w:pPr>
        <w:ind w:firstLine="480"/>
        <w:keepLines w:val="0"/>
        <w:keepNext w:val="0"/>
        <w:pageBreakBefore w:val="0"/>
        <w:spacing w:line="264" w:lineRule="auto"/>
        <w:widowControl w:val="off"/>
        <w:rPr>
          <w:rFonts w:hint="eastAsia" w:ascii="黑体" w:hAnsi="黑体" w:eastAsia="黑体" w:cs="黑体"/>
          <w:b w:val="0"/>
          <w:bCs w:val="0"/>
          <w:color w:val="000000" w:themeColor="text1"/>
          <w:sz w:val="24"/>
          <w:szCs w:val="24"/>
          <w:highlight w:val="none"/>
          <w:lang w:eastAsia="zh-CN"/>
          <w14:textFill>
            <w14:solidFill>
              <w14:schemeClr w14:val="tx1"/>
            </w14:solidFill>
          </w14:textFill>
        </w:rPr>
      </w:pPr>
      <w:r>
        <w:rPr>
          <w:rFonts w:hint="eastAsia" w:ascii="黑体" w:hAnsi="黑体" w:eastAsia="黑体" w:cs="黑体"/>
          <w:b w:val="0"/>
          <w:bCs w:val="0"/>
          <w:color w:val="000000" w:themeColor="text1"/>
          <w:sz w:val="24"/>
          <w:szCs w:val="24"/>
          <w:highlight w:val="none"/>
          <w:lang w:eastAsia="zh-CN"/>
          <w14:textFill>
            <w14:solidFill>
              <w14:schemeClr w14:val="tx1"/>
            </w14:solidFill>
          </w14:textFill>
        </w:rPr>
      </w:r>
      <w:r/>
    </w:p>
    <w:p>
      <w:pPr>
        <w:ind w:firstLine="480"/>
        <w:keepLines w:val="0"/>
        <w:keepNext w:val="0"/>
        <w:pageBreakBefore w:val="0"/>
        <w:spacing w:line="264" w:lineRule="auto"/>
        <w:widowControl w:val="off"/>
        <w:rPr>
          <w:rFonts w:hint="eastAsia" w:ascii="黑体" w:hAnsi="黑体" w:eastAsia="黑体" w:cs="黑体"/>
          <w:b w:val="0"/>
          <w:bCs w:val="0"/>
          <w:color w:val="000000" w:themeColor="text1"/>
          <w:sz w:val="24"/>
          <w:szCs w:val="24"/>
          <w:highlight w:val="none"/>
          <w:lang w:eastAsia="zh-CN"/>
          <w14:textFill>
            <w14:solidFill>
              <w14:schemeClr w14:val="tx1"/>
            </w14:solidFill>
          </w14:textFill>
        </w:rPr>
      </w:pPr>
      <w:r>
        <w:rPr>
          <w:rFonts w:hint="eastAsia" w:ascii="黑体" w:hAnsi="黑体" w:eastAsia="黑体" w:cs="黑体"/>
          <w:b w:val="0"/>
          <w:bCs w:val="0"/>
          <w:color w:val="000000" w:themeColor="text1"/>
          <w:sz w:val="24"/>
          <w:szCs w:val="24"/>
          <w:highlight w:val="none"/>
          <w:lang w:eastAsia="zh-CN"/>
          <w14:textFill>
            <w14:solidFill>
              <w14:schemeClr w14:val="tx1"/>
            </w14:solidFill>
          </w14:textFill>
        </w:rPr>
      </w:r>
      <w:r/>
    </w:p>
    <w:p>
      <w:pPr>
        <w:ind w:firstLine="480"/>
        <w:keepLines w:val="0"/>
        <w:keepNext w:val="0"/>
        <w:pageBreakBefore w:val="0"/>
        <w:spacing w:line="264" w:lineRule="auto"/>
        <w:widowControl w:val="off"/>
        <w:rPr>
          <w:rFonts w:hint="eastAsia" w:ascii="黑体" w:hAnsi="黑体" w:eastAsia="黑体" w:cs="黑体"/>
          <w:b w:val="0"/>
          <w:bCs w:val="0"/>
          <w:color w:val="000000" w:themeColor="text1"/>
          <w:sz w:val="24"/>
          <w:szCs w:val="24"/>
          <w:highlight w:val="none"/>
          <w:lang w:eastAsia="zh-CN"/>
          <w14:textFill>
            <w14:solidFill>
              <w14:schemeClr w14:val="tx1"/>
            </w14:solidFill>
          </w14:textFill>
        </w:rPr>
      </w:pPr>
      <w:r>
        <w:rPr>
          <w:rFonts w:hint="eastAsia" w:ascii="黑体" w:hAnsi="黑体" w:eastAsia="黑体" w:cs="黑体"/>
          <w:b w:val="0"/>
          <w:bCs w:val="0"/>
          <w:color w:val="000000" w:themeColor="text1"/>
          <w:sz w:val="24"/>
          <w:szCs w:val="24"/>
          <w:highlight w:val="none"/>
          <w:lang w:eastAsia="zh-CN"/>
          <w14:textFill>
            <w14:solidFill>
              <w14:schemeClr w14:val="tx1"/>
            </w14:solidFill>
          </w14:textFill>
        </w:rPr>
      </w:r>
      <w:r/>
    </w:p>
    <w:p>
      <w:pPr>
        <w:ind w:firstLine="480"/>
        <w:keepLines w:val="0"/>
        <w:keepNext w:val="0"/>
        <w:pageBreakBefore w:val="0"/>
        <w:spacing w:line="264" w:lineRule="auto"/>
        <w:widowControl w:val="off"/>
        <w:rPr>
          <w:rFonts w:hint="eastAsia" w:ascii="黑体" w:hAnsi="黑体" w:eastAsia="黑体" w:cs="黑体"/>
          <w:b w:val="0"/>
          <w:bCs w:val="0"/>
          <w:color w:val="000000" w:themeColor="text1"/>
          <w:sz w:val="24"/>
          <w:szCs w:val="24"/>
          <w:highlight w:val="none"/>
          <w:lang w:eastAsia="zh-CN"/>
          <w14:textFill>
            <w14:solidFill>
              <w14:schemeClr w14:val="tx1"/>
            </w14:solidFill>
          </w14:textFill>
        </w:rPr>
      </w:pPr>
      <w:r>
        <w:rPr>
          <w:rFonts w:hint="eastAsia" w:ascii="黑体" w:hAnsi="黑体" w:eastAsia="黑体" w:cs="黑体"/>
          <w:b w:val="0"/>
          <w:bCs w:val="0"/>
          <w:color w:val="000000" w:themeColor="text1"/>
          <w:sz w:val="24"/>
          <w:szCs w:val="24"/>
          <w:highlight w:val="none"/>
          <w:lang w:eastAsia="zh-CN"/>
          <w14:textFill>
            <w14:solidFill>
              <w14:schemeClr w14:val="tx1"/>
            </w14:solidFill>
          </w14:textFill>
        </w:rPr>
      </w:r>
      <w:r/>
    </w:p>
    <w:p>
      <w:pPr>
        <w:ind w:firstLine="480"/>
        <w:keepLines w:val="0"/>
        <w:keepNext w:val="0"/>
        <w:pageBreakBefore w:val="0"/>
        <w:spacing w:line="264" w:lineRule="auto"/>
        <w:widowControl w:val="off"/>
        <w:rPr>
          <w:rFonts w:hint="eastAsia" w:ascii="黑体" w:hAnsi="黑体" w:eastAsia="黑体" w:cs="黑体"/>
          <w:b w:val="0"/>
          <w:bCs w:val="0"/>
          <w:color w:val="000000" w:themeColor="text1"/>
          <w:sz w:val="24"/>
          <w:szCs w:val="24"/>
          <w:highlight w:val="none"/>
          <w:lang w:eastAsia="zh-CN"/>
          <w14:textFill>
            <w14:solidFill>
              <w14:schemeClr w14:val="tx1"/>
            </w14:solidFill>
          </w14:textFill>
        </w:rPr>
      </w:pPr>
      <w:r>
        <w:rPr>
          <w:rFonts w:hint="eastAsia" w:ascii="黑体" w:hAnsi="黑体" w:eastAsia="黑体" w:cs="黑体"/>
          <w:b w:val="0"/>
          <w:bCs w:val="0"/>
          <w:color w:val="000000" w:themeColor="text1"/>
          <w:sz w:val="24"/>
          <w:szCs w:val="24"/>
          <w:highlight w:val="none"/>
          <w:lang w:eastAsia="zh-CN"/>
          <w14:textFill>
            <w14:solidFill>
              <w14:schemeClr w14:val="tx1"/>
            </w14:solidFill>
          </w14:textFill>
        </w:rPr>
      </w:r>
      <w:r/>
    </w:p>
    <w:p>
      <w:pPr>
        <w:ind w:firstLine="480"/>
        <w:keepLines w:val="0"/>
        <w:keepNext w:val="0"/>
        <w:pageBreakBefore w:val="0"/>
        <w:spacing w:line="264" w:lineRule="auto"/>
        <w:widowControl w:val="off"/>
        <w:rPr>
          <w:rFonts w:hint="eastAsia" w:ascii="黑体" w:hAnsi="黑体" w:eastAsia="黑体" w:cs="黑体"/>
          <w:b w:val="0"/>
          <w:bCs w:val="0"/>
          <w:color w:val="000000" w:themeColor="text1"/>
          <w:sz w:val="24"/>
          <w:szCs w:val="24"/>
          <w:highlight w:val="none"/>
          <w:lang w:eastAsia="zh-CN"/>
          <w14:textFill>
            <w14:solidFill>
              <w14:schemeClr w14:val="tx1"/>
            </w14:solidFill>
          </w14:textFill>
        </w:rPr>
      </w:pPr>
      <w:r>
        <w:rPr>
          <w:rFonts w:hint="eastAsia" w:ascii="黑体" w:hAnsi="黑体" w:eastAsia="黑体" w:cs="黑体"/>
          <w:b w:val="0"/>
          <w:bCs w:val="0"/>
          <w:color w:val="000000" w:themeColor="text1"/>
          <w:sz w:val="24"/>
          <w:szCs w:val="24"/>
          <w:highlight w:val="none"/>
          <w:lang w:eastAsia="zh-CN"/>
          <w14:textFill>
            <w14:solidFill>
              <w14:schemeClr w14:val="tx1"/>
            </w14:solidFill>
          </w14:textFill>
        </w:rPr>
        <w:t xml:space="preserve">四、评标标准</w:t>
      </w:r>
      <w:r/>
    </w:p>
    <w:tbl>
      <w:tblPr>
        <w:tblStyle w:val="699"/>
        <w:tblW w:w="942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534"/>
      </w:tblGrid>
      <w:tr>
        <w:trPr>
          <w:jc w:val="center"/>
          <w:trHeight w:val="212"/>
          <w:tblHeader/>
        </w:trPr>
        <w:tc>
          <w:tcPr>
            <w:tcW w:w="519" w:type="dxa"/>
            <w:vAlign w:val="top"/>
            <w:textDirection w:val="lrTb"/>
            <w:noWrap/>
          </w:tcPr>
          <w:p>
            <w:pPr>
              <w:jc w:val="center"/>
              <w:spacing w:before="264" w:line="288" w:lineRule="auto"/>
              <w:rPr>
                <w:rFonts w:hint="eastAsia" w:ascii="宋体" w:hAnsi="宋体" w:cs="宋体"/>
                <w:b/>
                <w:bCs/>
                <w:color w:val="000000" w:themeColor="text1"/>
                <w:spacing w:val="-2"/>
                <w:szCs w:val="21"/>
                <w:highlight w:val="none"/>
                <w14:textFill>
                  <w14:solidFill>
                    <w14:schemeClr w14:val="tx1"/>
                  </w14:solidFill>
                </w14:textFill>
              </w:rPr>
            </w:pPr>
            <w:r>
              <w:rPr>
                <w:rFonts w:hint="eastAsia" w:ascii="宋体" w:hAnsi="宋体" w:cs="宋体"/>
                <w:b/>
                <w:bCs/>
                <w:color w:val="000000" w:themeColor="text1"/>
                <w:spacing w:val="-2"/>
                <w:szCs w:val="21"/>
                <w:highlight w:val="none"/>
                <w14:textFill>
                  <w14:solidFill>
                    <w14:schemeClr w14:val="tx1"/>
                  </w14:solidFill>
                </w14:textFill>
              </w:rPr>
              <w:t xml:space="preserve">序号</w:t>
            </w:r>
            <w:r/>
          </w:p>
        </w:tc>
        <w:tc>
          <w:tcPr>
            <w:tcW w:w="1179" w:type="dxa"/>
            <w:vAlign w:val="top"/>
            <w:textDirection w:val="lrTb"/>
            <w:noWrap/>
          </w:tcPr>
          <w:p>
            <w:pPr>
              <w:jc w:val="center"/>
              <w:spacing w:before="264" w:line="288" w:lineRule="auto"/>
              <w:rPr>
                <w:rFonts w:hint="eastAsia" w:ascii="宋体" w:hAnsi="宋体" w:cs="宋体"/>
                <w:b/>
                <w:bCs/>
                <w:color w:val="000000" w:themeColor="text1"/>
                <w:spacing w:val="-2"/>
                <w:szCs w:val="21"/>
                <w:highlight w:val="none"/>
                <w14:textFill>
                  <w14:solidFill>
                    <w14:schemeClr w14:val="tx1"/>
                  </w14:solidFill>
                </w14:textFill>
              </w:rPr>
            </w:pPr>
            <w:r>
              <w:rPr>
                <w:rFonts w:hint="eastAsia" w:ascii="宋体" w:hAnsi="宋体" w:cs="宋体"/>
                <w:b/>
                <w:bCs/>
                <w:color w:val="000000" w:themeColor="text1"/>
                <w:spacing w:val="-2"/>
                <w:szCs w:val="21"/>
                <w:highlight w:val="none"/>
                <w14:textFill>
                  <w14:solidFill>
                    <w14:schemeClr w14:val="tx1"/>
                  </w14:solidFill>
                </w14:textFill>
              </w:rPr>
              <w:t xml:space="preserve">评审因素</w:t>
            </w:r>
            <w:r/>
          </w:p>
        </w:tc>
        <w:tc>
          <w:tcPr>
            <w:tcW w:w="6616" w:type="dxa"/>
            <w:vAlign w:val="top"/>
            <w:textDirection w:val="lrTb"/>
            <w:noWrap/>
          </w:tcPr>
          <w:p>
            <w:pPr>
              <w:jc w:val="center"/>
              <w:spacing w:before="264" w:line="288" w:lineRule="auto"/>
              <w:rPr>
                <w:rFonts w:hint="eastAsia" w:ascii="宋体" w:hAnsi="宋体" w:cs="宋体"/>
                <w:b/>
                <w:bCs/>
                <w:color w:val="000000" w:themeColor="text1"/>
                <w:spacing w:val="-2"/>
                <w:szCs w:val="21"/>
                <w:highlight w:val="none"/>
                <w14:textFill>
                  <w14:solidFill>
                    <w14:schemeClr w14:val="tx1"/>
                  </w14:solidFill>
                </w14:textFill>
              </w:rPr>
            </w:pPr>
            <w:r>
              <w:rPr>
                <w:rFonts w:hint="eastAsia" w:ascii="宋体" w:hAnsi="宋体" w:cs="宋体"/>
                <w:b/>
                <w:bCs/>
                <w:color w:val="000000" w:themeColor="text1"/>
                <w:spacing w:val="-2"/>
                <w:szCs w:val="21"/>
                <w:highlight w:val="none"/>
                <w14:textFill>
                  <w14:solidFill>
                    <w14:schemeClr w14:val="tx1"/>
                  </w14:solidFill>
                </w14:textFill>
              </w:rPr>
              <w:t xml:space="preserve">评审细则</w:t>
            </w:r>
            <w:r/>
          </w:p>
        </w:tc>
        <w:tc>
          <w:tcPr>
            <w:tcW w:w="573" w:type="dxa"/>
            <w:vAlign w:val="top"/>
            <w:textDirection w:val="lrTb"/>
            <w:noWrap/>
          </w:tcPr>
          <w:p>
            <w:pPr>
              <w:jc w:val="center"/>
              <w:spacing w:before="264" w:line="288" w:lineRule="auto"/>
              <w:rPr>
                <w:rFonts w:hint="eastAsia" w:ascii="宋体" w:hAnsi="宋体" w:cs="宋体"/>
                <w:b/>
                <w:bCs/>
                <w:color w:val="000000" w:themeColor="text1"/>
                <w:spacing w:val="-2"/>
                <w:szCs w:val="21"/>
                <w:highlight w:val="none"/>
                <w14:textFill>
                  <w14:solidFill>
                    <w14:schemeClr w14:val="tx1"/>
                  </w14:solidFill>
                </w14:textFill>
              </w:rPr>
            </w:pPr>
            <w:r>
              <w:rPr>
                <w:rFonts w:hint="eastAsia" w:ascii="宋体" w:hAnsi="宋体" w:cs="宋体"/>
                <w:b/>
                <w:bCs/>
                <w:color w:val="000000" w:themeColor="text1"/>
                <w:spacing w:val="-2"/>
                <w:szCs w:val="21"/>
                <w:highlight w:val="none"/>
                <w14:textFill>
                  <w14:solidFill>
                    <w14:schemeClr w14:val="tx1"/>
                  </w14:solidFill>
                </w14:textFill>
              </w:rPr>
              <w:t xml:space="preserve">分值</w:t>
            </w:r>
            <w:r/>
          </w:p>
        </w:tc>
        <w:tc>
          <w:tcPr>
            <w:tcW w:w="534" w:type="dxa"/>
            <w:vAlign w:val="top"/>
            <w:textDirection w:val="lrTb"/>
            <w:noWrap/>
          </w:tcPr>
          <w:p>
            <w:pPr>
              <w:jc w:val="center"/>
              <w:spacing w:before="264" w:line="288" w:lineRule="auto"/>
              <w:rPr>
                <w:rFonts w:hint="eastAsia" w:ascii="宋体" w:hAnsi="宋体" w:cs="宋体"/>
                <w:b/>
                <w:bCs/>
                <w:color w:val="000000" w:themeColor="text1"/>
                <w:spacing w:val="-2"/>
                <w:szCs w:val="21"/>
                <w:highlight w:val="none"/>
                <w14:textFill>
                  <w14:solidFill>
                    <w14:schemeClr w14:val="tx1"/>
                  </w14:solidFill>
                </w14:textFill>
              </w:rPr>
            </w:pPr>
            <w:r>
              <w:rPr>
                <w:rFonts w:hint="eastAsia" w:ascii="宋体" w:hAnsi="宋体" w:cs="宋体"/>
                <w:b/>
                <w:bCs/>
                <w:color w:val="000000" w:themeColor="text1"/>
                <w:spacing w:val="-2"/>
                <w:szCs w:val="21"/>
                <w:highlight w:val="none"/>
                <w14:textFill>
                  <w14:solidFill>
                    <w14:schemeClr w14:val="tx1"/>
                  </w14:solidFill>
                </w14:textFill>
              </w:rPr>
              <w:t xml:space="preserve">类型</w:t>
            </w:r>
            <w:r/>
          </w:p>
        </w:tc>
      </w:tr>
      <w:tr>
        <w:trPr>
          <w:jc w:val="center"/>
          <w:trHeight w:val="460"/>
        </w:trPr>
        <w:tc>
          <w:tcPr>
            <w:gridSpan w:val="5"/>
            <w:tcW w:w="9421" w:type="dxa"/>
            <w:vAlign w:val="top"/>
            <w:textDirection w:val="lrTb"/>
            <w:noWrap/>
          </w:tcPr>
          <w:p>
            <w:pPr>
              <w:ind w:left="114"/>
              <w:spacing w:before="122"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pacing w:val="-3"/>
                <w:szCs w:val="21"/>
                <w:highlight w:val="none"/>
                <w14:textFill>
                  <w14:solidFill>
                    <w14:schemeClr w14:val="tx1"/>
                  </w14:solidFill>
                </w14:textFill>
              </w:rPr>
              <w:t xml:space="preserve">1价</w:t>
            </w:r>
            <w:r>
              <w:rPr>
                <w:rFonts w:hint="eastAsia" w:ascii="宋体" w:hAnsi="宋体" w:cs="宋体"/>
                <w:b/>
                <w:bCs/>
                <w:color w:val="000000" w:themeColor="text1"/>
                <w:spacing w:val="-2"/>
                <w:szCs w:val="21"/>
                <w:highlight w:val="none"/>
                <w14:textFill>
                  <w14:solidFill>
                    <w14:schemeClr w14:val="tx1"/>
                  </w14:solidFill>
                </w14:textFill>
              </w:rPr>
              <w:t xml:space="preserve">格</w:t>
            </w:r>
            <w:r/>
          </w:p>
        </w:tc>
      </w:tr>
      <w:tr>
        <w:trPr>
          <w:jc w:val="center"/>
          <w:trHeight w:val="1030"/>
        </w:trPr>
        <w:tc>
          <w:tcPr>
            <w:tcW w:w="519" w:type="dxa"/>
            <w:vAlign w:val="center"/>
            <w:textDirection w:val="lrTb"/>
            <w:noWrap/>
          </w:tcPr>
          <w:p>
            <w:pPr>
              <w:jc w:val="center"/>
              <w:spacing w:before="68"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1</w:t>
            </w:r>
            <w:r>
              <w:rPr>
                <w:rFonts w:hint="eastAsia" w:ascii="宋体" w:hAnsi="宋体" w:cs="宋体"/>
                <w:color w:val="000000" w:themeColor="text1"/>
                <w:spacing w:val="-5"/>
                <w:szCs w:val="21"/>
                <w:highlight w:val="none"/>
                <w14:textFill>
                  <w14:solidFill>
                    <w14:schemeClr w14:val="tx1"/>
                  </w14:solidFill>
                </w14:textFill>
              </w:rPr>
              <w:t xml:space="preserve">.1</w:t>
            </w:r>
            <w:r/>
          </w:p>
        </w:tc>
        <w:tc>
          <w:tcPr>
            <w:tcW w:w="1179" w:type="dxa"/>
            <w:vAlign w:val="center"/>
            <w:textDirection w:val="lrTb"/>
            <w:noWrap/>
          </w:tcPr>
          <w:p>
            <w:pPr>
              <w:jc w:val="center"/>
              <w:spacing w:before="68"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2"/>
                <w:szCs w:val="21"/>
                <w:highlight w:val="none"/>
                <w14:textFill>
                  <w14:solidFill>
                    <w14:schemeClr w14:val="tx1"/>
                  </w14:solidFill>
                </w14:textFill>
              </w:rPr>
              <w:t xml:space="preserve">价格分</w:t>
            </w:r>
            <w:r/>
          </w:p>
        </w:tc>
        <w:tc>
          <w:tcPr>
            <w:tcW w:w="6616" w:type="dxa"/>
            <w:vAlign w:val="center"/>
            <w:textDirection w:val="lrTb"/>
            <w:noWrap/>
          </w:tcPr>
          <w:p>
            <w:pPr>
              <w:jc w:val="left"/>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
                <w:szCs w:val="21"/>
                <w:highlight w:val="none"/>
                <w14:textFill>
                  <w14:solidFill>
                    <w14:schemeClr w14:val="tx1"/>
                  </w14:solidFill>
                </w14:textFill>
              </w:rPr>
              <w:t xml:space="preserve">采用低价优先法计算，即满足招标文件要求且投标价格最低的投标报价为评标基准价，其价格分为满分。其他投标人的价格分统一按照下列公式计算：投标报价得分=(评标基准价/投标报价)*30。（小数点保留两位）</w:t>
            </w:r>
            <w:r/>
          </w:p>
        </w:tc>
        <w:tc>
          <w:tcPr>
            <w:tcW w:w="573" w:type="dxa"/>
            <w:vAlign w:val="center"/>
            <w:textDirection w:val="lrTb"/>
            <w:noWrap/>
          </w:tcPr>
          <w:p>
            <w:pPr>
              <w:jc w:val="center"/>
              <w:spacing w:before="69"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w:t>
            </w:r>
            <w:r/>
          </w:p>
        </w:tc>
        <w:tc>
          <w:tcPr>
            <w:tcW w:w="534" w:type="dxa"/>
            <w:vAlign w:val="center"/>
            <w:textDirection w:val="lrTb"/>
            <w:noWrap/>
          </w:tcPr>
          <w:p>
            <w:pPr>
              <w:jc w:val="center"/>
              <w:spacing w:before="258"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价格分</w:t>
            </w:r>
            <w:r/>
          </w:p>
        </w:tc>
      </w:tr>
      <w:tr>
        <w:trPr>
          <w:jc w:val="center"/>
          <w:trHeight w:val="460"/>
        </w:trPr>
        <w:tc>
          <w:tcPr>
            <w:gridSpan w:val="5"/>
            <w:tcW w:w="9421" w:type="dxa"/>
            <w:vAlign w:val="top"/>
            <w:textDirection w:val="lrTb"/>
            <w:noWrap/>
          </w:tcPr>
          <w:p>
            <w:pPr>
              <w:ind w:left="114"/>
              <w:spacing w:before="123"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pacing w:val="-3"/>
                <w:szCs w:val="21"/>
                <w:highlight w:val="none"/>
                <w14:textFill>
                  <w14:solidFill>
                    <w14:schemeClr w14:val="tx1"/>
                  </w14:solidFill>
                </w14:textFill>
              </w:rPr>
              <w:t xml:space="preserve">2技术</w:t>
            </w:r>
            <w:r/>
          </w:p>
        </w:tc>
      </w:tr>
      <w:tr>
        <w:trPr>
          <w:jc w:val="center"/>
          <w:trHeight w:val="891"/>
        </w:trPr>
        <w:tc>
          <w:tcPr>
            <w:tcW w:w="519" w:type="dxa"/>
            <w:vAlign w:val="center"/>
            <w:textDirection w:val="lrTb"/>
            <w:noWrap/>
          </w:tcPr>
          <w:p>
            <w:pPr>
              <w:jc w:val="center"/>
              <w:spacing w:before="68" w:line="288" w:lineRule="auto"/>
              <w:rPr>
                <w:rFonts w:hint="eastAsia" w:ascii="宋体" w:hAnsi="宋体" w:cs="宋体"/>
                <w:color w:val="000000" w:themeColor="text1"/>
                <w:spacing w:val="-2"/>
                <w:szCs w:val="21"/>
                <w:highlight w:val="none"/>
                <w14:textFill>
                  <w14:solidFill>
                    <w14:schemeClr w14:val="tx1"/>
                  </w14:solidFill>
                </w14:textFill>
              </w:rPr>
            </w:pPr>
            <w:r>
              <w:rPr>
                <w:rFonts w:hint="eastAsia" w:ascii="宋体" w:hAnsi="宋体" w:cs="宋体"/>
                <w:color w:val="000000" w:themeColor="text1"/>
                <w:spacing w:val="-2"/>
                <w:szCs w:val="21"/>
                <w:highlight w:val="none"/>
                <w14:textFill>
                  <w14:solidFill>
                    <w14:schemeClr w14:val="tx1"/>
                  </w14:solidFill>
                </w14:textFill>
              </w:rPr>
              <w:t xml:space="preserve">2.1</w:t>
            </w:r>
            <w:r/>
          </w:p>
        </w:tc>
        <w:tc>
          <w:tcPr>
            <w:tcW w:w="1179" w:type="dxa"/>
            <w:vAlign w:val="center"/>
            <w:textDirection w:val="lrTb"/>
            <w:noWrap/>
          </w:tcPr>
          <w:p>
            <w:pPr>
              <w:jc w:val="center"/>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产品功能、性能、配置要求</w:t>
            </w:r>
            <w:r/>
          </w:p>
        </w:tc>
        <w:tc>
          <w:tcPr>
            <w:tcW w:w="6616" w:type="dxa"/>
            <w:vAlign w:val="center"/>
            <w:textDirection w:val="lrTb"/>
            <w:noWrap/>
          </w:tcPr>
          <w:p>
            <w:pPr>
              <w:jc w:val="left"/>
              <w:spacing w:line="288"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满足招标文件采购需求中规定的全部技术参数指标要求的，此项得满分20分。加★项属于实质性响应条款，若供应商不满足，将做无效投标处理。加▲项指标为重要参数，每有一项负偏离扣2分；其它项每有一条负偏离扣1分。</w:t>
            </w:r>
            <w:r>
              <w:rPr>
                <w:rFonts w:hint="eastAsia" w:ascii="宋体" w:hAnsi="宋体" w:cs="宋体"/>
                <w:color w:val="000000" w:themeColor="text1"/>
                <w:highlight w:val="none"/>
                <w14:textFill>
                  <w14:solidFill>
                    <w14:schemeClr w14:val="tx1"/>
                  </w14:solidFill>
                </w14:textFill>
              </w:rPr>
              <w:t xml:space="preserve">本项最低得分0分。</w:t>
            </w:r>
            <w:r/>
          </w:p>
          <w:p>
            <w:pPr>
              <w:jc w:val="left"/>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（投标人提供《技术要求响应及偏离表》并逐条注明响应情况，产品清单中要求提供对应证明资料的，投标人必须提供，否则不得分。项目参数允许正偏离，不另外加分。）</w:t>
            </w:r>
            <w:r/>
          </w:p>
        </w:tc>
        <w:tc>
          <w:tcPr>
            <w:tcW w:w="573" w:type="dxa"/>
            <w:vAlign w:val="center"/>
            <w:textDirection w:val="lrTb"/>
            <w:noWrap/>
          </w:tcPr>
          <w:p>
            <w:pPr>
              <w:jc w:val="center"/>
              <w:spacing w:before="68"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w:t>
            </w:r>
            <w:r/>
          </w:p>
        </w:tc>
        <w:tc>
          <w:tcPr>
            <w:tcW w:w="534" w:type="dxa"/>
            <w:vAlign w:val="center"/>
            <w:textDirection w:val="lrTb"/>
            <w:noWrap/>
          </w:tcPr>
          <w:p>
            <w:pPr>
              <w:jc w:val="center"/>
              <w:spacing w:before="68"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客</w:t>
            </w:r>
            <w:r>
              <w:rPr>
                <w:rFonts w:hint="eastAsia" w:ascii="宋体" w:hAnsi="宋体" w:cs="宋体"/>
                <w:color w:val="000000" w:themeColor="text1"/>
                <w:spacing w:val="-4"/>
                <w:szCs w:val="21"/>
                <w:highlight w:val="none"/>
                <w14:textFill>
                  <w14:solidFill>
                    <w14:schemeClr w14:val="tx1"/>
                  </w14:solidFill>
                </w14:textFill>
              </w:rPr>
              <w:t xml:space="preserve">观分</w:t>
            </w:r>
            <w:r/>
          </w:p>
        </w:tc>
      </w:tr>
      <w:tr>
        <w:trPr>
          <w:jc w:val="center"/>
          <w:trHeight w:val="891"/>
        </w:trPr>
        <w:tc>
          <w:tcPr>
            <w:tcW w:w="519" w:type="dxa"/>
            <w:vAlign w:val="center"/>
            <w:textDirection w:val="lrTb"/>
            <w:noWrap/>
          </w:tcPr>
          <w:p>
            <w:pPr>
              <w:jc w:val="center"/>
              <w:spacing w:before="68" w:line="288" w:lineRule="auto"/>
              <w:rPr>
                <w:rFonts w:hint="eastAsia" w:ascii="宋体" w:hAnsi="宋体" w:cs="宋体"/>
                <w:color w:val="000000" w:themeColor="text1"/>
                <w:spacing w:val="-2"/>
                <w:szCs w:val="21"/>
                <w:highlight w:val="none"/>
                <w14:textFill>
                  <w14:solidFill>
                    <w14:schemeClr w14:val="tx1"/>
                  </w14:solidFill>
                </w14:textFill>
              </w:rPr>
            </w:pPr>
            <w:r>
              <w:rPr>
                <w:rFonts w:hint="eastAsia" w:ascii="宋体" w:hAnsi="宋体" w:cs="宋体"/>
                <w:color w:val="000000" w:themeColor="text1"/>
                <w:spacing w:val="-2"/>
                <w:szCs w:val="21"/>
                <w:highlight w:val="none"/>
                <w14:textFill>
                  <w14:solidFill>
                    <w14:schemeClr w14:val="tx1"/>
                  </w14:solidFill>
                </w14:textFill>
              </w:rPr>
              <w:t xml:space="preserve">2.2</w:t>
            </w:r>
            <w:r/>
          </w:p>
        </w:tc>
        <w:tc>
          <w:tcPr>
            <w:tcW w:w="1179" w:type="dxa"/>
            <w:vAlign w:val="center"/>
            <w:textDirection w:val="lrTb"/>
            <w:noWrap/>
          </w:tcPr>
          <w:p>
            <w:pPr>
              <w:jc w:val="center"/>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总体建设方案</w:t>
            </w:r>
            <w:r/>
          </w:p>
        </w:tc>
        <w:tc>
          <w:tcPr>
            <w:tcW w:w="6616" w:type="dxa"/>
            <w:vAlign w:val="center"/>
            <w:textDirection w:val="lrTb"/>
            <w:noWrap/>
          </w:tcPr>
          <w:p>
            <w:pPr>
              <w:jc w:val="left"/>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评委根据投标人提供的总体建设方案综合评分，包含:1.建设内容；2.总体需求分析；3.重难点分析；4.应对措施。以上每项内容逐条阐述。</w:t>
            </w:r>
            <w:r/>
          </w:p>
          <w:p>
            <w:pPr>
              <w:jc w:val="left"/>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（1）上述每项内容完整，科学合理、针对性强的，得2分；</w:t>
            </w:r>
            <w:r/>
          </w:p>
          <w:p>
            <w:pPr>
              <w:jc w:val="left"/>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（2）上述每项内容较完整，较科学合理，较有针对性的，得1分；</w:t>
            </w:r>
            <w:r/>
          </w:p>
          <w:p>
            <w:pPr>
              <w:jc w:val="left"/>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（3）上述每项内容不科学合理、无针对性或未提供的不得分。</w:t>
            </w:r>
            <w:r/>
          </w:p>
        </w:tc>
        <w:tc>
          <w:tcPr>
            <w:tcW w:w="573" w:type="dxa"/>
            <w:vAlign w:val="center"/>
            <w:textDirection w:val="lrTb"/>
            <w:noWrap/>
          </w:tcPr>
          <w:p>
            <w:pPr>
              <w:jc w:val="center"/>
              <w:spacing w:before="68"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p>
        </w:tc>
        <w:tc>
          <w:tcPr>
            <w:tcW w:w="534" w:type="dxa"/>
            <w:vAlign w:val="center"/>
            <w:textDirection w:val="lrTb"/>
            <w:noWrap/>
          </w:tcPr>
          <w:p>
            <w:pPr>
              <w:jc w:val="center"/>
              <w:spacing w:before="68" w:line="288" w:lineRule="auto"/>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主观分</w:t>
            </w:r>
            <w:r/>
          </w:p>
        </w:tc>
      </w:tr>
      <w:tr>
        <w:trPr>
          <w:jc w:val="center"/>
          <w:trHeight w:val="335"/>
        </w:trPr>
        <w:tc>
          <w:tcPr>
            <w:tcW w:w="519" w:type="dxa"/>
            <w:vAlign w:val="center"/>
            <w:textDirection w:val="lrTb"/>
            <w:noWrap/>
          </w:tcPr>
          <w:p>
            <w:pPr>
              <w:jc w:val="center"/>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w:t>
            </w:r>
            <w:r/>
          </w:p>
        </w:tc>
        <w:tc>
          <w:tcPr>
            <w:tcW w:w="1179" w:type="dxa"/>
            <w:vAlign w:val="center"/>
            <w:textDirection w:val="lrTb"/>
            <w:noWrap/>
          </w:tcPr>
          <w:p>
            <w:pPr>
              <w:jc w:val="center"/>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项目实施方案</w:t>
            </w:r>
            <w:r/>
          </w:p>
        </w:tc>
        <w:tc>
          <w:tcPr>
            <w:tcW w:w="6616" w:type="dxa"/>
            <w:vAlign w:val="center"/>
            <w:textDirection w:val="lrTb"/>
            <w:noWrap/>
          </w:tcPr>
          <w:p>
            <w:pPr>
              <w:jc w:val="left"/>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评委根据投标人提供的项目实施方案综合评分，包含:1.供货进度保证措施；2.质量保证措施；3.协调配合措施；4.安装调试方案。以上每项内容逐条阐述。</w:t>
            </w:r>
            <w:r/>
          </w:p>
          <w:p>
            <w:pPr>
              <w:jc w:val="left"/>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（1）上述每项内容完整，科学合理、针对性强的，得2分；</w:t>
            </w:r>
            <w:r/>
          </w:p>
          <w:p>
            <w:pPr>
              <w:jc w:val="left"/>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（2）上述每项内容较完整，较科学合理，较有针对性的，得1分；</w:t>
            </w:r>
            <w:r/>
          </w:p>
          <w:p>
            <w:pPr>
              <w:jc w:val="left"/>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（3）上述每项内容不科学合理、无针对性或未提供的不得分。</w:t>
            </w:r>
            <w:r/>
          </w:p>
        </w:tc>
        <w:tc>
          <w:tcPr>
            <w:tcW w:w="573" w:type="dxa"/>
            <w:vAlign w:val="center"/>
            <w:textDirection w:val="lrTb"/>
            <w:noWrap/>
          </w:tcPr>
          <w:p>
            <w:pPr>
              <w:jc w:val="center"/>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p>
        </w:tc>
        <w:tc>
          <w:tcPr>
            <w:tcW w:w="534" w:type="dxa"/>
            <w:vAlign w:val="center"/>
            <w:textDirection w:val="lrTb"/>
            <w:noWrap/>
          </w:tcPr>
          <w:p>
            <w:pPr>
              <w:jc w:val="center"/>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主观分</w:t>
            </w:r>
            <w:r/>
          </w:p>
        </w:tc>
      </w:tr>
      <w:tr>
        <w:trPr>
          <w:jc w:val="center"/>
          <w:trHeight w:val="891"/>
        </w:trPr>
        <w:tc>
          <w:tcPr>
            <w:tcW w:w="519" w:type="dxa"/>
            <w:vAlign w:val="center"/>
            <w:textDirection w:val="lrTb"/>
            <w:noWrap/>
          </w:tcPr>
          <w:p>
            <w:pPr>
              <w:jc w:val="center"/>
              <w:spacing w:before="68" w:line="288" w:lineRule="auto"/>
              <w:rPr>
                <w:rFonts w:hint="eastAsia" w:ascii="宋体" w:hAnsi="宋体" w:cs="宋体"/>
                <w:color w:val="000000" w:themeColor="text1"/>
                <w:spacing w:val="-2"/>
                <w:szCs w:val="21"/>
                <w:highlight w:val="none"/>
                <w14:textFill>
                  <w14:solidFill>
                    <w14:schemeClr w14:val="tx1"/>
                  </w14:solidFill>
                </w14:textFill>
              </w:rPr>
            </w:pPr>
            <w:r>
              <w:rPr>
                <w:rFonts w:hint="eastAsia" w:ascii="宋体" w:hAnsi="宋体" w:cs="宋体"/>
                <w:color w:val="000000" w:themeColor="text1"/>
                <w:spacing w:val="-2"/>
                <w:szCs w:val="21"/>
                <w:highlight w:val="none"/>
                <w14:textFill>
                  <w14:solidFill>
                    <w14:schemeClr w14:val="tx1"/>
                  </w14:solidFill>
                </w14:textFill>
              </w:rPr>
              <w:t xml:space="preserve">2.4</w:t>
            </w:r>
            <w:r/>
          </w:p>
        </w:tc>
        <w:tc>
          <w:tcPr>
            <w:tcW w:w="1179" w:type="dxa"/>
            <w:vAlign w:val="center"/>
            <w:textDirection w:val="lrTb"/>
            <w:noWrap/>
          </w:tcPr>
          <w:p>
            <w:pPr>
              <w:jc w:val="center"/>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培训方案</w:t>
            </w:r>
            <w:r/>
          </w:p>
        </w:tc>
        <w:tc>
          <w:tcPr>
            <w:tcW w:w="6616" w:type="dxa"/>
            <w:vAlign w:val="center"/>
            <w:textDirection w:val="lrTb"/>
            <w:noWrap/>
          </w:tcPr>
          <w:p>
            <w:pPr>
              <w:jc w:val="left"/>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评委根据投标人提供的培训方案综合评分，包含:1.培训需求分析；2.培训目标计划；3.培训内容及方法；4.负责培训人员情况。以上每项内容逐条阐述。</w:t>
            </w:r>
            <w:r/>
          </w:p>
          <w:p>
            <w:pPr>
              <w:jc w:val="left"/>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（1）上述每项内容完整，科学合理、针对性强的，得2分；</w:t>
            </w:r>
            <w:r/>
          </w:p>
          <w:p>
            <w:pPr>
              <w:jc w:val="left"/>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（2）上述每项内容较完整，较科学合理，较有针对性的，得1分；</w:t>
            </w:r>
            <w:r/>
          </w:p>
          <w:p>
            <w:pPr>
              <w:jc w:val="left"/>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（3）上述每项内容不科学合理、无针对性或未提供的不得分。</w:t>
            </w:r>
            <w:r/>
          </w:p>
        </w:tc>
        <w:tc>
          <w:tcPr>
            <w:tcW w:w="573" w:type="dxa"/>
            <w:vAlign w:val="center"/>
            <w:textDirection w:val="lrTb"/>
            <w:noWrap/>
          </w:tcPr>
          <w:p>
            <w:pPr>
              <w:jc w:val="center"/>
              <w:spacing w:before="68"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p>
        </w:tc>
        <w:tc>
          <w:tcPr>
            <w:tcW w:w="534" w:type="dxa"/>
            <w:vAlign w:val="center"/>
            <w:textDirection w:val="lrTb"/>
            <w:noWrap/>
          </w:tcPr>
          <w:p>
            <w:pPr>
              <w:jc w:val="center"/>
              <w:spacing w:before="68" w:line="288" w:lineRule="auto"/>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主观分</w:t>
            </w:r>
            <w:r/>
          </w:p>
        </w:tc>
      </w:tr>
      <w:tr>
        <w:trPr>
          <w:jc w:val="center"/>
          <w:trHeight w:val="472"/>
        </w:trPr>
        <w:tc>
          <w:tcPr>
            <w:gridSpan w:val="5"/>
            <w:tcW w:w="9421" w:type="dxa"/>
            <w:vAlign w:val="center"/>
            <w:textDirection w:val="lrTb"/>
            <w:noWrap/>
          </w:tcPr>
          <w:p>
            <w:pPr>
              <w:spacing w:before="68"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pacing w:val="-3"/>
                <w:szCs w:val="21"/>
                <w:highlight w:val="none"/>
                <w14:textFill>
                  <w14:solidFill>
                    <w14:schemeClr w14:val="tx1"/>
                  </w14:solidFill>
                </w14:textFill>
              </w:rPr>
              <w:t xml:space="preserve">3服务</w:t>
            </w:r>
            <w:r/>
          </w:p>
        </w:tc>
      </w:tr>
      <w:tr>
        <w:trPr>
          <w:jc w:val="center"/>
          <w:trHeight w:val="891"/>
        </w:trPr>
        <w:tc>
          <w:tcPr>
            <w:tcW w:w="519" w:type="dxa"/>
            <w:vAlign w:val="center"/>
            <w:textDirection w:val="lrTb"/>
            <w:noWrap/>
          </w:tcPr>
          <w:p>
            <w:pPr>
              <w:jc w:val="center"/>
              <w:spacing w:before="68" w:line="288" w:lineRule="auto"/>
              <w:rPr>
                <w:rFonts w:hint="eastAsia" w:ascii="宋体" w:hAnsi="宋体" w:cs="宋体"/>
                <w:color w:val="000000" w:themeColor="text1"/>
                <w:spacing w:val="-2"/>
                <w:szCs w:val="21"/>
                <w:highlight w:val="none"/>
                <w14:textFill>
                  <w14:solidFill>
                    <w14:schemeClr w14:val="tx1"/>
                  </w14:solidFill>
                </w14:textFill>
              </w:rPr>
            </w:pPr>
            <w:r>
              <w:rPr>
                <w:rFonts w:hint="eastAsia" w:ascii="宋体" w:hAnsi="宋体" w:cs="宋体"/>
                <w:color w:val="000000" w:themeColor="text1"/>
                <w:spacing w:val="-2"/>
                <w:szCs w:val="21"/>
                <w:highlight w:val="none"/>
                <w14:textFill>
                  <w14:solidFill>
                    <w14:schemeClr w14:val="tx1"/>
                  </w14:solidFill>
                </w14:textFill>
              </w:rPr>
              <w:t xml:space="preserve">3.1</w:t>
            </w:r>
            <w:r/>
          </w:p>
        </w:tc>
        <w:tc>
          <w:tcPr>
            <w:tcW w:w="1179" w:type="dxa"/>
            <w:vAlign w:val="center"/>
            <w:textDirection w:val="lrTb"/>
            <w:noWrap/>
          </w:tcPr>
          <w:p>
            <w:pPr>
              <w:jc w:val="center"/>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售后服务方案</w:t>
            </w:r>
            <w:r/>
          </w:p>
        </w:tc>
        <w:tc>
          <w:tcPr>
            <w:tcW w:w="6616" w:type="dxa"/>
            <w:vAlign w:val="center"/>
            <w:textDirection w:val="lrTb"/>
            <w:noWrap/>
          </w:tcPr>
          <w:p>
            <w:pPr>
              <w:jc w:val="left"/>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评委根据投标人提供的售后服务方案综合评分，包含:1.售后服务体系；2.售后服务响应；3.问题解决方案；4.专业技术人员保障。以上每项内容逐条阐述。</w:t>
            </w:r>
            <w:r/>
          </w:p>
          <w:p>
            <w:pPr>
              <w:jc w:val="left"/>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（1）上述每项内容完整，科学合理、针对性强的，得2分；</w:t>
            </w:r>
            <w:r/>
          </w:p>
          <w:p>
            <w:pPr>
              <w:jc w:val="left"/>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（2）上述每项内容较完整，较科学合理，较有针对性的，得1分；</w:t>
            </w:r>
            <w:r/>
          </w:p>
          <w:p>
            <w:pPr>
              <w:jc w:val="left"/>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（3）上述每项内容不科学合理、无针对性或未提供的不得分。</w:t>
            </w:r>
            <w:r/>
          </w:p>
        </w:tc>
        <w:tc>
          <w:tcPr>
            <w:tcW w:w="573" w:type="dxa"/>
            <w:vAlign w:val="center"/>
            <w:textDirection w:val="lrTb"/>
            <w:noWrap/>
          </w:tcPr>
          <w:p>
            <w:pPr>
              <w:jc w:val="center"/>
              <w:spacing w:before="68"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p>
        </w:tc>
        <w:tc>
          <w:tcPr>
            <w:tcW w:w="534" w:type="dxa"/>
            <w:vAlign w:val="center"/>
            <w:textDirection w:val="lrTb"/>
            <w:noWrap/>
          </w:tcPr>
          <w:p>
            <w:pPr>
              <w:jc w:val="center"/>
              <w:spacing w:before="68" w:line="288" w:lineRule="auto"/>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主观分</w:t>
            </w:r>
            <w:r/>
          </w:p>
        </w:tc>
      </w:tr>
      <w:tr>
        <w:trPr>
          <w:jc w:val="center"/>
          <w:trHeight w:val="455"/>
        </w:trPr>
        <w:tc>
          <w:tcPr>
            <w:gridSpan w:val="5"/>
            <w:tcW w:w="9421" w:type="dxa"/>
            <w:vAlign w:val="center"/>
            <w:textDirection w:val="lrTb"/>
            <w:noWrap/>
          </w:tcPr>
          <w:p>
            <w:pPr>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pacing w:val="-3"/>
                <w:szCs w:val="21"/>
                <w:highlight w:val="none"/>
                <w14:textFill>
                  <w14:solidFill>
                    <w14:schemeClr w14:val="tx1"/>
                  </w14:solidFill>
                </w14:textFill>
              </w:rPr>
              <w:t xml:space="preserve">4业绩</w:t>
            </w:r>
            <w:r/>
          </w:p>
        </w:tc>
      </w:tr>
      <w:tr>
        <w:trPr>
          <w:jc w:val="center"/>
          <w:trHeight w:val="394"/>
        </w:trPr>
        <w:tc>
          <w:tcPr>
            <w:tcW w:w="519" w:type="dxa"/>
            <w:vAlign w:val="center"/>
            <w:textDirection w:val="lrTb"/>
            <w:noWrap/>
          </w:tcPr>
          <w:p>
            <w:pPr>
              <w:jc w:val="center"/>
              <w:spacing w:before="68" w:line="288" w:lineRule="auto"/>
              <w:rPr>
                <w:rFonts w:hint="eastAsia" w:ascii="宋体" w:hAnsi="宋体" w:cs="宋体"/>
                <w:color w:val="000000" w:themeColor="text1"/>
                <w:spacing w:val="-2"/>
                <w:szCs w:val="21"/>
                <w:highlight w:val="none"/>
                <w14:textFill>
                  <w14:solidFill>
                    <w14:schemeClr w14:val="tx1"/>
                  </w14:solidFill>
                </w14:textFill>
              </w:rPr>
            </w:pPr>
            <w:r>
              <w:rPr>
                <w:rFonts w:hint="eastAsia" w:ascii="宋体" w:hAnsi="宋体" w:cs="宋体"/>
                <w:color w:val="000000" w:themeColor="text1"/>
                <w:spacing w:val="-2"/>
                <w:szCs w:val="21"/>
                <w:highlight w:val="none"/>
                <w14:textFill>
                  <w14:solidFill>
                    <w14:schemeClr w14:val="tx1"/>
                  </w14:solidFill>
                </w14:textFill>
              </w:rPr>
              <w:t xml:space="preserve">4.1</w:t>
            </w:r>
            <w:r/>
          </w:p>
        </w:tc>
        <w:tc>
          <w:tcPr>
            <w:tcW w:w="1179" w:type="dxa"/>
            <w:vAlign w:val="center"/>
            <w:textDirection w:val="lrTb"/>
            <w:noWrap/>
          </w:tcPr>
          <w:p>
            <w:pPr>
              <w:jc w:val="center"/>
              <w:spacing w:before="69" w:line="288" w:lineRule="auto"/>
              <w:rPr>
                <w:rFonts w:hint="eastAsia" w:ascii="宋体" w:hAnsi="宋体" w:cs="宋体"/>
                <w:color w:val="000000" w:themeColor="text1"/>
                <w:spacing w:val="-2"/>
                <w:szCs w:val="21"/>
                <w:highlight w:val="none"/>
                <w14:textFill>
                  <w14:solidFill>
                    <w14:schemeClr w14:val="tx1"/>
                  </w14:solidFill>
                </w14:textFill>
              </w:rPr>
            </w:pPr>
            <w:r>
              <w:rPr>
                <w:rFonts w:hint="eastAsia" w:ascii="宋体" w:hAnsi="宋体" w:cs="宋体"/>
                <w:color w:val="000000" w:themeColor="text1"/>
                <w:spacing w:val="-1"/>
                <w:szCs w:val="21"/>
                <w:highlight w:val="none"/>
                <w14:textFill>
                  <w14:solidFill>
                    <w14:schemeClr w14:val="tx1"/>
                  </w14:solidFill>
                </w14:textFill>
              </w:rPr>
              <w:t xml:space="preserve">企业业绩</w:t>
            </w:r>
            <w:r/>
          </w:p>
        </w:tc>
        <w:tc>
          <w:tcPr>
            <w:tcW w:w="6616" w:type="dxa"/>
            <w:vAlign w:val="center"/>
            <w:textDirection w:val="lrTb"/>
            <w:noWrap/>
          </w:tcPr>
          <w:p>
            <w:pPr>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供应商自2023年1月1日（含）以来承接过</w:t>
            </w:r>
            <w:r>
              <w:rPr>
                <w:rFonts w:hint="eastAsia" w:ascii="宋体" w:hAnsi="宋体" w:cs="宋体"/>
                <w:color w:val="000000" w:themeColor="text1"/>
                <w:highlight w:val="none"/>
                <w14:textFill>
                  <w14:solidFill>
                    <w14:schemeClr w14:val="tx1"/>
                  </w14:solidFill>
                </w14:textFill>
              </w:rPr>
              <w:t xml:space="preserve">类似智能化设备采购或安装业绩</w:t>
            </w:r>
            <w:r>
              <w:rPr>
                <w:rFonts w:hint="eastAsia" w:ascii="宋体" w:hAnsi="宋体" w:cs="宋体"/>
                <w:color w:val="000000" w:themeColor="text1"/>
                <w:szCs w:val="21"/>
                <w:highlight w:val="none"/>
                <w14:textFill>
                  <w14:solidFill>
                    <w14:schemeClr w14:val="tx1"/>
                  </w14:solidFill>
                </w14:textFill>
              </w:rPr>
              <w:t xml:space="preserve">的，每提供一个得1分，本项满分2分。（提供项目中标通知书、合同原件扫描件、验收证明资料，三者缺一不可，证明材料须能反应上述要求内容</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否则不得分，时间以合同签订时间为准。同一甲方或单一项目多期合同的仅计分一次。企业业绩与项目负责人业绩不得为同一业绩。）</w:t>
            </w:r>
            <w:r/>
          </w:p>
        </w:tc>
        <w:tc>
          <w:tcPr>
            <w:tcW w:w="573" w:type="dxa"/>
            <w:vAlign w:val="center"/>
            <w:textDirection w:val="lrTb"/>
            <w:noWrap/>
          </w:tcPr>
          <w:p>
            <w:pPr>
              <w:jc w:val="center"/>
              <w:spacing w:before="68"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W w:w="534" w:type="dxa"/>
            <w:vAlign w:val="center"/>
            <w:textDirection w:val="lrTb"/>
            <w:noWrap/>
          </w:tcPr>
          <w:p>
            <w:pPr>
              <w:jc w:val="center"/>
              <w:spacing w:before="68"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客</w:t>
            </w:r>
            <w:r>
              <w:rPr>
                <w:rFonts w:hint="eastAsia" w:ascii="宋体" w:hAnsi="宋体" w:cs="宋体"/>
                <w:color w:val="000000" w:themeColor="text1"/>
                <w:spacing w:val="-4"/>
                <w:szCs w:val="21"/>
                <w:highlight w:val="none"/>
                <w14:textFill>
                  <w14:solidFill>
                    <w14:schemeClr w14:val="tx1"/>
                  </w14:solidFill>
                </w14:textFill>
              </w:rPr>
              <w:t xml:space="preserve">观分</w:t>
            </w:r>
            <w:r/>
          </w:p>
        </w:tc>
      </w:tr>
      <w:tr>
        <w:trPr>
          <w:jc w:val="center"/>
          <w:trHeight w:val="1015"/>
        </w:trPr>
        <w:tc>
          <w:tcPr>
            <w:tcW w:w="519" w:type="dxa"/>
            <w:vAlign w:val="center"/>
            <w:textDirection w:val="lrTb"/>
            <w:noWrap/>
          </w:tcPr>
          <w:p>
            <w:pPr>
              <w:jc w:val="center"/>
              <w:spacing w:before="68" w:line="288" w:lineRule="auto"/>
              <w:rPr>
                <w:rFonts w:hint="eastAsia" w:ascii="宋体" w:hAnsi="宋体" w:cs="宋体"/>
                <w:color w:val="000000" w:themeColor="text1"/>
                <w:spacing w:val="-2"/>
                <w:szCs w:val="21"/>
                <w:highlight w:val="none"/>
                <w14:textFill>
                  <w14:solidFill>
                    <w14:schemeClr w14:val="tx1"/>
                  </w14:solidFill>
                </w14:textFill>
              </w:rPr>
            </w:pPr>
            <w:r>
              <w:rPr>
                <w:rFonts w:hint="eastAsia" w:ascii="宋体" w:hAnsi="宋体" w:cs="宋体"/>
                <w:color w:val="000000" w:themeColor="text1"/>
                <w:spacing w:val="-2"/>
                <w:szCs w:val="21"/>
                <w:highlight w:val="none"/>
                <w14:textFill>
                  <w14:solidFill>
                    <w14:schemeClr w14:val="tx1"/>
                  </w14:solidFill>
                </w14:textFill>
              </w:rPr>
              <w:t xml:space="preserve">4.2</w:t>
            </w:r>
            <w:r/>
          </w:p>
        </w:tc>
        <w:tc>
          <w:tcPr>
            <w:tcW w:w="1179" w:type="dxa"/>
            <w:vAlign w:val="center"/>
            <w:textDirection w:val="lrTb"/>
            <w:noWrap/>
          </w:tcPr>
          <w:p>
            <w:pPr>
              <w:jc w:val="center"/>
              <w:spacing w:before="69" w:line="288" w:lineRule="auto"/>
              <w:rPr>
                <w:rFonts w:hint="eastAsia" w:ascii="宋体" w:hAnsi="宋体" w:cs="宋体"/>
                <w:color w:val="000000" w:themeColor="text1"/>
                <w:spacing w:val="-1"/>
                <w:szCs w:val="21"/>
                <w:highlight w:val="none"/>
                <w14:textFill>
                  <w14:solidFill>
                    <w14:schemeClr w14:val="tx1"/>
                  </w14:solidFill>
                </w14:textFill>
              </w:rPr>
            </w:pPr>
            <w:r>
              <w:rPr>
                <w:rFonts w:hint="eastAsia" w:ascii="宋体" w:hAnsi="宋体" w:cs="宋体"/>
                <w:color w:val="000000" w:themeColor="text1"/>
                <w:spacing w:val="-1"/>
                <w:szCs w:val="21"/>
                <w:highlight w:val="none"/>
                <w14:textFill>
                  <w14:solidFill>
                    <w14:schemeClr w14:val="tx1"/>
                  </w14:solidFill>
                </w14:textFill>
              </w:rPr>
              <w:t xml:space="preserve">项目负责人（项目经理）业绩</w:t>
            </w:r>
            <w:r/>
          </w:p>
        </w:tc>
        <w:tc>
          <w:tcPr>
            <w:tcW w:w="6616" w:type="dxa"/>
            <w:vAlign w:val="center"/>
            <w:textDirection w:val="lrTb"/>
            <w:noWrap/>
          </w:tcPr>
          <w:p>
            <w:pPr>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供应商拟投入本项目</w:t>
            </w:r>
            <w:r>
              <w:rPr>
                <w:rFonts w:hint="eastAsia" w:ascii="宋体" w:hAnsi="宋体" w:cs="宋体"/>
                <w:color w:val="000000" w:themeColor="text1"/>
                <w:szCs w:val="21"/>
                <w:highlight w:val="none"/>
                <w:lang w:eastAsia="zh-CN"/>
                <w14:textFill>
                  <w14:solidFill>
                    <w14:schemeClr w14:val="tx1"/>
                  </w14:solidFill>
                </w14:textFill>
              </w:rPr>
              <w:t xml:space="preserve">的</w:t>
            </w:r>
            <w:r>
              <w:rPr>
                <w:rFonts w:hint="eastAsia" w:ascii="宋体" w:hAnsi="宋体" w:cs="宋体"/>
                <w:color w:val="000000" w:themeColor="text1"/>
                <w:szCs w:val="21"/>
                <w:highlight w:val="none"/>
                <w14:textFill>
                  <w14:solidFill>
                    <w14:schemeClr w14:val="tx1"/>
                  </w14:solidFill>
                </w14:textFill>
              </w:rPr>
              <w:t xml:space="preserve">项目负责人（项目经理）自2023年1月1日（含）以来承接过</w:t>
            </w:r>
            <w:r>
              <w:rPr>
                <w:rFonts w:hint="eastAsia" w:ascii="宋体" w:hAnsi="宋体" w:cs="宋体"/>
                <w:color w:val="000000" w:themeColor="text1"/>
                <w:highlight w:val="none"/>
                <w14:textFill>
                  <w14:solidFill>
                    <w14:schemeClr w14:val="tx1"/>
                  </w14:solidFill>
                </w14:textFill>
              </w:rPr>
              <w:t xml:space="preserve">类似智能化设备采购或安装业绩</w:t>
            </w:r>
            <w:r>
              <w:rPr>
                <w:rFonts w:hint="eastAsia" w:ascii="宋体" w:hAnsi="宋体" w:cs="宋体"/>
                <w:color w:val="000000" w:themeColor="text1"/>
                <w:szCs w:val="21"/>
                <w:highlight w:val="none"/>
                <w14:textFill>
                  <w14:solidFill>
                    <w14:schemeClr w14:val="tx1"/>
                  </w14:solidFill>
                </w14:textFill>
              </w:rPr>
              <w:t xml:space="preserve">的，每提供一个得2分，本项满分2分。（提供项目中标通知书、合同原件扫描件、验收证明资料，三者缺一不可，证明材料须能反应上述要求内容（项目经理姓名</w:t>
            </w:r>
            <w:r>
              <w:rPr>
                <w:rFonts w:hint="eastAsia" w:ascii="宋体" w:hAnsi="宋体" w:cs="宋体"/>
                <w:color w:val="000000" w:themeColor="text1"/>
                <w:szCs w:val="21"/>
                <w:highlight w:val="none"/>
                <w:lang w:eastAsia="zh-CN"/>
                <w14:textFill>
                  <w14:solidFill>
                    <w14:schemeClr w14:val="tx1"/>
                  </w14:solidFill>
                </w14:textFill>
              </w:rPr>
              <w:t xml:space="preserve">须</w:t>
            </w:r>
            <w:r>
              <w:rPr>
                <w:rFonts w:hint="eastAsia" w:ascii="宋体" w:hAnsi="宋体" w:cs="宋体"/>
                <w:color w:val="000000" w:themeColor="text1"/>
                <w:szCs w:val="21"/>
                <w:highlight w:val="none"/>
                <w14:textFill>
                  <w14:solidFill>
                    <w14:schemeClr w14:val="tx1"/>
                  </w14:solidFill>
                </w14:textFill>
              </w:rPr>
              <w:t xml:space="preserve">体现）</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否则不得分，时间以合同签订时间为准。企业业绩与项目负责人业绩不得为同一业绩。）</w:t>
            </w:r>
            <w:r/>
          </w:p>
        </w:tc>
        <w:tc>
          <w:tcPr>
            <w:tcW w:w="573" w:type="dxa"/>
            <w:vAlign w:val="center"/>
            <w:textDirection w:val="lrTb"/>
            <w:noWrap/>
          </w:tcPr>
          <w:p>
            <w:pPr>
              <w:jc w:val="center"/>
              <w:spacing w:before="68"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W w:w="534" w:type="dxa"/>
            <w:vAlign w:val="center"/>
            <w:textDirection w:val="lrTb"/>
            <w:noWrap/>
          </w:tcPr>
          <w:p>
            <w:pPr>
              <w:jc w:val="center"/>
              <w:spacing w:before="68" w:line="288" w:lineRule="auto"/>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客</w:t>
            </w:r>
            <w:r>
              <w:rPr>
                <w:rFonts w:hint="eastAsia" w:ascii="宋体" w:hAnsi="宋体" w:cs="宋体"/>
                <w:color w:val="000000" w:themeColor="text1"/>
                <w:spacing w:val="-4"/>
                <w:szCs w:val="21"/>
                <w:highlight w:val="none"/>
                <w14:textFill>
                  <w14:solidFill>
                    <w14:schemeClr w14:val="tx1"/>
                  </w14:solidFill>
                </w14:textFill>
              </w:rPr>
              <w:t xml:space="preserve">观分</w:t>
            </w:r>
            <w:r/>
          </w:p>
        </w:tc>
      </w:tr>
      <w:tr>
        <w:trPr>
          <w:jc w:val="center"/>
          <w:trHeight w:val="455"/>
        </w:trPr>
        <w:tc>
          <w:tcPr>
            <w:gridSpan w:val="5"/>
            <w:tcW w:w="9421" w:type="dxa"/>
            <w:vAlign w:val="center"/>
            <w:textDirection w:val="lrTb"/>
            <w:noWrap/>
          </w:tcPr>
          <w:p>
            <w:pPr>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pacing w:val="-3"/>
                <w:szCs w:val="21"/>
                <w:highlight w:val="none"/>
                <w14:textFill>
                  <w14:solidFill>
                    <w14:schemeClr w14:val="tx1"/>
                  </w14:solidFill>
                </w14:textFill>
              </w:rPr>
              <w:t xml:space="preserve">5履约能力</w:t>
            </w:r>
            <w:r/>
          </w:p>
        </w:tc>
      </w:tr>
      <w:tr>
        <w:trPr>
          <w:jc w:val="center"/>
          <w:trHeight w:val="1015"/>
        </w:trPr>
        <w:tc>
          <w:tcPr>
            <w:tcW w:w="519" w:type="dxa"/>
            <w:vAlign w:val="center"/>
            <w:textDirection w:val="lrTb"/>
            <w:noWrap/>
          </w:tcPr>
          <w:p>
            <w:pPr>
              <w:jc w:val="center"/>
              <w:spacing w:before="68" w:line="288" w:lineRule="auto"/>
              <w:rPr>
                <w:rFonts w:hint="eastAsia" w:ascii="宋体" w:hAnsi="宋体" w:cs="宋体"/>
                <w:color w:val="000000" w:themeColor="text1"/>
                <w:spacing w:val="-2"/>
                <w:szCs w:val="21"/>
                <w:highlight w:val="none"/>
                <w14:textFill>
                  <w14:solidFill>
                    <w14:schemeClr w14:val="tx1"/>
                  </w14:solidFill>
                </w14:textFill>
              </w:rPr>
            </w:pPr>
            <w:r>
              <w:rPr>
                <w:rFonts w:hint="eastAsia" w:ascii="宋体" w:hAnsi="宋体" w:cs="宋体"/>
                <w:color w:val="000000" w:themeColor="text1"/>
                <w:spacing w:val="-2"/>
                <w:szCs w:val="21"/>
                <w:highlight w:val="none"/>
                <w14:textFill>
                  <w14:solidFill>
                    <w14:schemeClr w14:val="tx1"/>
                  </w14:solidFill>
                </w14:textFill>
              </w:rPr>
              <w:t xml:space="preserve">5.1</w:t>
            </w:r>
            <w:r/>
          </w:p>
        </w:tc>
        <w:tc>
          <w:tcPr>
            <w:tcW w:w="1179" w:type="dxa"/>
            <w:vAlign w:val="center"/>
            <w:textDirection w:val="lrTb"/>
            <w:noWrap/>
          </w:tcPr>
          <w:p>
            <w:pPr>
              <w:jc w:val="center"/>
              <w:spacing w:before="69" w:line="288" w:lineRule="auto"/>
              <w:rPr>
                <w:rFonts w:hint="eastAsia" w:ascii="宋体" w:hAnsi="宋体" w:eastAsia="宋体" w:cs="宋体"/>
                <w:color w:val="000000" w:themeColor="text1"/>
                <w:spacing w:val="-1"/>
                <w:szCs w:val="21"/>
                <w:highlight w:val="non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认证证书</w:t>
            </w:r>
            <w:r/>
          </w:p>
        </w:tc>
        <w:tc>
          <w:tcPr>
            <w:tcW w:w="6616" w:type="dxa"/>
            <w:vAlign w:val="center"/>
            <w:textDirection w:val="lrTb"/>
            <w:noWrap/>
          </w:tcPr>
          <w:p>
            <w:pPr>
              <w:jc w:val="left"/>
              <w:spacing w:line="288"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1、投标人具有有效期内信息系统服务交付能力(CCID)一级的得1分，二级的得0.5分，其他级别不得分</w:t>
            </w:r>
            <w:r>
              <w:rPr>
                <w:rFonts w:hint="eastAsia"/>
                <w:color w:val="000000" w:themeColor="text1"/>
                <w:szCs w:val="21"/>
                <w:highlight w:val="none"/>
                <w:lang w:eastAsia="zh-CN"/>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br/>
            </w:r>
            <w:r>
              <w:rPr>
                <w:rFonts w:hint="eastAsia"/>
                <w:color w:val="000000" w:themeColor="text1"/>
                <w:szCs w:val="21"/>
                <w:highlight w:val="none"/>
                <w14:textFill>
                  <w14:solidFill>
                    <w14:schemeClr w14:val="tx1"/>
                  </w14:solidFill>
                </w14:textFill>
              </w:rPr>
              <w:t xml:space="preserve">2、投标人具有有效期内信息技术服务标准(ITSS)符合性证书运行维护证书一级的得1分，二级的得0.5分，其他级别不得分</w:t>
            </w:r>
            <w:r>
              <w:rPr>
                <w:rFonts w:hint="eastAsia"/>
                <w:color w:val="000000" w:themeColor="text1"/>
                <w:szCs w:val="21"/>
                <w:highlight w:val="none"/>
                <w:lang w:eastAsia="zh-CN"/>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br/>
            </w:r>
            <w:r>
              <w:rPr>
                <w:rFonts w:hint="eastAsia"/>
                <w:color w:val="000000" w:themeColor="text1"/>
                <w:szCs w:val="21"/>
                <w:highlight w:val="none"/>
                <w:lang w:eastAsia="zh-CN"/>
                <w14:textFill>
                  <w14:solidFill>
                    <w14:schemeClr w14:val="tx1"/>
                  </w14:solidFill>
                </w14:textFill>
              </w:rPr>
              <w:t xml:space="preserve">注：供应商</w:t>
            </w:r>
            <w:r>
              <w:rPr>
                <w:rFonts w:hint="eastAsia"/>
                <w:color w:val="000000" w:themeColor="text1"/>
                <w:szCs w:val="21"/>
                <w:highlight w:val="none"/>
                <w14:textFill>
                  <w14:solidFill>
                    <w14:schemeClr w14:val="tx1"/>
                  </w14:solidFill>
                </w14:textFill>
              </w:rPr>
              <w:t xml:space="preserve">提供</w:t>
            </w:r>
            <w:r>
              <w:rPr>
                <w:rFonts w:hint="eastAsia"/>
                <w:color w:val="000000" w:themeColor="text1"/>
                <w:szCs w:val="21"/>
                <w:highlight w:val="none"/>
                <w:lang w:eastAsia="zh-CN"/>
                <w14:textFill>
                  <w14:solidFill>
                    <w14:schemeClr w14:val="tx1"/>
                  </w14:solidFill>
                </w14:textFill>
              </w:rPr>
              <w:t xml:space="preserve">上述</w:t>
            </w:r>
            <w:r>
              <w:rPr>
                <w:rFonts w:hint="eastAsia"/>
                <w:color w:val="000000" w:themeColor="text1"/>
                <w:szCs w:val="21"/>
                <w:highlight w:val="none"/>
                <w14:textFill>
                  <w14:solidFill>
                    <w14:schemeClr w14:val="tx1"/>
                  </w14:solidFill>
                </w14:textFill>
              </w:rPr>
              <w:t xml:space="preserve">有效期内的证书原件扫描件并加盖公章上传至电子投标文件中，否则不得分</w:t>
            </w:r>
            <w:r>
              <w:rPr>
                <w:rFonts w:hint="eastAsia"/>
                <w:color w:val="000000" w:themeColor="text1"/>
                <w:szCs w:val="21"/>
                <w:highlight w:val="none"/>
                <w:lang w:eastAsia="zh-CN"/>
                <w14:textFill>
                  <w14:solidFill>
                    <w14:schemeClr w14:val="tx1"/>
                  </w14:solidFill>
                </w14:textFill>
              </w:rPr>
              <w:t xml:space="preserve">。</w:t>
            </w:r>
            <w:r/>
          </w:p>
        </w:tc>
        <w:tc>
          <w:tcPr>
            <w:tcW w:w="573" w:type="dxa"/>
            <w:vAlign w:val="center"/>
            <w:textDirection w:val="lrTb"/>
            <w:noWrap/>
          </w:tcPr>
          <w:p>
            <w:pPr>
              <w:jc w:val="center"/>
              <w:spacing w:before="68"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W w:w="534" w:type="dxa"/>
            <w:vAlign w:val="center"/>
            <w:textDirection w:val="lrTb"/>
            <w:noWrap/>
          </w:tcPr>
          <w:p>
            <w:pPr>
              <w:jc w:val="center"/>
              <w:spacing w:before="68" w:line="288" w:lineRule="auto"/>
              <w:rPr>
                <w:rFonts w:hint="eastAsia" w:ascii="宋体" w:hAnsi="宋体" w:cs="宋体"/>
                <w:color w:val="000000" w:themeColor="text1"/>
                <w:spacing w:val="-6"/>
                <w:szCs w:val="21"/>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客观分</w:t>
            </w:r>
            <w:r/>
          </w:p>
        </w:tc>
      </w:tr>
      <w:tr>
        <w:trPr>
          <w:jc w:val="center"/>
          <w:trHeight w:val="1015"/>
        </w:trPr>
        <w:tc>
          <w:tcPr>
            <w:tcW w:w="519" w:type="dxa"/>
            <w:vAlign w:val="center"/>
            <w:textDirection w:val="lrTb"/>
            <w:noWrap/>
          </w:tcPr>
          <w:p>
            <w:pPr>
              <w:jc w:val="center"/>
              <w:spacing w:before="68" w:line="288" w:lineRule="auto"/>
              <w:rPr>
                <w:rFonts w:hint="eastAsia" w:ascii="宋体" w:hAnsi="宋体" w:cs="宋体"/>
                <w:color w:val="000000" w:themeColor="text1"/>
                <w:spacing w:val="-2"/>
                <w:szCs w:val="21"/>
                <w:highlight w:val="none"/>
                <w14:textFill>
                  <w14:solidFill>
                    <w14:schemeClr w14:val="tx1"/>
                  </w14:solidFill>
                </w14:textFill>
              </w:rPr>
            </w:pPr>
            <w:r>
              <w:rPr>
                <w:rFonts w:hint="eastAsia" w:ascii="宋体" w:hAnsi="宋体" w:cs="宋体"/>
                <w:color w:val="000000" w:themeColor="text1"/>
                <w:spacing w:val="-2"/>
                <w:szCs w:val="21"/>
                <w:highlight w:val="none"/>
                <w14:textFill>
                  <w14:solidFill>
                    <w14:schemeClr w14:val="tx1"/>
                  </w14:solidFill>
                </w14:textFill>
              </w:rPr>
              <w:t xml:space="preserve">5.2</w:t>
            </w:r>
            <w:r/>
          </w:p>
        </w:tc>
        <w:tc>
          <w:tcPr>
            <w:tcW w:w="1179" w:type="dxa"/>
            <w:vAlign w:val="center"/>
            <w:textDirection w:val="lrTb"/>
            <w:noWrap/>
          </w:tcPr>
          <w:p>
            <w:pPr>
              <w:jc w:val="center"/>
              <w:spacing w:before="69" w:line="288" w:lineRule="auto"/>
              <w:rPr>
                <w:rFonts w:hint="eastAsia" w:ascii="宋体" w:hAnsi="宋体" w:cs="宋体"/>
                <w:color w:val="000000" w:themeColor="text1"/>
                <w:spacing w:val="-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项目负责人</w:t>
            </w:r>
            <w:r>
              <w:rPr>
                <w:rFonts w:hint="eastAsia"/>
                <w:color w:val="000000" w:themeColor="text1"/>
                <w:szCs w:val="21"/>
                <w:highlight w:val="none"/>
                <w14:textFill>
                  <w14:solidFill>
                    <w14:schemeClr w14:val="tx1"/>
                  </w14:solidFill>
                </w14:textFill>
              </w:rPr>
              <w:br/>
            </w:r>
            <w:r>
              <w:rPr>
                <w:rFonts w:hint="eastAsia"/>
                <w:color w:val="000000" w:themeColor="text1"/>
                <w:szCs w:val="21"/>
                <w:highlight w:val="none"/>
                <w14:textFill>
                  <w14:solidFill>
                    <w14:schemeClr w14:val="tx1"/>
                  </w14:solidFill>
                </w14:textFill>
              </w:rPr>
              <w:t xml:space="preserve">（项目经理）</w:t>
            </w:r>
            <w:r/>
          </w:p>
        </w:tc>
        <w:tc>
          <w:tcPr>
            <w:tcW w:w="6616" w:type="dxa"/>
            <w:vAlign w:val="center"/>
            <w:textDirection w:val="lrTb"/>
            <w:noWrap/>
          </w:tcPr>
          <w:p>
            <w:pPr>
              <w:jc w:val="left"/>
              <w:spacing w:line="288" w:lineRule="auto"/>
              <w:rPr>
                <w:rFonts w:hint="eastAsia" w:eastAsia="宋体"/>
                <w:color w:val="000000" w:themeColor="text1"/>
                <w:szCs w:val="21"/>
                <w:highlight w:val="none"/>
                <w:lang w:eastAsia="zh-CN"/>
                <w14:textFill>
                  <w14:solidFill>
                    <w14:schemeClr w14:val="tx1"/>
                  </w14:solidFill>
                </w14:textFill>
              </w:rPr>
            </w:pPr>
            <w:r/>
            <w:bookmarkStart w:id="202" w:name="OLE_LINK3"/>
            <w:r>
              <w:rPr>
                <w:rFonts w:hint="eastAsia"/>
                <w:color w:val="000000" w:themeColor="text1"/>
                <w:szCs w:val="21"/>
                <w:highlight w:val="none"/>
                <w14:textFill>
                  <w14:solidFill>
                    <w14:schemeClr w14:val="tx1"/>
                  </w14:solidFill>
                </w14:textFill>
              </w:rPr>
              <w:t xml:space="preserve">供应商拟投入本项目的项目负责人（项目经理）具有高级工程师证书的得1分；同时具有其他证书的，有一项加1分，最多加3分；本项满分4分（其他证书包括CISAW信息安全保障人员证书、信息安全工程师证书、ITSS-IT</w:t>
            </w:r>
            <w:r>
              <w:rPr>
                <w:color w:val="000000" w:themeColor="text1"/>
                <w:szCs w:val="21"/>
                <w:highlight w:val="none"/>
                <w14:textFill>
                  <w14:solidFill>
                    <w14:schemeClr w14:val="tx1"/>
                  </w14:solidFill>
                </w14:textFill>
              </w:rPr>
              <w:t xml:space="preserve">服务项目经理证书</w:t>
            </w:r>
            <w:r>
              <w:rPr>
                <w:rFonts w:hint="eastAsia"/>
                <w:color w:val="000000" w:themeColor="text1"/>
                <w:szCs w:val="21"/>
                <w:highlight w:val="none"/>
                <w14:textFill>
                  <w14:solidFill>
                    <w14:schemeClr w14:val="tx1"/>
                  </w14:solidFill>
                </w14:textFill>
              </w:rPr>
              <w:t xml:space="preserve">、信息系统项目管理师证书）。</w:t>
            </w:r>
            <w:r>
              <w:rPr>
                <w:rFonts w:hint="eastAsia"/>
                <w:color w:val="000000" w:themeColor="text1"/>
                <w:szCs w:val="21"/>
                <w:highlight w:val="none"/>
                <w14:textFill>
                  <w14:solidFill>
                    <w14:schemeClr w14:val="tx1"/>
                  </w14:solidFill>
                </w14:textFill>
              </w:rPr>
              <w:br/>
            </w:r>
            <w:r>
              <w:rPr>
                <w:rFonts w:hint="eastAsia"/>
                <w:color w:val="000000" w:themeColor="text1"/>
                <w:szCs w:val="21"/>
                <w:highlight w:val="none"/>
                <w14:textFill>
                  <w14:solidFill>
                    <w14:schemeClr w14:val="tx1"/>
                  </w14:solidFill>
                </w14:textFill>
              </w:rPr>
              <w:t xml:space="preserve">注：供应商提供上述相关证书原件扫描件，并同时提供供应商为其缴纳的近半年内（2025年11月至2026年4月）任意一个月的社保缴费证明（加盖社保中心章或社保中心参保缴费证明电子专用章）</w:t>
            </w:r>
            <w:r>
              <w:rPr>
                <w:rFonts w:hint="eastAsia"/>
                <w:color w:val="000000" w:themeColor="text1"/>
                <w:szCs w:val="21"/>
                <w:highlight w:val="none"/>
                <w:lang w:eastAsia="zh-CN"/>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否则不得分</w:t>
            </w:r>
            <w:bookmarkEnd w:id="202"/>
            <w:r>
              <w:rPr>
                <w:rFonts w:hint="eastAsia"/>
                <w:color w:val="000000" w:themeColor="text1"/>
                <w:szCs w:val="21"/>
                <w:highlight w:val="none"/>
                <w:lang w:eastAsia="zh-CN"/>
                <w14:textFill>
                  <w14:solidFill>
                    <w14:schemeClr w14:val="tx1"/>
                  </w14:solidFill>
                </w14:textFill>
              </w:rPr>
              <w:t xml:space="preserve">。</w:t>
            </w:r>
            <w:r/>
          </w:p>
        </w:tc>
        <w:tc>
          <w:tcPr>
            <w:tcW w:w="573" w:type="dxa"/>
            <w:vAlign w:val="center"/>
            <w:textDirection w:val="lrTb"/>
            <w:noWrap/>
          </w:tcPr>
          <w:p>
            <w:pPr>
              <w:jc w:val="center"/>
              <w:spacing w:before="68" w:line="288" w:lineRule="auto"/>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4</w:t>
            </w:r>
            <w:r/>
          </w:p>
        </w:tc>
        <w:tc>
          <w:tcPr>
            <w:tcW w:w="534" w:type="dxa"/>
            <w:vAlign w:val="center"/>
            <w:textDirection w:val="lrTb"/>
            <w:noWrap/>
          </w:tcPr>
          <w:p>
            <w:pPr>
              <w:jc w:val="center"/>
              <w:spacing w:before="68" w:line="288" w:lineRule="auto"/>
              <w:rPr>
                <w:rFonts w:hint="eastAsia" w:ascii="宋体" w:hAnsi="宋体" w:cs="宋体"/>
                <w:color w:val="000000" w:themeColor="text1"/>
                <w:spacing w:val="-6"/>
                <w:szCs w:val="21"/>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客观分</w:t>
            </w:r>
            <w:r/>
          </w:p>
        </w:tc>
      </w:tr>
      <w:tr>
        <w:trPr>
          <w:jc w:val="center"/>
          <w:trHeight w:val="600"/>
        </w:trPr>
        <w:tc>
          <w:tcPr>
            <w:tcW w:w="519" w:type="dxa"/>
            <w:vAlign w:val="center"/>
            <w:textDirection w:val="lrTb"/>
            <w:noWrap/>
          </w:tcPr>
          <w:p>
            <w:pPr>
              <w:jc w:val="center"/>
              <w:spacing w:before="68" w:line="288" w:lineRule="auto"/>
              <w:rPr>
                <w:rFonts w:hint="eastAsia" w:ascii="宋体" w:hAnsi="宋体" w:cs="宋体"/>
                <w:color w:val="000000" w:themeColor="text1"/>
                <w:spacing w:val="-2"/>
                <w:szCs w:val="21"/>
                <w:highlight w:val="none"/>
                <w14:textFill>
                  <w14:solidFill>
                    <w14:schemeClr w14:val="tx1"/>
                  </w14:solidFill>
                </w14:textFill>
              </w:rPr>
            </w:pPr>
            <w:r/>
            <w:bookmarkStart w:id="203" w:name="OLE_LINK4"/>
            <w:r/>
            <w:bookmarkStart w:id="204" w:name="OLE_LINK5"/>
            <w:r/>
            <w:bookmarkStart w:id="205" w:name="_Hlk229057615"/>
            <w:r>
              <w:rPr>
                <w:rFonts w:hint="eastAsia" w:ascii="宋体" w:hAnsi="宋体" w:cs="宋体"/>
                <w:color w:val="000000" w:themeColor="text1"/>
                <w:spacing w:val="-2"/>
                <w:szCs w:val="21"/>
                <w:highlight w:val="none"/>
                <w14:textFill>
                  <w14:solidFill>
                    <w14:schemeClr w14:val="tx1"/>
                  </w14:solidFill>
                </w14:textFill>
              </w:rPr>
              <w:t xml:space="preserve">5.3</w:t>
            </w:r>
            <w:r/>
          </w:p>
        </w:tc>
        <w:tc>
          <w:tcPr>
            <w:tcW w:w="1179" w:type="dxa"/>
            <w:vAlign w:val="center"/>
            <w:textDirection w:val="lrTb"/>
            <w:noWrap/>
          </w:tcPr>
          <w:p>
            <w:pPr>
              <w:jc w:val="center"/>
              <w:spacing w:before="69" w:line="288" w:lineRule="auto"/>
              <w:rPr>
                <w:rFonts w:hint="eastAsia" w:ascii="宋体" w:hAnsi="宋体" w:cs="宋体"/>
                <w:color w:val="000000" w:themeColor="text1"/>
                <w:spacing w:val="-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项目技术            负责人</w:t>
            </w:r>
            <w:r/>
          </w:p>
        </w:tc>
        <w:tc>
          <w:tcPr>
            <w:tcW w:w="6616" w:type="dxa"/>
            <w:vAlign w:val="top"/>
            <w:textDirection w:val="lrTb"/>
            <w:noWrap/>
          </w:tcPr>
          <w:p>
            <w:pPr>
              <w:jc w:val="left"/>
              <w:spacing w:line="288"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供应商拟投入本项目的技术负责人具有信息系统项目管理师证书的得1分；同时具有其他证书的，有一项加1分，最多加3分；本项满分4分（其他证书包括网络工程师证书、信息安全工程师证书、通信专业技术人员职业资格证书、</w:t>
            </w:r>
            <w:r>
              <w:rPr>
                <w:rFonts w:hint="eastAsia"/>
                <w:color w:val="000000" w:themeColor="text1"/>
                <w:szCs w:val="21"/>
                <w:highlight w:val="none"/>
                <w:lang w:val="en-US" w:eastAsia="zh-CN"/>
                <w14:textFill>
                  <w14:solidFill>
                    <w14:schemeClr w14:val="tx1"/>
                  </w14:solidFill>
                </w14:textFill>
              </w:rPr>
              <w:t xml:space="preserve">高级工程师</w:t>
            </w:r>
            <w:r>
              <w:rPr>
                <w:rFonts w:hint="eastAsia"/>
                <w:color w:val="000000" w:themeColor="text1"/>
                <w:szCs w:val="21"/>
                <w:highlight w:val="none"/>
                <w14:textFill>
                  <w14:solidFill>
                    <w14:schemeClr w14:val="tx1"/>
                  </w14:solidFill>
                </w14:textFill>
              </w:rPr>
              <w:t xml:space="preserve">证书）。</w:t>
            </w:r>
            <w:r>
              <w:rPr>
                <w:rFonts w:hint="eastAsia"/>
                <w:color w:val="000000" w:themeColor="text1"/>
                <w:szCs w:val="21"/>
                <w:highlight w:val="none"/>
                <w14:textFill>
                  <w14:solidFill>
                    <w14:schemeClr w14:val="tx1"/>
                  </w14:solidFill>
                </w14:textFill>
              </w:rPr>
              <w:br/>
            </w:r>
            <w:r>
              <w:rPr>
                <w:rFonts w:hint="eastAsia"/>
                <w:color w:val="000000" w:themeColor="text1"/>
                <w:szCs w:val="21"/>
                <w:highlight w:val="none"/>
                <w14:textFill>
                  <w14:solidFill>
                    <w14:schemeClr w14:val="tx1"/>
                  </w14:solidFill>
                </w14:textFill>
              </w:rPr>
              <w:t xml:space="preserve">注：技术负责人不能和项目经理为同一人，供应商提供上述相关证书原件扫描件，并同时提供供应商为其缴纳的近半年内（2025年11月至2026年4月）任意一个月的社保缴费证明（加盖社保中心章或社保中心参保缴费证明电子专用章）</w:t>
            </w:r>
            <w:r>
              <w:rPr>
                <w:rFonts w:hint="eastAsia"/>
                <w:color w:val="000000" w:themeColor="text1"/>
                <w:szCs w:val="21"/>
                <w:highlight w:val="none"/>
                <w:lang w:eastAsia="zh-CN"/>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否则不得分。</w:t>
            </w:r>
            <w:r/>
          </w:p>
        </w:tc>
        <w:tc>
          <w:tcPr>
            <w:tcW w:w="573" w:type="dxa"/>
            <w:vAlign w:val="center"/>
            <w:textDirection w:val="lrTb"/>
            <w:noWrap/>
          </w:tcPr>
          <w:p>
            <w:pPr>
              <w:jc w:val="center"/>
              <w:spacing w:before="68" w:line="288" w:lineRule="auto"/>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4</w:t>
            </w:r>
            <w:r/>
          </w:p>
        </w:tc>
        <w:tc>
          <w:tcPr>
            <w:tcW w:w="534" w:type="dxa"/>
            <w:vAlign w:val="center"/>
            <w:textDirection w:val="lrTb"/>
            <w:noWrap/>
          </w:tcPr>
          <w:p>
            <w:pPr>
              <w:jc w:val="center"/>
              <w:spacing w:before="68" w:line="288" w:lineRule="auto"/>
              <w:rPr>
                <w:rFonts w:hint="eastAsia" w:ascii="宋体" w:hAnsi="宋体" w:cs="宋体"/>
                <w:color w:val="000000" w:themeColor="text1"/>
                <w:spacing w:val="-6"/>
                <w:szCs w:val="21"/>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客观分</w:t>
            </w:r>
            <w:bookmarkEnd w:id="203"/>
            <w:r/>
            <w:bookmarkEnd w:id="204"/>
            <w:r/>
            <w:bookmarkEnd w:id="205"/>
            <w:r/>
            <w:r/>
          </w:p>
        </w:tc>
      </w:tr>
      <w:tr>
        <w:trPr>
          <w:jc w:val="center"/>
          <w:trHeight w:val="329"/>
        </w:trPr>
        <w:tc>
          <w:tcPr>
            <w:tcBorders>
              <w:bottom w:val="single" w:color="auto" w:sz="4" w:space="0"/>
            </w:tcBorders>
            <w:tcW w:w="519" w:type="dxa"/>
            <w:vAlign w:val="center"/>
            <w:textDirection w:val="lrTb"/>
            <w:noWrap/>
          </w:tcPr>
          <w:p>
            <w:pPr>
              <w:jc w:val="center"/>
              <w:spacing w:before="68" w:line="288" w:lineRule="auto"/>
              <w:rPr>
                <w:rFonts w:hint="eastAsia" w:ascii="宋体" w:hAnsi="宋体" w:cs="宋体"/>
                <w:color w:val="000000" w:themeColor="text1"/>
                <w:spacing w:val="-2"/>
                <w:szCs w:val="21"/>
                <w:highlight w:val="none"/>
                <w14:textFill>
                  <w14:solidFill>
                    <w14:schemeClr w14:val="tx1"/>
                  </w14:solidFill>
                </w14:textFill>
              </w:rPr>
            </w:pPr>
            <w:r>
              <w:rPr>
                <w:rFonts w:hint="eastAsia" w:ascii="宋体" w:hAnsi="宋体" w:cs="宋体"/>
                <w:color w:val="000000" w:themeColor="text1"/>
                <w:spacing w:val="-2"/>
                <w:szCs w:val="21"/>
                <w:highlight w:val="none"/>
                <w14:textFill>
                  <w14:solidFill>
                    <w14:schemeClr w14:val="tx1"/>
                  </w14:solidFill>
                </w14:textFill>
              </w:rPr>
              <w:t xml:space="preserve">5.4</w:t>
            </w:r>
            <w:r/>
          </w:p>
        </w:tc>
        <w:tc>
          <w:tcPr>
            <w:tcBorders>
              <w:bottom w:val="single" w:color="auto" w:sz="4" w:space="0"/>
            </w:tcBorders>
            <w:tcW w:w="1179" w:type="dxa"/>
            <w:vAlign w:val="center"/>
            <w:textDirection w:val="lrTb"/>
            <w:noWrap/>
          </w:tcPr>
          <w:p>
            <w:pPr>
              <w:jc w:val="center"/>
              <w:spacing w:before="69" w:line="288" w:lineRule="auto"/>
              <w:rPr>
                <w:rFonts w:hint="eastAsia" w:ascii="宋体" w:hAnsi="宋体" w:cs="宋体"/>
                <w:color w:val="000000" w:themeColor="text1"/>
                <w:spacing w:val="-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项目团队成员</w:t>
            </w:r>
            <w:r/>
          </w:p>
        </w:tc>
        <w:tc>
          <w:tcPr>
            <w:tcBorders>
              <w:bottom w:val="single" w:color="auto" w:sz="4" w:space="0"/>
            </w:tcBorders>
            <w:tcW w:w="6616" w:type="dxa"/>
            <w:vAlign w:val="center"/>
            <w:textDirection w:val="lrTb"/>
            <w:noWrap/>
          </w:tcPr>
          <w:p>
            <w:pPr>
              <w:jc w:val="left"/>
              <w:spacing w:line="288" w:lineRule="auto"/>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供应商拟投入本项目的项目团队成员（项目经理和技术负责人除外）满足以下要求：</w:t>
            </w:r>
            <w:r>
              <w:rPr>
                <w:rFonts w:hint="eastAsia"/>
                <w:color w:val="000000" w:themeColor="text1"/>
                <w:szCs w:val="21"/>
                <w:highlight w:val="none"/>
                <w14:textFill>
                  <w14:solidFill>
                    <w14:schemeClr w14:val="tx1"/>
                  </w14:solidFill>
                </w14:textFill>
              </w:rPr>
              <w:br/>
            </w:r>
            <w:r>
              <w:rPr>
                <w:rFonts w:hint="eastAsia"/>
                <w:color w:val="000000" w:themeColor="text1"/>
                <w:szCs w:val="21"/>
                <w:highlight w:val="none"/>
                <w:lang w:val="en-US" w:eastAsia="zh-CN"/>
                <w14:textFill>
                  <w14:solidFill>
                    <w14:schemeClr w14:val="tx1"/>
                  </w14:solidFill>
                </w14:textFill>
              </w:rPr>
              <w:t xml:space="preserve">1、</w:t>
            </w:r>
            <w:r>
              <w:rPr>
                <w:rFonts w:hint="eastAsia"/>
                <w:color w:val="000000" w:themeColor="text1"/>
                <w:szCs w:val="21"/>
                <w:highlight w:val="none"/>
                <w14:textFill>
                  <w14:solidFill>
                    <w14:schemeClr w14:val="tx1"/>
                  </w14:solidFill>
                </w14:textFill>
              </w:rPr>
              <w:t xml:space="preserve">团队成员中具有高级安防系统工程师证书的得1分，本项满分1分；</w:t>
            </w:r>
            <w:r>
              <w:rPr>
                <w:rFonts w:hint="eastAsia"/>
                <w:color w:val="000000" w:themeColor="text1"/>
                <w:szCs w:val="21"/>
                <w:highlight w:val="none"/>
                <w14:textFill>
                  <w14:solidFill>
                    <w14:schemeClr w14:val="tx1"/>
                  </w14:solidFill>
                </w14:textFill>
              </w:rPr>
              <w:br/>
            </w:r>
            <w:r>
              <w:rPr>
                <w:rFonts w:hint="eastAsia"/>
                <w:color w:val="000000" w:themeColor="text1"/>
                <w:szCs w:val="21"/>
                <w:highlight w:val="none"/>
                <w:lang w:val="en-US" w:eastAsia="zh-CN"/>
                <w14:textFill>
                  <w14:solidFill>
                    <w14:schemeClr w14:val="tx1"/>
                  </w14:solidFill>
                </w14:textFill>
              </w:rPr>
              <w:t xml:space="preserve">2、</w:t>
            </w:r>
            <w:r>
              <w:rPr>
                <w:rFonts w:hint="eastAsia"/>
                <w:color w:val="000000" w:themeColor="text1"/>
                <w:szCs w:val="21"/>
                <w:highlight w:val="none"/>
                <w14:textFill>
                  <w14:solidFill>
                    <w14:schemeClr w14:val="tx1"/>
                  </w14:solidFill>
                </w14:textFill>
              </w:rPr>
              <w:t xml:space="preserve">团队成员中具有高级IT运维工程师证书的得1分，本项满分1分</w:t>
            </w:r>
            <w:r>
              <w:rPr>
                <w:rFonts w:hint="eastAsia"/>
                <w:color w:val="000000" w:themeColor="text1"/>
                <w:szCs w:val="21"/>
                <w:highlight w:val="none"/>
                <w:lang w:eastAsia="zh-CN"/>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br/>
            </w:r>
            <w:r>
              <w:rPr>
                <w:rFonts w:hint="eastAsia"/>
                <w:color w:val="000000" w:themeColor="text1"/>
                <w:szCs w:val="21"/>
                <w:highlight w:val="none"/>
                <w14:textFill>
                  <w14:solidFill>
                    <w14:schemeClr w14:val="tx1"/>
                  </w14:solidFill>
                </w14:textFill>
              </w:rPr>
              <w:t xml:space="preserve">注：单人多证或单证多人仅计分一次。供应商提供上述相关证书原件扫描件，并同时提供供应商为其缴纳的近半年内（2025年11月至2026年4月）任意一个月的社保缴费证明（加盖社保中心章或社保中心参保缴费证明电子专用章）</w:t>
            </w:r>
            <w:r>
              <w:rPr>
                <w:rFonts w:hint="eastAsia"/>
                <w:color w:val="000000" w:themeColor="text1"/>
                <w:szCs w:val="21"/>
                <w:highlight w:val="none"/>
                <w:lang w:eastAsia="zh-CN"/>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否则不得分。</w:t>
            </w:r>
            <w:r/>
          </w:p>
        </w:tc>
        <w:tc>
          <w:tcPr>
            <w:tcBorders>
              <w:bottom w:val="single" w:color="auto" w:sz="4" w:space="0"/>
            </w:tcBorders>
            <w:tcW w:w="573" w:type="dxa"/>
            <w:vAlign w:val="center"/>
            <w:textDirection w:val="lrTb"/>
            <w:noWrap/>
          </w:tcPr>
          <w:p>
            <w:pPr>
              <w:jc w:val="center"/>
              <w:spacing w:before="68" w:line="288" w:lineRule="auto"/>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2</w:t>
            </w:r>
            <w:r/>
          </w:p>
        </w:tc>
        <w:tc>
          <w:tcPr>
            <w:tcBorders>
              <w:bottom w:val="single" w:color="auto" w:sz="4" w:space="0"/>
            </w:tcBorders>
            <w:tcW w:w="534" w:type="dxa"/>
            <w:vAlign w:val="center"/>
            <w:textDirection w:val="lrTb"/>
            <w:noWrap/>
          </w:tcPr>
          <w:p>
            <w:pPr>
              <w:jc w:val="center"/>
              <w:spacing w:before="68" w:line="288" w:lineRule="auto"/>
              <w:rPr>
                <w:rFonts w:hint="eastAsia" w:ascii="宋体" w:hAnsi="宋体" w:cs="宋体"/>
                <w:color w:val="000000" w:themeColor="text1"/>
                <w:spacing w:val="-6"/>
                <w:szCs w:val="21"/>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t xml:space="preserve">客观分</w:t>
            </w:r>
            <w:r/>
          </w:p>
        </w:tc>
      </w:tr>
      <w:tr>
        <w:trPr>
          <w:jc w:val="center"/>
          <w:trHeight w:val="349"/>
        </w:trPr>
        <w:tc>
          <w:tcPr>
            <w:gridSpan w:val="5"/>
            <w:tcBorders>
              <w:top w:val="single" w:color="auto" w:sz="4" w:space="0"/>
              <w:bottom w:val="single" w:color="auto" w:sz="4" w:space="0"/>
            </w:tcBorders>
            <w:tcW w:w="9421" w:type="dxa"/>
            <w:vAlign w:val="center"/>
            <w:textDirection w:val="lrTb"/>
            <w:noWrap/>
          </w:tcPr>
          <w:p>
            <w:pPr>
              <w:jc w:val="left"/>
              <w:spacing w:before="68" w:line="264" w:lineRule="auto"/>
              <w:rPr>
                <w:rFonts w:hint="eastAsia"/>
                <w:color w:val="000000" w:themeColor="text1"/>
                <w:sz w:val="20"/>
                <w:szCs w:val="20"/>
                <w:highlight w:val="none"/>
                <w14:textFill>
                  <w14:solidFill>
                    <w14:schemeClr w14:val="tx1"/>
                  </w14:solidFill>
                </w14:textFill>
              </w:rPr>
            </w:pPr>
            <w:r>
              <w:rPr>
                <w:rFonts w:hint="eastAsia" w:ascii="宋体" w:hAnsi="宋体" w:cs="宋体"/>
                <w:b/>
                <w:bCs/>
                <w:color w:val="000000" w:themeColor="text1"/>
                <w:spacing w:val="-3"/>
                <w:szCs w:val="21"/>
                <w:highlight w:val="none"/>
                <w14:textFill>
                  <w14:solidFill>
                    <w14:schemeClr w14:val="tx1"/>
                  </w14:solidFill>
                </w14:textFill>
              </w:rPr>
              <w:t xml:space="preserve">6节能环保</w:t>
            </w:r>
            <w:r/>
          </w:p>
        </w:tc>
      </w:tr>
      <w:tr>
        <w:trPr>
          <w:jc w:val="center"/>
          <w:trHeight w:val="2057"/>
        </w:trPr>
        <w:tc>
          <w:tcPr>
            <w:tcBorders>
              <w:top w:val="single" w:color="auto" w:sz="4" w:space="0"/>
            </w:tcBorders>
            <w:tcW w:w="519" w:type="dxa"/>
            <w:vAlign w:val="center"/>
            <w:textDirection w:val="lrTb"/>
            <w:noWrap/>
          </w:tcPr>
          <w:p>
            <w:pPr>
              <w:jc w:val="center"/>
              <w:spacing w:before="68" w:line="264" w:lineRule="auto"/>
              <w:rPr>
                <w:rFonts w:hint="eastAsia" w:ascii="宋体" w:hAnsi="宋体" w:cs="宋体"/>
                <w:color w:val="000000" w:themeColor="text1"/>
                <w:spacing w:val="-2"/>
                <w:szCs w:val="21"/>
                <w:highlight w:val="none"/>
                <w14:textFill>
                  <w14:solidFill>
                    <w14:schemeClr w14:val="tx1"/>
                  </w14:solidFill>
                </w14:textFill>
              </w:rPr>
            </w:pPr>
            <w:r>
              <w:rPr>
                <w:rFonts w:hint="eastAsia" w:ascii="宋体" w:hAnsi="宋体" w:cs="宋体"/>
                <w:color w:val="000000" w:themeColor="text1"/>
                <w:spacing w:val="-2"/>
                <w:szCs w:val="21"/>
                <w:highlight w:val="none"/>
                <w14:textFill>
                  <w14:solidFill>
                    <w14:schemeClr w14:val="tx1"/>
                  </w14:solidFill>
                </w14:textFill>
              </w:rPr>
              <w:t xml:space="preserve">6.1</w:t>
            </w:r>
            <w:r/>
          </w:p>
        </w:tc>
        <w:tc>
          <w:tcPr>
            <w:tcBorders>
              <w:top w:val="single" w:color="auto" w:sz="4" w:space="0"/>
              <w:bottom w:val="single" w:color="auto" w:sz="4" w:space="0"/>
            </w:tcBorders>
            <w:tcW w:w="1179" w:type="dxa"/>
            <w:vAlign w:val="center"/>
            <w:textDirection w:val="lrTb"/>
            <w:noWrap/>
          </w:tcPr>
          <w:p>
            <w:pPr>
              <w:jc w:val="center"/>
              <w:spacing w:before="69" w:line="264" w:lineRule="auto"/>
              <w:rPr>
                <w:rFonts w:hint="eastAsia" w:ascii="宋体" w:hAnsi="宋体" w:cs="宋体"/>
                <w:color w:val="000000" w:themeColor="text1"/>
                <w:spacing w:val="-1"/>
                <w:szCs w:val="21"/>
                <w:highlight w:val="none"/>
                <w14:textFill>
                  <w14:solidFill>
                    <w14:schemeClr w14:val="tx1"/>
                  </w14:solidFill>
                </w14:textFill>
              </w:rPr>
            </w:pPr>
            <w:r>
              <w:rPr>
                <w:rFonts w:hint="eastAsia" w:ascii="宋体" w:hAnsi="宋体" w:cs="宋体"/>
                <w:color w:val="000000" w:themeColor="text1"/>
                <w:spacing w:val="-1"/>
                <w:szCs w:val="21"/>
                <w:highlight w:val="none"/>
                <w14:textFill>
                  <w14:solidFill>
                    <w14:schemeClr w14:val="tx1"/>
                  </w14:solidFill>
                </w14:textFill>
              </w:rPr>
              <w:t xml:space="preserve">节能环保</w:t>
            </w:r>
            <w:r/>
          </w:p>
        </w:tc>
        <w:tc>
          <w:tcPr>
            <w:tcBorders>
              <w:top w:val="single" w:color="auto" w:sz="4" w:space="0"/>
              <w:bottom w:val="single" w:color="auto" w:sz="4" w:space="0"/>
            </w:tcBorders>
            <w:tcW w:w="6616" w:type="dxa"/>
            <w:vAlign w:val="center"/>
            <w:textDirection w:val="lrTb"/>
            <w:noWrap/>
          </w:tcPr>
          <w:p>
            <w:pPr>
              <w:jc w:val="left"/>
              <w:spacing w:line="264"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1.投标产品属于财政部、国家发改委公布的</w:t>
            </w:r>
            <w:r>
              <w:rPr>
                <w:rFonts w:ascii="宋体" w:hAnsi="宋体" w:cs="宋体"/>
                <w:color w:val="000000" w:themeColor="text1"/>
                <w:szCs w:val="21"/>
                <w:highlight w:val="none"/>
                <w14:textFill>
                  <w14:solidFill>
                    <w14:schemeClr w14:val="tx1"/>
                  </w14:solidFill>
                </w14:textFill>
              </w:rPr>
              <w:t xml:space="preserve">《节能产品政府采购品目清单》（财库〔2019〕19号）</w:t>
            </w:r>
            <w:r>
              <w:rPr>
                <w:rFonts w:hint="eastAsia" w:ascii="宋体" w:hAnsi="宋体" w:cs="宋体"/>
                <w:color w:val="000000" w:themeColor="text1"/>
                <w:szCs w:val="21"/>
                <w:highlight w:val="none"/>
                <w14:textFill>
                  <w14:solidFill>
                    <w14:schemeClr w14:val="tx1"/>
                  </w14:solidFill>
                </w14:textFill>
              </w:rPr>
              <w:t xml:space="preserve">范围内（政府强制采购产品除外）的，投标人提供国家确定的认证机构出具的、处于有效期之内的该节能产品认证证书的，有1个得0.5分，最多得1分。</w:t>
            </w:r>
            <w:r/>
          </w:p>
          <w:p>
            <w:pPr>
              <w:jc w:val="left"/>
              <w:spacing w:line="264"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2.投标产品属于财政部、生态环境部公布的《环境</w:t>
            </w:r>
            <w:r>
              <w:rPr>
                <w:rFonts w:ascii="宋体" w:hAnsi="宋体" w:cs="宋体"/>
                <w:color w:val="000000" w:themeColor="text1"/>
                <w:szCs w:val="21"/>
                <w:highlight w:val="none"/>
                <w14:textFill>
                  <w14:solidFill>
                    <w14:schemeClr w14:val="tx1"/>
                  </w14:solidFill>
                </w14:textFill>
              </w:rPr>
              <w:t xml:space="preserve">标志产品品目清单</w:t>
            </w: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（财库〔2019〕1</w:t>
            </w:r>
            <w:r>
              <w:rPr>
                <w:rFonts w:hint="eastAsia" w:ascii="宋体" w:hAnsi="宋体" w:cs="宋体"/>
                <w:color w:val="000000" w:themeColor="text1"/>
                <w:szCs w:val="21"/>
                <w:highlight w:val="none"/>
                <w14:textFill>
                  <w14:solidFill>
                    <w14:schemeClr w14:val="tx1"/>
                  </w14:solidFill>
                </w14:textFill>
              </w:rPr>
              <w:t xml:space="preserve">8</w:t>
            </w:r>
            <w:r>
              <w:rPr>
                <w:rFonts w:ascii="宋体" w:hAnsi="宋体" w:cs="宋体"/>
                <w:color w:val="000000" w:themeColor="text1"/>
                <w:szCs w:val="21"/>
                <w:highlight w:val="none"/>
                <w14:textFill>
                  <w14:solidFill>
                    <w14:schemeClr w14:val="tx1"/>
                  </w14:solidFill>
                </w14:textFill>
              </w:rPr>
              <w:t xml:space="preserve">号）</w:t>
            </w:r>
            <w:r>
              <w:rPr>
                <w:rFonts w:hint="eastAsia" w:ascii="宋体" w:hAnsi="宋体" w:cs="宋体"/>
                <w:color w:val="000000" w:themeColor="text1"/>
                <w:szCs w:val="21"/>
                <w:highlight w:val="none"/>
                <w14:textFill>
                  <w14:solidFill>
                    <w14:schemeClr w14:val="tx1"/>
                  </w14:solidFill>
                </w14:textFill>
              </w:rPr>
              <w:t xml:space="preserve">范围内的，投标人提供国家确定的认证机构出具的、处于有效期内的该环境标志产品认证证书的，有1个得0.5分，最多得1分。</w:t>
            </w:r>
            <w:r/>
          </w:p>
        </w:tc>
        <w:tc>
          <w:tcPr>
            <w:tcBorders>
              <w:top w:val="single" w:color="auto" w:sz="4" w:space="0"/>
            </w:tcBorders>
            <w:tcW w:w="573" w:type="dxa"/>
            <w:vAlign w:val="center"/>
            <w:textDirection w:val="lrTb"/>
            <w:noWrap/>
          </w:tcPr>
          <w:p>
            <w:pPr>
              <w:jc w:val="center"/>
              <w:spacing w:line="264"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auto" w:sz="4" w:space="0"/>
            </w:tcBorders>
            <w:tcW w:w="534" w:type="dxa"/>
            <w:vAlign w:val="center"/>
            <w:textDirection w:val="lrTb"/>
            <w:noWrap/>
          </w:tcPr>
          <w:p>
            <w:pPr>
              <w:jc w:val="center"/>
              <w:spacing w:before="68" w:line="264" w:lineRule="auto"/>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客观分</w:t>
            </w:r>
            <w:r/>
          </w:p>
        </w:tc>
      </w:tr>
      <w:tr>
        <w:trPr>
          <w:jc w:val="center"/>
          <w:trHeight w:val="464"/>
        </w:trPr>
        <w:tc>
          <w:tcPr>
            <w:tcW w:w="519" w:type="dxa"/>
            <w:vAlign w:val="center"/>
            <w:textDirection w:val="lrTb"/>
            <w:noWrap/>
          </w:tcPr>
          <w:p>
            <w:pPr>
              <w:jc w:val="center"/>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3"/>
                <w:szCs w:val="21"/>
                <w:highlight w:val="none"/>
                <w14:textFill>
                  <w14:solidFill>
                    <w14:schemeClr w14:val="tx1"/>
                  </w14:solidFill>
                </w14:textFill>
              </w:rPr>
              <w:t xml:space="preserve">合</w:t>
            </w:r>
            <w:r>
              <w:rPr>
                <w:rFonts w:hint="eastAsia" w:ascii="宋体" w:hAnsi="宋体" w:cs="宋体"/>
                <w:color w:val="000000" w:themeColor="text1"/>
                <w:spacing w:val="-2"/>
                <w:szCs w:val="21"/>
                <w:highlight w:val="none"/>
                <w14:textFill>
                  <w14:solidFill>
                    <w14:schemeClr w14:val="tx1"/>
                  </w14:solidFill>
                </w14:textFill>
              </w:rPr>
              <w:t xml:space="preserve">计</w:t>
            </w:r>
            <w:r/>
          </w:p>
        </w:tc>
        <w:tc>
          <w:tcPr>
            <w:gridSpan w:val="2"/>
            <w:tcBorders>
              <w:top w:val="single" w:color="auto" w:sz="4" w:space="0"/>
            </w:tcBorders>
            <w:tcW w:w="7795" w:type="dxa"/>
            <w:vAlign w:val="center"/>
            <w:textDirection w:val="lrTb"/>
            <w:noWrap/>
          </w:tcPr>
          <w:p>
            <w:pPr>
              <w:ind w:left="172"/>
              <w:jc w:val="center"/>
              <w:spacing w:before="123" w:line="288" w:lineRule="auto"/>
              <w:rPr>
                <w:rFonts w:hint="eastAsia" w:ascii="宋体" w:hAnsi="宋体" w:cs="宋体"/>
                <w:color w:val="000000" w:themeColor="text1"/>
                <w:spacing w:val="-2"/>
                <w:szCs w:val="21"/>
                <w:highlight w:val="none"/>
                <w14:textFill>
                  <w14:solidFill>
                    <w14:schemeClr w14:val="tx1"/>
                  </w14:solidFill>
                </w14:textFill>
              </w:rPr>
            </w:pPr>
            <w:r>
              <w:rPr>
                <w:rFonts w:hint="eastAsia" w:ascii="宋体" w:hAnsi="宋体" w:cs="宋体"/>
                <w:color w:val="000000" w:themeColor="text1"/>
                <w:spacing w:val="-2"/>
                <w:szCs w:val="21"/>
                <w:highlight w:val="none"/>
                <w14:textFill>
                  <w14:solidFill>
                    <w14:schemeClr w14:val="tx1"/>
                  </w14:solidFill>
                </w14:textFill>
              </w:rPr>
            </w:r>
            <w:r/>
          </w:p>
        </w:tc>
        <w:tc>
          <w:tcPr>
            <w:gridSpan w:val="2"/>
            <w:tcW w:w="1107" w:type="dxa"/>
            <w:vAlign w:val="center"/>
            <w:textDirection w:val="lrTb"/>
            <w:noWrap/>
          </w:tcPr>
          <w:p>
            <w:pPr>
              <w:jc w:val="center"/>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1"/>
                <w:szCs w:val="21"/>
                <w:highlight w:val="none"/>
                <w14:textFill>
                  <w14:solidFill>
                    <w14:schemeClr w14:val="tx1"/>
                  </w14:solidFill>
                </w14:textFill>
              </w:rPr>
              <w:t xml:space="preserve">100分</w:t>
            </w:r>
            <w:r/>
          </w:p>
        </w:tc>
      </w:tr>
    </w:tbl>
    <w:p>
      <w:pP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r>
      <w:r/>
    </w:p>
    <w:p>
      <w:pP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r>
      <w:r/>
    </w:p>
    <w:p>
      <w:pP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br w:type="page" w:clear="all"/>
      </w:r>
      <w:r/>
    </w:p>
    <w:p>
      <w:pPr>
        <w:ind w:right="840"/>
        <w:jc w:val="both"/>
        <w:spacing w:before="0" w:after="0" w:line="240" w:lineRule="auto"/>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r>
      <w:r/>
    </w:p>
    <w:p>
      <w:pPr>
        <w:ind w:right="840"/>
        <w:jc w:val="both"/>
        <w:spacing w:before="0" w:after="0" w:line="240" w:lineRule="auto"/>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r>
      <w:r/>
    </w:p>
    <w:p>
      <w:pPr>
        <w:ind w:right="840"/>
        <w:jc w:val="center"/>
        <w:spacing w:before="0" w:after="0" w:line="240" w:lineRule="auto"/>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t xml:space="preserve">第六章  投标</w:t>
      </w:r>
      <w:bookmarkEnd w:id="198"/>
      <w:r/>
      <w:bookmarkEnd w:id="199"/>
      <w:r/>
      <w:bookmarkEnd w:id="201"/>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t xml:space="preserve">文件格式</w:t>
      </w:r>
      <w:r/>
    </w:p>
    <w:p>
      <w:pPr>
        <w:jc w:val="center"/>
        <w:rPr>
          <w:rFonts w:hint="eastAsia" w:ascii="宋体" w:hAnsi="宋体"/>
          <w:b/>
          <w:color w:val="000000" w:themeColor="text1"/>
          <w:sz w:val="72"/>
          <w:szCs w:val="21"/>
          <w:highlight w:val="none"/>
          <w14:textFill>
            <w14:solidFill>
              <w14:schemeClr w14:val="tx1"/>
            </w14:solidFill>
          </w14:textFill>
        </w:rPr>
      </w:pPr>
      <w:r/>
      <w:bookmarkStart w:id="206" w:name="_Hlt26955039"/>
      <w:r/>
      <w:bookmarkEnd w:id="206"/>
      <w:r/>
      <w:bookmarkStart w:id="207" w:name="_Hlt26671244"/>
      <w:r/>
      <w:bookmarkEnd w:id="207"/>
      <w:r/>
      <w:bookmarkStart w:id="208" w:name="_Toc120614282"/>
      <w:r/>
      <w:bookmarkStart w:id="209" w:name="_Toc49090576"/>
      <w:r/>
      <w:bookmarkStart w:id="210" w:name="_Toc26554094"/>
      <w:r/>
      <w:r/>
    </w:p>
    <w:p>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r>
      <w:r/>
    </w:p>
    <w:p>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r>
      <w:r/>
    </w:p>
    <w:p>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t xml:space="preserve">投  标  文  件</w:t>
      </w:r>
      <w:r/>
    </w:p>
    <w:p>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r>
      <w:r/>
    </w:p>
    <w:p>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r>
      <w:r/>
    </w:p>
    <w:p>
      <w:pPr>
        <w:jc w:val="center"/>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p>
    <w:p>
      <w:pPr>
        <w:jc w:val="center"/>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p>
    <w:p>
      <w:pPr>
        <w:jc w:val="center"/>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p>
    <w:p>
      <w:pPr>
        <w:ind w:firstLine="1084"/>
        <w:rPr>
          <w:rFonts w:ascii="宋体" w:hAnsi="宋体" w:eastAsia="宋体"/>
          <w:b/>
          <w:color w:val="000000" w:themeColor="text1"/>
          <w:sz w:val="36"/>
          <w:szCs w:val="21"/>
          <w:highlight w:val="none"/>
          <w:lang w:val="en-US" w:eastAsia="zh-CN"/>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项 目 名 称：</w:t>
      </w:r>
      <w:r>
        <w:rPr>
          <w:rFonts w:hint="eastAsia" w:ascii="宋体" w:hAnsi="宋体"/>
          <w:b/>
          <w:color w:val="000000" w:themeColor="text1"/>
          <w:sz w:val="36"/>
          <w:szCs w:val="21"/>
          <w:highlight w:val="none"/>
          <w:u w:val="single"/>
          <w14:textFill>
            <w14:solidFill>
              <w14:schemeClr w14:val="tx1"/>
            </w14:solidFill>
          </w14:textFill>
        </w:rPr>
        <w:t xml:space="preserve">               </w:t>
      </w:r>
      <w:r>
        <w:rPr>
          <w:rFonts w:hint="eastAsia" w:ascii="宋体" w:hAnsi="宋体"/>
          <w:b/>
          <w:color w:val="000000" w:themeColor="text1"/>
          <w:sz w:val="36"/>
          <w:szCs w:val="21"/>
          <w:highlight w:val="none"/>
          <w:u w:val="single"/>
          <w:lang w:val="en-US" w:eastAsia="zh-CN"/>
          <w14:textFill>
            <w14:solidFill>
              <w14:schemeClr w14:val="tx1"/>
            </w14:solidFill>
          </w14:textFill>
        </w:rPr>
        <w:t xml:space="preserve">    </w:t>
      </w:r>
      <w:r/>
    </w:p>
    <w:p>
      <w:pPr>
        <w:ind w:firstLine="1084"/>
        <w:rPr>
          <w:rFonts w:ascii="宋体" w:hAnsi="宋体" w:eastAsia="宋体"/>
          <w:b/>
          <w:color w:val="000000" w:themeColor="text1"/>
          <w:sz w:val="36"/>
          <w:szCs w:val="21"/>
          <w:highlight w:val="none"/>
          <w:u w:val="single"/>
          <w:lang w:val="en-US" w:eastAsia="zh-CN"/>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项 目 编 号：</w:t>
      </w:r>
      <w:r>
        <w:rPr>
          <w:rFonts w:hint="eastAsia" w:ascii="宋体" w:hAnsi="宋体"/>
          <w:b/>
          <w:color w:val="000000" w:themeColor="text1"/>
          <w:sz w:val="36"/>
          <w:szCs w:val="21"/>
          <w:highlight w:val="none"/>
          <w:u w:val="single"/>
          <w14:textFill>
            <w14:solidFill>
              <w14:schemeClr w14:val="tx1"/>
            </w14:solidFill>
          </w14:textFill>
        </w:rPr>
        <w:t xml:space="preserve">               </w:t>
      </w:r>
      <w:r>
        <w:rPr>
          <w:rFonts w:hint="eastAsia" w:ascii="宋体" w:hAnsi="宋体"/>
          <w:b/>
          <w:color w:val="000000" w:themeColor="text1"/>
          <w:sz w:val="36"/>
          <w:szCs w:val="21"/>
          <w:highlight w:val="none"/>
          <w:u w:val="single"/>
          <w:lang w:val="en-US" w:eastAsia="zh-CN"/>
          <w14:textFill>
            <w14:solidFill>
              <w14:schemeClr w14:val="tx1"/>
            </w14:solidFill>
          </w14:textFill>
        </w:rPr>
        <w:t xml:space="preserve">    </w:t>
      </w:r>
      <w:r/>
    </w:p>
    <w:p>
      <w:pPr>
        <w:rPr>
          <w:rFonts w:ascii="宋体" w:hAnsi="宋体" w:eastAsia="宋体"/>
          <w:b/>
          <w:color w:val="000000" w:themeColor="text1"/>
          <w:sz w:val="36"/>
          <w:szCs w:val="21"/>
          <w:highlight w:val="none"/>
          <w:u w:val="single"/>
          <w:lang w:val="en-US" w:eastAsia="zh-CN"/>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      投标人名称 ：</w:t>
      </w:r>
      <w:r>
        <w:rPr>
          <w:rFonts w:hint="eastAsia" w:ascii="宋体" w:hAnsi="宋体"/>
          <w:b/>
          <w:color w:val="000000" w:themeColor="text1"/>
          <w:sz w:val="36"/>
          <w:szCs w:val="21"/>
          <w:highlight w:val="none"/>
          <w:u w:val="single"/>
          <w14:textFill>
            <w14:solidFill>
              <w14:schemeClr w14:val="tx1"/>
            </w14:solidFill>
          </w14:textFill>
        </w:rPr>
        <w:t xml:space="preserve">（加盖电子公章）</w:t>
      </w:r>
      <w:r>
        <w:rPr>
          <w:rFonts w:hint="eastAsia" w:ascii="宋体" w:hAnsi="宋体"/>
          <w:b/>
          <w:color w:val="000000" w:themeColor="text1"/>
          <w:sz w:val="36"/>
          <w:szCs w:val="21"/>
          <w:highlight w:val="none"/>
          <w:u w:val="single"/>
          <w:lang w:val="en-US" w:eastAsia="zh-CN"/>
          <w14:textFill>
            <w14:solidFill>
              <w14:schemeClr w14:val="tx1"/>
            </w14:solidFill>
          </w14:textFill>
        </w:rPr>
        <w:t xml:space="preserve">   </w:t>
      </w:r>
      <w:r/>
    </w:p>
    <w:p>
      <w:pPr>
        <w:rPr>
          <w:rFonts w:ascii="宋体" w:hAnsi="宋体" w:eastAsia="宋体"/>
          <w:b/>
          <w:color w:val="000000" w:themeColor="text1"/>
          <w:sz w:val="36"/>
          <w:szCs w:val="21"/>
          <w:highlight w:val="none"/>
          <w:u w:val="single"/>
          <w:lang w:val="en-US" w:eastAsia="zh-CN"/>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      日      期 ：</w:t>
      </w:r>
      <w:r>
        <w:rPr>
          <w:rFonts w:hint="eastAsia" w:ascii="宋体" w:hAnsi="宋体"/>
          <w:b/>
          <w:color w:val="000000" w:themeColor="text1"/>
          <w:sz w:val="36"/>
          <w:szCs w:val="21"/>
          <w:highlight w:val="none"/>
          <w:u w:val="single"/>
          <w14:textFill>
            <w14:solidFill>
              <w14:schemeClr w14:val="tx1"/>
            </w14:solidFill>
          </w14:textFill>
        </w:rPr>
        <w:t xml:space="preserve">               </w:t>
      </w:r>
      <w:r>
        <w:rPr>
          <w:rFonts w:hint="eastAsia" w:ascii="宋体" w:hAnsi="宋体"/>
          <w:b/>
          <w:color w:val="000000" w:themeColor="text1"/>
          <w:sz w:val="36"/>
          <w:szCs w:val="21"/>
          <w:highlight w:val="none"/>
          <w:u w:val="single"/>
          <w:lang w:val="en-US" w:eastAsia="zh-CN"/>
          <w14:textFill>
            <w14:solidFill>
              <w14:schemeClr w14:val="tx1"/>
            </w14:solidFill>
          </w14:textFill>
        </w:rPr>
        <w:t xml:space="preserve">    </w:t>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center"/>
        <w:rPr>
          <w:rFonts w:hint="eastAsia" w:ascii="方正黑体_GBK" w:hAnsi="方正黑体_GBK" w:eastAsia="方正黑体_GBK" w:cs="方正黑体_GBK"/>
          <w:b w:val="0"/>
          <w:bCs w:val="0"/>
          <w:color w:val="000000" w:themeColor="text1"/>
          <w:sz w:val="32"/>
          <w:szCs w:val="32"/>
          <w:highlight w:val="none"/>
          <w14:textFill>
            <w14:solidFill>
              <w14:schemeClr w14:val="tx1"/>
            </w14:solidFill>
          </w14:textFill>
        </w:rPr>
      </w:pPr>
      <w:r>
        <w:rPr>
          <w:rFonts w:ascii="宋体" w:hAnsi="宋体"/>
          <w:b/>
          <w:color w:val="000000" w:themeColor="text1"/>
          <w:sz w:val="36"/>
          <w:szCs w:val="21"/>
          <w:highlight w:val="none"/>
          <w:u w:val="single"/>
          <w14:textFill>
            <w14:solidFill>
              <w14:schemeClr w14:val="tx1"/>
            </w14:solidFill>
          </w14:textFill>
        </w:rPr>
        <w:br w:type="page" w:clear="all"/>
      </w:r>
      <w:bookmarkEnd w:id="196"/>
      <w:r/>
      <w:bookmarkEnd w:id="197"/>
      <w:r/>
      <w:bookmarkEnd w:id="208"/>
      <w:r/>
      <w:bookmarkEnd w:id="209"/>
      <w:r/>
      <w:bookmarkEnd w:id="210"/>
      <w:r>
        <w:rPr>
          <w:rFonts w:hint="eastAsia" w:ascii="方正黑体_GBK" w:hAnsi="方正黑体_GBK" w:eastAsia="方正黑体_GBK" w:cs="方正黑体_GBK"/>
          <w:b w:val="0"/>
          <w:bCs w:val="0"/>
          <w:color w:val="000000" w:themeColor="text1"/>
          <w:sz w:val="32"/>
          <w:szCs w:val="32"/>
          <w:highlight w:val="none"/>
          <w14:textFill>
            <w14:solidFill>
              <w14:schemeClr w14:val="tx1"/>
            </w14:solidFill>
          </w14:textFill>
        </w:rPr>
        <w:t xml:space="preserve">投标文件目录</w:t>
      </w:r>
      <w:r/>
    </w:p>
    <w:p>
      <w:pPr>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pPr>
      <w:r/>
      <w:bookmarkStart w:id="211" w:name="_Toc120614284"/>
      <w:r>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t xml:space="preserve">四、投标函</w:t>
      </w:r>
      <w:r/>
    </w:p>
    <w:p>
      <w:pPr>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t xml:space="preserve">五、开标一览表</w:t>
      </w:r>
      <w:r/>
    </w:p>
    <w:p>
      <w:pPr>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t xml:space="preserve">六、核心产品品牌一览表</w:t>
      </w:r>
      <w:r/>
    </w:p>
    <w:p>
      <w:pPr>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t xml:space="preserve">七、投标分项报价表</w:t>
      </w:r>
      <w:r/>
    </w:p>
    <w:p>
      <w:pPr>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t xml:space="preserve">八、技术要求响应及偏离表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t xml:space="preserve">九、商务要求响应及偏离表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t xml:space="preserve">十、中小企业声明函（如有）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t xml:space="preserve">十一、残疾人福利性单位声明函（如有）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t xml:space="preserve">十二、联合体协议（如有）</w:t>
      </w:r>
      <w:r/>
    </w:p>
    <w:p>
      <w:pPr>
        <w:ind w:firstLine="560"/>
        <w:spacing w:line="60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highlight w:val="none"/>
          <w:u w:val="none"/>
          <w:lang w:val="en-US" w:eastAsia="zh-CN"/>
          <w14:textFill>
            <w14:solidFill>
              <w14:schemeClr w14:val="tx1"/>
            </w14:solidFill>
          </w14:textFill>
        </w:rPr>
        <w:t xml:space="preserve">十三、关于符合本国产品标准的声明函（如有）</w:t>
      </w:r>
      <w:r/>
    </w:p>
    <w:p>
      <w:pPr>
        <w:ind w:firstLine="560"/>
        <w:spacing w:line="60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480"/>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0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0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0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0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rPr>
          <w:rFonts w:hint="eastAsia" w:ascii="黑体" w:hAnsi="黑体" w:eastAsia="黑体" w:cs="Times New Roman"/>
          <w:bCs/>
          <w:i/>
          <w:color w:val="000000" w:themeColor="text1"/>
          <w:sz w:val="32"/>
          <w:szCs w:val="32"/>
          <w:highlight w:val="none"/>
          <w:u w:val="single"/>
          <w:lang w:val="en-US" w:eastAsia="zh-CN"/>
          <w14:textFill>
            <w14:solidFill>
              <w14:schemeClr w14:val="tx1"/>
            </w14:solidFill>
          </w14:textFill>
        </w:rPr>
      </w:pPr>
      <w:r>
        <w:rPr>
          <w:rFonts w:hint="eastAsia" w:ascii="黑体" w:hAnsi="黑体" w:eastAsia="黑体" w:cs="Times New Roman"/>
          <w:bCs/>
          <w:i/>
          <w:color w:val="000000" w:themeColor="text1"/>
          <w:sz w:val="32"/>
          <w:szCs w:val="32"/>
          <w:highlight w:val="none"/>
          <w:u w:val="single"/>
          <w:lang w:val="en-US" w:eastAsia="zh-CN"/>
          <w14:textFill>
            <w14:solidFill>
              <w14:schemeClr w14:val="tx1"/>
            </w14:solidFill>
          </w14:textFill>
        </w:rPr>
      </w:r>
      <w:r/>
    </w:p>
    <w:p>
      <w:pPr>
        <w:rPr>
          <w:rFonts w:hint="eastAsia" w:ascii="黑体" w:hAnsi="黑体" w:eastAsia="黑体" w:cs="Times New Roman"/>
          <w:bCs/>
          <w:i/>
          <w:color w:val="000000" w:themeColor="text1"/>
          <w:sz w:val="32"/>
          <w:szCs w:val="32"/>
          <w:highlight w:val="none"/>
          <w:u w:val="single"/>
          <w:lang w:val="en-US" w:eastAsia="zh-CN"/>
          <w14:textFill>
            <w14:solidFill>
              <w14:schemeClr w14:val="tx1"/>
            </w14:solidFill>
          </w14:textFill>
        </w:rPr>
      </w:pPr>
      <w:r>
        <w:rPr>
          <w:rFonts w:hint="eastAsia" w:ascii="黑体" w:hAnsi="黑体" w:eastAsia="黑体" w:cs="Times New Roman"/>
          <w:bCs/>
          <w:i/>
          <w:color w:val="000000" w:themeColor="text1"/>
          <w:sz w:val="32"/>
          <w:szCs w:val="32"/>
          <w:highlight w:val="none"/>
          <w:u w:val="single"/>
          <w:lang w:val="en-US" w:eastAsia="zh-CN"/>
          <w14:textFill>
            <w14:solidFill>
              <w14:schemeClr w14:val="tx1"/>
            </w14:solidFill>
          </w14:textFill>
        </w:rPr>
      </w:r>
      <w:r/>
    </w:p>
    <w:p>
      <w:pPr>
        <w:rPr>
          <w:rFonts w:hint="eastAsia" w:ascii="黑体" w:hAnsi="黑体" w:eastAsia="黑体" w:cs="Times New Roman"/>
          <w:bCs/>
          <w:i/>
          <w:color w:val="000000" w:themeColor="text1"/>
          <w:sz w:val="32"/>
          <w:szCs w:val="32"/>
          <w:highlight w:val="none"/>
          <w:u w:val="single"/>
          <w:lang w:val="en-US" w:eastAsia="zh-CN"/>
          <w14:textFill>
            <w14:solidFill>
              <w14:schemeClr w14:val="tx1"/>
            </w14:solidFill>
          </w14:textFill>
        </w:rPr>
      </w:pPr>
      <w:r>
        <w:rPr>
          <w:rFonts w:hint="eastAsia" w:ascii="黑体" w:hAnsi="黑体" w:eastAsia="黑体" w:cs="Times New Roman"/>
          <w:bCs/>
          <w:i/>
          <w:color w:val="000000" w:themeColor="text1"/>
          <w:sz w:val="32"/>
          <w:szCs w:val="32"/>
          <w:highlight w:val="none"/>
          <w:u w:val="single"/>
          <w:lang w:val="en-US" w:eastAsia="zh-CN"/>
          <w14:textFill>
            <w14:solidFill>
              <w14:schemeClr w14:val="tx1"/>
            </w14:solidFill>
          </w14:textFill>
        </w:rPr>
      </w:r>
      <w:r/>
    </w:p>
    <w:p>
      <w:pPr>
        <w:rPr>
          <w:rFonts w:hint="eastAsia" w:ascii="黑体" w:hAnsi="黑体" w:eastAsia="黑体" w:cs="Times New Roman"/>
          <w:bCs/>
          <w:i/>
          <w:color w:val="000000" w:themeColor="text1"/>
          <w:sz w:val="32"/>
          <w:szCs w:val="32"/>
          <w:highlight w:val="none"/>
          <w:u w:val="single"/>
          <w:lang w:val="en-US" w:eastAsia="zh-CN"/>
          <w14:textFill>
            <w14:solidFill>
              <w14:schemeClr w14:val="tx1"/>
            </w14:solidFill>
          </w14:textFill>
        </w:rPr>
      </w:pPr>
      <w:r>
        <w:rPr>
          <w:rFonts w:hint="eastAsia" w:ascii="黑体" w:hAnsi="黑体" w:eastAsia="黑体" w:cs="Times New Roman"/>
          <w:bCs/>
          <w:i/>
          <w:color w:val="000000" w:themeColor="text1"/>
          <w:sz w:val="32"/>
          <w:szCs w:val="32"/>
          <w:highlight w:val="none"/>
          <w:u w:val="single"/>
          <w:lang w:val="en-US" w:eastAsia="zh-CN"/>
          <w14:textFill>
            <w14:solidFill>
              <w14:schemeClr w14:val="tx1"/>
            </w14:solidFill>
          </w14:textFill>
        </w:rPr>
      </w:r>
      <w:r/>
    </w:p>
    <w:p>
      <w:pPr>
        <w:rPr>
          <w:rFonts w:hint="eastAsia" w:ascii="黑体" w:hAnsi="黑体" w:eastAsia="黑体" w:cs="Times New Roman"/>
          <w:bCs/>
          <w:i/>
          <w:color w:val="000000" w:themeColor="text1"/>
          <w:sz w:val="32"/>
          <w:szCs w:val="32"/>
          <w:highlight w:val="none"/>
          <w:u w:val="single"/>
          <w:lang w:val="en-US" w:eastAsia="zh-CN"/>
          <w14:textFill>
            <w14:solidFill>
              <w14:schemeClr w14:val="tx1"/>
            </w14:solidFill>
          </w14:textFill>
        </w:rPr>
      </w:pPr>
      <w:r>
        <w:rPr>
          <w:rFonts w:hint="eastAsia" w:ascii="黑体" w:hAnsi="黑体" w:eastAsia="黑体" w:cs="Times New Roman"/>
          <w:bCs/>
          <w:i/>
          <w:color w:val="000000" w:themeColor="text1"/>
          <w:sz w:val="32"/>
          <w:szCs w:val="32"/>
          <w:highlight w:val="none"/>
          <w:u w:val="single"/>
          <w:lang w:val="en-US" w:eastAsia="zh-CN"/>
          <w14:textFill>
            <w14:solidFill>
              <w14:schemeClr w14:val="tx1"/>
            </w14:solidFill>
          </w14:textFill>
        </w:rPr>
      </w:r>
      <w:r/>
    </w:p>
    <w:p>
      <w:pPr>
        <w:rPr>
          <w:rFonts w:hint="eastAsia" w:ascii="黑体" w:hAnsi="黑体" w:eastAsia="黑体" w:cs="Times New Roman"/>
          <w:i/>
          <w:color w:val="000000" w:themeColor="text1"/>
          <w:sz w:val="32"/>
          <w:szCs w:val="32"/>
          <w:highlight w:val="none"/>
          <w:u w:val="single"/>
          <w:lang w:val="en-US" w:eastAsia="zh-CN"/>
          <w14:textFill>
            <w14:solidFill>
              <w14:schemeClr w14:val="tx1"/>
            </w14:solidFill>
          </w14:textFill>
        </w:rPr>
      </w:pPr>
      <w:r>
        <w:rPr>
          <w:rFonts w:hint="eastAsia" w:ascii="黑体" w:hAnsi="黑体" w:eastAsia="黑体" w:cs="Times New Roman"/>
          <w:i/>
          <w:color w:val="000000" w:themeColor="text1"/>
          <w:sz w:val="32"/>
          <w:szCs w:val="32"/>
          <w:highlight w:val="none"/>
          <w:u w:val="single"/>
          <w:lang w:val="en-US" w:eastAsia="zh-CN"/>
          <w14:textFill>
            <w14:solidFill>
              <w14:schemeClr w14:val="tx1"/>
            </w14:solidFill>
          </w14:textFill>
        </w:rPr>
      </w:r>
      <w:r/>
    </w:p>
    <w:p>
      <w:pPr>
        <w:rPr>
          <w:rFonts w:hint="eastAsia" w:ascii="黑体" w:hAnsi="黑体" w:eastAsia="黑体" w:cs="Times New Roman"/>
          <w:i/>
          <w:color w:val="000000" w:themeColor="text1"/>
          <w:sz w:val="32"/>
          <w:szCs w:val="32"/>
          <w:highlight w:val="none"/>
          <w:u w:val="single"/>
          <w:lang w:val="en-US" w:eastAsia="zh-CN"/>
          <w14:textFill>
            <w14:solidFill>
              <w14:schemeClr w14:val="tx1"/>
            </w14:solidFill>
          </w14:textFill>
        </w:rPr>
      </w:pPr>
      <w:r>
        <w:rPr>
          <w:rFonts w:hint="eastAsia" w:ascii="黑体" w:hAnsi="黑体" w:eastAsia="黑体" w:cs="Times New Roman"/>
          <w:i/>
          <w:color w:val="000000" w:themeColor="text1"/>
          <w:sz w:val="32"/>
          <w:szCs w:val="32"/>
          <w:highlight w:val="none"/>
          <w:u w:val="single"/>
          <w:lang w:val="en-US" w:eastAsia="zh-CN"/>
          <w14:textFill>
            <w14:solidFill>
              <w14:schemeClr w14:val="tx1"/>
            </w14:solidFill>
          </w14:textFill>
        </w:rPr>
      </w:r>
      <w:r/>
    </w:p>
    <w:p>
      <w:pPr>
        <w:jc w:val="left"/>
        <w:spacing w:line="360" w:lineRule="auto"/>
        <w:rPr>
          <w:rFonts w:hint="eastAsia" w:ascii="黑体" w:hAnsi="黑体" w:eastAsia="黑体" w:cs="Times New Roman"/>
          <w:i w:val="0"/>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color w:val="000000" w:themeColor="text1"/>
          <w:sz w:val="32"/>
          <w:szCs w:val="32"/>
          <w:highlight w:val="none"/>
          <w:u w:val="none"/>
          <w:lang w:val="en-US" w:eastAsia="zh-CN"/>
          <w14:textFill>
            <w14:solidFill>
              <w14:schemeClr w14:val="tx1"/>
            </w14:solidFill>
          </w14:textFill>
        </w:rPr>
        <w:t xml:space="preserve">一、供应商信用承诺函</w:t>
      </w:r>
      <w:r/>
    </w:p>
    <w:p>
      <w:pPr>
        <w:jc w:val="center"/>
        <w:spacing w:line="360" w:lineRule="auto"/>
        <w:rPr>
          <w:rFonts w:hint="eastAsia" w:ascii="方正小标宋简体" w:hAnsi="方正小标宋简体" w:eastAsia="方正小标宋简体" w:cs="方正小标宋简体"/>
          <w:color w:val="000000" w:themeColor="text1"/>
          <w:sz w:val="32"/>
          <w:szCs w:val="32"/>
          <w:highlight w:val="none"/>
          <w:lang w:val="en-US"/>
          <w14:textFill>
            <w14:solidFill>
              <w14:schemeClr w14:val="tx1"/>
            </w14:solidFill>
          </w14:textFill>
        </w:rPr>
        <w:outlineLvl w:val="0"/>
      </w:pPr>
      <w:r>
        <w:rPr>
          <w:rFonts w:hint="eastAsia" w:ascii="方正小标宋简体" w:hAnsi="方正小标宋简体" w:eastAsia="方正小标宋简体" w:cs="方正小标宋简体"/>
          <w:color w:val="000000" w:themeColor="text1"/>
          <w:sz w:val="32"/>
          <w:szCs w:val="32"/>
          <w:highlight w:val="none"/>
          <w:lang w:val="en-US"/>
          <w14:textFill>
            <w14:solidFill>
              <w14:schemeClr w14:val="tx1"/>
            </w14:solidFill>
          </w14:textFill>
        </w:rPr>
        <w:t xml:space="preserve">供应商信用承诺函</w:t>
      </w:r>
      <w:r/>
    </w:p>
    <w:p>
      <w:pPr>
        <w:spacing w:line="46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lang w:eastAsia="zh-CN"/>
          <w14:textFill>
            <w14:solidFill>
              <w14:schemeClr w14:val="tx1"/>
            </w14:solidFill>
          </w14:textFill>
        </w:rPr>
        <w:t xml:space="preserve">南京市公共资源交易中心江北新区分中心</w:t>
      </w:r>
      <w:r>
        <w:rPr>
          <w:rFonts w:hint="eastAsia" w:ascii="宋体" w:hAnsi="宋体" w:eastAsia="宋体" w:cs="Times New Roman"/>
          <w:color w:val="000000" w:themeColor="text1"/>
          <w:sz w:val="24"/>
          <w:szCs w:val="24"/>
          <w:highlight w:val="none"/>
          <w14:textFill>
            <w14:solidFill>
              <w14:schemeClr w14:val="tx1"/>
            </w14:solidFill>
          </w14:textFill>
        </w:rPr>
        <w:t xml:space="preserve">：</w:t>
      </w:r>
      <w:r/>
    </w:p>
    <w:p>
      <w:pPr>
        <w:ind w:firstLine="492"/>
        <w:spacing w:line="46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我公司</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color w:val="000000" w:themeColor="text1"/>
          <w:sz w:val="24"/>
          <w:szCs w:val="24"/>
          <w:highlight w:val="none"/>
          <w14:textFill>
            <w14:solidFill>
              <w14:schemeClr w14:val="tx1"/>
            </w14:solidFill>
          </w14:textFill>
        </w:rPr>
        <w:t xml:space="preserve">（供应商名称）郑重承诺：</w:t>
      </w:r>
      <w:r/>
    </w:p>
    <w:p>
      <w:pPr>
        <w:ind w:firstLine="492"/>
        <w:spacing w:line="46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我公司符合下列要求：</w:t>
      </w:r>
      <w:r/>
    </w:p>
    <w:p>
      <w:pPr>
        <w:ind w:firstLine="492"/>
        <w:spacing w:line="46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(一)具有独立承担民事责任的能力；</w:t>
      </w:r>
      <w:r/>
    </w:p>
    <w:p>
      <w:pPr>
        <w:ind w:firstLine="492"/>
        <w:spacing w:line="46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(二)具有良好的商业信誉和健全的财务会计制度；</w:t>
      </w:r>
      <w:r/>
    </w:p>
    <w:p>
      <w:pPr>
        <w:ind w:firstLine="492"/>
        <w:spacing w:line="46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(三)具有履行合同所必需的设备和专业技术能力；</w:t>
      </w:r>
      <w:r/>
    </w:p>
    <w:p>
      <w:pPr>
        <w:ind w:firstLine="492"/>
        <w:spacing w:line="46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(四)有依法缴纳税收和社会保障资金的良好记录；</w:t>
      </w:r>
      <w:r/>
    </w:p>
    <w:p>
      <w:pPr>
        <w:ind w:firstLine="492"/>
        <w:spacing w:line="460" w:lineRule="exact"/>
        <w:rPr>
          <w:rFonts w:hint="eastAsia" w:ascii="宋体" w:hAnsi="宋体" w:eastAsia="宋体" w:cs="Times New Roman"/>
          <w:color w:val="000000" w:themeColor="text1"/>
          <w:sz w:val="24"/>
          <w:szCs w:val="24"/>
          <w:highlight w:val="none"/>
          <w:lang w:eastAsia="zh-CN"/>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(五)参加政府采购活动前三年内</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14:textFill>
            <w14:solidFill>
              <w14:schemeClr w14:val="tx1"/>
            </w14:solidFill>
          </w14:textFill>
        </w:rPr>
        <w:t xml:space="preserve">在经营活动中没有重大违法记录</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w:t>
      </w:r>
      <w:r/>
    </w:p>
    <w:p>
      <w:pPr>
        <w:ind w:firstLine="492"/>
        <w:spacing w:line="46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(六)我公司（单位）已知晓：单位负责人为同一人或者存在直接控股、管理关系的不同供应商，不得参加同一合同项下的政府采购活动。</w:t>
      </w:r>
      <w:r/>
    </w:p>
    <w:p>
      <w:pPr>
        <w:ind w:firstLine="492"/>
        <w:spacing w:line="46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(七)未参加此项目的整体设计、规范编制或者项目管理、监理、检测等服务。</w:t>
      </w:r>
      <w:r/>
    </w:p>
    <w:p>
      <w:pPr>
        <w:ind w:firstLine="492"/>
        <w:spacing w:line="46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如果我公司中标</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14:textFill>
            <w14:solidFill>
              <w14:schemeClr w14:val="tx1"/>
            </w14:solidFill>
          </w14:textFill>
        </w:rPr>
        <w:t xml:space="preserve">将在中标结果公示后七个工作日内向采购人提供下列材料核验：</w:t>
      </w:r>
      <w:r/>
    </w:p>
    <w:p>
      <w:pPr>
        <w:ind w:firstLine="492"/>
        <w:spacing w:line="46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（1）营业执照副本或事业单位法人登记证书；</w:t>
      </w:r>
      <w:r/>
    </w:p>
    <w:p>
      <w:pPr>
        <w:ind w:firstLine="492"/>
        <w:spacing w:line="46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（2）参加本次政府采购活动前一年的经审计的财务报告（包括“四表一注”</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14:textFill>
            <w14:solidFill>
              <w14:schemeClr w14:val="tx1"/>
            </w14:solidFill>
          </w14:textFill>
        </w:rPr>
        <w:t xml:space="preserve">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szCs w:val="24"/>
          <w:highlight w:val="none"/>
          <w14:textFill>
            <w14:solidFill>
              <w14:schemeClr w14:val="tx1"/>
            </w14:solidFill>
          </w14:textFill>
        </w:rPr>
        <w:t xml:space="preserve">履行合同所必需的设备和专业技术能力</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证明材料；</w:t>
      </w:r>
      <w:r/>
    </w:p>
    <w:p>
      <w:pPr>
        <w:ind w:firstLine="492"/>
        <w:spacing w:line="46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Times New Roman"/>
          <w:color w:val="000000" w:themeColor="text1"/>
          <w:sz w:val="24"/>
          <w:szCs w:val="24"/>
          <w:highlight w:val="none"/>
          <w14:textFill>
            <w14:solidFill>
              <w14:schemeClr w14:val="tx1"/>
            </w14:solidFill>
          </w14:textFill>
        </w:rPr>
        <w:t xml:space="preserve">）参加本次政府采购活动前一年内至少一个月依法缴纳税收和社会保障资金的证明材料。</w:t>
      </w:r>
      <w:r/>
    </w:p>
    <w:p>
      <w:pPr>
        <w:ind w:firstLine="492"/>
        <w:spacing w:line="4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本公司对上述承诺</w:t>
      </w:r>
      <w:r>
        <w:rPr>
          <w:rFonts w:hint="eastAsia"/>
          <w:color w:val="000000" w:themeColor="text1"/>
          <w:sz w:val="24"/>
          <w:szCs w:val="24"/>
          <w:highlight w:val="none"/>
          <w:lang w:eastAsia="zh-CN"/>
          <w14:textFill>
            <w14:solidFill>
              <w14:schemeClr w14:val="tx1"/>
            </w14:solidFill>
          </w14:textFill>
        </w:rPr>
        <w:t xml:space="preserve">内容</w:t>
      </w:r>
      <w:r>
        <w:rPr>
          <w:rFonts w:hint="eastAsia"/>
          <w:color w:val="000000" w:themeColor="text1"/>
          <w:sz w:val="24"/>
          <w:szCs w:val="24"/>
          <w:highlight w:val="none"/>
          <w14:textFill>
            <w14:solidFill>
              <w14:schemeClr w14:val="tx1"/>
            </w14:solidFill>
          </w14:textFill>
        </w:rPr>
        <w:t xml:space="preserve">的真实性</w:t>
      </w:r>
      <w:r>
        <w:rPr>
          <w:rFonts w:hint="eastAsia"/>
          <w:color w:val="000000" w:themeColor="text1"/>
          <w:sz w:val="24"/>
          <w:szCs w:val="24"/>
          <w:highlight w:val="none"/>
          <w:lang w:eastAsia="zh-CN"/>
          <w14:textFill>
            <w14:solidFill>
              <w14:schemeClr w14:val="tx1"/>
            </w14:solidFill>
          </w14:textFill>
        </w:rPr>
        <w:t xml:space="preserve">、合法性、有效性</w:t>
      </w:r>
      <w:r>
        <w:rPr>
          <w:rFonts w:hint="eastAsia"/>
          <w:color w:val="000000" w:themeColor="text1"/>
          <w:sz w:val="24"/>
          <w:szCs w:val="24"/>
          <w:highlight w:val="none"/>
          <w14:textFill>
            <w14:solidFill>
              <w14:schemeClr w14:val="tx1"/>
            </w14:solidFill>
          </w14:textFill>
        </w:rPr>
        <w:t xml:space="preserve">负责</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如有虚假</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将依法承担相应责任。</w:t>
      </w:r>
      <w:r/>
    </w:p>
    <w:p>
      <w:pPr>
        <w:ind w:firstLine="492"/>
        <w:spacing w:line="4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908"/>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ind w:right="180" w:firstLine="360"/>
        <w:jc w:val="right"/>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名称</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（加盖电子公章）</w:t>
      </w:r>
      <w:r/>
    </w:p>
    <w:p>
      <w:pPr>
        <w:ind w:firstLine="624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  期：</w:t>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rFonts w:hint="eastAsia" w:ascii="黑体" w:hAnsi="黑体" w:eastAsia="黑体" w:cs="Times New Roman"/>
          <w:i/>
          <w:color w:val="000000" w:themeColor="text1"/>
          <w:sz w:val="32"/>
          <w:szCs w:val="32"/>
          <w:highlight w:val="none"/>
          <w:u w:val="single"/>
          <w14:textFill>
            <w14:solidFill>
              <w14:schemeClr w14:val="tx1"/>
            </w14:solidFill>
          </w14:textFill>
        </w:rPr>
      </w:pPr>
      <w:r>
        <w:rPr>
          <w:rFonts w:hint="eastAsia" w:ascii="黑体" w:hAnsi="黑体" w:eastAsia="黑体" w:cs="Times New Roman"/>
          <w:i w:val="0"/>
          <w:color w:val="000000" w:themeColor="text1"/>
          <w:sz w:val="32"/>
          <w:szCs w:val="32"/>
          <w:highlight w:val="none"/>
          <w:u w:val="none"/>
          <w:lang w:eastAsia="zh-CN"/>
          <w14:textFill>
            <w14:solidFill>
              <w14:schemeClr w14:val="tx1"/>
            </w14:solidFill>
          </w14:textFill>
        </w:rPr>
        <w:t xml:space="preserve">二</w:t>
      </w:r>
      <w:r>
        <w:rPr>
          <w:rFonts w:hint="eastAsia" w:ascii="黑体" w:hAnsi="黑体" w:eastAsia="黑体" w:cs="Times New Roman"/>
          <w:i w:val="0"/>
          <w:color w:val="000000" w:themeColor="text1"/>
          <w:sz w:val="32"/>
          <w:szCs w:val="32"/>
          <w:highlight w:val="none"/>
          <w:u w:val="none"/>
          <w14:textFill>
            <w14:solidFill>
              <w14:schemeClr w14:val="tx1"/>
            </w14:solidFill>
          </w14:textFill>
        </w:rPr>
        <w:t xml:space="preserve">、</w:t>
      </w:r>
      <w:r>
        <w:rPr>
          <w:rFonts w:hint="eastAsia" w:ascii="黑体" w:hAnsi="黑体" w:eastAsia="黑体" w:cs="Times New Roman"/>
          <w:i w:val="0"/>
          <w:color w:val="000000" w:themeColor="text1"/>
          <w:sz w:val="32"/>
          <w:szCs w:val="32"/>
          <w:highlight w:val="none"/>
          <w:u w:val="none"/>
          <w:lang w:val="en-US" w:eastAsia="zh-CN"/>
          <w14:textFill>
            <w14:solidFill>
              <w14:schemeClr w14:val="tx1"/>
            </w14:solidFill>
          </w14:textFill>
        </w:rPr>
        <w:t xml:space="preserve">满足</w:t>
      </w:r>
      <w:r>
        <w:rPr>
          <w:rFonts w:hint="eastAsia" w:ascii="黑体" w:hAnsi="黑体" w:eastAsia="黑体" w:cs="Times New Roman"/>
          <w:i w:val="0"/>
          <w:color w:val="000000" w:themeColor="text1"/>
          <w:sz w:val="32"/>
          <w:szCs w:val="32"/>
          <w:highlight w:val="none"/>
          <w:u w:val="none"/>
          <w14:textFill>
            <w14:solidFill>
              <w14:schemeClr w14:val="tx1"/>
            </w14:solidFill>
          </w14:textFill>
        </w:rPr>
        <w:t xml:space="preserve">特定资格要求的证明文件</w:t>
      </w:r>
      <w:r/>
    </w:p>
    <w:p>
      <w:pPr>
        <w:pStyle w:val="909"/>
        <w:ind w:firstLine="480"/>
        <w:rPr>
          <w:rFonts w:hint="eastAsia"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本项目申请人的特定资格要求中要求提供的</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材料</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w:t>
      </w:r>
      <w:r/>
    </w:p>
    <w:p>
      <w:pPr>
        <w:rPr>
          <w:rFonts w:hint="eastAsia" w:ascii="黑体" w:hAnsi="黑体" w:eastAsia="黑体" w:cs="Times New Roman"/>
          <w:i/>
          <w:color w:val="000000" w:themeColor="text1"/>
          <w:sz w:val="32"/>
          <w:szCs w:val="32"/>
          <w:highlight w:val="none"/>
          <w:u w:val="single"/>
          <w14:textFill>
            <w14:solidFill>
              <w14:schemeClr w14:val="tx1"/>
            </w14:solidFill>
          </w14:textFill>
        </w:rPr>
      </w:pPr>
      <w:r>
        <w:rPr>
          <w:rFonts w:hint="eastAsia" w:ascii="黑体" w:hAnsi="黑体" w:eastAsia="黑体" w:cs="Times New Roman"/>
          <w:i/>
          <w:color w:val="000000" w:themeColor="text1"/>
          <w:sz w:val="32"/>
          <w:szCs w:val="32"/>
          <w:highlight w:val="none"/>
          <w:u w:val="single"/>
          <w14:textFill>
            <w14:solidFill>
              <w14:schemeClr w14:val="tx1"/>
            </w14:solidFill>
          </w14:textFill>
        </w:rPr>
      </w:r>
      <w:r/>
    </w:p>
    <w:p>
      <w:pPr>
        <w:pStyle w:val="91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黑体" w:hAnsi="黑体" w:eastAsia="黑体" w:cs="Times New Roman"/>
          <w:i/>
          <w:color w:val="000000" w:themeColor="text1"/>
          <w:sz w:val="32"/>
          <w:szCs w:val="32"/>
          <w:highlight w:val="none"/>
          <w:u w:val="single"/>
          <w14:textFill>
            <w14:solidFill>
              <w14:schemeClr w14:val="tx1"/>
            </w14:solidFill>
          </w14:textFill>
        </w:rPr>
      </w:pPr>
      <w:r>
        <w:rPr>
          <w:rFonts w:hint="eastAsia" w:ascii="黑体" w:hAnsi="黑体" w:eastAsia="黑体" w:cs="Times New Roman"/>
          <w:i/>
          <w:color w:val="000000" w:themeColor="text1"/>
          <w:sz w:val="32"/>
          <w:szCs w:val="32"/>
          <w:highlight w:val="none"/>
          <w:u w:val="single"/>
          <w14:textFill>
            <w14:solidFill>
              <w14:schemeClr w14:val="tx1"/>
            </w14:solidFill>
          </w14:textFill>
        </w:rPr>
      </w:r>
      <w:r/>
    </w:p>
    <w:p>
      <w:pPr>
        <w:rPr>
          <w:rFonts w:hint="eastAsia" w:ascii="黑体" w:hAnsi="黑体" w:eastAsia="黑体" w:cs="Times New Roman"/>
          <w:i/>
          <w:color w:val="000000" w:themeColor="text1"/>
          <w:sz w:val="32"/>
          <w:szCs w:val="32"/>
          <w:highlight w:val="none"/>
          <w:u w:val="single"/>
          <w14:textFill>
            <w14:solidFill>
              <w14:schemeClr w14:val="tx1"/>
            </w14:solidFill>
          </w14:textFill>
        </w:rPr>
      </w:pPr>
      <w:r>
        <w:rPr>
          <w:rFonts w:hint="eastAsia" w:ascii="黑体" w:hAnsi="黑体" w:eastAsia="黑体" w:cs="Times New Roman"/>
          <w:i/>
          <w:color w:val="000000" w:themeColor="text1"/>
          <w:sz w:val="32"/>
          <w:szCs w:val="32"/>
          <w:highlight w:val="none"/>
          <w:u w:val="single"/>
          <w14:textFill>
            <w14:solidFill>
              <w14:schemeClr w14:val="tx1"/>
            </w14:solidFill>
          </w14:textFill>
        </w:rPr>
      </w:r>
      <w:r/>
    </w:p>
    <w:p>
      <w:pPr>
        <w:rPr>
          <w:rFonts w:hint="eastAsia" w:ascii="黑体" w:hAnsi="黑体" w:eastAsia="黑体" w:cs="Times New Roman"/>
          <w:i/>
          <w:color w:val="000000" w:themeColor="text1"/>
          <w:sz w:val="32"/>
          <w:szCs w:val="32"/>
          <w:highlight w:val="none"/>
          <w:u w:val="single"/>
          <w14:textFill>
            <w14:solidFill>
              <w14:schemeClr w14:val="tx1"/>
            </w14:solidFill>
          </w14:textFill>
        </w:rPr>
      </w:pPr>
      <w:r>
        <w:rPr>
          <w:rFonts w:hint="eastAsia" w:ascii="黑体" w:hAnsi="黑体" w:eastAsia="黑体" w:cs="Times New Roman"/>
          <w:i/>
          <w:color w:val="000000" w:themeColor="text1"/>
          <w:sz w:val="32"/>
          <w:szCs w:val="32"/>
          <w:highlight w:val="none"/>
          <w:u w:val="single"/>
          <w14:textFill>
            <w14:solidFill>
              <w14:schemeClr w14:val="tx1"/>
            </w14:solidFill>
          </w14:textFill>
        </w:rPr>
      </w:r>
      <w:r/>
    </w:p>
    <w:p>
      <w:pPr>
        <w:rPr>
          <w:rFonts w:hint="eastAsia" w:ascii="黑体" w:hAnsi="黑体" w:eastAsia="黑体" w:cs="Times New Roman"/>
          <w:i/>
          <w:color w:val="000000" w:themeColor="text1"/>
          <w:sz w:val="32"/>
          <w:szCs w:val="32"/>
          <w:highlight w:val="none"/>
          <w:u w:val="single"/>
          <w14:textFill>
            <w14:solidFill>
              <w14:schemeClr w14:val="tx1"/>
            </w14:solidFill>
          </w14:textFill>
        </w:rPr>
      </w:pPr>
      <w:r>
        <w:rPr>
          <w:rFonts w:hint="eastAsia" w:ascii="黑体" w:hAnsi="黑体" w:eastAsia="黑体" w:cs="Times New Roman"/>
          <w:i/>
          <w:color w:val="000000" w:themeColor="text1"/>
          <w:sz w:val="32"/>
          <w:szCs w:val="32"/>
          <w:highlight w:val="none"/>
          <w:u w:val="single"/>
          <w14:textFill>
            <w14:solidFill>
              <w14:schemeClr w14:val="tx1"/>
            </w14:solidFill>
          </w14:textFill>
        </w:rPr>
      </w:r>
      <w:r/>
    </w:p>
    <w:p>
      <w:pPr>
        <w:jc w:val="left"/>
        <w:spacing w:line="360" w:lineRule="auto"/>
        <w:rPr>
          <w:rFonts w:hint="eastAsia" w:ascii="黑体" w:hAnsi="黑体" w:eastAsia="黑体" w:cs="Times New Roman"/>
          <w:i w:val="0"/>
          <w:color w:val="000000" w:themeColor="text1"/>
          <w:sz w:val="32"/>
          <w:szCs w:val="32"/>
          <w:highlight w:val="none"/>
          <w:u w:val="none"/>
          <w:lang w:eastAsia="zh-CN"/>
          <w14:textFill>
            <w14:solidFill>
              <w14:schemeClr w14:val="tx1"/>
            </w14:solidFill>
          </w14:textFill>
        </w:rPr>
      </w:pPr>
      <w:r>
        <w:rPr>
          <w:rFonts w:hint="eastAsia" w:ascii="黑体" w:hAnsi="黑体" w:eastAsia="黑体" w:cs="Times New Roman"/>
          <w:i w:val="0"/>
          <w:color w:val="000000" w:themeColor="text1"/>
          <w:sz w:val="32"/>
          <w:szCs w:val="32"/>
          <w:highlight w:val="none"/>
          <w:u w:val="none"/>
          <w:lang w:eastAsia="zh-CN"/>
          <w14:textFill>
            <w14:solidFill>
              <w14:schemeClr w14:val="tx1"/>
            </w14:solidFill>
          </w14:textFill>
        </w:rPr>
      </w:r>
      <w:r/>
    </w:p>
    <w:p>
      <w:pPr>
        <w:jc w:val="left"/>
        <w:spacing w:line="360" w:lineRule="auto"/>
        <w:rPr>
          <w:rFonts w:hint="eastAsia" w:ascii="黑体" w:hAnsi="黑体" w:eastAsia="黑体" w:cs="Times New Roman"/>
          <w:i w:val="0"/>
          <w:color w:val="000000" w:themeColor="text1"/>
          <w:sz w:val="32"/>
          <w:szCs w:val="32"/>
          <w:highlight w:val="none"/>
          <w:u w:val="none"/>
          <w:lang w:eastAsia="zh-CN"/>
          <w14:textFill>
            <w14:solidFill>
              <w14:schemeClr w14:val="tx1"/>
            </w14:solidFill>
          </w14:textFill>
        </w:rPr>
      </w:pPr>
      <w:r>
        <w:rPr>
          <w:rFonts w:hint="eastAsia" w:ascii="黑体" w:hAnsi="黑体" w:eastAsia="黑体" w:cs="Times New Roman"/>
          <w:i w:val="0"/>
          <w:color w:val="000000" w:themeColor="text1"/>
          <w:sz w:val="32"/>
          <w:szCs w:val="32"/>
          <w:highlight w:val="none"/>
          <w:u w:val="none"/>
          <w:lang w:eastAsia="zh-CN"/>
          <w14:textFill>
            <w14:solidFill>
              <w14:schemeClr w14:val="tx1"/>
            </w14:solidFill>
          </w14:textFill>
        </w:rPr>
      </w:r>
      <w:r/>
    </w:p>
    <w:p>
      <w:pPr>
        <w:jc w:val="left"/>
        <w:spacing w:line="360" w:lineRule="auto"/>
        <w:rPr>
          <w:rFonts w:hint="eastAsia" w:ascii="黑体" w:hAnsi="黑体" w:eastAsia="黑体" w:cs="Times New Roman"/>
          <w:i w:val="0"/>
          <w:color w:val="000000" w:themeColor="text1"/>
          <w:sz w:val="32"/>
          <w:szCs w:val="32"/>
          <w:highlight w:val="none"/>
          <w:u w:val="none"/>
          <w14:textFill>
            <w14:solidFill>
              <w14:schemeClr w14:val="tx1"/>
            </w14:solidFill>
          </w14:textFill>
        </w:rPr>
      </w:pPr>
      <w:r>
        <w:rPr>
          <w:rFonts w:hint="eastAsia" w:ascii="黑体" w:hAnsi="黑体" w:eastAsia="黑体" w:cs="Times New Roman"/>
          <w:i w:val="0"/>
          <w:color w:val="000000" w:themeColor="text1"/>
          <w:sz w:val="32"/>
          <w:szCs w:val="32"/>
          <w:highlight w:val="none"/>
          <w:u w:val="none"/>
          <w:lang w:eastAsia="zh-CN"/>
          <w14:textFill>
            <w14:solidFill>
              <w14:schemeClr w14:val="tx1"/>
            </w14:solidFill>
          </w14:textFill>
        </w:rPr>
        <w:t xml:space="preserve">三</w:t>
      </w:r>
      <w:r>
        <w:rPr>
          <w:rFonts w:hint="eastAsia" w:ascii="黑体" w:hAnsi="黑体" w:eastAsia="黑体" w:cs="Times New Roman"/>
          <w:i w:val="0"/>
          <w:color w:val="000000" w:themeColor="text1"/>
          <w:sz w:val="32"/>
          <w:szCs w:val="32"/>
          <w:highlight w:val="none"/>
          <w:u w:val="none"/>
          <w14:textFill>
            <w14:solidFill>
              <w14:schemeClr w14:val="tx1"/>
            </w14:solidFill>
          </w14:textFill>
        </w:rPr>
        <w:t xml:space="preserve">、法人授权书</w:t>
      </w:r>
      <w:r/>
    </w:p>
    <w:p>
      <w:pPr>
        <w:jc w:val="center"/>
        <w:spacing w:line="420" w:lineRule="exact"/>
        <w:rPr>
          <w:rFonts w:hint="eastAsia" w:ascii="方正小标宋简体" w:hAnsi="方正小标宋简体" w:eastAsia="方正小标宋简体" w:cs="方正小标宋简体"/>
          <w:color w:val="000000" w:themeColor="text1"/>
          <w:sz w:val="32"/>
          <w:szCs w:val="32"/>
          <w:highlight w:val="none"/>
          <w:lang w:val="en-US"/>
          <w14:textFill>
            <w14:solidFill>
              <w14:schemeClr w14:val="tx1"/>
            </w14:solidFill>
          </w14:textFill>
        </w:rPr>
        <w:outlineLvl w:val="0"/>
      </w:pPr>
      <w:r>
        <w:rPr>
          <w:rFonts w:hint="eastAsia" w:ascii="方正小标宋简体" w:hAnsi="方正小标宋简体" w:eastAsia="方正小标宋简体" w:cs="方正小标宋简体"/>
          <w:color w:val="000000" w:themeColor="text1"/>
          <w:sz w:val="32"/>
          <w:szCs w:val="32"/>
          <w:highlight w:val="none"/>
          <w:lang w:val="en-US"/>
          <w14:textFill>
            <w14:solidFill>
              <w14:schemeClr w14:val="tx1"/>
            </w14:solidFill>
          </w14:textFill>
        </w:rPr>
        <w:t xml:space="preserve">法人授权书</w:t>
      </w:r>
      <w:r/>
    </w:p>
    <w:p>
      <w:pPr>
        <w:pStyle w:val="909"/>
        <w:ind w:firstLine="480"/>
        <w:spacing w:line="42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pStyle w:val="909"/>
        <w:ind w:firstLine="480"/>
        <w:spacing w:line="48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本授权书声明：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（投标人名称）授权</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（被授权人姓名）</w:t>
      </w:r>
      <w:r>
        <w:rPr>
          <w:rFonts w:hint="eastAsia"/>
          <w:color w:val="000000" w:themeColor="text1"/>
          <w:sz w:val="24"/>
          <w:szCs w:val="24"/>
          <w:highlight w:val="none"/>
          <w:lang w:val="en-US" w:eastAsia="zh-CN"/>
          <w14:textFill>
            <w14:solidFill>
              <w14:schemeClr w14:val="tx1"/>
            </w14:solidFill>
          </w14:textFill>
        </w:rPr>
        <w:t xml:space="preserve">作</w:t>
      </w:r>
      <w:r>
        <w:rPr>
          <w:rFonts w:hint="eastAsia"/>
          <w:color w:val="000000" w:themeColor="text1"/>
          <w:sz w:val="24"/>
          <w:szCs w:val="24"/>
          <w:highlight w:val="none"/>
          <w14:textFill>
            <w14:solidFill>
              <w14:schemeClr w14:val="tx1"/>
            </w14:solidFill>
          </w14:textFill>
        </w:rPr>
        <w:t xml:space="preserve">为我方</w:t>
      </w:r>
      <w:r>
        <w:rPr>
          <w:rFonts w:hint="eastAsia"/>
          <w:color w:val="000000" w:themeColor="text1"/>
          <w:sz w:val="24"/>
          <w:szCs w:val="24"/>
          <w:highlight w:val="none"/>
          <w:lang w:val="en-US" w:eastAsia="zh-CN"/>
          <w14:textFill>
            <w14:solidFill>
              <w14:schemeClr w14:val="tx1"/>
            </w14:solidFill>
          </w14:textFill>
        </w:rPr>
        <w:t xml:space="preserve">参加编号为</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项目采购活动的合法代理人</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以本单位名义全权处理一切与该项目采购有关的事务。</w:t>
      </w:r>
      <w:r/>
    </w:p>
    <w:p>
      <w:pPr>
        <w:pStyle w:val="909"/>
        <w:ind w:firstLine="480"/>
        <w:spacing w:line="48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本授权书</w:t>
      </w:r>
      <w:r>
        <w:rPr>
          <w:rFonts w:hint="eastAsia"/>
          <w:color w:val="000000" w:themeColor="text1"/>
          <w:sz w:val="24"/>
          <w:szCs w:val="24"/>
          <w:highlight w:val="none"/>
          <w:lang w:val="en-US" w:eastAsia="zh-CN"/>
          <w14:textFill>
            <w14:solidFill>
              <w14:schemeClr w14:val="tx1"/>
            </w14:solidFill>
          </w14:textFill>
        </w:rPr>
        <w:t xml:space="preserve">自</w:t>
      </w:r>
      <w:r>
        <w:rPr>
          <w:rFonts w:hint="eastAsia"/>
          <w:color w:val="000000" w:themeColor="text1"/>
          <w:sz w:val="24"/>
          <w:szCs w:val="24"/>
          <w:highlight w:val="none"/>
          <w14:textFill>
            <w14:solidFill>
              <w14:schemeClr w14:val="tx1"/>
            </w14:solidFill>
          </w14:textFill>
        </w:rPr>
        <w:t xml:space="preserve">______年____月____日起生效</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特此声明。</w:t>
      </w:r>
      <w:r/>
    </w:p>
    <w:p>
      <w:pPr>
        <w:pStyle w:val="909"/>
        <w:ind w:firstLine="480"/>
        <w:spacing w:line="48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被授权人身份证号码：</w:t>
      </w:r>
      <w:r/>
    </w:p>
    <w:p>
      <w:pPr>
        <w:pStyle w:val="909"/>
        <w:ind w:firstLine="480"/>
        <w:spacing w:line="480" w:lineRule="exact"/>
        <w:rPr>
          <w:rFonts w:hint="eastAsia" w:eastAsia="宋体"/>
          <w:color w:val="000000" w:themeColor="text1"/>
          <w:sz w:val="24"/>
          <w:szCs w:val="24"/>
          <w:highlight w:val="none"/>
          <w:u w:val="single"/>
          <w:lang w:val="en-US"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被授权人联系电话：（手机）</w:t>
      </w:r>
      <w:r/>
    </w:p>
    <w:p>
      <w:pPr>
        <w:pStyle w:val="909"/>
        <w:spacing w:line="480" w:lineRule="exact"/>
        <w:rPr>
          <w:rFonts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单位</w:t>
      </w:r>
      <w:r>
        <w:rPr>
          <w:rFonts w:hint="eastAsia"/>
          <w:color w:val="000000" w:themeColor="text1"/>
          <w:sz w:val="24"/>
          <w:szCs w:val="24"/>
          <w:highlight w:val="none"/>
          <w14:textFill>
            <w14:solidFill>
              <w14:schemeClr w14:val="tx1"/>
            </w14:solidFill>
          </w14:textFill>
        </w:rPr>
        <w:t xml:space="preserve">名称：</w:t>
      </w:r>
      <w:r>
        <w:rPr>
          <w:rFonts w:hint="eastAsia" w:ascii="宋体" w:hAnsi="宋体" w:eastAsia="宋体" w:cs="宋体"/>
          <w:color w:val="000000" w:themeColor="text1"/>
          <w:sz w:val="24"/>
          <w:szCs w:val="24"/>
          <w:highlight w:val="none"/>
          <w:u w:val="none"/>
          <w14:textFill>
            <w14:solidFill>
              <w14:schemeClr w14:val="tx1"/>
            </w14:solidFill>
          </w14:textFill>
        </w:rPr>
        <w:t xml:space="preserve">（加盖电子公章）</w:t>
      </w:r>
      <w:r/>
    </w:p>
    <w:p>
      <w:pPr>
        <w:pStyle w:val="909"/>
        <w:ind w:firstLine="480"/>
        <w:spacing w:line="480" w:lineRule="exact"/>
        <w:rPr>
          <w:rFonts w:hint="eastAsia"/>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单位地址：</w:t>
      </w:r>
      <w:r/>
    </w:p>
    <w:p>
      <w:pPr>
        <w:pStyle w:val="909"/>
        <w:ind w:firstLine="480"/>
        <w:spacing w:line="48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w:t>
      </w:r>
      <w:r>
        <w:rPr>
          <w:rFonts w:hint="eastAsia"/>
          <w:color w:val="000000" w:themeColor="text1"/>
          <w:sz w:val="24"/>
          <w:szCs w:val="24"/>
          <w:highlight w:val="non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期：</w:t>
      </w:r>
      <w:bookmarkStart w:id="212" w:name="_格式3__银行出具的资信证明"/>
      <w:r/>
      <w:bookmarkEnd w:id="212"/>
      <w:r/>
      <w:bookmarkStart w:id="213" w:name="_Hlt26671380"/>
      <w:r/>
      <w:bookmarkEnd w:id="213"/>
      <w:r/>
      <w:bookmarkStart w:id="214" w:name="_Hlt26955070"/>
      <w:r/>
      <w:bookmarkEnd w:id="214"/>
      <w:r/>
      <w:r/>
    </w:p>
    <w:p>
      <w:pPr>
        <w:pStyle w:val="898"/>
        <w:rPr>
          <w:rFonts w:hint="eastAsia"/>
          <w:i/>
          <w:color w:val="000000" w:themeColor="text1"/>
          <w:sz w:val="24"/>
          <w:szCs w:val="24"/>
          <w:highlight w:val="none"/>
          <w:u w:val="single"/>
          <w14:textFill>
            <w14:solidFill>
              <w14:schemeClr w14:val="tx1"/>
            </w14:solidFill>
          </w14:textFill>
        </w:rPr>
      </w:pPr>
      <w:r>
        <w:rPr>
          <w:rFonts w:hint="eastAsia"/>
          <w:i/>
          <w:color w:val="000000" w:themeColor="text1"/>
          <w:sz w:val="24"/>
          <w:szCs w:val="24"/>
          <w:highlight w:val="none"/>
          <w:u w:val="single"/>
          <w14:textFill>
            <w14:solidFill>
              <w14:schemeClr w14:val="tx1"/>
            </w14:solidFill>
          </w14:textFill>
        </w:rPr>
      </w:r>
      <w:r/>
    </w:p>
    <w:p>
      <w:pPr>
        <w:pStyle w:val="898"/>
        <w:ind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460" w:lineRule="exact"/>
        <w:rPr>
          <w:rFonts w:hint="eastAsia" w:ascii="楷体" w:hAnsi="楷体" w:eastAsia="楷体"/>
          <w:bCs/>
          <w:color w:val="000000" w:themeColor="text1"/>
          <w:sz w:val="24"/>
          <w:szCs w:val="24"/>
          <w:highlight w:val="none"/>
          <w14:textFill>
            <w14:solidFill>
              <w14:schemeClr w14:val="tx1"/>
            </w14:solidFill>
          </w14:textFill>
        </w:rPr>
      </w:pPr>
      <w:r>
        <w:rPr>
          <w:rFonts w:hint="eastAsia" w:ascii="楷体" w:hAnsi="楷体" w:eastAsia="楷体"/>
          <w:bCs/>
          <w:color w:val="000000" w:themeColor="text1"/>
          <w:sz w:val="24"/>
          <w:szCs w:val="24"/>
          <w:highlight w:val="none"/>
          <w14:textFill>
            <w14:solidFill>
              <w14:schemeClr w14:val="tx1"/>
            </w14:solidFill>
          </w14:textFill>
        </w:rPr>
      </w:r>
      <w:r/>
    </w:p>
    <w:p>
      <w:pPr>
        <w:spacing w:line="4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4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4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firstLine="482"/>
        <w:tabs>
          <w:tab w:val="left" w:pos="360" w:leader="none"/>
        </w:tabs>
        <w:rPr>
          <w:rFonts w:ascii="宋体" w:hAnsi="宋体" w:eastAsia="宋体"/>
          <w:b/>
          <w:color w:val="000000" w:themeColor="text1"/>
          <w:sz w:val="24"/>
          <w:szCs w:val="24"/>
          <w:highlight w:val="none"/>
          <w14:textFill>
            <w14:solidFill>
              <w14:schemeClr w14:val="tx1"/>
            </w14:solidFill>
          </w14:textFill>
        </w:rPr>
      </w:pPr>
      <w:r>
        <w:rPr>
          <w:rFonts w:hint="eastAsia" w:ascii="宋体" w:hAnsi="宋体" w:eastAsia="宋体"/>
          <w:b/>
          <w:color w:val="000000" w:themeColor="text1"/>
          <w:sz w:val="24"/>
          <w:szCs w:val="24"/>
          <w:highlight w:val="none"/>
          <w14:textFill>
            <w14:solidFill>
              <w14:schemeClr w14:val="tx1"/>
            </w14:solidFill>
          </w14:textFill>
        </w:rPr>
        <w:t xml:space="preserve">说明：提供法人授权书的同时须提供委托代理人的身份证扫描件。</w:t>
      </w:r>
      <w:r/>
    </w:p>
    <w:p>
      <w:pPr>
        <w:ind w:firstLine="480"/>
        <w:tabs>
          <w:tab w:val="left" w:pos="360" w:leader="none"/>
        </w:tabs>
        <w:rPr>
          <w:rFonts w:ascii="宋体" w:hAnsi="宋体" w:eastAsia="宋体"/>
          <w:color w:val="000000" w:themeColor="text1"/>
          <w:sz w:val="24"/>
          <w:szCs w:val="24"/>
          <w:highlight w:val="none"/>
          <w:u w:val="single"/>
          <w14:textFill>
            <w14:solidFill>
              <w14:schemeClr w14:val="tx1"/>
            </w14:solidFill>
          </w14:textFill>
        </w:rPr>
      </w:pPr>
      <w:r>
        <w:rPr>
          <w:rFonts w:ascii="宋体" w:hAnsi="宋体" w:eastAsia="宋体"/>
          <w:color w:val="000000" w:themeColor="text1"/>
          <w:sz w:val="24"/>
          <w:szCs w:val="24"/>
          <w:highlight w:val="none"/>
          <w:u w:val="single"/>
          <w14:textFill>
            <w14:solidFill>
              <w14:schemeClr w14:val="tx1"/>
            </w14:solidFill>
          </w14:textFill>
        </w:rPr>
      </w:r>
      <w:r/>
    </w:p>
    <w:p>
      <w:pPr>
        <w:spacing w:line="4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黑体" w:hAnsi="黑体" w:eastAsia="黑体" w:cs="Times New Roman"/>
          <w:i w:val="0"/>
          <w:color w:val="000000" w:themeColor="text1"/>
          <w:sz w:val="32"/>
          <w:szCs w:val="32"/>
          <w:highlight w:val="none"/>
          <w:u w:val="none"/>
          <w:lang w:eastAsia="zh-CN"/>
          <w14:textFill>
            <w14:solidFill>
              <w14:schemeClr w14:val="tx1"/>
            </w14:solidFill>
          </w14:textFill>
        </w:rPr>
      </w:pPr>
      <w:r>
        <w:rPr>
          <w:rFonts w:hint="eastAsia" w:ascii="黑体" w:hAnsi="黑体" w:eastAsia="黑体" w:cs="Times New Roman"/>
          <w:i w:val="0"/>
          <w:color w:val="000000" w:themeColor="text1"/>
          <w:sz w:val="32"/>
          <w:szCs w:val="32"/>
          <w:highlight w:val="none"/>
          <w:u w:val="none"/>
          <w:lang w:val="en-US" w:eastAsia="zh-CN"/>
          <w14:textFill>
            <w14:solidFill>
              <w14:schemeClr w14:val="tx1"/>
            </w14:solidFill>
          </w14:textFill>
        </w:rPr>
        <w:t xml:space="preserve">四、投标函</w:t>
      </w:r>
      <w:r/>
    </w:p>
    <w:p>
      <w:pPr>
        <w:jc w:val="center"/>
        <w:spacing w:line="360" w:lineRule="auto"/>
        <w:rPr>
          <w:rFonts w:hint="eastAsia" w:ascii="方正小标宋简体" w:hAnsi="方正小标宋简体" w:eastAsia="方正小标宋简体" w:cs="方正小标宋简体"/>
          <w:color w:val="000000" w:themeColor="text1"/>
          <w:sz w:val="32"/>
          <w:szCs w:val="32"/>
          <w:highlight w:val="none"/>
          <w:lang w:val="en-US"/>
          <w14:textFill>
            <w14:solidFill>
              <w14:schemeClr w14:val="tx1"/>
            </w14:solidFill>
          </w14:textFill>
        </w:rPr>
        <w:outlineLvl w:val="0"/>
      </w:pPr>
      <w:r>
        <w:rPr>
          <w:rFonts w:hint="eastAsia" w:ascii="方正小标宋简体" w:hAnsi="方正小标宋简体" w:eastAsia="方正小标宋简体" w:cs="方正小标宋简体"/>
          <w:color w:val="000000" w:themeColor="text1"/>
          <w:sz w:val="32"/>
          <w:szCs w:val="32"/>
          <w:highlight w:val="none"/>
          <w:lang w:val="en-US" w:eastAsia="zh-CN"/>
          <w14:textFill>
            <w14:solidFill>
              <w14:schemeClr w14:val="tx1"/>
            </w14:solidFill>
          </w14:textFill>
        </w:rPr>
        <w:t xml:space="preserve">投标函</w:t>
      </w:r>
      <w:r/>
    </w:p>
    <w:p>
      <w:pPr>
        <w:pStyle w:val="896"/>
        <w:spacing w:before="0" w:after="0" w:line="420" w:lineRule="exact"/>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致：</w:t>
      </w:r>
      <w:r>
        <w:rPr>
          <w:rFonts w:hint="eastAsia" w:ascii="宋体" w:hAnsi="宋体"/>
          <w:color w:val="000000" w:themeColor="text1"/>
          <w:szCs w:val="21"/>
          <w:highlight w:val="none"/>
          <w:lang w:eastAsia="zh-CN"/>
          <w14:textFill>
            <w14:solidFill>
              <w14:schemeClr w14:val="tx1"/>
            </w14:solidFill>
          </w14:textFill>
        </w:rPr>
        <w:t xml:space="preserve">南京市公共资源交易中心江北新区分中心</w:t>
      </w:r>
      <w:r/>
    </w:p>
    <w:p>
      <w:pPr>
        <w:pStyle w:val="896"/>
        <w:ind w:firstLine="480"/>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根据贵方</w:t>
      </w:r>
      <w:r>
        <w:rPr>
          <w:rFonts w:hint="eastAsia" w:ascii="宋体" w:hAnsi="宋体"/>
          <w:color w:val="000000" w:themeColor="text1"/>
          <w:szCs w:val="21"/>
          <w:highlight w:val="none"/>
          <w:lang w:val="en-US" w:eastAsia="zh-CN"/>
          <w14:textFill>
            <w14:solidFill>
              <w14:schemeClr w14:val="tx1"/>
            </w14:solidFill>
          </w14:textFill>
        </w:rPr>
        <w:t xml:space="preserve">编号为</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t xml:space="preserve">的</w:t>
      </w:r>
      <w:r>
        <w:rPr>
          <w:rFonts w:hint="eastAsia" w:ascii="宋体" w:hAnsi="宋体" w:eastAsia="宋体" w:cs="Times New Roman"/>
          <w:color w:val="000000" w:themeColor="text1"/>
          <w:sz w:val="24"/>
          <w:szCs w:val="21"/>
          <w:highlight w:val="none"/>
          <w:lang w:val="en-US" w:eastAsia="zh-CN"/>
          <w14:textFill>
            <w14:solidFill>
              <w14:schemeClr w14:val="tx1"/>
            </w14:solidFill>
          </w14:textFill>
        </w:rPr>
        <w:t xml:space="preserve">项目</w:t>
      </w:r>
      <w:r>
        <w:rPr>
          <w:rFonts w:hint="eastAsia" w:ascii="宋体" w:hAnsi="宋体"/>
          <w:color w:val="000000" w:themeColor="text1"/>
          <w:szCs w:val="21"/>
          <w:highlight w:val="none"/>
          <w14:textFill>
            <w14:solidFill>
              <w14:schemeClr w14:val="tx1"/>
            </w14:solidFill>
          </w14:textFill>
        </w:rPr>
        <w:t xml:space="preserve">招标文件</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我方</w:t>
      </w:r>
      <w:r>
        <w:rPr>
          <w:rFonts w:hint="eastAsia" w:ascii="宋体" w:hAnsi="宋体"/>
          <w:color w:val="000000" w:themeColor="text1"/>
          <w:szCs w:val="21"/>
          <w:highlight w:val="none"/>
          <w14:textFill>
            <w14:solidFill>
              <w14:schemeClr w14:val="tx1"/>
            </w14:solidFill>
          </w14:textFill>
        </w:rPr>
        <w:t xml:space="preserve">正式</w:t>
      </w:r>
      <w:r>
        <w:rPr>
          <w:rFonts w:hint="eastAsia" w:ascii="宋体" w:hAnsi="宋体"/>
          <w:color w:val="000000" w:themeColor="text1"/>
          <w:szCs w:val="21"/>
          <w:highlight w:val="none"/>
          <w:u w:val="none"/>
          <w:lang w:val="en-US" w:eastAsia="zh-CN"/>
          <w14:textFill>
            <w14:solidFill>
              <w14:schemeClr w14:val="tx1"/>
            </w14:solidFill>
          </w14:textFill>
        </w:rPr>
        <w:t xml:space="preserve">提</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交投标函，</w:t>
      </w:r>
      <w:r>
        <w:rPr>
          <w:rFonts w:hint="eastAsia" w:ascii="宋体" w:hAnsi="宋体"/>
          <w:color w:val="000000" w:themeColor="text1"/>
          <w:szCs w:val="21"/>
          <w:highlight w:val="none"/>
          <w:lang w:val="en-US" w:eastAsia="zh-CN"/>
          <w14:textFill>
            <w14:solidFill>
              <w14:schemeClr w14:val="tx1"/>
            </w14:solidFill>
          </w14:textFill>
        </w:rPr>
        <w:t xml:space="preserve">并</w:t>
      </w:r>
      <w:r>
        <w:rPr>
          <w:rFonts w:hint="eastAsia" w:ascii="宋体" w:hAnsi="宋体"/>
          <w:color w:val="000000" w:themeColor="text1"/>
          <w:szCs w:val="21"/>
          <w:highlight w:val="none"/>
          <w14:textFill>
            <w14:solidFill>
              <w14:schemeClr w14:val="tx1"/>
            </w14:solidFill>
          </w14:textFill>
        </w:rPr>
        <w:t xml:space="preserve">宣布同意如下</w:t>
      </w:r>
      <w:r>
        <w:rPr>
          <w:rFonts w:hint="eastAsia" w:ascii="宋体" w:hAnsi="宋体"/>
          <w:color w:val="000000" w:themeColor="text1"/>
          <w:szCs w:val="21"/>
          <w:highlight w:val="none"/>
          <w:lang w:val="en-US" w:eastAsia="zh-CN"/>
          <w14:textFill>
            <w14:solidFill>
              <w14:schemeClr w14:val="tx1"/>
            </w14:solidFill>
          </w14:textFill>
        </w:rPr>
        <w:t xml:space="preserve">内容</w:t>
      </w:r>
      <w:r>
        <w:rPr>
          <w:rFonts w:hint="eastAsia" w:ascii="宋体" w:hAnsi="宋体"/>
          <w:color w:val="000000" w:themeColor="text1"/>
          <w:szCs w:val="21"/>
          <w:highlight w:val="none"/>
          <w14:textFill>
            <w14:solidFill>
              <w14:schemeClr w14:val="tx1"/>
            </w14:solidFill>
          </w14:textFill>
        </w:rPr>
        <w:t xml:space="preserve">：</w:t>
      </w:r>
      <w:r/>
    </w:p>
    <w:p>
      <w:pPr>
        <w:pStyle w:val="896"/>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1.按招标文件规定的各项要求</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向买方提供所需</w:t>
      </w:r>
      <w:r>
        <w:rPr>
          <w:rFonts w:hint="eastAsia" w:ascii="宋体" w:hAnsi="宋体"/>
          <w:color w:val="000000" w:themeColor="text1"/>
          <w:szCs w:val="21"/>
          <w:highlight w:val="none"/>
          <w:lang w:val="en-US" w:eastAsia="zh-CN"/>
          <w14:textFill>
            <w14:solidFill>
              <w14:schemeClr w14:val="tx1"/>
            </w14:solidFill>
          </w14:textFill>
        </w:rPr>
        <w:t xml:space="preserve">货物</w:t>
      </w:r>
      <w:r>
        <w:rPr>
          <w:rFonts w:hint="eastAsia" w:ascii="宋体" w:hAnsi="宋体"/>
          <w:color w:val="000000" w:themeColor="text1"/>
          <w:szCs w:val="21"/>
          <w:highlight w:val="none"/>
          <w14:textFill>
            <w14:solidFill>
              <w14:schemeClr w14:val="tx1"/>
            </w14:solidFill>
          </w14:textFill>
        </w:rPr>
        <w:t xml:space="preserve">（包含与</w:t>
      </w:r>
      <w:r>
        <w:rPr>
          <w:rFonts w:hint="eastAsia" w:ascii="宋体" w:hAnsi="宋体"/>
          <w:color w:val="000000" w:themeColor="text1"/>
          <w:szCs w:val="21"/>
          <w:highlight w:val="none"/>
          <w:lang w:val="en-US" w:eastAsia="zh-CN"/>
          <w14:textFill>
            <w14:solidFill>
              <w14:schemeClr w14:val="tx1"/>
            </w14:solidFill>
          </w14:textFill>
        </w:rPr>
        <w:t xml:space="preserve">货物</w:t>
      </w:r>
      <w:r>
        <w:rPr>
          <w:rFonts w:hint="eastAsia" w:ascii="宋体" w:hAnsi="宋体"/>
          <w:color w:val="000000" w:themeColor="text1"/>
          <w:szCs w:val="21"/>
          <w:highlight w:val="none"/>
          <w14:textFill>
            <w14:solidFill>
              <w14:schemeClr w14:val="tx1"/>
            </w14:solidFill>
          </w14:textFill>
        </w:rPr>
        <w:t xml:space="preserve">相关的</w:t>
      </w:r>
      <w:r>
        <w:rPr>
          <w:rFonts w:hint="eastAsia" w:ascii="宋体" w:hAnsi="宋体"/>
          <w:color w:val="000000" w:themeColor="text1"/>
          <w:szCs w:val="21"/>
          <w:highlight w:val="none"/>
          <w:lang w:val="en-US" w:eastAsia="zh-CN"/>
          <w14:textFill>
            <w14:solidFill>
              <w14:schemeClr w14:val="tx1"/>
            </w14:solidFill>
          </w14:textFill>
        </w:rPr>
        <w:t xml:space="preserve">服务</w:t>
      </w:r>
      <w:r>
        <w:rPr>
          <w:rFonts w:hint="eastAsia" w:ascii="宋体" w:hAnsi="宋体"/>
          <w:color w:val="000000" w:themeColor="text1"/>
          <w:szCs w:val="21"/>
          <w:highlight w:val="none"/>
          <w14:textFill>
            <w14:solidFill>
              <w14:schemeClr w14:val="tx1"/>
            </w14:solidFill>
          </w14:textFill>
        </w:rPr>
        <w:t xml:space="preserve">）。</w:t>
      </w:r>
      <w:r/>
    </w:p>
    <w:p>
      <w:pPr>
        <w:pStyle w:val="896"/>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2.我们完全理解贵方不一定将合同授予最低报价的投标人。</w:t>
      </w:r>
      <w:r/>
    </w:p>
    <w:p>
      <w:pPr>
        <w:pStyle w:val="896"/>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3.我们已详细审核全部招标文件及其有效补充文件</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我们知道必须放弃提出含糊不清或误解问题的权利。</w:t>
      </w:r>
      <w:r/>
    </w:p>
    <w:p>
      <w:pPr>
        <w:pStyle w:val="896"/>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4.我们同意从规定的开标日期起遵循本投标文件</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并在规定的投标有效期期满之前均具有约束力。</w:t>
      </w:r>
      <w:r/>
    </w:p>
    <w:p>
      <w:pPr>
        <w:pStyle w:val="896"/>
        <w:spacing w:before="0" w:after="0" w:line="42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.同意向贵方提供贵方可能另外要求的与投标有关的任何证据或资料</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并保证我方已提供和将要提供的文件是真实的、准确的。</w:t>
      </w:r>
      <w:r/>
    </w:p>
    <w:p>
      <w:pPr>
        <w:pStyle w:val="896"/>
        <w:spacing w:before="0" w:after="0" w:line="42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.一旦我方中标</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我方将根据招标文件的规定</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严格履行合同的责任和义务</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并保证在招标文件规定的时间完成项目</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交付买方验收、使用。</w:t>
      </w:r>
      <w:r/>
    </w:p>
    <w:p>
      <w:pPr>
        <w:ind w:firstLine="480"/>
        <w:jc w:val="left"/>
        <w:spacing w:line="42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Times New Roman"/>
          <w:color w:val="000000" w:themeColor="text1"/>
          <w:sz w:val="24"/>
          <w:szCs w:val="24"/>
          <w:highlight w:val="none"/>
          <w14:textFill>
            <w14:solidFill>
              <w14:schemeClr w14:val="tx1"/>
            </w14:solidFill>
          </w14:textFill>
        </w:rPr>
        <w:t xml:space="preserve">我</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方</w:t>
      </w:r>
      <w:r>
        <w:rPr>
          <w:rFonts w:hint="eastAsia" w:ascii="宋体" w:hAnsi="宋体" w:eastAsia="宋体" w:cs="Times New Roman"/>
          <w:color w:val="000000" w:themeColor="text1"/>
          <w:sz w:val="24"/>
          <w:szCs w:val="24"/>
          <w:highlight w:val="none"/>
          <w14:textFill>
            <w14:solidFill>
              <w14:schemeClr w14:val="tx1"/>
            </w14:solidFill>
          </w14:textFill>
        </w:rPr>
        <w:t xml:space="preserve">为</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宋体" w:hAnsi="宋体" w:eastAsia="宋体" w:cs="Times New Roman"/>
          <w:color w:val="000000" w:themeColor="text1"/>
          <w:sz w:val="24"/>
          <w:szCs w:val="24"/>
          <w:highlight w:val="none"/>
          <w14:textFill>
            <w14:solidFill>
              <w14:schemeClr w14:val="tx1"/>
            </w14:solidFill>
          </w14:textFill>
        </w:rPr>
        <w:t xml:space="preserve">大型企业</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 </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宋体" w:hAnsi="宋体" w:eastAsia="宋体" w:cs="Times New Roman"/>
          <w:color w:val="000000" w:themeColor="text1"/>
          <w:sz w:val="24"/>
          <w:szCs w:val="24"/>
          <w:highlight w:val="none"/>
          <w14:textFill>
            <w14:solidFill>
              <w14:schemeClr w14:val="tx1"/>
            </w14:solidFill>
          </w14:textFill>
        </w:rPr>
        <w:t xml:space="preserve">中型企业</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 </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小型企业 </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微型企业（在对应</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内</w:t>
      </w:r>
      <w:r>
        <w:rPr>
          <w:rFonts w:hint="eastAsia" w:ascii="宋体" w:hAnsi="宋体" w:eastAsia="宋体" w:cs="Times New Roman"/>
          <w:color w:val="000000" w:themeColor="text1"/>
          <w:sz w:val="24"/>
          <w:szCs w:val="24"/>
          <w:highlight w:val="none"/>
          <w:lang w:val="zh-CN" w:eastAsia="zh-CN"/>
          <w14:textFill>
            <w14:solidFill>
              <w14:schemeClr w14:val="tx1"/>
            </w14:solidFill>
          </w14:textFill>
        </w:rPr>
        <w:t xml:space="preserve">打</w:t>
      </w:r>
      <w:r>
        <w:rPr>
          <w:rFonts w:hint="eastAsia" w:ascii="宋体" w:hAnsi="宋体" w:cs="Verdana"/>
          <w:color w:val="000000" w:themeColor="text1"/>
          <w:sz w:val="24"/>
          <w:szCs w:val="24"/>
          <w:highlight w:val="none"/>
          <w:lang w:val="zh-CN"/>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w:t>
      </w:r>
      <w:r/>
    </w:p>
    <w:p>
      <w:pPr>
        <w:pStyle w:val="896"/>
        <w:spacing w:before="0" w:after="0" w:line="420" w:lineRule="exact"/>
        <w:rPr>
          <w:rFonts w:hint="eastAsia" w:ascii="宋体" w:hAnsi="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8.我方为：</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民营企业 </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非民营企业 </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其他（在对应内打“√”）    </w:t>
      </w:r>
      <w:r/>
    </w:p>
    <w:p>
      <w:pPr>
        <w:pStyle w:val="896"/>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9</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我方</w:t>
      </w:r>
      <w:r>
        <w:rPr>
          <w:rFonts w:hint="eastAsia" w:ascii="宋体" w:hAnsi="宋体"/>
          <w:color w:val="000000" w:themeColor="text1"/>
          <w:szCs w:val="21"/>
          <w:highlight w:val="none"/>
          <w14:textFill>
            <w14:solidFill>
              <w14:schemeClr w14:val="tx1"/>
            </w14:solidFill>
          </w14:textFill>
        </w:rPr>
        <w:t xml:space="preserve">与本</w:t>
      </w:r>
      <w:r>
        <w:rPr>
          <w:rFonts w:hint="eastAsia" w:ascii="宋体" w:hAnsi="宋体"/>
          <w:color w:val="000000" w:themeColor="text1"/>
          <w:szCs w:val="21"/>
          <w:highlight w:val="none"/>
          <w:lang w:val="en-US" w:eastAsia="zh-CN"/>
          <w14:textFill>
            <w14:solidFill>
              <w14:schemeClr w14:val="tx1"/>
            </w14:solidFill>
          </w14:textFill>
        </w:rPr>
        <w:t xml:space="preserve">次</w:t>
      </w:r>
      <w:r>
        <w:rPr>
          <w:rFonts w:hint="eastAsia" w:ascii="宋体" w:hAnsi="宋体"/>
          <w:color w:val="000000" w:themeColor="text1"/>
          <w:szCs w:val="21"/>
          <w:highlight w:val="none"/>
          <w14:textFill>
            <w14:solidFill>
              <w14:schemeClr w14:val="tx1"/>
            </w14:solidFill>
          </w14:textFill>
        </w:rPr>
        <w:t xml:space="preserve">投标有关</w:t>
      </w:r>
      <w:r>
        <w:rPr>
          <w:rFonts w:hint="eastAsia" w:ascii="宋体" w:hAnsi="宋体"/>
          <w:color w:val="000000" w:themeColor="text1"/>
          <w:szCs w:val="21"/>
          <w:highlight w:val="none"/>
          <w:lang w:val="en-US" w:eastAsia="zh-CN"/>
          <w14:textFill>
            <w14:solidFill>
              <w14:schemeClr w14:val="tx1"/>
            </w14:solidFill>
          </w14:textFill>
        </w:rPr>
        <w:t xml:space="preserve">信息</w:t>
      </w:r>
      <w:r/>
    </w:p>
    <w:p>
      <w:pPr>
        <w:pStyle w:val="896"/>
        <w:ind w:left="0" w:firstLine="480"/>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  址：</w:t>
      </w:r>
      <w:r/>
    </w:p>
    <w:p>
      <w:pPr>
        <w:pStyle w:val="896"/>
        <w:ind w:left="0" w:firstLine="480"/>
        <w:spacing w:before="0" w:after="0" w:line="420" w:lineRule="exact"/>
        <w:rPr>
          <w:rFonts w:hint="eastAsia" w:ascii="宋体" w:hAnsi="宋体"/>
          <w:color w:val="000000" w:themeColor="text1"/>
          <w:szCs w:val="21"/>
          <w:highlight w:val="none"/>
          <w:u w:val="none"/>
          <w:lang w:val="en-US"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邮  编：</w:t>
      </w:r>
      <w:r/>
    </w:p>
    <w:p>
      <w:pPr>
        <w:pStyle w:val="896"/>
        <w:ind w:left="0" w:firstLine="480"/>
        <w:spacing w:before="0" w:after="0" w:line="420" w:lineRule="exact"/>
        <w:rPr>
          <w:rFonts w:hint="eastAsia" w:ascii="宋体" w:hAnsi="宋体"/>
          <w:color w:val="000000" w:themeColor="text1"/>
          <w:szCs w:val="21"/>
          <w:highlight w:val="none"/>
          <w:u w:val="single"/>
          <w:lang w:val="en-US"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电  话：</w:t>
      </w:r>
      <w:r/>
    </w:p>
    <w:p>
      <w:pPr>
        <w:pStyle w:val="896"/>
        <w:ind w:left="0" w:firstLine="480"/>
        <w:spacing w:before="0" w:after="0" w:line="420" w:lineRule="exact"/>
        <w:rPr>
          <w:rFonts w:hint="eastAsia" w:ascii="宋体" w:hAnsi="宋体"/>
          <w:color w:val="000000" w:themeColor="text1"/>
          <w:szCs w:val="21"/>
          <w:highlight w:val="none"/>
          <w:u w:val="single"/>
          <w:lang w:val="en-US"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传  真：</w:t>
      </w:r>
      <w:r/>
    </w:p>
    <w:p>
      <w:pPr>
        <w:pStyle w:val="896"/>
        <w:ind w:left="0" w:firstLine="480"/>
        <w:spacing w:before="0" w:after="0" w:line="420" w:lineRule="exact"/>
        <w:rPr>
          <w:rFonts w:hint="eastAsia" w:ascii="宋体" w:hAnsi="宋体"/>
          <w:color w:val="000000" w:themeColor="text1"/>
          <w:szCs w:val="21"/>
          <w:highlight w:val="none"/>
          <w:u w:val="single"/>
          <w:lang w:val="en-US"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开户行：</w:t>
      </w:r>
      <w:r/>
    </w:p>
    <w:p>
      <w:pPr>
        <w:pStyle w:val="896"/>
        <w:ind w:left="0" w:firstLine="480"/>
        <w:spacing w:before="0" w:after="0" w:line="420" w:lineRule="exact"/>
        <w:rPr>
          <w:rFonts w:hint="eastAsia" w:ascii="宋体" w:hAnsi="宋体"/>
          <w:color w:val="000000" w:themeColor="text1"/>
          <w:szCs w:val="21"/>
          <w:highlight w:val="none"/>
          <w:u w:val="single"/>
          <w:lang w:val="en-US"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账  号：</w:t>
      </w:r>
      <w:r/>
    </w:p>
    <w:p>
      <w:pPr>
        <w:ind w:right="180" w:firstLine="480"/>
        <w:jc w:val="both"/>
        <w:spacing w:line="560" w:lineRule="exact"/>
        <w:rPr>
          <w:rFonts w:hint="eastAsia" w:ascii="宋体" w:hAnsi="宋体"/>
          <w:color w:val="000000" w:themeColor="text1"/>
          <w:sz w:val="24"/>
          <w:szCs w:val="24"/>
          <w:highlight w:val="none"/>
          <w:u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color w:val="000000" w:themeColor="text1"/>
          <w:sz w:val="24"/>
          <w:szCs w:val="24"/>
          <w:highlight w:val="none"/>
          <w14:textFill>
            <w14:solidFill>
              <w14:schemeClr w14:val="tx1"/>
            </w14:solidFill>
          </w14:textFill>
        </w:rPr>
        <w:t xml:space="preserve">名称</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u w:val="none"/>
          <w14:textFill>
            <w14:solidFill>
              <w14:schemeClr w14:val="tx1"/>
            </w14:solidFill>
          </w14:textFill>
        </w:rPr>
        <w:t xml:space="preserve">（加盖电子公章）</w:t>
      </w:r>
      <w:r/>
    </w:p>
    <w:p>
      <w:pPr>
        <w:pStyle w:val="896"/>
        <w:ind w:left="0" w:firstLine="480"/>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日  期：</w:t>
      </w:r>
      <w:r/>
    </w:p>
    <w:p>
      <w:pPr>
        <w:ind w:firstLine="240"/>
        <w:jc w:val="center"/>
        <w:spacing w:line="56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240"/>
        <w:jc w:val="center"/>
        <w:spacing w:line="56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240"/>
        <w:jc w:val="center"/>
        <w:spacing w:line="56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jc w:val="left"/>
        <w:spacing w:line="360" w:lineRule="auto"/>
        <w:rPr>
          <w:rFonts w:hint="eastAsia" w:ascii="黑体" w:hAnsi="黑体" w:eastAsia="黑体" w:cs="Times New Roman"/>
          <w:i w:val="0"/>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color w:val="000000" w:themeColor="text1"/>
          <w:sz w:val="32"/>
          <w:szCs w:val="32"/>
          <w:highlight w:val="none"/>
          <w:u w:val="none"/>
          <w:lang w:val="en-US" w:eastAsia="zh-CN"/>
          <w14:textFill>
            <w14:solidFill>
              <w14:schemeClr w14:val="tx1"/>
            </w14:solidFill>
          </w14:textFill>
        </w:rPr>
      </w:r>
      <w:r/>
    </w:p>
    <w:p>
      <w:pPr>
        <w:jc w:val="left"/>
        <w:spacing w:line="360" w:lineRule="auto"/>
        <w:rPr>
          <w:rFonts w:hint="eastAsia" w:ascii="黑体" w:hAnsi="黑体" w:eastAsia="黑体" w:cs="Times New Roman"/>
          <w:i w:val="0"/>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color w:val="000000" w:themeColor="text1"/>
          <w:sz w:val="32"/>
          <w:szCs w:val="32"/>
          <w:highlight w:val="none"/>
          <w:u w:val="none"/>
          <w:lang w:val="en-US" w:eastAsia="zh-CN"/>
          <w14:textFill>
            <w14:solidFill>
              <w14:schemeClr w14:val="tx1"/>
            </w14:solidFill>
          </w14:textFill>
        </w:rPr>
        <w:t xml:space="preserve">五、开标一览表</w:t>
      </w:r>
      <w:r/>
    </w:p>
    <w:p>
      <w:pPr>
        <w:jc w:val="center"/>
        <w:spacing w:line="360" w:lineRule="auto"/>
        <w:rPr>
          <w:rFonts w:hint="eastAsia" w:ascii="方正小标宋简体" w:hAnsi="方正小标宋简体" w:eastAsia="方正小标宋简体" w:cs="方正小标宋简体"/>
          <w:color w:val="000000" w:themeColor="text1"/>
          <w:sz w:val="32"/>
          <w:szCs w:val="32"/>
          <w:highlight w:val="none"/>
          <w:lang w:val="en-US" w:eastAsia="zh-CN"/>
          <w14:textFill>
            <w14:solidFill>
              <w14:schemeClr w14:val="tx1"/>
            </w14:solidFill>
          </w14:textFill>
        </w:rPr>
        <w:outlineLvl w:val="0"/>
      </w:pPr>
      <w:r>
        <w:rPr>
          <w:rFonts w:hint="eastAsia" w:ascii="方正小标宋简体" w:hAnsi="方正小标宋简体" w:eastAsia="方正小标宋简体" w:cs="方正小标宋简体"/>
          <w:color w:val="000000" w:themeColor="text1"/>
          <w:sz w:val="32"/>
          <w:szCs w:val="32"/>
          <w:highlight w:val="none"/>
          <w:lang w:val="en-US" w:eastAsia="zh-CN"/>
          <w14:textFill>
            <w14:solidFill>
              <w14:schemeClr w14:val="tx1"/>
            </w14:solidFill>
          </w14:textFill>
        </w:rPr>
        <w:t xml:space="preserve">开标一览表</w:t>
      </w:r>
      <w:r/>
    </w:p>
    <w:p>
      <w:pPr>
        <w:ind w:firstLine="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w:t>
      </w:r>
      <w:r>
        <w:rPr>
          <w:rFonts w:hint="eastAsia" w:ascii="宋体" w:hAnsi="宋体"/>
          <w:color w:val="000000" w:themeColor="text1"/>
          <w:sz w:val="24"/>
          <w:szCs w:val="24"/>
          <w:highlight w:val="none"/>
          <w:lang w:eastAsia="zh-CN"/>
          <w14:textFill>
            <w14:solidFill>
              <w14:schemeClr w14:val="tx1"/>
            </w14:solidFill>
          </w14:textFill>
        </w:rPr>
        <w:t xml:space="preserve">名</w:t>
      </w:r>
      <w:r>
        <w:rPr>
          <w:rFonts w:hint="eastAsia" w:ascii="宋体" w:hAnsi="宋体"/>
          <w:color w:val="000000" w:themeColor="text1"/>
          <w:sz w:val="24"/>
          <w:szCs w:val="24"/>
          <w:highlight w:val="none"/>
          <w14:textFill>
            <w14:solidFill>
              <w14:schemeClr w14:val="tx1"/>
            </w14:solidFill>
          </w14:textFill>
        </w:rPr>
        <w:t xml:space="preserve">称：（加盖电子</w:t>
      </w:r>
      <w:r>
        <w:rPr>
          <w:rFonts w:hint="eastAsia" w:ascii="宋体" w:hAnsi="宋体"/>
          <w:color w:val="000000" w:themeColor="text1"/>
          <w:sz w:val="24"/>
          <w:szCs w:val="24"/>
          <w:highlight w:val="none"/>
          <w:lang w:val="en-US" w:eastAsia="zh-CN"/>
          <w14:textFill>
            <w14:solidFill>
              <w14:schemeClr w14:val="tx1"/>
            </w14:solidFill>
          </w14:textFill>
        </w:rPr>
        <w:t xml:space="preserve">公</w:t>
      </w:r>
      <w:r>
        <w:rPr>
          <w:rFonts w:hint="eastAsia" w:ascii="宋体" w:hAnsi="宋体"/>
          <w:color w:val="000000" w:themeColor="text1"/>
          <w:sz w:val="24"/>
          <w:szCs w:val="24"/>
          <w:highlight w:val="none"/>
          <w14:textFill>
            <w14:solidFill>
              <w14:schemeClr w14:val="tx1"/>
            </w14:solidFill>
          </w14:textFill>
        </w:rPr>
        <w:t xml:space="preserve">章）</w:t>
      </w:r>
      <w:r/>
    </w:p>
    <w:p>
      <w:pPr>
        <w:ind w:firstLine="0"/>
        <w:rPr>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项目名称：</w:t>
      </w:r>
      <w:r/>
    </w:p>
    <w:p>
      <w:pPr>
        <w:ind w:firstLine="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项目</w:t>
      </w:r>
      <w:r>
        <w:rPr>
          <w:rFonts w:hint="eastAsia" w:ascii="宋体" w:hAnsi="宋体"/>
          <w:color w:val="000000" w:themeColor="text1"/>
          <w:sz w:val="24"/>
          <w:szCs w:val="24"/>
          <w:highlight w:val="none"/>
          <w14:textFill>
            <w14:solidFill>
              <w14:schemeClr w14:val="tx1"/>
            </w14:solidFill>
          </w14:textFill>
        </w:rPr>
        <w:t xml:space="preserve">编号：                                  </w:t>
      </w:r>
      <w:r>
        <w:rPr>
          <w:rFonts w:hint="eastAsia" w:ascii="宋体" w:hAnsi="宋体"/>
          <w:color w:val="000000" w:themeColor="text1"/>
          <w:sz w:val="24"/>
          <w:szCs w:val="24"/>
          <w:highlight w:val="none"/>
          <w:lang w:eastAsia="zh-CN"/>
          <w14:textFill>
            <w14:solidFill>
              <w14:schemeClr w14:val="tx1"/>
            </w14:solidFill>
          </w14:textFill>
        </w:rPr>
        <w:t xml:space="preserve">采购包</w:t>
      </w:r>
      <w:r>
        <w:rPr>
          <w:rFonts w:hint="eastAsia" w:ascii="宋体" w:hAnsi="宋体"/>
          <w:color w:val="000000" w:themeColor="text1"/>
          <w:sz w:val="24"/>
          <w:szCs w:val="24"/>
          <w:highlight w:val="none"/>
          <w14:textFill>
            <w14:solidFill>
              <w14:schemeClr w14:val="tx1"/>
            </w14:solidFill>
          </w14:textFill>
        </w:rPr>
        <w:t xml:space="preserve">号：</w:t>
      </w:r>
      <w:r/>
    </w:p>
    <w:tbl>
      <w:tblPr>
        <w:tblStyle w:val="699"/>
        <w:tblW w:w="94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投标总报价</w:t>
            </w:r>
            <w:r/>
          </w:p>
        </w:tc>
      </w:tr>
      <w:tr>
        <w:trPr>
          <w:cantSplit/>
          <w:trHeight w:val="720"/>
        </w:trPr>
        <w:tc>
          <w:tcPr>
            <w:tcW w:w="9450" w:type="dxa"/>
            <w:vAlign w:val="center"/>
            <w:textDirection w:val="lrTb"/>
            <w:noWrap w:val="false"/>
          </w:tcPr>
          <w:p>
            <w:pPr>
              <w:pStyle w:val="896"/>
              <w:ind w:firstLine="0"/>
              <w:spacing w:before="0" w:after="0" w:line="5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小写（元）：                             </w:t>
            </w:r>
            <w:r/>
          </w:p>
        </w:tc>
      </w:tr>
    </w:tbl>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rPr>
          <w:rFonts w:hint="eastAsia" w:ascii="黑体" w:hAnsi="黑体" w:eastAsia="黑体"/>
          <w:b/>
          <w:i/>
          <w:color w:val="000000" w:themeColor="text1"/>
          <w:sz w:val="32"/>
          <w:szCs w:val="32"/>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日</w:t>
      </w: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期：</w:t>
      </w:r>
      <w:r/>
    </w:p>
    <w:p>
      <w:pPr>
        <w:ind w:firstLine="480"/>
        <w:rPr>
          <w:rFonts w:hint="eastAsia" w:ascii="黑体" w:hAnsi="黑体" w:eastAsia="黑体"/>
          <w:b/>
          <w:i/>
          <w:color w:val="000000" w:themeColor="text1"/>
          <w:sz w:val="32"/>
          <w:szCs w:val="32"/>
          <w:highlight w:val="none"/>
          <w:u w:val="single"/>
          <w14:textFill>
            <w14:solidFill>
              <w14:schemeClr w14:val="tx1"/>
            </w14:solidFill>
          </w14:textFill>
        </w:rPr>
      </w:pPr>
      <w:r>
        <w:rPr>
          <w:rFonts w:hint="eastAsia" w:ascii="黑体" w:hAnsi="黑体" w:eastAsia="黑体"/>
          <w:b/>
          <w:i/>
          <w:color w:val="000000" w:themeColor="text1"/>
          <w:sz w:val="32"/>
          <w:szCs w:val="32"/>
          <w:highlight w:val="none"/>
          <w:u w:val="single"/>
          <w14:textFill>
            <w14:solidFill>
              <w14:schemeClr w14:val="tx1"/>
            </w14:solidFill>
          </w14:textFill>
        </w:rPr>
      </w:r>
      <w:r/>
    </w:p>
    <w:p>
      <w:pPr>
        <w:jc w:val="center"/>
        <w:spacing w:line="360" w:lineRule="auto"/>
        <w:rPr>
          <w:rFonts w:hint="eastAsia" w:ascii="黑体" w:eastAsia="黑体" w:cs="Times New Roman"/>
          <w:color w:val="000000" w:themeColor="text1"/>
          <w:sz w:val="32"/>
          <w:szCs w:val="32"/>
          <w:highlight w:val="none"/>
          <w:lang w:val="en-US" w:eastAsia="zh-CN"/>
          <w14:textFill>
            <w14:solidFill>
              <w14:schemeClr w14:val="tx1"/>
            </w14:solidFill>
          </w14:textFill>
        </w:rPr>
        <w:outlineLvl w:val="0"/>
      </w:pPr>
      <w:r>
        <w:rPr>
          <w:rFonts w:hint="eastAsia" w:ascii="黑体" w:eastAsia="黑体" w:cs="Times New Roman"/>
          <w:color w:val="000000" w:themeColor="text1"/>
          <w:sz w:val="32"/>
          <w:szCs w:val="32"/>
          <w:highlight w:val="none"/>
          <w:lang w:val="en-US" w:eastAsia="zh-CN"/>
          <w14:textFill>
            <w14:solidFill>
              <w14:schemeClr w14:val="tx1"/>
            </w14:solidFill>
          </w14:textFill>
        </w:rPr>
      </w:r>
      <w:r/>
    </w:p>
    <w:p>
      <w:pPr>
        <w:jc w:val="center"/>
        <w:spacing w:line="360" w:lineRule="auto"/>
        <w:rPr>
          <w:rFonts w:hint="eastAsia" w:ascii="黑体" w:eastAsia="黑体" w:cs="Times New Roman"/>
          <w:color w:val="000000" w:themeColor="text1"/>
          <w:sz w:val="32"/>
          <w:szCs w:val="32"/>
          <w:highlight w:val="none"/>
          <w:lang w:val="en-US" w:eastAsia="zh-CN"/>
          <w14:textFill>
            <w14:solidFill>
              <w14:schemeClr w14:val="tx1"/>
            </w14:solidFill>
          </w14:textFill>
        </w:rPr>
        <w:outlineLvl w:val="0"/>
      </w:pPr>
      <w:r>
        <w:rPr>
          <w:rFonts w:hint="eastAsia" w:ascii="黑体" w:eastAsia="黑体" w:cs="Times New Roman"/>
          <w:color w:val="000000" w:themeColor="text1"/>
          <w:sz w:val="32"/>
          <w:szCs w:val="32"/>
          <w:highlight w:val="none"/>
          <w:lang w:val="en-US" w:eastAsia="zh-CN"/>
          <w14:textFill>
            <w14:solidFill>
              <w14:schemeClr w14:val="tx1"/>
            </w14:solidFill>
          </w14:textFill>
        </w:rPr>
      </w:r>
      <w:r/>
    </w:p>
    <w:p>
      <w:pPr>
        <w:ind w:firstLine="0"/>
        <w:jc w:val="left"/>
        <w:spacing w:line="360" w:lineRule="auto"/>
        <w:rPr>
          <w:rFonts w:hint="eastAsia" w:ascii="黑体" w:hAnsi="黑体" w:eastAsia="黑体" w:cs="Times New Roman"/>
          <w:i w:val="0"/>
          <w:color w:val="000000" w:themeColor="text1"/>
          <w:sz w:val="32"/>
          <w:szCs w:val="32"/>
          <w:highlight w:val="none"/>
          <w:u w:val="none"/>
          <w:lang w:val="en-US" w:eastAsia="zh-CN"/>
          <w14:textFill>
            <w14:solidFill>
              <w14:schemeClr w14:val="tx1"/>
            </w14:solidFill>
          </w14:textFill>
        </w:rPr>
        <w:outlineLvl w:val="9"/>
      </w:pPr>
      <w:r>
        <w:rPr>
          <w:rFonts w:hint="eastAsia" w:ascii="黑体" w:hAnsi="黑体" w:eastAsia="黑体" w:cs="Times New Roman"/>
          <w:i w:val="0"/>
          <w:color w:val="000000" w:themeColor="text1"/>
          <w:sz w:val="32"/>
          <w:szCs w:val="32"/>
          <w:highlight w:val="none"/>
          <w:u w:val="none"/>
          <w:lang w:val="en-US" w:eastAsia="zh-CN"/>
          <w14:textFill>
            <w14:solidFill>
              <w14:schemeClr w14:val="tx1"/>
            </w14:solidFill>
          </w14:textFill>
        </w:rPr>
      </w:r>
      <w:r/>
    </w:p>
    <w:p>
      <w:pPr>
        <w:ind w:firstLine="0"/>
        <w:jc w:val="left"/>
        <w:spacing w:line="360" w:lineRule="auto"/>
        <w:rPr>
          <w:rFonts w:hint="eastAsia" w:ascii="黑体" w:hAnsi="黑体" w:eastAsia="黑体" w:cs="Times New Roman"/>
          <w:i w:val="0"/>
          <w:color w:val="000000" w:themeColor="text1"/>
          <w:sz w:val="32"/>
          <w:szCs w:val="32"/>
          <w:highlight w:val="none"/>
          <w:u w:val="none"/>
          <w:lang w:val="en-US" w:eastAsia="zh-CN"/>
          <w14:textFill>
            <w14:solidFill>
              <w14:schemeClr w14:val="tx1"/>
            </w14:solidFill>
          </w14:textFill>
        </w:rPr>
        <w:outlineLvl w:val="9"/>
      </w:pPr>
      <w:r>
        <w:rPr>
          <w:rFonts w:hint="eastAsia" w:ascii="黑体" w:hAnsi="黑体" w:eastAsia="黑体" w:cs="Times New Roman"/>
          <w:i w:val="0"/>
          <w:color w:val="000000" w:themeColor="text1"/>
          <w:sz w:val="32"/>
          <w:szCs w:val="32"/>
          <w:highlight w:val="none"/>
          <w:u w:val="none"/>
          <w:lang w:val="en-US" w:eastAsia="zh-CN"/>
          <w14:textFill>
            <w14:solidFill>
              <w14:schemeClr w14:val="tx1"/>
            </w14:solidFill>
          </w14:textFill>
        </w:rPr>
      </w:r>
      <w:r/>
    </w:p>
    <w:p>
      <w:pPr>
        <w:ind w:firstLine="0"/>
        <w:jc w:val="left"/>
        <w:spacing w:line="360" w:lineRule="auto"/>
        <w:rPr>
          <w:rFonts w:hint="eastAsia" w:ascii="黑体" w:hAnsi="黑体" w:eastAsia="黑体" w:cs="Times New Roman"/>
          <w:i w:val="0"/>
          <w:color w:val="000000" w:themeColor="text1"/>
          <w:sz w:val="32"/>
          <w:szCs w:val="32"/>
          <w:highlight w:val="none"/>
          <w:u w:val="none"/>
          <w:lang w:val="en-US" w:eastAsia="zh-CN"/>
          <w14:textFill>
            <w14:solidFill>
              <w14:schemeClr w14:val="tx1"/>
            </w14:solidFill>
          </w14:textFill>
        </w:rPr>
        <w:outlineLvl w:val="9"/>
      </w:pPr>
      <w:r>
        <w:rPr>
          <w:rFonts w:hint="eastAsia" w:ascii="黑体" w:hAnsi="黑体" w:eastAsia="黑体" w:cs="Times New Roman"/>
          <w:i w:val="0"/>
          <w:color w:val="000000" w:themeColor="text1"/>
          <w:sz w:val="32"/>
          <w:szCs w:val="32"/>
          <w:highlight w:val="none"/>
          <w:u w:val="none"/>
          <w:lang w:val="en-US" w:eastAsia="zh-CN"/>
          <w14:textFill>
            <w14:solidFill>
              <w14:schemeClr w14:val="tx1"/>
            </w14:solidFill>
          </w14:textFill>
        </w:rPr>
        <w:t xml:space="preserve">六、核心产品品牌一览表</w:t>
      </w:r>
      <w:r/>
    </w:p>
    <w:p>
      <w:pPr>
        <w:jc w:val="center"/>
        <w:spacing w:line="360" w:lineRule="auto"/>
        <w:widowControl w:val="off"/>
        <w:rPr>
          <w:rFonts w:hint="eastAsia" w:ascii="方正小标宋简体" w:hAnsi="方正小标宋简体" w:eastAsia="方正小标宋简体" w:cs="方正小标宋简体"/>
          <w:color w:val="000000" w:themeColor="text1"/>
          <w:sz w:val="32"/>
          <w:szCs w:val="32"/>
          <w:highlight w:val="none"/>
          <w:lang w:val="en-US"/>
          <w14:textFill>
            <w14:solidFill>
              <w14:schemeClr w14:val="tx1"/>
            </w14:solidFill>
          </w14:textFill>
        </w:rPr>
        <w:outlineLvl w:val="0"/>
      </w:pPr>
      <w:r>
        <w:rPr>
          <w:rFonts w:hint="eastAsia" w:ascii="方正小标宋简体" w:hAnsi="方正小标宋简体" w:eastAsia="方正小标宋简体" w:cs="方正小标宋简体"/>
          <w:color w:val="000000" w:themeColor="text1"/>
          <w:sz w:val="32"/>
          <w:szCs w:val="32"/>
          <w:highlight w:val="none"/>
          <w:lang w:val="en-US"/>
          <w14:textFill>
            <w14:solidFill>
              <w14:schemeClr w14:val="tx1"/>
            </w14:solidFill>
          </w14:textFill>
        </w:rPr>
        <w:t xml:space="preserve">核心产品</w:t>
      </w:r>
      <w:r>
        <w:rPr>
          <w:rFonts w:hint="eastAsia" w:ascii="方正小标宋简体" w:hAnsi="方正小标宋简体" w:eastAsia="方正小标宋简体" w:cs="方正小标宋简体"/>
          <w:color w:val="000000" w:themeColor="text1"/>
          <w:sz w:val="32"/>
          <w:szCs w:val="32"/>
          <w:highlight w:val="none"/>
          <w:lang w:val="en-US" w:eastAsia="zh-CN"/>
          <w14:textFill>
            <w14:solidFill>
              <w14:schemeClr w14:val="tx1"/>
            </w14:solidFill>
          </w14:textFill>
        </w:rPr>
        <w:t xml:space="preserve">品牌</w:t>
      </w:r>
      <w:r>
        <w:rPr>
          <w:rFonts w:hint="eastAsia" w:ascii="方正小标宋简体" w:hAnsi="方正小标宋简体" w:eastAsia="方正小标宋简体" w:cs="方正小标宋简体"/>
          <w:color w:val="000000" w:themeColor="text1"/>
          <w:sz w:val="32"/>
          <w:szCs w:val="32"/>
          <w:highlight w:val="none"/>
          <w:lang w:val="en-US"/>
          <w14:textFill>
            <w14:solidFill>
              <w14:schemeClr w14:val="tx1"/>
            </w14:solidFill>
          </w14:textFill>
        </w:rPr>
        <w:t xml:space="preserve">一览表</w:t>
      </w:r>
      <w:r/>
    </w:p>
    <w:tbl>
      <w:tblPr>
        <w:tblStyle w:val="699"/>
        <w:tblpPr w:horzAnchor="margin" w:tblpXSpec="center" w:vertAnchor="text" w:tblpY="133" w:leftFromText="180" w:topFromText="0" w:rightFromText="180" w:bottomFromText="0"/>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W w:w="1044"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lang w:val="zh-CN" w:eastAsia="zh-CN"/>
                <w14:textFill>
                  <w14:solidFill>
                    <w14:schemeClr w14:val="tx1"/>
                  </w14:solidFill>
                </w14:textFill>
              </w:rPr>
            </w:pPr>
            <w:r>
              <w:rPr>
                <w:rFonts w:hint="eastAsia" w:ascii="宋体" w:hAnsi="宋体" w:eastAsia="宋体" w:cs="Times New Roman"/>
                <w:color w:val="000000" w:themeColor="text1"/>
                <w:sz w:val="24"/>
                <w:szCs w:val="24"/>
                <w:highlight w:val="none"/>
                <w:lang w:val="zh-CN" w:eastAsia="zh-CN"/>
                <w14:textFill>
                  <w14:solidFill>
                    <w14:schemeClr w14:val="tx1"/>
                  </w14:solidFill>
                </w14:textFill>
              </w:rPr>
              <w:t xml:space="preserve">序号</w:t>
            </w:r>
            <w:r/>
          </w:p>
        </w:tc>
        <w:tc>
          <w:tcPr>
            <w:tcW w:w="3753"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lang w:val="zh-CN"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产品</w:t>
            </w:r>
            <w:r>
              <w:rPr>
                <w:rFonts w:hint="eastAsia" w:ascii="宋体" w:hAnsi="宋体" w:eastAsia="宋体" w:cs="Times New Roman"/>
                <w:color w:val="000000" w:themeColor="text1"/>
                <w:sz w:val="24"/>
                <w:szCs w:val="24"/>
                <w:highlight w:val="none"/>
                <w:lang w:val="zh-CN" w:eastAsia="zh-CN"/>
                <w14:textFill>
                  <w14:solidFill>
                    <w14:schemeClr w14:val="tx1"/>
                  </w14:solidFill>
                </w14:textFill>
              </w:rPr>
              <w:t xml:space="preserve">名称</w:t>
            </w:r>
            <w:r/>
          </w:p>
        </w:tc>
        <w:tc>
          <w:tcPr>
            <w:tcW w:w="2158"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lang w:val="zh-CN"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产品</w:t>
            </w:r>
            <w:r>
              <w:rPr>
                <w:rFonts w:hint="eastAsia" w:ascii="宋体" w:hAnsi="宋体" w:eastAsia="宋体" w:cs="Times New Roman"/>
                <w:color w:val="000000" w:themeColor="text1"/>
                <w:sz w:val="24"/>
                <w:szCs w:val="24"/>
                <w:highlight w:val="none"/>
                <w:lang w:val="zh-CN" w:eastAsia="zh-CN"/>
                <w14:textFill>
                  <w14:solidFill>
                    <w14:schemeClr w14:val="tx1"/>
                  </w14:solidFill>
                </w14:textFill>
              </w:rPr>
              <w:t xml:space="preserve">品牌</w:t>
            </w:r>
            <w:r/>
          </w:p>
        </w:tc>
        <w:tc>
          <w:tcPr>
            <w:tcW w:w="2391"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lang w:val="zh-CN" w:eastAsia="zh-CN"/>
                <w14:textFill>
                  <w14:solidFill>
                    <w14:schemeClr w14:val="tx1"/>
                  </w14:solidFill>
                </w14:textFill>
              </w:rPr>
            </w:pPr>
            <w:r>
              <w:rPr>
                <w:rFonts w:hint="eastAsia" w:ascii="宋体" w:hAnsi="宋体" w:eastAsia="宋体" w:cs="Times New Roman"/>
                <w:color w:val="000000" w:themeColor="text1"/>
                <w:sz w:val="24"/>
                <w:szCs w:val="24"/>
                <w:highlight w:val="none"/>
                <w:lang w:val="zh-CN" w:eastAsia="zh-CN"/>
                <w14:textFill>
                  <w14:solidFill>
                    <w14:schemeClr w14:val="tx1"/>
                  </w14:solidFill>
                </w14:textFill>
              </w:rPr>
              <w:t xml:space="preserve">规格或型号</w:t>
            </w:r>
            <w:r/>
          </w:p>
        </w:tc>
      </w:tr>
      <w:tr>
        <w:trPr>
          <w:jc w:val="center"/>
          <w:trHeight w:val="963"/>
        </w:trPr>
        <w:tc>
          <w:tcPr>
            <w:tcW w:w="1044"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lang w:val="zh-CN" w:eastAsia="zh-CN"/>
                <w14:textFill>
                  <w14:solidFill>
                    <w14:schemeClr w14:val="tx1"/>
                  </w14:solidFill>
                </w14:textFill>
              </w:rPr>
            </w:pPr>
            <w:r>
              <w:rPr>
                <w:rFonts w:hint="eastAsia" w:ascii="宋体" w:hAnsi="宋体" w:eastAsia="宋体" w:cs="Times New Roman"/>
                <w:color w:val="000000" w:themeColor="text1"/>
                <w:sz w:val="24"/>
                <w:szCs w:val="24"/>
                <w:highlight w:val="none"/>
                <w:lang w:val="zh-CN" w:eastAsia="zh-CN"/>
                <w14:textFill>
                  <w14:solidFill>
                    <w14:schemeClr w14:val="tx1"/>
                  </w14:solidFill>
                </w14:textFill>
              </w:rPr>
              <w:t xml:space="preserve">1</w:t>
            </w:r>
            <w:r/>
          </w:p>
        </w:tc>
        <w:tc>
          <w:tcPr>
            <w:tcW w:w="3753"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highlight w:val="none"/>
                <w:lang w:val="zh-CN" w:eastAsia="zh-CN"/>
                <w14:textFill>
                  <w14:solidFill>
                    <w14:schemeClr w14:val="tx1"/>
                  </w14:solidFill>
                </w14:textFill>
              </w:rPr>
            </w:pPr>
            <w:r>
              <w:rPr>
                <w:rFonts w:hint="eastAsia" w:ascii="宋体" w:hAnsi="宋体" w:eastAsia="宋体" w:cs="Times New Roman"/>
                <w:color w:val="000000" w:themeColor="text1"/>
                <w:sz w:val="24"/>
                <w:szCs w:val="24"/>
                <w:highlight w:val="none"/>
                <w:lang w:val="zh-CN" w:eastAsia="zh-CN"/>
                <w14:textFill>
                  <w14:solidFill>
                    <w14:schemeClr w14:val="tx1"/>
                  </w14:solidFill>
                </w14:textFill>
              </w:rPr>
            </w:r>
            <w:r/>
          </w:p>
        </w:tc>
        <w:tc>
          <w:tcPr>
            <w:tcW w:w="2158" w:type="dxa"/>
            <w:vAlign w:val="top"/>
            <w:textDirection w:val="lrTb"/>
            <w:noWrap w:val="false"/>
          </w:tcPr>
          <w:p>
            <w:pPr>
              <w:jc w:val="center"/>
              <w:spacing w:line="0" w:lineRule="atLeast"/>
              <w:rPr>
                <w:rFonts w:hint="eastAsia" w:ascii="宋体" w:hAnsi="宋体" w:eastAsia="宋体" w:cs="Times New Roman"/>
                <w:color w:val="000000" w:themeColor="text1"/>
                <w:sz w:val="24"/>
                <w:szCs w:val="24"/>
                <w:highlight w:val="none"/>
                <w:lang w:val="zh-CN" w:eastAsia="zh-CN"/>
                <w14:textFill>
                  <w14:solidFill>
                    <w14:schemeClr w14:val="tx1"/>
                  </w14:solidFill>
                </w14:textFill>
              </w:rPr>
            </w:pPr>
            <w:r>
              <w:rPr>
                <w:rFonts w:hint="eastAsia" w:ascii="宋体" w:hAnsi="宋体" w:eastAsia="宋体" w:cs="Times New Roman"/>
                <w:color w:val="000000" w:themeColor="text1"/>
                <w:sz w:val="24"/>
                <w:szCs w:val="24"/>
                <w:highlight w:val="none"/>
                <w:lang w:val="zh-CN" w:eastAsia="zh-CN"/>
                <w14:textFill>
                  <w14:solidFill>
                    <w14:schemeClr w14:val="tx1"/>
                  </w14:solidFill>
                </w14:textFill>
              </w:rPr>
            </w:r>
            <w:r/>
          </w:p>
        </w:tc>
        <w:tc>
          <w:tcPr>
            <w:tcW w:w="2391" w:type="dxa"/>
            <w:vAlign w:val="top"/>
            <w:textDirection w:val="lrTb"/>
            <w:noWrap w:val="false"/>
          </w:tcPr>
          <w:p>
            <w:pPr>
              <w:jc w:val="center"/>
              <w:spacing w:line="0" w:lineRule="atLeast"/>
              <w:rPr>
                <w:rFonts w:hint="eastAsia" w:ascii="宋体" w:hAnsi="宋体" w:eastAsia="宋体" w:cs="Times New Roman"/>
                <w:color w:val="000000" w:themeColor="text1"/>
                <w:sz w:val="24"/>
                <w:szCs w:val="24"/>
                <w:highlight w:val="none"/>
                <w:lang w:val="zh-CN" w:eastAsia="zh-CN"/>
                <w14:textFill>
                  <w14:solidFill>
                    <w14:schemeClr w14:val="tx1"/>
                  </w14:solidFill>
                </w14:textFill>
              </w:rPr>
            </w:pPr>
            <w:r>
              <w:rPr>
                <w:rFonts w:hint="eastAsia" w:ascii="宋体" w:hAnsi="宋体" w:eastAsia="宋体" w:cs="Times New Roman"/>
                <w:color w:val="000000" w:themeColor="text1"/>
                <w:sz w:val="24"/>
                <w:szCs w:val="24"/>
                <w:highlight w:val="none"/>
                <w:lang w:val="zh-CN" w:eastAsia="zh-CN"/>
                <w14:textFill>
                  <w14:solidFill>
                    <w14:schemeClr w14:val="tx1"/>
                  </w14:solidFill>
                </w14:textFill>
              </w:rPr>
            </w:r>
            <w:r/>
          </w:p>
        </w:tc>
      </w:tr>
    </w:tbl>
    <w:p>
      <w:pPr>
        <w:ind w:firstLine="480"/>
        <w:jc w:val="left"/>
        <w:spacing w:line="360" w:lineRule="auto"/>
        <w:widowControl/>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r>
      <w:r/>
    </w:p>
    <w:p>
      <w:pPr>
        <w:ind w:firstLine="480"/>
        <w:rPr>
          <w:rFonts w:hint="eastAsia" w:ascii="宋体" w:hAnsi="宋体" w:eastAsia="宋体" w:cs="Times New Roman"/>
          <w:color w:val="000000" w:themeColor="text1"/>
          <w:sz w:val="24"/>
          <w:szCs w:val="24"/>
          <w:highlight w:val="none"/>
          <w:lang w:val="zh-CN"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Times New Roman"/>
          <w:color w:val="000000" w:themeColor="text1"/>
          <w:sz w:val="24"/>
          <w:szCs w:val="24"/>
          <w:highlight w:val="none"/>
          <w:lang w:val="zh-CN" w:eastAsia="zh-CN"/>
          <w14:textFill>
            <w14:solidFill>
              <w14:schemeClr w14:val="tx1"/>
            </w14:solidFill>
          </w14:textFill>
        </w:rPr>
        <w:t xml:space="preserve">名称：（</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加盖电子</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公</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章</w:t>
      </w:r>
      <w:r>
        <w:rPr>
          <w:rFonts w:hint="eastAsia" w:ascii="宋体" w:hAnsi="宋体" w:eastAsia="宋体" w:cs="Times New Roman"/>
          <w:color w:val="000000" w:themeColor="text1"/>
          <w:sz w:val="24"/>
          <w:szCs w:val="24"/>
          <w:highlight w:val="none"/>
          <w:lang w:val="zh-CN" w:eastAsia="zh-CN"/>
          <w14:textFill>
            <w14:solidFill>
              <w14:schemeClr w14:val="tx1"/>
            </w14:solidFill>
          </w14:textFill>
        </w:rPr>
        <w:t xml:space="preserve">）</w:t>
      </w:r>
      <w:r/>
    </w:p>
    <w:p>
      <w:pPr>
        <w:ind w:firstLine="482"/>
        <w:spacing w:line="480" w:lineRule="exact"/>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r>
      <w:r/>
    </w:p>
    <w:p>
      <w:pPr>
        <w:ind w:firstLine="482"/>
        <w:spacing w:line="480" w:lineRule="exact"/>
        <w:rPr>
          <w:rFonts w:hint="eastAsia" w:ascii="宋体" w:hAnsi="宋体" w:eastAsia="宋体" w:cs="Times New Roman"/>
          <w:b/>
          <w:bCs/>
          <w:color w:val="000000" w:themeColor="text1"/>
          <w:sz w:val="24"/>
          <w:szCs w:val="24"/>
          <w:highlight w:val="none"/>
          <w14:textFill>
            <w14:solidFill>
              <w14:schemeClr w14:val="tx1"/>
            </w14:solidFill>
          </w14:textFill>
        </w:rPr>
      </w:pP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备注：</w:t>
      </w:r>
      <w:r>
        <w:rPr>
          <w:rFonts w:hint="eastAsia" w:ascii="宋体" w:hAnsi="宋体" w:eastAsia="宋体" w:cs="Times New Roman"/>
          <w:b/>
          <w:bCs/>
          <w:color w:val="000000" w:themeColor="text1"/>
          <w:sz w:val="24"/>
          <w:szCs w:val="24"/>
          <w:highlight w:val="none"/>
          <w14:textFill>
            <w14:solidFill>
              <w14:schemeClr w14:val="tx1"/>
            </w14:solidFill>
          </w14:textFill>
        </w:rPr>
        <w:t xml:space="preserve">供应商</w:t>
      </w:r>
      <w:r>
        <w:rPr>
          <w:rFonts w:hint="eastAsia" w:ascii="宋体" w:hAnsi="宋体" w:cs="Times New Roman"/>
          <w:b/>
          <w:bCs/>
          <w:color w:val="000000" w:themeColor="text1"/>
          <w:sz w:val="24"/>
          <w:szCs w:val="24"/>
          <w:highlight w:val="none"/>
          <w:lang w:val="en-US" w:eastAsia="zh-CN"/>
          <w14:textFill>
            <w14:solidFill>
              <w14:schemeClr w14:val="tx1"/>
            </w14:solidFill>
          </w14:textFill>
        </w:rPr>
        <w:t xml:space="preserve">须按照表格要求明确填写所投“核心产品”的</w:t>
      </w:r>
      <w:r>
        <w:rPr>
          <w:rFonts w:hint="eastAsia" w:ascii="宋体" w:hAnsi="宋体" w:eastAsia="宋体" w:cs="Times New Roman"/>
          <w:b/>
          <w:bCs/>
          <w:color w:val="000000" w:themeColor="text1"/>
          <w:sz w:val="24"/>
          <w:szCs w:val="24"/>
          <w:highlight w:val="none"/>
          <w14:textFill>
            <w14:solidFill>
              <w14:schemeClr w14:val="tx1"/>
            </w14:solidFill>
          </w14:textFill>
        </w:rPr>
        <w:t xml:space="preserve">品牌</w:t>
      </w:r>
      <w:r>
        <w:rPr>
          <w:rFonts w:hint="eastAsia" w:ascii="宋体" w:hAnsi="宋体" w:eastAsia="宋体" w:cs="Times New Roman"/>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
          <w:bCs/>
          <w:color w:val="000000" w:themeColor="text1"/>
          <w:sz w:val="24"/>
          <w:szCs w:val="24"/>
          <w:highlight w:val="none"/>
          <w14:textFill>
            <w14:solidFill>
              <w14:schemeClr w14:val="tx1"/>
            </w14:solidFill>
          </w14:textFill>
        </w:rPr>
        <w:t xml:space="preserve">不得填报“/”</w:t>
      </w:r>
      <w:r>
        <w:rPr>
          <w:rFonts w:hint="eastAsia" w:ascii="宋体" w:hAnsi="宋体" w:cs="Times New Roman"/>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
          <w:bCs/>
          <w:color w:val="000000" w:themeColor="text1"/>
          <w:sz w:val="24"/>
          <w:szCs w:val="24"/>
          <w:highlight w:val="none"/>
          <w14:textFill>
            <w14:solidFill>
              <w14:schemeClr w14:val="tx1"/>
            </w14:solidFill>
          </w14:textFill>
        </w:rPr>
        <w:t xml:space="preserve">无”</w:t>
      </w:r>
      <w:r>
        <w:rPr>
          <w:rFonts w:hint="eastAsia" w:ascii="宋体" w:hAnsi="宋体" w:cs="Times New Roman"/>
          <w:b/>
          <w:bCs/>
          <w:color w:val="000000" w:themeColor="text1"/>
          <w:sz w:val="24"/>
          <w:szCs w:val="24"/>
          <w:highlight w:val="none"/>
          <w:lang w:val="en-US" w:eastAsia="zh-CN"/>
          <w14:textFill>
            <w14:solidFill>
              <w14:schemeClr w14:val="tx1"/>
            </w14:solidFill>
          </w14:textFill>
        </w:rPr>
        <w:t xml:space="preserve">等内容</w:t>
      </w:r>
      <w:r>
        <w:rPr>
          <w:rFonts w:hint="eastAsia" w:ascii="宋体" w:hAnsi="宋体" w:eastAsia="宋体" w:cs="Times New Roman"/>
          <w:b/>
          <w:bCs/>
          <w:color w:val="000000" w:themeColor="text1"/>
          <w:sz w:val="24"/>
          <w:szCs w:val="24"/>
          <w:highlight w:val="none"/>
          <w:lang w:eastAsia="zh-CN"/>
          <w14:textFill>
            <w14:solidFill>
              <w14:schemeClr w14:val="tx1"/>
            </w14:solidFill>
          </w14:textFill>
        </w:rPr>
        <w:t xml:space="preserve">，</w:t>
      </w:r>
      <w:r>
        <w:rPr>
          <w:rFonts w:hint="eastAsia" w:ascii="宋体" w:hAnsi="宋体" w:cs="Times New Roman"/>
          <w:b/>
          <w:bCs/>
          <w:color w:val="000000" w:themeColor="text1"/>
          <w:sz w:val="24"/>
          <w:szCs w:val="24"/>
          <w:highlight w:val="none"/>
          <w:lang w:val="en-US" w:eastAsia="zh-CN"/>
          <w14:textFill>
            <w14:solidFill>
              <w14:schemeClr w14:val="tx1"/>
            </w14:solidFill>
          </w14:textFill>
        </w:rPr>
        <w:t xml:space="preserve">否则</w:t>
      </w:r>
      <w:r>
        <w:rPr>
          <w:rFonts w:hint="eastAsia" w:ascii="宋体" w:hAnsi="宋体" w:eastAsia="宋体" w:cs="Times New Roman"/>
          <w:b/>
          <w:bCs/>
          <w:color w:val="000000" w:themeColor="text1"/>
          <w:sz w:val="24"/>
          <w:szCs w:val="24"/>
          <w:highlight w:val="none"/>
          <w14:textFill>
            <w14:solidFill>
              <w14:schemeClr w14:val="tx1"/>
            </w14:solidFill>
          </w14:textFill>
        </w:rPr>
        <w:t xml:space="preserve">视为无效投标。</w:t>
      </w:r>
      <w:r/>
    </w:p>
    <w:p>
      <w:pPr>
        <w:numPr>
          <w:ilvl w:val="0"/>
          <w:numId w:val="0"/>
        </w:numPr>
        <w:jc w:val="left"/>
        <w:spacing w:line="360" w:lineRule="auto"/>
        <w:rPr>
          <w:rFonts w:hint="eastAsia" w:ascii="黑体" w:hAnsi="黑体" w:eastAsia="黑体" w:cs="Times New Roman"/>
          <w:bCs w:val="0"/>
          <w:i w:val="0"/>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bCs w:val="0"/>
          <w:i w:val="0"/>
          <w:color w:val="000000" w:themeColor="text1"/>
          <w:sz w:val="32"/>
          <w:szCs w:val="32"/>
          <w:highlight w:val="none"/>
          <w:u w:val="none"/>
          <w:lang w:val="en-US" w:eastAsia="zh-CN"/>
          <w14:textFill>
            <w14:solidFill>
              <w14:schemeClr w14:val="tx1"/>
            </w14:solidFill>
          </w14:textFill>
        </w:rPr>
      </w:r>
      <w:r/>
    </w:p>
    <w:p>
      <w:pPr>
        <w:numPr>
          <w:ilvl w:val="0"/>
          <w:numId w:val="0"/>
        </w:numPr>
        <w:jc w:val="left"/>
        <w:spacing w:line="360" w:lineRule="auto"/>
        <w:rPr>
          <w:rFonts w:hint="eastAsia" w:ascii="黑体" w:hAnsi="黑体" w:eastAsia="黑体" w:cs="Times New Roman"/>
          <w:bCs w:val="0"/>
          <w:i w:val="0"/>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bCs w:val="0"/>
          <w:i w:val="0"/>
          <w:color w:val="000000" w:themeColor="text1"/>
          <w:sz w:val="32"/>
          <w:szCs w:val="32"/>
          <w:highlight w:val="none"/>
          <w:u w:val="none"/>
          <w:lang w:val="en-US" w:eastAsia="zh-CN"/>
          <w14:textFill>
            <w14:solidFill>
              <w14:schemeClr w14:val="tx1"/>
            </w14:solidFill>
          </w14:textFill>
        </w:rPr>
      </w:r>
      <w:r/>
    </w:p>
    <w:p>
      <w:pPr>
        <w:numPr>
          <w:ilvl w:val="0"/>
          <w:numId w:val="0"/>
        </w:numPr>
        <w:jc w:val="left"/>
        <w:spacing w:line="360" w:lineRule="auto"/>
        <w:rPr>
          <w:rFonts w:hint="eastAsia" w:ascii="黑体" w:hAnsi="黑体" w:eastAsia="黑体" w:cs="Times New Roman"/>
          <w:i w:val="0"/>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color w:val="000000" w:themeColor="text1"/>
          <w:sz w:val="32"/>
          <w:szCs w:val="32"/>
          <w:highlight w:val="none"/>
          <w:u w:val="none"/>
          <w:lang w:val="en-US" w:eastAsia="zh-CN"/>
          <w14:textFill>
            <w14:solidFill>
              <w14:schemeClr w14:val="tx1"/>
            </w14:solidFill>
          </w14:textFill>
        </w:rPr>
        <w:t xml:space="preserve">七、投标分项报价表</w:t>
      </w:r>
      <w:r/>
    </w:p>
    <w:p>
      <w:pPr>
        <w:jc w:val="center"/>
        <w:spacing w:line="360" w:lineRule="auto"/>
        <w:rPr>
          <w:rFonts w:hint="eastAsia" w:ascii="方正小标宋简体" w:hAnsi="方正小标宋简体" w:eastAsia="方正小标宋简体" w:cs="方正小标宋简体"/>
          <w:color w:val="000000" w:themeColor="text1"/>
          <w:sz w:val="32"/>
          <w:szCs w:val="32"/>
          <w:highlight w:val="none"/>
          <w:lang w:val="en-US" w:eastAsia="zh-CN"/>
          <w14:textFill>
            <w14:solidFill>
              <w14:schemeClr w14:val="tx1"/>
            </w14:solidFill>
          </w14:textFill>
        </w:rPr>
        <w:outlineLvl w:val="0"/>
      </w:pPr>
      <w:r>
        <w:rPr>
          <w:rFonts w:hint="eastAsia" w:ascii="方正小标宋简体" w:hAnsi="方正小标宋简体" w:eastAsia="方正小标宋简体" w:cs="方正小标宋简体"/>
          <w:color w:val="000000" w:themeColor="text1"/>
          <w:sz w:val="32"/>
          <w:szCs w:val="32"/>
          <w:highlight w:val="none"/>
          <w:lang w:val="en-US" w:eastAsia="zh-CN"/>
          <w14:textFill>
            <w14:solidFill>
              <w14:schemeClr w14:val="tx1"/>
            </w14:solidFill>
          </w14:textFill>
        </w:rPr>
        <w:t xml:space="preserve">投标分项报价表</w:t>
      </w:r>
      <w:r/>
    </w:p>
    <w:tbl>
      <w:tblPr>
        <w:tblStyle w:val="699"/>
        <w:tblW w:w="9671"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00"/>
        <w:gridCol w:w="1170"/>
      </w:tblGrid>
      <w:tr>
        <w:trPr>
          <w:cantSplit/>
          <w:trHeight w:val="544"/>
        </w:trPr>
        <w:tc>
          <w:tcPr>
            <w:tcW w:w="581" w:type="dxa"/>
            <w:vAlign w:val="center"/>
            <w:vMerge w:val="restart"/>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124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970" w:type="dxa"/>
            <w:vAlign w:val="center"/>
            <w:textDirection w:val="lrTb"/>
            <w:noWrap w:val="false"/>
          </w:tcPr>
          <w:p>
            <w:pPr>
              <w:jc w:val="center"/>
              <w:spacing w:line="0" w:lineRule="atLeast"/>
              <w:rPr>
                <w:rFonts w:hint="eastAsia" w:ascii="宋体" w:hAnsi="宋体"/>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1790" w:type="dxa"/>
            <w:vAlign w:val="center"/>
            <w:textDirection w:val="lrTb"/>
            <w:noWrap w:val="false"/>
          </w:tcPr>
          <w:p>
            <w:pPr>
              <w:jc w:val="center"/>
              <w:spacing w:line="0" w:lineRule="atLeast"/>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3</w:t>
            </w:r>
            <w:r/>
          </w:p>
        </w:tc>
        <w:tc>
          <w:tcPr>
            <w:tcW w:w="1470" w:type="dxa"/>
            <w:vAlign w:val="center"/>
            <w:textDirection w:val="lrTb"/>
            <w:noWrap w:val="false"/>
          </w:tcPr>
          <w:p>
            <w:pPr>
              <w:jc w:val="center"/>
              <w:spacing w:line="0" w:lineRule="atLeast"/>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4</w:t>
            </w:r>
            <w:r/>
          </w:p>
        </w:tc>
        <w:tc>
          <w:tcPr>
            <w:tcW w:w="830" w:type="dxa"/>
            <w:vAlign w:val="center"/>
            <w:textDirection w:val="lrTb"/>
            <w:noWrap w:val="false"/>
          </w:tcPr>
          <w:p>
            <w:pPr>
              <w:jc w:val="center"/>
              <w:spacing w:line="0" w:lineRule="atLeast"/>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w:t>
            </w:r>
            <w:r/>
          </w:p>
        </w:tc>
        <w:tc>
          <w:tcPr>
            <w:tcW w:w="820" w:type="dxa"/>
            <w:vAlign w:val="center"/>
            <w:textDirection w:val="lrTb"/>
            <w:noWrap w:val="false"/>
          </w:tcPr>
          <w:p>
            <w:pPr>
              <w:jc w:val="center"/>
              <w:spacing w:line="0" w:lineRule="atLeast"/>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6</w:t>
            </w:r>
            <w:r/>
          </w:p>
        </w:tc>
        <w:tc>
          <w:tcPr>
            <w:tcW w:w="800" w:type="dxa"/>
            <w:vAlign w:val="center"/>
            <w:textDirection w:val="lrTb"/>
            <w:noWrap w:val="false"/>
          </w:tcPr>
          <w:p>
            <w:pPr>
              <w:jc w:val="center"/>
              <w:spacing w:line="0" w:lineRule="atLeast"/>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7</w:t>
            </w:r>
            <w:r/>
          </w:p>
        </w:tc>
        <w:tc>
          <w:tcPr>
            <w:tcW w:w="1170" w:type="dxa"/>
            <w:vAlign w:val="center"/>
            <w:textDirection w:val="lrTb"/>
            <w:noWrap w:val="false"/>
          </w:tcPr>
          <w:p>
            <w:pPr>
              <w:jc w:val="center"/>
              <w:spacing w:line="0" w:lineRule="atLeast"/>
              <w:rPr>
                <w:rFonts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8</w:t>
            </w:r>
            <w:r/>
          </w:p>
        </w:tc>
      </w:tr>
      <w:tr>
        <w:trPr>
          <w:cantSplit/>
          <w:trHeight w:val="603"/>
        </w:trPr>
        <w:tc>
          <w:tcPr>
            <w:tcW w:w="581" w:type="dxa"/>
            <w:vAlign w:val="center"/>
            <w:vMerge w:val="continue"/>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24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产品</w:t>
            </w:r>
            <w:r>
              <w:rPr>
                <w:rFonts w:hint="eastAsia" w:ascii="宋体" w:hAnsi="宋体"/>
                <w:color w:val="000000" w:themeColor="text1"/>
                <w:sz w:val="24"/>
                <w:szCs w:val="24"/>
                <w:highlight w:val="none"/>
                <w14:textFill>
                  <w14:solidFill>
                    <w14:schemeClr w14:val="tx1"/>
                  </w14:solidFill>
                </w14:textFill>
              </w:rPr>
              <w:t xml:space="preserve">名称</w:t>
            </w:r>
            <w:r/>
          </w:p>
        </w:tc>
        <w:tc>
          <w:tcPr>
            <w:tcW w:w="970" w:type="dxa"/>
            <w:vAlign w:val="center"/>
            <w:textDirection w:val="lrTb"/>
            <w:noWrap w:val="false"/>
          </w:tcPr>
          <w:p>
            <w:pPr>
              <w:jc w:val="center"/>
              <w:spacing w:line="0" w:lineRule="atLeast"/>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品牌</w:t>
            </w:r>
            <w:r/>
          </w:p>
        </w:tc>
        <w:tc>
          <w:tcPr>
            <w:tcW w:w="1790" w:type="dxa"/>
            <w:vAlign w:val="center"/>
            <w:textDirection w:val="lrTb"/>
            <w:noWrap w:val="false"/>
          </w:tcPr>
          <w:p>
            <w:pPr>
              <w:jc w:val="center"/>
              <w:spacing w:line="0" w:lineRule="atLeast"/>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规格</w:t>
            </w:r>
            <w:r>
              <w:rPr>
                <w:rFonts w:hint="eastAsia" w:ascii="宋体" w:hAnsi="宋体"/>
                <w:color w:val="000000" w:themeColor="text1"/>
                <w:sz w:val="24"/>
                <w:szCs w:val="24"/>
                <w:highlight w:val="none"/>
                <w:lang w:eastAsia="zh-CN"/>
                <w14:textFill>
                  <w14:solidFill>
                    <w14:schemeClr w14:val="tx1"/>
                  </w14:solidFill>
                </w14:textFill>
              </w:rPr>
              <w:t xml:space="preserve">或型号</w:t>
            </w:r>
            <w:r/>
          </w:p>
        </w:tc>
        <w:tc>
          <w:tcPr>
            <w:tcW w:w="1470" w:type="dxa"/>
            <w:vAlign w:val="center"/>
            <w:textDirection w:val="lrTb"/>
            <w:noWrap w:val="false"/>
          </w:tcPr>
          <w:p>
            <w:pPr>
              <w:jc w:val="center"/>
              <w:spacing w:line="0" w:lineRule="atLeas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交付期</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天</w:t>
            </w:r>
            <w:r>
              <w:rPr>
                <w:rFonts w:hint="eastAsia" w:ascii="宋体" w:hAnsi="宋体"/>
                <w:color w:val="000000" w:themeColor="text1"/>
                <w:sz w:val="24"/>
                <w:szCs w:val="24"/>
                <w:highlight w:val="none"/>
                <w:lang w:eastAsia="zh-CN"/>
                <w14:textFill>
                  <w14:solidFill>
                    <w14:schemeClr w14:val="tx1"/>
                  </w14:solidFill>
                </w14:textFill>
              </w:rPr>
              <w:t xml:space="preserve">）</w:t>
            </w:r>
            <w:r/>
          </w:p>
        </w:tc>
        <w:tc>
          <w:tcPr>
            <w:tcW w:w="83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数量</w:t>
            </w:r>
            <w:r/>
          </w:p>
        </w:tc>
        <w:tc>
          <w:tcPr>
            <w:tcW w:w="82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单位</w:t>
            </w:r>
            <w:r/>
          </w:p>
        </w:tc>
        <w:tc>
          <w:tcPr>
            <w:tcW w:w="800" w:type="dxa"/>
            <w:vAlign w:val="center"/>
            <w:textDirection w:val="lrTb"/>
            <w:noWrap w:val="false"/>
          </w:tcPr>
          <w:p>
            <w:pPr>
              <w:jc w:val="center"/>
              <w:spacing w:line="0" w:lineRule="atLeas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单价</w:t>
            </w:r>
            <w:r/>
          </w:p>
        </w:tc>
        <w:tc>
          <w:tcPr>
            <w:tcW w:w="117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总价</w:t>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124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7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79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47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83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82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80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17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124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7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79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47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83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82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80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17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124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7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79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47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83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82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80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17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p>
        </w:tc>
        <w:tc>
          <w:tcPr>
            <w:gridSpan w:val="8"/>
            <w:tcW w:w="9090" w:type="dxa"/>
            <w:vAlign w:val="center"/>
            <w:textDirection w:val="lrTb"/>
            <w:noWrap w:val="false"/>
          </w:tcPr>
          <w:p>
            <w:pPr>
              <w:jc w:val="both"/>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投标总价（元）</w:t>
            </w:r>
            <w:r>
              <w:rPr>
                <w:rFonts w:hint="eastAsia" w:ascii="宋体" w:hAnsi="宋体"/>
                <w:color w:val="000000" w:themeColor="text1"/>
                <w:sz w:val="24"/>
                <w:szCs w:val="24"/>
                <w:highlight w:val="none"/>
                <w:lang w:eastAsia="zh-CN"/>
                <w14:textFill>
                  <w14:solidFill>
                    <w14:schemeClr w14:val="tx1"/>
                  </w14:solidFill>
                </w14:textFill>
              </w:rPr>
              <w:t xml:space="preserve">：</w:t>
            </w:r>
            <w:r/>
          </w:p>
        </w:tc>
      </w:tr>
    </w:tbl>
    <w:p>
      <w:pPr>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w:t>
      </w:r>
      <w:r>
        <w:rPr>
          <w:rFonts w:hint="eastAsia" w:ascii="宋体" w:hAnsi="宋体"/>
          <w:color w:val="000000" w:themeColor="text1"/>
          <w:sz w:val="24"/>
          <w:szCs w:val="24"/>
          <w:highlight w:val="none"/>
          <w:lang w:eastAsia="zh-CN"/>
          <w14:textFill>
            <w14:solidFill>
              <w14:schemeClr w14:val="tx1"/>
            </w14:solidFill>
          </w14:textFill>
        </w:rPr>
        <w:t xml:space="preserve">名</w:t>
      </w:r>
      <w:r>
        <w:rPr>
          <w:rFonts w:hint="eastAsia" w:ascii="宋体" w:hAnsi="宋体"/>
          <w:color w:val="000000" w:themeColor="text1"/>
          <w:sz w:val="24"/>
          <w:szCs w:val="24"/>
          <w:highlight w:val="none"/>
          <w14:textFill>
            <w14:solidFill>
              <w14:schemeClr w14:val="tx1"/>
            </w14:solidFill>
          </w14:textFill>
        </w:rPr>
        <w:t xml:space="preserve">称：（加盖电子</w:t>
      </w:r>
      <w:r>
        <w:rPr>
          <w:rFonts w:hint="eastAsia" w:ascii="宋体" w:hAnsi="宋体"/>
          <w:color w:val="000000" w:themeColor="text1"/>
          <w:sz w:val="24"/>
          <w:szCs w:val="24"/>
          <w:highlight w:val="none"/>
          <w:lang w:val="en-US" w:eastAsia="zh-CN"/>
          <w14:textFill>
            <w14:solidFill>
              <w14:schemeClr w14:val="tx1"/>
            </w14:solidFill>
          </w14:textFill>
        </w:rPr>
        <w:t xml:space="preserve">公</w:t>
      </w:r>
      <w:r>
        <w:rPr>
          <w:rFonts w:hint="eastAsia" w:ascii="宋体" w:hAnsi="宋体"/>
          <w:color w:val="000000" w:themeColor="text1"/>
          <w:sz w:val="24"/>
          <w:szCs w:val="24"/>
          <w:highlight w:val="none"/>
          <w14:textFill>
            <w14:solidFill>
              <w14:schemeClr w14:val="tx1"/>
            </w14:solidFill>
          </w14:textFill>
        </w:rPr>
        <w:t xml:space="preserve">章）</w:t>
      </w:r>
      <w:r/>
    </w:p>
    <w:p>
      <w:pPr>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pStyle w:val="911"/>
        <w:ind w:firstLine="480"/>
        <w:jc w:val="both"/>
        <w:keepLines w:val="0"/>
        <w:keepNext w:val="0"/>
        <w:pageBreakBefore w:val="0"/>
        <w:spacing w:before="0" w:beforeAutospacing="0" w:after="0" w:afterAutospacing="0" w:line="360" w:lineRule="auto"/>
        <w:widowControl/>
        <w:rPr>
          <w:rFonts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themeColor="text1"/>
          <w:sz w:val="24"/>
          <w:szCs w:val="24"/>
          <w:highlight w:val="none"/>
          <w:lang w:val="en-US" w:eastAsia="zh-CN"/>
          <w14:textFill>
            <w14:solidFill>
              <w14:schemeClr w14:val="tx1"/>
            </w14:solidFill>
          </w14:textFill>
        </w:rPr>
        <w:t xml:space="preserve">备注： </w:t>
      </w:r>
      <w:r/>
    </w:p>
    <w:p>
      <w:pPr>
        <w:pStyle w:val="911"/>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1.“投标总报价”应包括为完成整个项目所产生的所有费用，招标文件另有规定的除外。</w:t>
      </w:r>
      <w:r/>
    </w:p>
    <w:p>
      <w:pPr>
        <w:pStyle w:val="911"/>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2.《投标分项报价表》中“投标总价”应当与《开标一览表》中“投标总报价”一致。</w:t>
      </w:r>
      <w:r/>
    </w:p>
    <w:p>
      <w:pPr>
        <w:pStyle w:val="911"/>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3.供应商所投产品须与“第四章-项目清单”中的产品一一对应，如有缺项、漏项或者超出单价上限，视为无效投标。“项目清单”中分项仅为一项的，此表无需提供。</w:t>
      </w:r>
      <w:r/>
    </w:p>
    <w:p>
      <w:pPr>
        <w:pStyle w:val="911"/>
        <w:ind w:firstLine="480"/>
        <w:jc w:val="both"/>
        <w:keepLines w:val="0"/>
        <w:keepNext w:val="0"/>
        <w:pageBreakBefore w:val="0"/>
        <w:spacing w:before="0" w:beforeAutospacing="0" w:after="0" w:afterAutospacing="0" w:line="360" w:lineRule="auto"/>
        <w:widowControl/>
        <w:rPr>
          <w:rFonts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4.行数不够，可自行添加。</w:t>
      </w:r>
      <w:r/>
    </w:p>
    <w:p>
      <w:pPr>
        <w:spacing w:line="480" w:lineRule="exact"/>
        <w:rPr>
          <w:rFonts w:ascii="宋体" w:hAnsi="宋体"/>
          <w:color w:val="000000" w:themeColor="text1"/>
          <w:sz w:val="24"/>
          <w:szCs w:val="24"/>
          <w:highlight w:val="none"/>
          <w:lang w:eastAsia="zh-CN"/>
          <w14:textFill>
            <w14:solidFill>
              <w14:schemeClr w14:val="tx1"/>
            </w14:solidFill>
          </w14:textFill>
        </w:rPr>
      </w:pPr>
      <w:r>
        <w:rPr>
          <w:rFonts w:ascii="宋体" w:hAnsi="宋体"/>
          <w:color w:val="000000" w:themeColor="text1"/>
          <w:sz w:val="24"/>
          <w:szCs w:val="24"/>
          <w:highlight w:val="none"/>
          <w:lang w:eastAsia="zh-CN"/>
          <w14:textFill>
            <w14:solidFill>
              <w14:schemeClr w14:val="tx1"/>
            </w14:solidFill>
          </w14:textFill>
        </w:rPr>
      </w:r>
      <w:r/>
    </w:p>
    <w:p>
      <w:pPr>
        <w:rPr>
          <w:rFonts w:ascii="宋体" w:hAnsi="宋体"/>
          <w:color w:val="000000" w:themeColor="text1"/>
          <w:sz w:val="24"/>
          <w:szCs w:val="24"/>
          <w:highlight w:val="none"/>
          <w:lang w:eastAsia="zh-CN"/>
          <w14:textFill>
            <w14:solidFill>
              <w14:schemeClr w14:val="tx1"/>
            </w14:solidFill>
          </w14:textFill>
        </w:rPr>
      </w:pPr>
      <w:r>
        <w:rPr>
          <w:rFonts w:ascii="宋体" w:hAnsi="宋体"/>
          <w:color w:val="000000" w:themeColor="text1"/>
          <w:sz w:val="24"/>
          <w:szCs w:val="24"/>
          <w:highlight w:val="none"/>
          <w:lang w:eastAsia="zh-CN"/>
          <w14:textFill>
            <w14:solidFill>
              <w14:schemeClr w14:val="tx1"/>
            </w14:solidFill>
          </w14:textFill>
        </w:rPr>
      </w:r>
      <w:r/>
    </w:p>
    <w:p>
      <w:pPr>
        <w:rPr>
          <w:rFonts w:ascii="宋体" w:hAnsi="宋体"/>
          <w:color w:val="000000" w:themeColor="text1"/>
          <w:sz w:val="24"/>
          <w:szCs w:val="24"/>
          <w:highlight w:val="none"/>
          <w:lang w:eastAsia="zh-CN"/>
          <w14:textFill>
            <w14:solidFill>
              <w14:schemeClr w14:val="tx1"/>
            </w14:solidFill>
          </w14:textFill>
        </w:rPr>
      </w:pPr>
      <w:r>
        <w:rPr>
          <w:rFonts w:ascii="宋体" w:hAnsi="宋体"/>
          <w:color w:val="000000" w:themeColor="text1"/>
          <w:sz w:val="24"/>
          <w:szCs w:val="24"/>
          <w:highlight w:val="none"/>
          <w:lang w:eastAsia="zh-CN"/>
          <w14:textFill>
            <w14:solidFill>
              <w14:schemeClr w14:val="tx1"/>
            </w14:solidFill>
          </w14:textFill>
        </w:rPr>
      </w:r>
      <w:r/>
    </w:p>
    <w:p>
      <w:pPr>
        <w:jc w:val="left"/>
        <w:spacing w:line="360" w:lineRule="auto"/>
        <w:rPr>
          <w:rFonts w:hint="eastAsia" w:ascii="黑体" w:hAnsi="黑体" w:eastAsia="黑体" w:cs="Times New Roman"/>
          <w:i w:val="0"/>
          <w:iCs w:val="0"/>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iCs w:val="0"/>
          <w:color w:val="000000" w:themeColor="text1"/>
          <w:sz w:val="32"/>
          <w:szCs w:val="32"/>
          <w:highlight w:val="none"/>
          <w:u w:val="none"/>
          <w:lang w:val="en-US" w:eastAsia="zh-CN"/>
          <w14:textFill>
            <w14:solidFill>
              <w14:schemeClr w14:val="tx1"/>
            </w14:solidFill>
          </w14:textFill>
        </w:rPr>
      </w:r>
      <w:r/>
    </w:p>
    <w:p>
      <w:pPr>
        <w:jc w:val="left"/>
        <w:spacing w:line="360" w:lineRule="auto"/>
        <w:rPr>
          <w:rFonts w:hint="eastAsia" w:ascii="黑体" w:hAnsi="黑体" w:eastAsia="黑体" w:cs="Times New Roman"/>
          <w:i w:val="0"/>
          <w:iCs w:val="0"/>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iCs w:val="0"/>
          <w:color w:val="000000" w:themeColor="text1"/>
          <w:sz w:val="32"/>
          <w:szCs w:val="32"/>
          <w:highlight w:val="none"/>
          <w:u w:val="none"/>
          <w:lang w:val="en-US" w:eastAsia="zh-CN"/>
          <w14:textFill>
            <w14:solidFill>
              <w14:schemeClr w14:val="tx1"/>
            </w14:solidFill>
          </w14:textFill>
        </w:rPr>
      </w:r>
      <w:r/>
    </w:p>
    <w:p>
      <w:pPr>
        <w:jc w:val="left"/>
        <w:spacing w:line="360" w:lineRule="auto"/>
        <w:rPr>
          <w:rFonts w:hint="eastAsia" w:ascii="黑体" w:hAnsi="黑体" w:eastAsia="黑体" w:cs="Times New Roman"/>
          <w:i w:val="0"/>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color w:val="000000" w:themeColor="text1"/>
          <w:sz w:val="32"/>
          <w:szCs w:val="32"/>
          <w:highlight w:val="none"/>
          <w:u w:val="none"/>
          <w:lang w:val="en-US" w:eastAsia="zh-CN"/>
          <w14:textFill>
            <w14:solidFill>
              <w14:schemeClr w14:val="tx1"/>
            </w14:solidFill>
          </w14:textFill>
        </w:rPr>
      </w:r>
      <w:r/>
    </w:p>
    <w:p>
      <w:pPr>
        <w:jc w:val="left"/>
        <w:spacing w:line="360" w:lineRule="auto"/>
        <w:rPr>
          <w:rFonts w:hint="eastAsia" w:ascii="黑体" w:hAnsi="黑体" w:eastAsia="黑体" w:cs="Times New Roman"/>
          <w:bCs w:val="0"/>
          <w:i w:val="0"/>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bCs w:val="0"/>
          <w:i w:val="0"/>
          <w:color w:val="000000" w:themeColor="text1"/>
          <w:sz w:val="32"/>
          <w:szCs w:val="32"/>
          <w:highlight w:val="none"/>
          <w:u w:val="none"/>
          <w:lang w:val="en-US" w:eastAsia="zh-CN"/>
          <w14:textFill>
            <w14:solidFill>
              <w14:schemeClr w14:val="tx1"/>
            </w14:solidFill>
          </w14:textFill>
        </w:rPr>
      </w:r>
      <w:r/>
    </w:p>
    <w:p>
      <w:pPr>
        <w:jc w:val="left"/>
        <w:spacing w:line="360" w:lineRule="auto"/>
        <w:rPr>
          <w:rFonts w:hint="eastAsia" w:ascii="黑体" w:hAnsi="黑体" w:eastAsia="黑体" w:cs="Times New Roman"/>
          <w:bCs w:val="0"/>
          <w:i w:val="0"/>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bCs w:val="0"/>
          <w:i w:val="0"/>
          <w:color w:val="000000" w:themeColor="text1"/>
          <w:sz w:val="32"/>
          <w:szCs w:val="32"/>
          <w:highlight w:val="none"/>
          <w:u w:val="none"/>
          <w:lang w:val="en-US" w:eastAsia="zh-CN"/>
          <w14:textFill>
            <w14:solidFill>
              <w14:schemeClr w14:val="tx1"/>
            </w14:solidFill>
          </w14:textFill>
        </w:rPr>
      </w:r>
      <w:r/>
    </w:p>
    <w:p>
      <w:pPr>
        <w:jc w:val="left"/>
        <w:spacing w:line="360" w:lineRule="auto"/>
        <w:rPr>
          <w:rFonts w:hint="eastAsia" w:ascii="黑体" w:hAnsi="黑体" w:eastAsia="黑体" w:cs="Times New Roman"/>
          <w:bCs w:val="0"/>
          <w:i w:val="0"/>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bCs w:val="0"/>
          <w:i w:val="0"/>
          <w:color w:val="000000" w:themeColor="text1"/>
          <w:sz w:val="32"/>
          <w:szCs w:val="32"/>
          <w:highlight w:val="none"/>
          <w:u w:val="none"/>
          <w:lang w:val="en-US" w:eastAsia="zh-CN"/>
          <w14:textFill>
            <w14:solidFill>
              <w14:schemeClr w14:val="tx1"/>
            </w14:solidFill>
          </w14:textFill>
        </w:rPr>
      </w:r>
      <w:r/>
    </w:p>
    <w:p>
      <w:pPr>
        <w:jc w:val="left"/>
        <w:spacing w:line="360" w:lineRule="auto"/>
        <w:rPr>
          <w:rFonts w:hint="eastAsia" w:ascii="黑体" w:hAnsi="黑体" w:eastAsia="黑体" w:cs="Times New Roman"/>
          <w:i w:val="0"/>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color w:val="000000" w:themeColor="text1"/>
          <w:sz w:val="32"/>
          <w:szCs w:val="32"/>
          <w:highlight w:val="none"/>
          <w:u w:val="none"/>
          <w:lang w:val="en-US" w:eastAsia="zh-CN"/>
          <w14:textFill>
            <w14:solidFill>
              <w14:schemeClr w14:val="tx1"/>
            </w14:solidFill>
          </w14:textFill>
        </w:rPr>
        <w:t xml:space="preserve">八、技术要求响应及偏离表</w:t>
      </w:r>
      <w:r/>
    </w:p>
    <w:p>
      <w:pPr>
        <w:jc w:val="center"/>
        <w:rPr>
          <w:rFonts w:hint="eastAsia" w:ascii="方正小标宋简体" w:hAnsi="方正小标宋简体" w:eastAsia="方正小标宋简体" w:cs="方正小标宋简体"/>
          <w:b w:val="0"/>
          <w:bCs w:val="0"/>
          <w:color w:val="000000" w:themeColor="text1"/>
          <w:sz w:val="32"/>
          <w:szCs w:val="32"/>
          <w:highlight w:val="none"/>
          <w:lang w:val="en-US" w:eastAsia="zh-CN"/>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sz w:val="32"/>
          <w:szCs w:val="32"/>
          <w:highlight w:val="none"/>
          <w:lang w:val="en-US" w:eastAsia="zh-CN"/>
          <w14:textFill>
            <w14:solidFill>
              <w14:schemeClr w14:val="tx1"/>
            </w14:solidFill>
          </w14:textFill>
        </w:rPr>
        <w:t xml:space="preserve">技术要求响应及偏离表</w:t>
      </w:r>
      <w:r/>
    </w:p>
    <w:tbl>
      <w:tblPr>
        <w:tblStyle w:val="69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2846"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招标文件要求</w:t>
            </w:r>
            <w:r/>
          </w:p>
        </w:tc>
        <w:tc>
          <w:tcPr>
            <w:tcW w:w="2832"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投标响应情况</w:t>
            </w:r>
            <w:r/>
          </w:p>
        </w:tc>
        <w:tc>
          <w:tcPr>
            <w:tcW w:w="3364" w:type="dxa"/>
            <w:vAlign w:val="center"/>
            <w:textDirection w:val="lrTb"/>
            <w:noWrap w:val="false"/>
          </w:tcPr>
          <w:p>
            <w:pPr>
              <w:jc w:val="center"/>
              <w:spacing w:line="480" w:lineRule="exact"/>
              <w:rPr>
                <w:rFonts w:hint="eastAsia" w:ascii="宋体" w:hAnsi="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lang w:eastAsia="zh-CN"/>
                <w14:textFill>
                  <w14:solidFill>
                    <w14:schemeClr w14:val="tx1"/>
                  </w14:solidFill>
                </w14:textFill>
              </w:rPr>
              <w:t xml:space="preserve">正偏离、无偏离或负偏离</w:t>
            </w:r>
            <w:r/>
          </w:p>
        </w:tc>
      </w:tr>
      <w:tr>
        <w:trPr>
          <w:cantSplit/>
          <w:trHeight w:val="640"/>
        </w:trPr>
        <w:tc>
          <w:tcPr>
            <w:tcW w:w="81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46"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64"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81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46"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64"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81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46"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64"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81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46"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64"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81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46"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64"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81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46"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64"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81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46"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64"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81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46"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64"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bl>
    <w:p>
      <w:pPr>
        <w:ind w:right="180" w:firstLine="480"/>
        <w:jc w:val="both"/>
        <w:spacing w:line="560" w:lineRule="exact"/>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r>
      <w:r/>
    </w:p>
    <w:p>
      <w:pPr>
        <w:ind w:right="180" w:firstLine="480"/>
        <w:jc w:val="both"/>
        <w:spacing w:line="560" w:lineRule="exact"/>
        <w:rPr>
          <w:rFonts w:hint="eastAsia" w:ascii="宋体" w:hAnsi="宋体"/>
          <w:color w:val="000000" w:themeColor="text1"/>
          <w:sz w:val="24"/>
          <w:szCs w:val="24"/>
          <w:highlight w:val="none"/>
          <w:u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color w:val="000000" w:themeColor="text1"/>
          <w:sz w:val="24"/>
          <w:szCs w:val="24"/>
          <w:highlight w:val="none"/>
          <w14:textFill>
            <w14:solidFill>
              <w14:schemeClr w14:val="tx1"/>
            </w14:solidFill>
          </w14:textFill>
        </w:rPr>
        <w:t xml:space="preserve">名称</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u w:val="none"/>
          <w14:textFill>
            <w14:solidFill>
              <w14:schemeClr w14:val="tx1"/>
            </w14:solidFill>
          </w14:textFill>
        </w:rPr>
        <w:t xml:space="preserve">（加盖电子公章）</w:t>
      </w:r>
      <w:r/>
    </w:p>
    <w:p>
      <w:pPr>
        <w:pStyle w:val="911"/>
        <w:ind w:firstLine="480"/>
        <w:jc w:val="both"/>
        <w:keepLines w:val="0"/>
        <w:keepNext w:val="0"/>
        <w:spacing w:before="0" w:beforeAutospacing="0" w:after="0" w:afterAutospacing="0"/>
        <w:widowControl/>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themeColor="text1"/>
          <w:sz w:val="24"/>
          <w:szCs w:val="24"/>
          <w:highlight w:val="none"/>
          <w14:textFill>
            <w14:solidFill>
              <w14:schemeClr w14:val="tx1"/>
            </w14:solidFill>
          </w14:textFill>
        </w:rPr>
      </w:r>
      <w:r/>
    </w:p>
    <w:p>
      <w:pPr>
        <w:pStyle w:val="911"/>
        <w:ind w:firstLine="480"/>
        <w:jc w:val="both"/>
        <w:spacing w:before="0" w:beforeAutospacing="0" w:after="0" w:afterAutospacing="0" w:line="360" w:lineRule="auto"/>
        <w:rPr>
          <w:rFonts w:ascii="宋体" w:hAnsi="宋体" w:eastAsia="宋体" w:cs="宋体"/>
          <w:color w:val="000000" w:themeColor="text1"/>
          <w:highlight w:val="none"/>
          <w:lang w:val="en-US" w:eastAsia="zh-CN"/>
          <w14:textFill>
            <w14:solidFill>
              <w14:schemeClr w14:val="tx1"/>
            </w14:solidFill>
          </w14:textFill>
        </w:rPr>
      </w:pPr>
      <w:r>
        <w:rPr>
          <w:rFonts w:ascii="宋体" w:hAnsi="宋体" w:eastAsia="宋体" w:cs="宋体"/>
          <w:color w:val="000000" w:themeColor="text1"/>
          <w:highlight w:val="none"/>
          <w:lang w:val="en-US" w:eastAsia="zh-CN"/>
          <w14:textFill>
            <w14:solidFill>
              <w14:schemeClr w14:val="tx1"/>
            </w14:solidFill>
          </w14:textFill>
        </w:rPr>
        <w:t xml:space="preserve">备注： </w:t>
      </w:r>
      <w:r/>
    </w:p>
    <w:p>
      <w:pPr>
        <w:pStyle w:val="911"/>
        <w:ind w:firstLine="480"/>
        <w:jc w:val="both"/>
        <w:spacing w:before="0" w:beforeAutospacing="0" w:after="0" w:afterAutospacing="0"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1.供应商须对招标文件技术要求中的实质性要求（斜体下划线内容或打“★”内容）及其他要求做出明确响应，否则视为无效投标。</w:t>
      </w:r>
      <w:r/>
    </w:p>
    <w:p>
      <w:pPr>
        <w:pStyle w:val="911"/>
        <w:ind w:firstLine="480"/>
        <w:jc w:val="both"/>
        <w:spacing w:before="0" w:beforeAutospacing="0" w:after="0" w:afterAutospacing="0"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技术要求中的实质性要求或打“▲”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p>
    <w:p>
      <w:pPr>
        <w:pStyle w:val="911"/>
        <w:ind w:firstLine="480"/>
        <w:jc w:val="both"/>
        <w:spacing w:before="0" w:beforeAutospacing="0" w:after="0" w:afterAutospacing="0"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3.行数不够，可自行添加。</w:t>
      </w:r>
      <w:r/>
    </w:p>
    <w:p>
      <w:pPr>
        <w:jc w:val="left"/>
        <w:spacing w:line="360" w:lineRule="auto"/>
        <w:rPr>
          <w:rFonts w:hint="eastAsia" w:ascii="黑体" w:hAnsi="黑体" w:eastAsia="黑体" w:cs="Times New Roman"/>
          <w:bCs w:val="0"/>
          <w:i w:val="0"/>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bCs w:val="0"/>
          <w:i w:val="0"/>
          <w:color w:val="000000" w:themeColor="text1"/>
          <w:sz w:val="32"/>
          <w:szCs w:val="32"/>
          <w:highlight w:val="none"/>
          <w:u w:val="none"/>
          <w:lang w:val="en-US" w:eastAsia="zh-CN"/>
          <w14:textFill>
            <w14:solidFill>
              <w14:schemeClr w14:val="tx1"/>
            </w14:solidFill>
          </w14:textFill>
        </w:rPr>
      </w:r>
      <w:r/>
    </w:p>
    <w:p>
      <w:pPr>
        <w:jc w:val="left"/>
        <w:spacing w:line="360" w:lineRule="auto"/>
        <w:rPr>
          <w:rFonts w:hint="eastAsia" w:ascii="黑体" w:hAnsi="黑体" w:eastAsia="黑体" w:cs="Times New Roman"/>
          <w:bCs w:val="0"/>
          <w:i w:val="0"/>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bCs w:val="0"/>
          <w:i w:val="0"/>
          <w:color w:val="000000" w:themeColor="text1"/>
          <w:sz w:val="32"/>
          <w:szCs w:val="32"/>
          <w:highlight w:val="none"/>
          <w:u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jc w:val="left"/>
        <w:spacing w:line="360" w:lineRule="auto"/>
        <w:rPr>
          <w:rFonts w:hint="eastAsia" w:ascii="黑体" w:hAnsi="黑体" w:eastAsia="黑体" w:cs="Times New Roman"/>
          <w:i w:val="0"/>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color w:val="000000" w:themeColor="text1"/>
          <w:sz w:val="32"/>
          <w:szCs w:val="32"/>
          <w:highlight w:val="none"/>
          <w:u w:val="none"/>
          <w:lang w:val="en-US" w:eastAsia="zh-CN"/>
          <w14:textFill>
            <w14:solidFill>
              <w14:schemeClr w14:val="tx1"/>
            </w14:solidFill>
          </w14:textFill>
        </w:rPr>
        <w:t xml:space="preserve">九、商务要求响应及偏离表</w:t>
      </w:r>
      <w:r/>
    </w:p>
    <w:p>
      <w:pPr>
        <w:jc w:val="center"/>
        <w:rPr>
          <w:rFonts w:hint="eastAsia" w:ascii="方正小标宋简体" w:hAnsi="方正小标宋简体" w:eastAsia="方正小标宋简体" w:cs="方正小标宋简体"/>
          <w:b w:val="0"/>
          <w:bCs w:val="0"/>
          <w:color w:val="000000" w:themeColor="text1"/>
          <w:sz w:val="32"/>
          <w:szCs w:val="32"/>
          <w:highlight w:val="none"/>
          <w:lang w:val="en-US" w:eastAsia="zh-CN"/>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sz w:val="32"/>
          <w:szCs w:val="32"/>
          <w:highlight w:val="none"/>
          <w:lang w:val="en-US" w:eastAsia="zh-CN"/>
          <w14:textFill>
            <w14:solidFill>
              <w14:schemeClr w14:val="tx1"/>
            </w14:solidFill>
          </w14:textFill>
        </w:rPr>
        <w:t xml:space="preserve">商务要求响应及偏离表</w:t>
      </w:r>
      <w:r/>
    </w:p>
    <w:tbl>
      <w:tblPr>
        <w:tblStyle w:val="69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2878"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招标文件要求</w:t>
            </w:r>
            <w:r/>
          </w:p>
        </w:tc>
        <w:tc>
          <w:tcPr>
            <w:tcW w:w="2832"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投标响应情况</w:t>
            </w:r>
            <w:r/>
          </w:p>
        </w:tc>
        <w:tc>
          <w:tcPr>
            <w:tcW w:w="3352" w:type="dxa"/>
            <w:vAlign w:val="center"/>
            <w:textDirection w:val="lrTb"/>
            <w:noWrap w:val="false"/>
          </w:tcPr>
          <w:p>
            <w:pPr>
              <w:jc w:val="center"/>
              <w:spacing w:line="480" w:lineRule="exact"/>
              <w:rPr>
                <w:rFonts w:hint="eastAsia" w:ascii="宋体" w:hAnsi="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lang w:eastAsia="zh-CN"/>
                <w14:textFill>
                  <w14:solidFill>
                    <w14:schemeClr w14:val="tx1"/>
                  </w14:solidFill>
                </w14:textFill>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7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5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9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7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5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9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7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5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9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7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5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9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7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5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9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7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5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9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7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5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9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7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5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bl>
    <w:p>
      <w:pPr>
        <w:ind w:right="180" w:firstLine="480"/>
        <w:jc w:val="both"/>
        <w:spacing w:line="560" w:lineRule="exact"/>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r>
      <w:r/>
    </w:p>
    <w:p>
      <w:pPr>
        <w:ind w:right="180" w:firstLine="480"/>
        <w:jc w:val="both"/>
        <w:spacing w:line="560" w:lineRule="exact"/>
        <w:rPr>
          <w:rFonts w:hint="eastAsia" w:ascii="宋体" w:hAnsi="宋体"/>
          <w:color w:val="000000" w:themeColor="text1"/>
          <w:sz w:val="24"/>
          <w:szCs w:val="24"/>
          <w:highlight w:val="none"/>
          <w:u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color w:val="000000" w:themeColor="text1"/>
          <w:sz w:val="24"/>
          <w:szCs w:val="24"/>
          <w:highlight w:val="none"/>
          <w14:textFill>
            <w14:solidFill>
              <w14:schemeClr w14:val="tx1"/>
            </w14:solidFill>
          </w14:textFill>
        </w:rPr>
        <w:t xml:space="preserve">名称</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u w:val="none"/>
          <w14:textFill>
            <w14:solidFill>
              <w14:schemeClr w14:val="tx1"/>
            </w14:solidFill>
          </w14:textFill>
        </w:rPr>
        <w:t xml:space="preserve">（加盖电子公章）</w:t>
      </w:r>
      <w:r/>
    </w:p>
    <w:p>
      <w:pPr>
        <w:ind w:firstLine="480"/>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r>
      <w:r/>
    </w:p>
    <w:p>
      <w:pPr>
        <w:pStyle w:val="911"/>
        <w:ind w:firstLine="480"/>
        <w:jc w:val="both"/>
        <w:spacing w:before="0" w:beforeAutospacing="0" w:after="0" w:afterAutospacing="0"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备注： </w:t>
      </w:r>
      <w:r/>
    </w:p>
    <w:p>
      <w:pPr>
        <w:pStyle w:val="911"/>
        <w:ind w:firstLine="480"/>
        <w:jc w:val="both"/>
        <w:spacing w:before="0" w:beforeAutospacing="0" w:after="0" w:afterAutospacing="0" w:line="360" w:lineRule="auto"/>
        <w:rPr>
          <w:rFonts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1.供应商须对招标文件商务要求中的实质性要求（斜体下划线内容或打“★”内容）做出明确响应，否则视为无效投标。</w:t>
      </w:r>
      <w:r/>
    </w:p>
    <w:p>
      <w:pPr>
        <w:pStyle w:val="911"/>
        <w:ind w:firstLine="480"/>
        <w:jc w:val="both"/>
        <w:spacing w:before="0" w:beforeAutospacing="0" w:after="0" w:afterAutospacing="0"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2.行数不够，可自行添加。</w:t>
      </w:r>
      <w:r/>
    </w:p>
    <w:p>
      <w:pPr>
        <w:spacing w:line="48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r>
      <w:r/>
    </w:p>
    <w:p>
      <w:pPr>
        <w:spacing w:line="480" w:lineRule="auto"/>
        <w:rPr>
          <w:rFonts w:hint="eastAsia" w:ascii="仿宋_GB2312" w:hAnsi="Arial"/>
          <w:color w:val="000000" w:themeColor="text1"/>
          <w:sz w:val="30"/>
          <w:szCs w:val="21"/>
          <w:highlight w:val="none"/>
          <w14:textFill>
            <w14:solidFill>
              <w14:schemeClr w14:val="tx1"/>
            </w14:solidFill>
          </w14:textFill>
        </w:rPr>
      </w:pPr>
      <w:r>
        <w:rPr>
          <w:rFonts w:hint="eastAsia" w:ascii="仿宋_GB2312" w:hAnsi="Arial"/>
          <w:color w:val="000000" w:themeColor="text1"/>
          <w:sz w:val="30"/>
          <w:szCs w:val="21"/>
          <w:highlight w:val="none"/>
          <w14:textFill>
            <w14:solidFill>
              <w14:schemeClr w14:val="tx1"/>
            </w14:solidFill>
          </w14:textFill>
        </w:rPr>
      </w:r>
      <w:r/>
    </w:p>
    <w:p>
      <w:pPr>
        <w:jc w:val="left"/>
        <w:spacing w:line="360" w:lineRule="auto"/>
        <w:rPr>
          <w:rFonts w:hint="eastAsia" w:ascii="黑体" w:hAnsi="黑体" w:eastAsia="黑体" w:cs="Times New Roman"/>
          <w:i w:val="0"/>
          <w:iCs w:val="0"/>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iCs w:val="0"/>
          <w:color w:val="000000" w:themeColor="text1"/>
          <w:sz w:val="32"/>
          <w:szCs w:val="32"/>
          <w:highlight w:val="none"/>
          <w:u w:val="none"/>
          <w:lang w:val="en-US" w:eastAsia="zh-CN"/>
          <w14:textFill>
            <w14:solidFill>
              <w14:schemeClr w14:val="tx1"/>
            </w14:solidFill>
          </w14:textFill>
        </w:rPr>
      </w:r>
      <w:r/>
    </w:p>
    <w:p>
      <w:pPr>
        <w:jc w:val="left"/>
        <w:spacing w:line="360" w:lineRule="auto"/>
        <w:rPr>
          <w:rFonts w:hint="eastAsia" w:ascii="黑体" w:hAnsi="黑体" w:eastAsia="黑体" w:cs="Times New Roman"/>
          <w:i w:val="0"/>
          <w:iCs w:val="0"/>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iCs w:val="0"/>
          <w:color w:val="000000" w:themeColor="text1"/>
          <w:sz w:val="32"/>
          <w:szCs w:val="32"/>
          <w:highlight w:val="none"/>
          <w:u w:val="none"/>
          <w:lang w:val="en-US" w:eastAsia="zh-CN"/>
          <w14:textFill>
            <w14:solidFill>
              <w14:schemeClr w14:val="tx1"/>
            </w14:solidFill>
          </w14:textFill>
        </w:rPr>
      </w:r>
      <w:r/>
    </w:p>
    <w:p>
      <w:pPr>
        <w:pStyle w:val="882"/>
        <w:rPr>
          <w:rFonts w:hint="eastAsia" w:ascii="黑体" w:hAnsi="黑体" w:eastAsia="黑体" w:cs="Times New Roman"/>
          <w:bCs w:val="0"/>
          <w:i w:val="0"/>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bCs w:val="0"/>
          <w:i w:val="0"/>
          <w:color w:val="000000" w:themeColor="text1"/>
          <w:sz w:val="32"/>
          <w:szCs w:val="32"/>
          <w:highlight w:val="none"/>
          <w:u w:val="none"/>
          <w:lang w:val="en-US" w:eastAsia="zh-CN"/>
          <w14:textFill>
            <w14:solidFill>
              <w14:schemeClr w14:val="tx1"/>
            </w14:solidFill>
          </w14:textFill>
        </w:rPr>
      </w:r>
      <w:r/>
    </w:p>
    <w:p>
      <w:pPr>
        <w:pStyle w:val="882"/>
        <w:rPr>
          <w:rFonts w:hint="eastAsia" w:ascii="黑体" w:hAnsi="黑体" w:eastAsia="黑体" w:cs="Times New Roman"/>
          <w:i w:val="0"/>
          <w:iCs w:val="0"/>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iCs w:val="0"/>
          <w:color w:val="000000" w:themeColor="text1"/>
          <w:sz w:val="32"/>
          <w:szCs w:val="32"/>
          <w:highlight w:val="none"/>
          <w:u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jc w:val="left"/>
        <w:spacing w:line="360" w:lineRule="auto"/>
        <w:rPr>
          <w:rFonts w:hint="eastAsia" w:ascii="黑体" w:hAnsi="黑体" w:eastAsia="黑体" w:cs="Times New Roman"/>
          <w:i w:val="0"/>
          <w:iCs w:val="0"/>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iCs w:val="0"/>
          <w:color w:val="000000" w:themeColor="text1"/>
          <w:sz w:val="32"/>
          <w:szCs w:val="32"/>
          <w:highlight w:val="none"/>
          <w:u w:val="none"/>
          <w:lang w:val="en-US" w:eastAsia="zh-CN"/>
          <w14:textFill>
            <w14:solidFill>
              <w14:schemeClr w14:val="tx1"/>
            </w14:solidFill>
          </w14:textFill>
        </w:rPr>
        <w:t xml:space="preserve">十、中小企业声明函</w:t>
      </w:r>
      <w:r/>
    </w:p>
    <w:p>
      <w:pPr>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themeColor="text1"/>
          <w:sz w:val="32"/>
          <w:szCs w:val="32"/>
          <w:highlight w:val="none"/>
          <w:lang w:val="en-US" w:eastAsia="zh-CN"/>
          <w14:textFill>
            <w14:solidFill>
              <w14:schemeClr w14:val="tx1"/>
            </w14:solidFill>
          </w14:textFill>
        </w:rPr>
        <w:outlineLvl w:val="0"/>
      </w:pPr>
      <w:r>
        <w:rPr>
          <w:rFonts w:hint="eastAsia" w:ascii="方正小标宋简体" w:hAnsi="方正小标宋简体" w:eastAsia="方正小标宋简体" w:cs="方正小标宋简体"/>
          <w:color w:val="000000" w:themeColor="text1"/>
          <w:sz w:val="32"/>
          <w:szCs w:val="32"/>
          <w:highlight w:val="none"/>
          <w:lang w:val="en-US" w:eastAsia="zh-CN"/>
          <w14:textFill>
            <w14:solidFill>
              <w14:schemeClr w14:val="tx1"/>
            </w14:solidFill>
          </w14:textFill>
        </w:rPr>
        <w:t xml:space="preserve">中小企业声明函（货物）</w:t>
      </w:r>
      <w:r/>
    </w:p>
    <w:p>
      <w:pPr>
        <w:ind w:firstLine="360"/>
        <w:keepLines w:val="0"/>
        <w:keepNext w:val="0"/>
        <w:pageBreakBefore w:val="0"/>
        <w:spacing w:line="336"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本公司（联合体）郑重声明</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14:textFill>
            <w14:solidFill>
              <w14:schemeClr w14:val="tx1"/>
            </w14:solidFill>
          </w14:textFill>
        </w:rPr>
        <w:t xml:space="preserve">根据《政府采购促进中小企业发展管理办法》(财库〔2020〕46号)的规定</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14:textFill>
            <w14:solidFill>
              <w14:schemeClr w14:val="tx1"/>
            </w14:solidFill>
          </w14:textFill>
        </w:rPr>
        <w:t xml:space="preserve">本公司（联合体）参加</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XXXXXXXXXXXXXXXXXXXXXXXXX</w:t>
      </w:r>
      <w:r>
        <w:rPr>
          <w:rFonts w:hint="eastAsia" w:ascii="宋体" w:hAnsi="宋体" w:eastAsia="宋体" w:cs="Times New Roman"/>
          <w:color w:val="000000" w:themeColor="text1"/>
          <w:sz w:val="24"/>
          <w:szCs w:val="24"/>
          <w:highlight w:val="none"/>
          <w:u w:val="none"/>
          <w14:textFill>
            <w14:solidFill>
              <w14:schemeClr w14:val="tx1"/>
            </w14:solidFill>
          </w14:textFill>
        </w:rPr>
        <w:t xml:space="preserve">（单位名称）</w:t>
      </w:r>
      <w:r>
        <w:rPr>
          <w:rFonts w:hint="eastAsia" w:ascii="宋体" w:hAnsi="宋体" w:eastAsia="宋体" w:cs="Times New Roman"/>
          <w:color w:val="000000" w:themeColor="text1"/>
          <w:sz w:val="24"/>
          <w:szCs w:val="24"/>
          <w:highlight w:val="none"/>
          <w14:textFill>
            <w14:solidFill>
              <w14:schemeClr w14:val="tx1"/>
            </w14:solidFill>
          </w14:textFill>
        </w:rPr>
        <w:t xml:space="preserve">采购编号为</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XXXXXXXXXXXXXXXXXXXXXXXXX</w:t>
      </w:r>
      <w:r>
        <w:rPr>
          <w:rFonts w:hint="eastAsia" w:ascii="宋体" w:hAnsi="宋体" w:eastAsia="宋体" w:cs="Times New Roman"/>
          <w:color w:val="000000" w:themeColor="text1"/>
          <w:sz w:val="24"/>
          <w:szCs w:val="24"/>
          <w:highlight w:val="none"/>
          <w:u w:val="none"/>
          <w:lang w:eastAsia="zh-CN"/>
          <w14:textFill>
            <w14:solidFill>
              <w14:schemeClr w14:val="tx1"/>
            </w14:solidFill>
          </w14:textFill>
        </w:rPr>
        <w:t xml:space="preserve">项目</w:t>
      </w:r>
      <w:r>
        <w:rPr>
          <w:rFonts w:hint="eastAsia" w:ascii="宋体" w:hAnsi="宋体" w:eastAsia="宋体" w:cs="Times New Roman"/>
          <w:color w:val="000000" w:themeColor="text1"/>
          <w:sz w:val="24"/>
          <w:szCs w:val="24"/>
          <w:highlight w:val="none"/>
          <w:u w:val="none"/>
          <w14:textFill>
            <w14:solidFill>
              <w14:schemeClr w14:val="tx1"/>
            </w14:solidFill>
          </w14:textFill>
        </w:rPr>
        <w:t xml:space="preserve">（</w:t>
      </w:r>
      <w:r>
        <w:rPr>
          <w:rFonts w:hint="eastAsia" w:ascii="宋体" w:hAnsi="宋体" w:cs="Times New Roman"/>
          <w:color w:val="000000" w:themeColor="text1"/>
          <w:sz w:val="24"/>
          <w:szCs w:val="24"/>
          <w:highlight w:val="none"/>
          <w:u w:val="none"/>
          <w:lang w:eastAsia="zh-CN"/>
          <w14:textFill>
            <w14:solidFill>
              <w14:schemeClr w14:val="tx1"/>
            </w14:solidFill>
          </w14:textFill>
        </w:rPr>
        <w:t xml:space="preserve">采购</w:t>
      </w:r>
      <w:r>
        <w:rPr>
          <w:rFonts w:hint="eastAsia" w:ascii="宋体" w:hAnsi="宋体" w:eastAsia="宋体" w:cs="Times New Roman"/>
          <w:color w:val="000000" w:themeColor="text1"/>
          <w:sz w:val="24"/>
          <w:szCs w:val="24"/>
          <w:highlight w:val="none"/>
          <w:u w:val="none"/>
          <w14:textFill>
            <w14:solidFill>
              <w14:schemeClr w14:val="tx1"/>
            </w14:solidFill>
          </w14:textFill>
        </w:rPr>
        <w:t xml:space="preserve">包号：</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XXX</w:t>
      </w:r>
      <w:r>
        <w:rPr>
          <w:rFonts w:hint="eastAsia" w:ascii="宋体" w:hAnsi="宋体" w:eastAsia="宋体" w:cs="Times New Roman"/>
          <w:color w:val="000000" w:themeColor="text1"/>
          <w:sz w:val="24"/>
          <w:szCs w:val="24"/>
          <w:highlight w:val="none"/>
          <w:u w:val="none"/>
          <w14:textFill>
            <w14:solidFill>
              <w14:schemeClr w14:val="tx1"/>
            </w14:solidFill>
          </w14:textFill>
        </w:rPr>
        <w:t xml:space="preserve">）</w:t>
      </w:r>
      <w:r>
        <w:rPr>
          <w:rFonts w:hint="eastAsia" w:ascii="宋体" w:hAnsi="宋体" w:eastAsia="宋体" w:cs="Times New Roman"/>
          <w:color w:val="000000" w:themeColor="text1"/>
          <w:sz w:val="24"/>
          <w:szCs w:val="24"/>
          <w:highlight w:val="none"/>
          <w14:textFill>
            <w14:solidFill>
              <w14:schemeClr w14:val="tx1"/>
            </w14:solidFill>
          </w14:textFill>
        </w:rPr>
        <w:t xml:space="preserve">的采购活动</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，提供的货物</w:t>
      </w:r>
      <w:r>
        <w:rPr>
          <w:rFonts w:hint="eastAsia" w:ascii="宋体" w:hAnsi="宋体" w:eastAsia="宋体" w:cs="Times New Roman"/>
          <w:color w:val="000000" w:themeColor="text1"/>
          <w:sz w:val="24"/>
          <w:szCs w:val="24"/>
          <w:highlight w:val="none"/>
          <w14:textFill>
            <w14:solidFill>
              <w14:schemeClr w14:val="tx1"/>
            </w14:solidFill>
          </w14:textFill>
        </w:rPr>
        <w:t xml:space="preserve">全部由符合政策</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要求的中小企业制造</w:t>
      </w:r>
      <w:r>
        <w:rPr>
          <w:rFonts w:hint="eastAsia" w:ascii="宋体" w:hAnsi="宋体" w:eastAsia="宋体" w:cs="Times New Roman"/>
          <w:color w:val="000000" w:themeColor="text1"/>
          <w:sz w:val="24"/>
          <w:szCs w:val="24"/>
          <w:highlight w:val="none"/>
          <w14:textFill>
            <w14:solidFill>
              <w14:schemeClr w14:val="tx1"/>
            </w14:solidFill>
          </w14:textFill>
        </w:rPr>
        <w:t xml:space="preserve">。根据《工业和信息化部、国家统计局、</w:t>
      </w:r>
      <w:r>
        <w:rPr>
          <w:rFonts w:hint="eastAsia" w:ascii="宋体" w:hAnsi="宋体"/>
          <w:color w:val="000000" w:themeColor="text1"/>
          <w:sz w:val="24"/>
          <w:szCs w:val="24"/>
          <w:highlight w:val="none"/>
          <w14:textFill>
            <w14:solidFill>
              <w14:schemeClr w14:val="tx1"/>
            </w14:solidFill>
          </w14:textFill>
        </w:rPr>
        <w:t xml:space="preserve">国家发展和改革委员会、财政部关于印发中小企业划型标准规定的通知》(工信部联企业</w:t>
      </w:r>
      <w:r>
        <w:rPr>
          <w:rFonts w:hint="eastAsia" w:ascii="仿宋_GB2312" w:hAnsi="仿宋_GB2312" w:eastAsia="仿宋_GB2312" w:cs="仿宋_GB2312"/>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2011</w:t>
      </w:r>
      <w:r>
        <w:rPr>
          <w:rFonts w:hint="eastAsia" w:ascii="仿宋_GB2312" w:hAnsi="仿宋_GB2312" w:eastAsia="仿宋_GB2312" w:cs="仿宋_GB2312"/>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300号)的规定</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相关企业（含联合体中的小微企业、签订分包意向协议的小微企业）的具体情况如下：</w:t>
      </w:r>
      <w:r/>
    </w:p>
    <w:p>
      <w:pPr>
        <w:ind w:firstLine="360"/>
        <w:keepLines w:val="0"/>
        <w:keepNext w:val="0"/>
        <w:pageBreakBefore w:val="0"/>
        <w:spacing w:line="336" w:lineRule="auto"/>
        <w:widowControl w:val="off"/>
        <w:rPr>
          <w:rFonts w:hint="eastAsia" w:ascii="宋体" w:hAnsi="宋体" w:eastAsia="宋体"/>
          <w:i/>
          <w:color w:val="000000" w:themeColor="text1"/>
          <w:sz w:val="24"/>
          <w:szCs w:val="24"/>
          <w:highlight w:val="none"/>
          <w:u w:val="singl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none"/>
          <w14:textFill>
            <w14:solidFill>
              <w14:schemeClr w14:val="tx1"/>
            </w14:solidFill>
          </w14:textFill>
        </w:rPr>
        <w:t xml:space="preserve">（标的名称）</w:t>
      </w:r>
      <w:r>
        <w:rPr>
          <w:rFonts w:hint="eastAsia" w:ascii="宋体" w:hAnsi="宋体"/>
          <w:color w:val="000000" w:themeColor="text1"/>
          <w:sz w:val="24"/>
          <w:szCs w:val="24"/>
          <w:highlight w:val="none"/>
          <w14:textFill>
            <w14:solidFill>
              <w14:schemeClr w14:val="tx1"/>
            </w14:solidFill>
          </w14:textFill>
        </w:rPr>
        <w:t xml:space="preserve">属于</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行业</w:t>
      </w:r>
      <w:r>
        <w:rPr>
          <w:rFonts w:hint="eastAsia" w:ascii="宋体" w:hAnsi="宋体"/>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t xml:space="preserve">招标文件</w:t>
      </w:r>
      <w:r>
        <w:rPr>
          <w:rFonts w:hint="eastAsia" w:ascii="宋体" w:hAnsi="宋体" w:eastAsia="宋体" w:cs="Times New Roman"/>
          <w:color w:val="000000" w:themeColor="text1"/>
          <w:sz w:val="24"/>
          <w:szCs w:val="24"/>
          <w:highlight w:val="none"/>
          <w:u w:val="none"/>
          <w:lang w:eastAsia="zh-CN"/>
          <w14:textFill>
            <w14:solidFill>
              <w14:schemeClr w14:val="tx1"/>
            </w14:solidFill>
          </w14:textFill>
        </w:rPr>
        <w:t xml:space="preserve">中明确的所属行业</w:t>
      </w:r>
      <w:r>
        <w:rPr>
          <w:rFonts w:hint="eastAsia" w:ascii="宋体" w:hAnsi="宋体"/>
          <w:color w:val="000000" w:themeColor="text1"/>
          <w:sz w:val="24"/>
          <w:szCs w:val="24"/>
          <w:highlight w:val="none"/>
          <w:u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制造商</w:t>
      </w:r>
      <w:r>
        <w:rPr>
          <w:rFonts w:hint="eastAsia" w:ascii="宋体" w:hAnsi="宋体"/>
          <w:color w:val="000000" w:themeColor="text1"/>
          <w:sz w:val="24"/>
          <w:szCs w:val="24"/>
          <w:highlight w:val="none"/>
          <w14:textFill>
            <w14:solidFill>
              <w14:schemeClr w14:val="tx1"/>
            </w14:solidFill>
          </w14:textFill>
        </w:rPr>
        <w:t xml:space="preserve">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none"/>
          <w14:textFill>
            <w14:solidFill>
              <w14:schemeClr w14:val="tx1"/>
            </w14:solidFill>
          </w14:textFill>
        </w:rPr>
        <w:t xml:space="preserve">（企业名称）</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从业人员</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人</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营业收入为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万元</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资产总额为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万元</w:t>
      </w:r>
      <w:r>
        <w:rPr>
          <w:rFonts w:hint="eastAsia" w:ascii="宋体" w:hAnsi="宋体"/>
          <w:color w:val="000000" w:themeColor="text1"/>
          <w:sz w:val="24"/>
          <w:szCs w:val="24"/>
          <w:highlight w:val="none"/>
          <w:vertAlign w:val="superscript"/>
          <w14:textFill>
            <w14:solidFill>
              <w14:schemeClr w14:val="tx1"/>
            </w14:solidFill>
          </w14:textFill>
        </w:rPr>
        <w:t xml:space="preserve">1</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属于</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宋体" w:hAnsi="宋体"/>
          <w:color w:val="000000" w:themeColor="text1"/>
          <w:sz w:val="24"/>
          <w:szCs w:val="24"/>
          <w:highlight w:val="none"/>
          <w:u w:val="none"/>
          <w:lang w:eastAsia="zh-CN"/>
          <w14:textFill>
            <w14:solidFill>
              <w14:schemeClr w14:val="tx1"/>
            </w14:solidFill>
          </w14:textFill>
        </w:rPr>
        <w:t xml:space="preserve">中型企业</w:t>
      </w:r>
      <w:r>
        <w:rPr>
          <w:rFonts w:hint="eastAsia" w:ascii="宋体" w:hAnsi="宋体"/>
          <w:color w:val="000000" w:themeColor="text1"/>
          <w:sz w:val="24"/>
          <w:szCs w:val="24"/>
          <w:highlight w:val="none"/>
          <w:u w:val="none"/>
          <w:lang w:val="en-US" w:eastAsia="zh-CN"/>
          <w14:textFill>
            <w14:solidFill>
              <w14:schemeClr w14:val="tx1"/>
            </w14:solidFill>
          </w14:textFill>
        </w:rPr>
        <w:t xml:space="preserve"> </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宋体" w:hAnsi="宋体"/>
          <w:color w:val="000000" w:themeColor="text1"/>
          <w:sz w:val="24"/>
          <w:szCs w:val="24"/>
          <w:highlight w:val="none"/>
          <w:u w:val="none"/>
          <w14:textFill>
            <w14:solidFill>
              <w14:schemeClr w14:val="tx1"/>
            </w14:solidFill>
          </w14:textFill>
        </w:rPr>
        <w:t xml:space="preserve">小型企业</w:t>
      </w:r>
      <w:r>
        <w:rPr>
          <w:rFonts w:hint="eastAsia" w:ascii="宋体" w:hAnsi="宋体"/>
          <w:color w:val="000000" w:themeColor="text1"/>
          <w:sz w:val="24"/>
          <w:szCs w:val="24"/>
          <w:highlight w:val="none"/>
          <w:u w:val="none"/>
          <w:lang w:val="en-US" w:eastAsia="zh-CN"/>
          <w14:textFill>
            <w14:solidFill>
              <w14:schemeClr w14:val="tx1"/>
            </w14:solidFill>
          </w14:textFill>
        </w:rPr>
        <w:t xml:space="preserve"> </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宋体" w:hAnsi="宋体"/>
          <w:color w:val="000000" w:themeColor="text1"/>
          <w:sz w:val="24"/>
          <w:szCs w:val="24"/>
          <w:highlight w:val="none"/>
          <w:u w:val="none"/>
          <w14:textFill>
            <w14:solidFill>
              <w14:schemeClr w14:val="tx1"/>
            </w14:solidFill>
          </w14:textFill>
        </w:rPr>
        <w:t xml:space="preserve">微型企业</w:t>
      </w:r>
      <w:r>
        <w:rPr>
          <w:rFonts w:hint="eastAsia" w:ascii="宋体" w:hAnsi="宋体"/>
          <w:color w:val="000000" w:themeColor="text1"/>
          <w:sz w:val="24"/>
          <w:szCs w:val="24"/>
          <w:highlight w:val="none"/>
          <w:u w:val="none"/>
          <w:lang w:eastAsia="zh-CN"/>
          <w14:textFill>
            <w14:solidFill>
              <w14:schemeClr w14:val="tx1"/>
            </w14:solidFill>
          </w14:textFill>
        </w:rPr>
        <w:t xml:space="preserve">。</w:t>
      </w:r>
      <w:r/>
    </w:p>
    <w:p>
      <w:pPr>
        <w:ind w:firstLine="360"/>
        <w:keepLines w:val="0"/>
        <w:keepNext w:val="0"/>
        <w:pageBreakBefore w:val="0"/>
        <w:spacing w:line="336" w:lineRule="auto"/>
        <w:widowControl w:val="off"/>
        <w:rPr>
          <w:rFonts w:hint="eastAsia" w:ascii="宋体" w:hAnsi="宋体" w:eastAsia="宋体"/>
          <w:i/>
          <w:color w:val="000000" w:themeColor="text1"/>
          <w:sz w:val="24"/>
          <w:szCs w:val="24"/>
          <w:highlight w:val="none"/>
          <w:u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none"/>
          <w14:textFill>
            <w14:solidFill>
              <w14:schemeClr w14:val="tx1"/>
            </w14:solidFill>
          </w14:textFill>
        </w:rPr>
        <w:t xml:space="preserve">（标的名称）</w:t>
      </w:r>
      <w:r>
        <w:rPr>
          <w:rFonts w:hint="eastAsia" w:ascii="宋体" w:hAnsi="宋体"/>
          <w:color w:val="000000" w:themeColor="text1"/>
          <w:sz w:val="24"/>
          <w:szCs w:val="24"/>
          <w:highlight w:val="none"/>
          <w14:textFill>
            <w14:solidFill>
              <w14:schemeClr w14:val="tx1"/>
            </w14:solidFill>
          </w14:textFill>
        </w:rPr>
        <w:t xml:space="preserve">属于</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行业</w:t>
      </w:r>
      <w:r>
        <w:rPr>
          <w:rFonts w:hint="eastAsia" w:ascii="宋体" w:hAnsi="宋体"/>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t xml:space="preserve">招标文件</w:t>
      </w:r>
      <w:r>
        <w:rPr>
          <w:rFonts w:hint="eastAsia" w:ascii="宋体" w:hAnsi="宋体" w:eastAsia="宋体" w:cs="Times New Roman"/>
          <w:color w:val="000000" w:themeColor="text1"/>
          <w:sz w:val="24"/>
          <w:szCs w:val="24"/>
          <w:highlight w:val="none"/>
          <w:u w:val="none"/>
          <w:lang w:eastAsia="zh-CN"/>
          <w14:textFill>
            <w14:solidFill>
              <w14:schemeClr w14:val="tx1"/>
            </w14:solidFill>
          </w14:textFill>
        </w:rPr>
        <w:t xml:space="preserve">中明确的所属</w:t>
      </w:r>
      <w:r>
        <w:rPr>
          <w:rFonts w:hint="eastAsia" w:ascii="宋体" w:hAnsi="宋体"/>
          <w:color w:val="000000" w:themeColor="text1"/>
          <w:sz w:val="24"/>
          <w:szCs w:val="24"/>
          <w:highlight w:val="none"/>
          <w:u w:val="none"/>
          <w:lang w:eastAsia="zh-CN"/>
          <w14:textFill>
            <w14:solidFill>
              <w14:schemeClr w14:val="tx1"/>
            </w14:solidFill>
          </w14:textFill>
        </w:rPr>
        <w:t xml:space="preserve">行业）</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制造商</w:t>
      </w:r>
      <w:r>
        <w:rPr>
          <w:rFonts w:hint="eastAsia" w:ascii="宋体" w:hAnsi="宋体"/>
          <w:color w:val="000000" w:themeColor="text1"/>
          <w:sz w:val="24"/>
          <w:szCs w:val="24"/>
          <w:highlight w:val="none"/>
          <w14:textFill>
            <w14:solidFill>
              <w14:schemeClr w14:val="tx1"/>
            </w14:solidFill>
          </w14:textFill>
        </w:rPr>
        <w:t xml:space="preserve">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none"/>
          <w14:textFill>
            <w14:solidFill>
              <w14:schemeClr w14:val="tx1"/>
            </w14:solidFill>
          </w14:textFill>
        </w:rPr>
        <w:t xml:space="preserve">（企业名称）</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从业人员</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人</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营业收入为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万元</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资产总额为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万元</w:t>
      </w:r>
      <w:r>
        <w:rPr>
          <w:rFonts w:hint="eastAsia" w:ascii="宋体" w:hAnsi="宋体"/>
          <w:color w:val="000000" w:themeColor="text1"/>
          <w:sz w:val="24"/>
          <w:szCs w:val="24"/>
          <w:highlight w:val="none"/>
          <w:vertAlign w:val="superscript"/>
          <w14:textFill>
            <w14:solidFill>
              <w14:schemeClr w14:val="tx1"/>
            </w14:solidFill>
          </w14:textFill>
        </w:rPr>
        <w:t xml:space="preserve">1</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属于</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宋体" w:hAnsi="宋体"/>
          <w:color w:val="000000" w:themeColor="text1"/>
          <w:sz w:val="24"/>
          <w:szCs w:val="24"/>
          <w:highlight w:val="none"/>
          <w:u w:val="none"/>
          <w:lang w:eastAsia="zh-CN"/>
          <w14:textFill>
            <w14:solidFill>
              <w14:schemeClr w14:val="tx1"/>
            </w14:solidFill>
          </w14:textFill>
        </w:rPr>
        <w:t xml:space="preserve">中型企业</w:t>
      </w:r>
      <w:r>
        <w:rPr>
          <w:rFonts w:hint="eastAsia" w:ascii="宋体" w:hAnsi="宋体"/>
          <w:color w:val="000000" w:themeColor="text1"/>
          <w:sz w:val="24"/>
          <w:szCs w:val="24"/>
          <w:highlight w:val="none"/>
          <w:u w:val="none"/>
          <w:lang w:val="en-US" w:eastAsia="zh-CN"/>
          <w14:textFill>
            <w14:solidFill>
              <w14:schemeClr w14:val="tx1"/>
            </w14:solidFill>
          </w14:textFill>
        </w:rPr>
        <w:t xml:space="preserve"> </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宋体" w:hAnsi="宋体"/>
          <w:color w:val="000000" w:themeColor="text1"/>
          <w:sz w:val="24"/>
          <w:szCs w:val="24"/>
          <w:highlight w:val="none"/>
          <w:u w:val="none"/>
          <w14:textFill>
            <w14:solidFill>
              <w14:schemeClr w14:val="tx1"/>
            </w14:solidFill>
          </w14:textFill>
        </w:rPr>
        <w:t xml:space="preserve">小型企业</w:t>
      </w:r>
      <w:r>
        <w:rPr>
          <w:rFonts w:hint="eastAsia" w:ascii="宋体" w:hAnsi="宋体"/>
          <w:color w:val="000000" w:themeColor="text1"/>
          <w:sz w:val="24"/>
          <w:szCs w:val="24"/>
          <w:highlight w:val="none"/>
          <w:u w:val="none"/>
          <w:lang w:val="en-US" w:eastAsia="zh-CN"/>
          <w14:textFill>
            <w14:solidFill>
              <w14:schemeClr w14:val="tx1"/>
            </w14:solidFill>
          </w14:textFill>
        </w:rPr>
        <w:t xml:space="preserve"> </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宋体" w:hAnsi="宋体"/>
          <w:color w:val="000000" w:themeColor="text1"/>
          <w:sz w:val="24"/>
          <w:szCs w:val="24"/>
          <w:highlight w:val="none"/>
          <w:u w:val="none"/>
          <w14:textFill>
            <w14:solidFill>
              <w14:schemeClr w14:val="tx1"/>
            </w14:solidFill>
          </w14:textFill>
        </w:rPr>
        <w:t xml:space="preserve">微型企业</w:t>
      </w:r>
      <w:r>
        <w:rPr>
          <w:rFonts w:hint="eastAsia" w:ascii="宋体" w:hAnsi="宋体"/>
          <w:color w:val="000000" w:themeColor="text1"/>
          <w:sz w:val="24"/>
          <w:szCs w:val="24"/>
          <w:highlight w:val="none"/>
          <w:u w:val="none"/>
          <w:lang w:eastAsia="zh-CN"/>
          <w14:textFill>
            <w14:solidFill>
              <w14:schemeClr w14:val="tx1"/>
            </w14:solidFill>
          </w14:textFill>
        </w:rPr>
        <w:t xml:space="preserve">。</w:t>
      </w:r>
      <w:r/>
    </w:p>
    <w:p>
      <w:pPr>
        <w:ind w:firstLine="360"/>
        <w:keepLines w:val="0"/>
        <w:keepNext w:val="0"/>
        <w:pageBreakBefore w:val="0"/>
        <w:spacing w:line="336"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p>
    <w:p>
      <w:pPr>
        <w:ind w:firstLine="360"/>
        <w:keepLines w:val="0"/>
        <w:keepNext w:val="0"/>
        <w:pageBreakBefore w:val="0"/>
        <w:spacing w:line="336"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以上企业</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不属于大企业的分支机构</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不存在控股股东为大企业的情形</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也不存在与大企业的负责人为同一人的情形。</w:t>
      </w:r>
      <w:r/>
    </w:p>
    <w:p>
      <w:pPr>
        <w:ind w:firstLine="360"/>
        <w:keepLines w:val="0"/>
        <w:keepNext w:val="0"/>
        <w:pageBreakBefore w:val="0"/>
        <w:spacing w:line="336" w:lineRule="auto"/>
        <w:widowControl w:val="off"/>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本企业对上述声明内容的真实性负责</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如有虚假</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将依法承担相应责任</w:t>
      </w:r>
      <w:r>
        <w:rPr>
          <w:rFonts w:hint="eastAsia" w:ascii="宋体" w:hAnsi="宋体"/>
          <w:color w:val="000000" w:themeColor="text1"/>
          <w:sz w:val="24"/>
          <w:szCs w:val="24"/>
          <w:highlight w:val="none"/>
          <w:lang w:eastAsia="zh-CN"/>
          <w14:textFill>
            <w14:solidFill>
              <w14:schemeClr w14:val="tx1"/>
            </w14:solidFill>
          </w14:textFill>
        </w:rPr>
        <w:t xml:space="preserve">。</w:t>
      </w:r>
      <w:r/>
    </w:p>
    <w:p>
      <w:pPr>
        <w:pStyle w:val="882"/>
        <w:keepLines w:val="0"/>
        <w:keepNext w:val="0"/>
        <w:pageBreakBefore w:val="0"/>
        <w:spacing w:line="336" w:lineRule="auto"/>
        <w:widowControl w:val="off"/>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r>
      <w:r/>
    </w:p>
    <w:p>
      <w:pPr>
        <w:keepLines w:val="0"/>
        <w:keepNext w:val="0"/>
        <w:pageBreakBefore w:val="0"/>
        <w:spacing w:line="336" w:lineRule="auto"/>
        <w:widowControl w:val="off"/>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ind w:right="180" w:firstLine="360"/>
        <w:jc w:val="center"/>
        <w:keepLines w:val="0"/>
        <w:keepNext w:val="0"/>
        <w:pageBreakBefore w:val="0"/>
        <w:spacing w:line="336"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企业名称</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（加盖电子公章）</w:t>
      </w:r>
      <w:r/>
    </w:p>
    <w:p>
      <w:pPr>
        <w:ind w:firstLine="6000"/>
        <w:keepLines w:val="0"/>
        <w:keepNext w:val="0"/>
        <w:pageBreakBefore w:val="0"/>
        <w:spacing w:line="336"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  </w:t>
      </w:r>
      <w:r>
        <w:rPr>
          <w:rFonts w:hint="eastAsia"/>
          <w:color w:val="000000" w:themeColor="text1"/>
          <w:sz w:val="24"/>
          <w:szCs w:val="24"/>
          <w:highlight w:val="non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期：</w:t>
      </w:r>
      <w:r/>
    </w:p>
    <w:p>
      <w:pPr>
        <w:ind w:firstLine="480"/>
        <w:keepLines w:val="0"/>
        <w:keepNext w:val="0"/>
        <w:pageBreakBefore w:val="0"/>
        <w:spacing w:line="336" w:lineRule="auto"/>
        <w:widowControl w:val="off"/>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r>
      <w:r/>
    </w:p>
    <w:p>
      <w:pPr>
        <w:ind w:firstLine="480"/>
        <w:spacing w:line="336" w:lineRule="auto"/>
        <w:rPr>
          <w:rFonts w:hint="eastAsia" w:ascii="宋体" w:hAnsi="宋体" w:eastAsia="宋体" w:cs="Times New Roman"/>
          <w:color w:val="000000" w:themeColor="text1"/>
          <w:sz w:val="24"/>
          <w:szCs w:val="24"/>
          <w:highlight w:val="none"/>
          <w:lang w:eastAsia="zh-CN"/>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备注</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从业人员、营业收入、资产总额填报上一年度数据，无上一年度数据的新成立企业可不填报。</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2.在所属企业类型前的</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宋体" w:hAnsi="宋体"/>
          <w:color w:val="000000" w:themeColor="text1"/>
          <w:sz w:val="24"/>
          <w:szCs w:val="24"/>
          <w:highlight w:val="none"/>
          <w:u w:val="none"/>
          <w:lang w:val="en-US" w:eastAsia="zh-CN"/>
          <w14:textFill>
            <w14:solidFill>
              <w14:schemeClr w14:val="tx1"/>
            </w14:solidFill>
          </w14:textFill>
        </w:rPr>
        <w:t xml:space="preserve">内打“</w:t>
      </w:r>
      <w:r>
        <w:rPr>
          <w:rFonts w:ascii="Arial" w:hAnsi="Arial" w:cs="Arial"/>
          <w:color w:val="000000" w:themeColor="text1"/>
          <w:sz w:val="24"/>
          <w:szCs w:val="24"/>
          <w:highlight w:val="none"/>
          <w:u w:val="none"/>
          <w:lang w:val="en-US" w:eastAsia="zh-CN"/>
          <w14:textFill>
            <w14:solidFill>
              <w14:schemeClr w14:val="tx1"/>
            </w14:solidFill>
          </w14:textFill>
        </w:rPr>
        <w:t xml:space="preserve">√</w:t>
      </w:r>
      <w:r>
        <w:rPr>
          <w:rFonts w:hint="eastAsia" w:ascii="宋体" w:hAnsi="宋体"/>
          <w:color w:val="000000" w:themeColor="text1"/>
          <w:sz w:val="24"/>
          <w:szCs w:val="24"/>
          <w:highlight w:val="none"/>
          <w:u w:val="none"/>
          <w:lang w:val="en-US"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投标人如不提供此声明函，不得参加专门面向中小企业采购项目或者</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不得享受小微企业价格扣除政策</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项目</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清单中列示的所有货物，投标人须在声明函中逐项列示并明确制造商的企业类型，如有缺失将按“不提供声明函”处理。此声明函将随成交结果同时公告，接受社会监督。</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4.货物</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采购项目中，货物的制造商应当为中小企业</w:t>
      </w:r>
      <w:r>
        <w:rPr>
          <w:rFonts w:hint="eastAsia" w:ascii="宋体" w:hAnsi="宋体" w:eastAsia="宋体" w:cs="Times New Roman"/>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货物由中小企业制造，即货物由中小企业生产且使用该中小企业商号或者注册商标</w:t>
      </w:r>
      <w:r>
        <w:rPr>
          <w:rFonts w:hint="eastAsia" w:ascii="宋体" w:hAnsi="宋体" w:eastAsia="宋体" w:cs="Times New Roman"/>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，不对其中涉及的服务的承接商、工程的承建商作出要求。</w:t>
      </w:r>
      <w:r/>
    </w:p>
    <w:p>
      <w:pPr>
        <w:ind w:firstLine="480"/>
        <w:keepLines w:val="0"/>
        <w:keepNext w:val="0"/>
        <w:pageBreakBefore w:val="0"/>
        <w:spacing w:line="336" w:lineRule="auto"/>
        <w:widowControl w:val="off"/>
        <w:rPr>
          <w:rFonts w:hint="eastAsia" w:ascii="宋体" w:hAnsi="宋体" w:eastAsia="宋体" w:cs="Times New Roman"/>
          <w:color w:val="000000" w:themeColor="text1"/>
          <w:sz w:val="24"/>
          <w:szCs w:val="24"/>
          <w:highlight w:val="none"/>
          <w:lang w:eastAsia="zh-CN"/>
          <w14:textFill>
            <w14:solidFill>
              <w14:schemeClr w14:val="tx1"/>
            </w14:solidFill>
          </w14:textFill>
        </w:rPr>
      </w:pPr>
      <w:r>
        <w:rPr>
          <w:rFonts w:hint="eastAsia" w:ascii="宋体" w:hAnsi="宋体" w:eastAsia="宋体" w:cs="Times New Roman"/>
          <w:color w:val="000000" w:themeColor="text1"/>
          <w:sz w:val="24"/>
          <w:szCs w:val="24"/>
          <w:highlight w:val="none"/>
          <w:lang w:eastAsia="zh-CN"/>
          <w14:textFill>
            <w14:solidFill>
              <w14:schemeClr w14:val="tx1"/>
            </w14:solidFill>
          </w14:textFill>
        </w:rPr>
      </w:r>
      <w:r/>
    </w:p>
    <w:p>
      <w:pPr>
        <w:ind w:firstLine="0"/>
        <w:jc w:val="left"/>
        <w:spacing w:line="360" w:lineRule="auto"/>
        <w:rPr>
          <w:rFonts w:hint="eastAsia" w:ascii="黑体" w:hAnsi="黑体" w:eastAsia="黑体"/>
          <w:b w:val="0"/>
          <w:color w:val="000000" w:themeColor="text1"/>
          <w:sz w:val="32"/>
          <w:szCs w:val="32"/>
          <w:highlight w:val="none"/>
          <w14:textFill>
            <w14:solidFill>
              <w14:schemeClr w14:val="tx1"/>
            </w14:solidFill>
          </w14:textFill>
        </w:rPr>
      </w:pPr>
      <w:r>
        <w:rPr>
          <w:rFonts w:hint="eastAsia" w:ascii="黑体" w:hAnsi="黑体" w:eastAsia="黑体" w:cs="Times New Roman"/>
          <w:i w:val="0"/>
          <w:iCs w:val="0"/>
          <w:color w:val="000000" w:themeColor="text1"/>
          <w:sz w:val="32"/>
          <w:szCs w:val="32"/>
          <w:highlight w:val="none"/>
          <w:u w:val="none"/>
          <w:lang w:val="en-US" w:eastAsia="zh-CN"/>
          <w14:textFill>
            <w14:solidFill>
              <w14:schemeClr w14:val="tx1"/>
            </w14:solidFill>
          </w14:textFill>
        </w:rPr>
        <w:t xml:space="preserve">十一、残疾人福利性单位声明函</w:t>
      </w:r>
      <w:r/>
    </w:p>
    <w:p>
      <w:pPr>
        <w:jc w:val="center"/>
        <w:spacing w:line="360" w:lineRule="auto"/>
        <w:rPr>
          <w:rFonts w:hint="eastAsia" w:ascii="方正小标宋简体" w:hAnsi="方正小标宋简体" w:eastAsia="方正小标宋简体" w:cs="方正小标宋简体"/>
          <w:color w:val="000000" w:themeColor="text1"/>
          <w:sz w:val="32"/>
          <w:szCs w:val="32"/>
          <w:highlight w:val="none"/>
          <w:lang w:val="en-US" w:eastAsia="zh-CN"/>
          <w14:textFill>
            <w14:solidFill>
              <w14:schemeClr w14:val="tx1"/>
            </w14:solidFill>
          </w14:textFill>
        </w:rPr>
        <w:outlineLvl w:val="0"/>
      </w:pPr>
      <w:r>
        <w:rPr>
          <w:rFonts w:hint="eastAsia" w:ascii="方正小标宋简体" w:hAnsi="方正小标宋简体" w:eastAsia="方正小标宋简体" w:cs="方正小标宋简体"/>
          <w:color w:val="000000" w:themeColor="text1"/>
          <w:sz w:val="32"/>
          <w:szCs w:val="32"/>
          <w:highlight w:val="none"/>
          <w:lang w:val="en-US" w:eastAsia="zh-CN"/>
          <w14:textFill>
            <w14:solidFill>
              <w14:schemeClr w14:val="tx1"/>
            </w14:solidFill>
          </w14:textFill>
        </w:rPr>
        <w:t xml:space="preserve">残疾人福利性单位声明函</w:t>
      </w:r>
      <w:r/>
    </w:p>
    <w:p>
      <w:pPr>
        <w:ind w:firstLine="480"/>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本单位郑重声明</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根据《财政部 民政部 中国残疾人联合会关于促进残疾人就业政府采购政策的通知》（财库〔2017〕141号）的规定</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本单位为符合条件的残疾人福利性单位</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14:textFill>
            <w14:solidFill>
              <w14:schemeClr w14:val="tx1"/>
            </w14:solidFill>
          </w14:textFill>
        </w:rPr>
        <w:t xml:space="preserve">参加</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XXXXXXXXXXXXXXXXXXXXXXXXX</w:t>
      </w:r>
      <w:r>
        <w:rPr>
          <w:rFonts w:hint="eastAsia" w:ascii="宋体" w:hAnsi="宋体" w:eastAsia="宋体" w:cs="Times New Roman"/>
          <w:color w:val="000000" w:themeColor="text1"/>
          <w:sz w:val="24"/>
          <w:szCs w:val="24"/>
          <w:highlight w:val="none"/>
          <w:u w:val="none"/>
          <w14:textFill>
            <w14:solidFill>
              <w14:schemeClr w14:val="tx1"/>
            </w14:solidFill>
          </w14:textFill>
        </w:rPr>
        <w:t xml:space="preserve">（单位名称）</w:t>
      </w:r>
      <w:r>
        <w:rPr>
          <w:rFonts w:hint="eastAsia" w:ascii="宋体" w:hAnsi="宋体" w:eastAsia="宋体" w:cs="Times New Roman"/>
          <w:color w:val="000000" w:themeColor="text1"/>
          <w:sz w:val="24"/>
          <w:szCs w:val="24"/>
          <w:highlight w:val="none"/>
          <w14:textFill>
            <w14:solidFill>
              <w14:schemeClr w14:val="tx1"/>
            </w14:solidFill>
          </w14:textFill>
        </w:rPr>
        <w:t xml:space="preserve">采购编号为</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XXXXXXXXXXXXXXXXXXXXXXXXX</w:t>
      </w:r>
      <w:r>
        <w:rPr>
          <w:rFonts w:hint="eastAsia" w:ascii="宋体" w:hAnsi="宋体" w:eastAsia="宋体" w:cs="Times New Roman"/>
          <w:color w:val="000000" w:themeColor="text1"/>
          <w:sz w:val="24"/>
          <w:szCs w:val="24"/>
          <w:highlight w:val="none"/>
          <w:u w:val="none"/>
          <w:lang w:eastAsia="zh-CN"/>
          <w14:textFill>
            <w14:solidFill>
              <w14:schemeClr w14:val="tx1"/>
            </w14:solidFill>
          </w14:textFill>
        </w:rPr>
        <w:t xml:space="preserve">项目</w:t>
      </w:r>
      <w:r>
        <w:rPr>
          <w:rFonts w:hint="eastAsia" w:ascii="宋体" w:hAnsi="宋体" w:eastAsia="宋体" w:cs="Times New Roman"/>
          <w:color w:val="000000" w:themeColor="text1"/>
          <w:sz w:val="24"/>
          <w:szCs w:val="24"/>
          <w:highlight w:val="none"/>
          <w:u w:val="none"/>
          <w14:textFill>
            <w14:solidFill>
              <w14:schemeClr w14:val="tx1"/>
            </w14:solidFill>
          </w14:textFill>
        </w:rPr>
        <w:t xml:space="preserve">（</w:t>
      </w:r>
      <w:r>
        <w:rPr>
          <w:rFonts w:hint="eastAsia" w:ascii="宋体" w:hAnsi="宋体" w:cs="Times New Roman"/>
          <w:color w:val="000000" w:themeColor="text1"/>
          <w:sz w:val="24"/>
          <w:szCs w:val="24"/>
          <w:highlight w:val="none"/>
          <w:u w:val="none"/>
          <w:lang w:eastAsia="zh-CN"/>
          <w14:textFill>
            <w14:solidFill>
              <w14:schemeClr w14:val="tx1"/>
            </w14:solidFill>
          </w14:textFill>
        </w:rPr>
        <w:t xml:space="preserve">采购</w:t>
      </w:r>
      <w:r>
        <w:rPr>
          <w:rFonts w:hint="eastAsia" w:ascii="宋体" w:hAnsi="宋体" w:eastAsia="宋体" w:cs="Times New Roman"/>
          <w:color w:val="000000" w:themeColor="text1"/>
          <w:sz w:val="24"/>
          <w:szCs w:val="24"/>
          <w:highlight w:val="none"/>
          <w:u w:val="none"/>
          <w14:textFill>
            <w14:solidFill>
              <w14:schemeClr w14:val="tx1"/>
            </w14:solidFill>
          </w14:textFill>
        </w:rPr>
        <w:t xml:space="preserve">包号：</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XXX</w:t>
      </w:r>
      <w:r>
        <w:rPr>
          <w:rFonts w:hint="eastAsia" w:ascii="宋体" w:hAnsi="宋体" w:eastAsia="宋体" w:cs="Times New Roman"/>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14:textFill>
            <w14:solidFill>
              <w14:schemeClr w14:val="tx1"/>
            </w14:solidFill>
          </w14:textFill>
        </w:rPr>
        <w:t xml:space="preserve">的采购活动</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提供本单位制造的货物</w:t>
      </w:r>
      <w:r>
        <w:rPr>
          <w:rFonts w:hint="eastAsia" w:ascii="宋体" w:hAnsi="宋体"/>
          <w:color w:val="000000" w:themeColor="text1"/>
          <w:sz w:val="24"/>
          <w:szCs w:val="21"/>
          <w:highlight w:val="none"/>
          <w:lang w:eastAsia="zh-CN"/>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或者提供其他残疾人福利性单位制造的货物（不包括使用非残疾人福利性单位注册商标的货物）。</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本单位对上述声明的真实性负责</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如有虚假</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将依法承担相应责任。</w:t>
      </w:r>
      <w:r/>
    </w:p>
    <w:p>
      <w:pPr>
        <w:pStyle w:val="882"/>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ind w:right="180" w:firstLine="360"/>
        <w:jc w:val="center"/>
        <w:keepLines w:val="0"/>
        <w:keepNext w:val="0"/>
        <w:pageBreakBefore w:val="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企业名称</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（加盖电子公章）</w:t>
      </w:r>
      <w:r/>
    </w:p>
    <w:p>
      <w:pPr>
        <w:ind w:firstLine="6000"/>
        <w:keepLines w:val="0"/>
        <w:keepNext w:val="0"/>
        <w:pageBreakBefore w:val="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  </w:t>
      </w:r>
      <w:r>
        <w:rPr>
          <w:rFonts w:hint="eastAsia"/>
          <w:color w:val="000000" w:themeColor="text1"/>
          <w:sz w:val="24"/>
          <w:szCs w:val="24"/>
          <w:highlight w:val="non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期：</w:t>
      </w:r>
      <w:r/>
    </w:p>
    <w:p>
      <w:pPr>
        <w:ind w:firstLine="480"/>
        <w:spacing w:line="588"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备注：</w:t>
      </w:r>
      <w:r/>
    </w:p>
    <w:p>
      <w:pPr>
        <w:ind w:firstLine="480"/>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lang w:val="en-US" w:eastAsia="zh-CN"/>
          <w14:textFill>
            <w14:solidFill>
              <w14:schemeClr w14:val="tx1"/>
            </w14:solidFill>
          </w14:textFill>
        </w:rPr>
        <w:t xml:space="preserve">.</w:t>
      </w:r>
      <w:r>
        <w:rPr>
          <w:rFonts w:hint="eastAsia" w:ascii="宋体" w:hAnsi="宋体"/>
          <w:color w:val="000000" w:themeColor="text1"/>
          <w:sz w:val="24"/>
          <w:highlight w:val="none"/>
          <w:lang w:eastAsia="zh-CN"/>
          <w14:textFill>
            <w14:solidFill>
              <w14:schemeClr w14:val="tx1"/>
            </w14:solidFill>
          </w14:textFill>
        </w:rPr>
        <w:t xml:space="preserve">投标人</w:t>
      </w:r>
      <w:r>
        <w:rPr>
          <w:rFonts w:hint="eastAsia" w:ascii="宋体" w:hAnsi="宋体"/>
          <w:color w:val="000000" w:themeColor="text1"/>
          <w:sz w:val="24"/>
          <w:highlight w:val="none"/>
          <w14:textFill>
            <w14:solidFill>
              <w14:schemeClr w14:val="tx1"/>
            </w14:solidFill>
          </w14:textFill>
        </w:rPr>
        <w:t xml:space="preserve">如不提供此声明函</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价格将不</w:t>
      </w:r>
      <w:r>
        <w:rPr>
          <w:rFonts w:hint="eastAsia" w:ascii="宋体" w:hAnsi="宋体"/>
          <w:color w:val="000000" w:themeColor="text1"/>
          <w:sz w:val="24"/>
          <w:highlight w:val="none"/>
          <w:lang w:val="en-US" w:eastAsia="zh-CN"/>
          <w14:textFill>
            <w14:solidFill>
              <w14:schemeClr w14:val="tx1"/>
            </w14:solidFill>
          </w14:textFill>
        </w:rPr>
        <w:t xml:space="preserve">作</w:t>
      </w:r>
      <w:r>
        <w:rPr>
          <w:rFonts w:hint="eastAsia" w:ascii="宋体" w:hAnsi="宋体"/>
          <w:color w:val="000000" w:themeColor="text1"/>
          <w:sz w:val="24"/>
          <w:highlight w:val="none"/>
          <w14:textFill>
            <w14:solidFill>
              <w14:schemeClr w14:val="tx1"/>
            </w14:solidFill>
          </w14:textFill>
        </w:rPr>
        <w:t xml:space="preserve">相应扣除。</w:t>
      </w:r>
      <w:r/>
    </w:p>
    <w:p>
      <w:pPr>
        <w:ind w:firstLine="48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lang w:val="en-US"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中标人为残疾人福利</w:t>
      </w:r>
      <w:r>
        <w:rPr>
          <w:rFonts w:hint="eastAsia" w:ascii="宋体" w:hAnsi="宋体"/>
          <w:color w:val="000000" w:themeColor="text1"/>
          <w:sz w:val="24"/>
          <w:highlight w:val="none"/>
          <w:lang w:val="en-US" w:eastAsia="zh-CN"/>
          <w14:textFill>
            <w14:solidFill>
              <w14:schemeClr w14:val="tx1"/>
            </w14:solidFill>
          </w14:textFill>
        </w:rPr>
        <w:t xml:space="preserve">性</w:t>
      </w:r>
      <w:r>
        <w:rPr>
          <w:rFonts w:hint="eastAsia" w:ascii="宋体" w:hAnsi="宋体"/>
          <w:color w:val="000000" w:themeColor="text1"/>
          <w:sz w:val="24"/>
          <w:highlight w:val="none"/>
          <w14:textFill>
            <w14:solidFill>
              <w14:schemeClr w14:val="tx1"/>
            </w14:solidFill>
          </w14:textFill>
        </w:rPr>
        <w:t xml:space="preserve">单位的</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此声明函将随中标结果同时公告</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接受社会监督</w:t>
      </w:r>
      <w:r>
        <w:rPr>
          <w:rFonts w:hint="eastAsia" w:ascii="宋体" w:hAnsi="宋体"/>
          <w:color w:val="000000" w:themeColor="text1"/>
          <w:sz w:val="24"/>
          <w:highlight w:val="none"/>
          <w:lang w:eastAsia="zh-CN"/>
          <w14:textFill>
            <w14:solidFill>
              <w14:schemeClr w14:val="tx1"/>
            </w14:solidFill>
          </w14:textFill>
        </w:rPr>
        <w:t xml:space="preserve">。</w:t>
      </w:r>
      <w:r/>
    </w:p>
    <w:p>
      <w:pPr>
        <w:ind w:firstLine="624"/>
        <w:spacing w:line="480" w:lineRule="exact"/>
        <w:rPr>
          <w:rFonts w:ascii="仿宋_GB2312" w:eastAsia="仿宋_GB2312"/>
          <w:color w:val="000000" w:themeColor="text1"/>
          <w:spacing w:val="6"/>
          <w:sz w:val="30"/>
          <w:szCs w:val="30"/>
          <w:highlight w:val="none"/>
          <w14:textFill>
            <w14:solidFill>
              <w14:schemeClr w14:val="tx1"/>
            </w14:solidFill>
          </w14:textFill>
        </w:rPr>
      </w:pPr>
      <w:r>
        <w:rPr>
          <w:rFonts w:ascii="仿宋_GB2312" w:eastAsia="仿宋_GB2312"/>
          <w:color w:val="000000" w:themeColor="text1"/>
          <w:spacing w:val="6"/>
          <w:sz w:val="30"/>
          <w:szCs w:val="30"/>
          <w:highlight w:val="none"/>
          <w14:textFill>
            <w14:solidFill>
              <w14:schemeClr w14:val="tx1"/>
            </w14:solidFill>
          </w14:textFill>
        </w:rPr>
      </w:r>
      <w:r/>
    </w:p>
    <w:p>
      <w:pPr>
        <w:pStyle w:val="90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576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                                         </w:t>
      </w:r>
      <w:r/>
    </w:p>
    <w:p>
      <w:pPr>
        <w:jc w:val="both"/>
        <w:spacing w:line="560" w:lineRule="exact"/>
        <w:rPr>
          <w:rFonts w:hint="eastAsia" w:ascii="黑体" w:hAnsi="黑体" w:eastAsia="黑体"/>
          <w:b/>
          <w:bCs/>
          <w:color w:val="000000" w:themeColor="text1"/>
          <w:sz w:val="32"/>
          <w:szCs w:val="32"/>
          <w:highlight w:val="none"/>
          <w14:textFill>
            <w14:solidFill>
              <w14:schemeClr w14:val="tx1"/>
            </w14:solidFill>
          </w14:textFill>
        </w:rPr>
      </w:pPr>
      <w:r>
        <w:rPr>
          <w:rFonts w:hint="eastAsia" w:ascii="黑体" w:hAnsi="黑体" w:eastAsia="黑体"/>
          <w:b/>
          <w:bCs/>
          <w:color w:val="000000" w:themeColor="text1"/>
          <w:sz w:val="32"/>
          <w:szCs w:val="32"/>
          <w:highlight w:val="none"/>
          <w14:textFill>
            <w14:solidFill>
              <w14:schemeClr w14:val="tx1"/>
            </w14:solidFill>
          </w14:textFill>
        </w:rPr>
      </w:r>
      <w:r/>
    </w:p>
    <w:p>
      <w:pPr>
        <w:numPr>
          <w:ilvl w:val="0"/>
          <w:numId w:val="0"/>
        </w:numPr>
        <w:jc w:val="left"/>
        <w:spacing w:line="360" w:lineRule="auto"/>
        <w:rPr>
          <w:rFonts w:hint="eastAsia" w:ascii="黑体" w:hAnsi="黑体" w:eastAsia="黑体" w:cs="Times New Roman"/>
          <w:i w:val="0"/>
          <w:iCs w:val="0"/>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iCs w:val="0"/>
          <w:color w:val="000000" w:themeColor="text1"/>
          <w:sz w:val="32"/>
          <w:szCs w:val="32"/>
          <w:highlight w:val="none"/>
          <w:u w:val="none"/>
          <w:lang w:val="en-US" w:eastAsia="zh-CN"/>
          <w14:textFill>
            <w14:solidFill>
              <w14:schemeClr w14:val="tx1"/>
            </w14:solidFill>
          </w14:textFill>
        </w:rPr>
      </w:r>
      <w:r/>
    </w:p>
    <w:p>
      <w:pPr>
        <w:numPr>
          <w:ilvl w:val="0"/>
          <w:numId w:val="0"/>
        </w:numPr>
        <w:jc w:val="left"/>
        <w:spacing w:line="360" w:lineRule="auto"/>
        <w:rPr>
          <w:rFonts w:hint="eastAsia" w:ascii="黑体" w:hAnsi="黑体" w:eastAsia="黑体" w:cs="Times New Roman"/>
          <w:i w:val="0"/>
          <w:iCs w:val="0"/>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iCs w:val="0"/>
          <w:color w:val="000000" w:themeColor="text1"/>
          <w:sz w:val="32"/>
          <w:szCs w:val="32"/>
          <w:highlight w:val="none"/>
          <w:u w:val="none"/>
          <w:lang w:val="en-US" w:eastAsia="zh-CN"/>
          <w14:textFill>
            <w14:solidFill>
              <w14:schemeClr w14:val="tx1"/>
            </w14:solidFill>
          </w14:textFill>
        </w:rPr>
      </w:r>
      <w:r/>
    </w:p>
    <w:p>
      <w:pPr>
        <w:numPr>
          <w:ilvl w:val="0"/>
          <w:numId w:val="0"/>
        </w:numPr>
        <w:jc w:val="left"/>
        <w:spacing w:line="360" w:lineRule="auto"/>
        <w:rPr>
          <w:rFonts w:hint="eastAsia" w:ascii="黑体" w:hAnsi="黑体" w:eastAsia="黑体" w:cs="Times New Roman"/>
          <w:i w:val="0"/>
          <w:iCs w:val="0"/>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iCs w:val="0"/>
          <w:color w:val="000000" w:themeColor="text1"/>
          <w:sz w:val="32"/>
          <w:szCs w:val="32"/>
          <w:highlight w:val="none"/>
          <w:u w:val="none"/>
          <w:lang w:val="en-US" w:eastAsia="zh-CN"/>
          <w14:textFill>
            <w14:solidFill>
              <w14:schemeClr w14:val="tx1"/>
            </w14:solidFill>
          </w14:textFill>
        </w:rPr>
      </w:r>
      <w:r/>
    </w:p>
    <w:p>
      <w:pPr>
        <w:numPr>
          <w:ilvl w:val="0"/>
          <w:numId w:val="0"/>
        </w:numPr>
        <w:jc w:val="left"/>
        <w:spacing w:line="360" w:lineRule="auto"/>
        <w:rPr>
          <w:rFonts w:hint="eastAsia" w:ascii="黑体" w:hAnsi="黑体" w:eastAsia="黑体" w:cs="Times New Roman"/>
          <w:i w:val="0"/>
          <w:iCs w:val="0"/>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iCs w:val="0"/>
          <w:color w:val="000000" w:themeColor="text1"/>
          <w:sz w:val="32"/>
          <w:szCs w:val="32"/>
          <w:highlight w:val="none"/>
          <w:u w:val="none"/>
          <w:lang w:val="en-US" w:eastAsia="zh-CN"/>
          <w14:textFill>
            <w14:solidFill>
              <w14:schemeClr w14:val="tx1"/>
            </w14:solidFill>
          </w14:textFill>
        </w:rPr>
      </w:r>
      <w:r/>
    </w:p>
    <w:p>
      <w:pPr>
        <w:numPr>
          <w:ilvl w:val="0"/>
          <w:numId w:val="0"/>
        </w:numPr>
        <w:jc w:val="left"/>
        <w:spacing w:line="360" w:lineRule="auto"/>
        <w:rPr>
          <w:rFonts w:hint="eastAsia" w:ascii="黑体" w:hAnsi="黑体" w:eastAsia="黑体" w:cs="Times New Roman"/>
          <w:i w:val="0"/>
          <w:iCs w:val="0"/>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iCs w:val="0"/>
          <w:color w:val="000000" w:themeColor="text1"/>
          <w:sz w:val="32"/>
          <w:szCs w:val="32"/>
          <w:highlight w:val="none"/>
          <w:u w:val="none"/>
          <w:lang w:val="en-US" w:eastAsia="zh-CN"/>
          <w14:textFill>
            <w14:solidFill>
              <w14:schemeClr w14:val="tx1"/>
            </w14:solidFill>
          </w14:textFill>
        </w:rPr>
      </w:r>
      <w:r/>
    </w:p>
    <w:p>
      <w:pPr>
        <w:numPr>
          <w:ilvl w:val="0"/>
          <w:numId w:val="0"/>
        </w:numPr>
        <w:jc w:val="left"/>
        <w:spacing w:line="360" w:lineRule="auto"/>
        <w:rPr>
          <w:rFonts w:hint="eastAsia" w:ascii="黑体" w:hAnsi="黑体" w:eastAsia="黑体" w:cs="Times New Roman"/>
          <w:i w:val="0"/>
          <w:iCs w:val="0"/>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iCs w:val="0"/>
          <w:color w:val="000000" w:themeColor="text1"/>
          <w:sz w:val="32"/>
          <w:szCs w:val="32"/>
          <w:highlight w:val="none"/>
          <w:u w:val="none"/>
          <w:lang w:val="en-US" w:eastAsia="zh-CN"/>
          <w14:textFill>
            <w14:solidFill>
              <w14:schemeClr w14:val="tx1"/>
            </w14:solidFill>
          </w14:textFill>
        </w:rPr>
      </w:r>
      <w:r/>
    </w:p>
    <w:p>
      <w:pPr>
        <w:rPr>
          <w:rFonts w:hint="eastAsia" w:ascii="黑体" w:hAnsi="黑体" w:eastAsia="黑体" w:cs="Times New Roman"/>
          <w:i w:val="0"/>
          <w:iCs w:val="0"/>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iCs w:val="0"/>
          <w:color w:val="000000" w:themeColor="text1"/>
          <w:sz w:val="32"/>
          <w:szCs w:val="32"/>
          <w:highlight w:val="none"/>
          <w:u w:val="none"/>
          <w:lang w:val="en-US" w:eastAsia="zh-CN"/>
          <w14:textFill>
            <w14:solidFill>
              <w14:schemeClr w14:val="tx1"/>
            </w14:solidFill>
          </w14:textFill>
        </w:rPr>
        <w:br w:type="page" w:clear="all"/>
      </w:r>
      <w:r/>
    </w:p>
    <w:p>
      <w:pPr>
        <w:numPr>
          <w:ilvl w:val="0"/>
          <w:numId w:val="0"/>
        </w:numPr>
        <w:jc w:val="left"/>
        <w:spacing w:line="360" w:lineRule="auto"/>
        <w:rPr>
          <w:rFonts w:hint="eastAsia" w:ascii="黑体" w:hAnsi="黑体" w:eastAsia="黑体" w:cs="Times New Roman"/>
          <w:i w:val="0"/>
          <w:iCs w:val="0"/>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iCs w:val="0"/>
          <w:color w:val="000000" w:themeColor="text1"/>
          <w:sz w:val="32"/>
          <w:szCs w:val="32"/>
          <w:highlight w:val="none"/>
          <w:u w:val="none"/>
          <w:lang w:val="en-US" w:eastAsia="zh-CN"/>
          <w14:textFill>
            <w14:solidFill>
              <w14:schemeClr w14:val="tx1"/>
            </w14:solidFill>
          </w14:textFill>
        </w:rPr>
        <w:t xml:space="preserve">十二、联合体协议</w:t>
      </w:r>
      <w:r/>
    </w:p>
    <w:p>
      <w:pPr>
        <w:jc w:val="center"/>
        <w:spacing w:line="360" w:lineRule="auto"/>
        <w:rPr>
          <w:rFonts w:hint="eastAsia" w:ascii="方正小标宋简体" w:hAnsi="方正小标宋简体" w:eastAsia="方正小标宋简体" w:cs="方正小标宋简体"/>
          <w:color w:val="000000" w:themeColor="text1"/>
          <w:sz w:val="32"/>
          <w:szCs w:val="32"/>
          <w:highlight w:val="none"/>
          <w:lang w:val="en-US" w:eastAsia="zh-CN"/>
          <w14:textFill>
            <w14:solidFill>
              <w14:schemeClr w14:val="tx1"/>
            </w14:solidFill>
          </w14:textFill>
        </w:rPr>
        <w:outlineLvl w:val="0"/>
      </w:pPr>
      <w:r>
        <w:rPr>
          <w:rFonts w:hint="eastAsia" w:ascii="方正小标宋简体" w:hAnsi="方正小标宋简体" w:eastAsia="方正小标宋简体" w:cs="方正小标宋简体"/>
          <w:color w:val="000000" w:themeColor="text1"/>
          <w:sz w:val="32"/>
          <w:szCs w:val="32"/>
          <w:highlight w:val="none"/>
          <w:lang w:val="en-US" w:eastAsia="zh-CN"/>
          <w14:textFill>
            <w14:solidFill>
              <w14:schemeClr w14:val="tx1"/>
            </w14:solidFill>
          </w14:textFill>
        </w:rPr>
        <w:t xml:space="preserve">联合体协议</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（联合体中各供应商全称）在此达成以下协议：</w:t>
      </w:r>
      <w:r/>
    </w:p>
    <w:p>
      <w:pPr>
        <w:ind w:firstLine="645"/>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lang w:val="en-US"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我们</w:t>
      </w:r>
      <w:r>
        <w:rPr>
          <w:rFonts w:hint="eastAsia" w:ascii="宋体" w:hAnsi="宋体"/>
          <w:color w:val="000000" w:themeColor="text1"/>
          <w:sz w:val="24"/>
          <w:highlight w:val="none"/>
          <w:u w:val="single"/>
          <w14:textFill>
            <w14:solidFill>
              <w14:schemeClr w14:val="tx1"/>
            </w14:solidFill>
          </w14:textFill>
        </w:rPr>
        <w:t xml:space="preserve"> （供应商1）</w:t>
      </w:r>
      <w:r>
        <w:rPr>
          <w:rFonts w:hint="eastAsia" w:ascii="宋体" w:hAnsi="宋体"/>
          <w:color w:val="000000" w:themeColor="text1"/>
          <w:sz w:val="24"/>
          <w:highlight w:val="none"/>
          <w:u w:val="single"/>
          <w:lang w:eastAsia="zh-CN"/>
          <w14:textFill>
            <w14:solidFill>
              <w14:schemeClr w14:val="tx1"/>
            </w14:solidFill>
          </w14:textFill>
        </w:rPr>
        <w:t xml:space="preserve">，</w:t>
      </w:r>
      <w:r>
        <w:rPr>
          <w:rFonts w:hint="eastAsia" w:ascii="宋体" w:hAnsi="宋体"/>
          <w:color w:val="000000" w:themeColor="text1"/>
          <w:sz w:val="24"/>
          <w:highlight w:val="none"/>
          <w:u w:val="single"/>
          <w14:textFill>
            <w14:solidFill>
              <w14:schemeClr w14:val="tx1"/>
            </w14:solidFill>
          </w14:textFill>
        </w:rPr>
        <w:t xml:space="preserve">（供应商2） </w:t>
      </w:r>
      <w:r>
        <w:rPr>
          <w:rFonts w:hint="eastAsia" w:ascii="宋体" w:hAnsi="宋体"/>
          <w:color w:val="000000" w:themeColor="text1"/>
          <w:sz w:val="24"/>
          <w:highlight w:val="none"/>
          <w:u w:val="single"/>
          <w:lang w:eastAsia="zh-CN"/>
          <w14:textFill>
            <w14:solidFill>
              <w14:schemeClr w14:val="tx1"/>
            </w14:solidFill>
          </w14:textFill>
        </w:rPr>
        <w:t xml:space="preserve">，</w:t>
      </w:r>
      <w:r>
        <w:rPr>
          <w:rFonts w:ascii="宋体" w:hAnsi="宋体"/>
          <w:color w:val="000000" w:themeColor="text1"/>
          <w:sz w:val="24"/>
          <w:highlight w:val="none"/>
          <w:u w:val="singl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自愿组成联合体</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14:textFill>
            <w14:solidFill>
              <w14:schemeClr w14:val="tx1"/>
            </w14:solidFill>
          </w14:textFill>
        </w:rPr>
        <w:t xml:space="preserve">参加</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XXXXXXXXXXXXXXXXXXXXXXXXX</w:t>
      </w:r>
      <w:r>
        <w:rPr>
          <w:rFonts w:hint="eastAsia" w:ascii="宋体" w:hAnsi="宋体" w:eastAsia="宋体" w:cs="Times New Roman"/>
          <w:color w:val="000000" w:themeColor="text1"/>
          <w:sz w:val="24"/>
          <w:szCs w:val="24"/>
          <w:highlight w:val="none"/>
          <w:u w:val="none"/>
          <w14:textFill>
            <w14:solidFill>
              <w14:schemeClr w14:val="tx1"/>
            </w14:solidFill>
          </w14:textFill>
        </w:rPr>
        <w:t xml:space="preserve">（单位名称）</w:t>
      </w:r>
      <w:r>
        <w:rPr>
          <w:rFonts w:hint="eastAsia" w:ascii="宋体" w:hAnsi="宋体" w:eastAsia="宋体" w:cs="Times New Roman"/>
          <w:color w:val="000000" w:themeColor="text1"/>
          <w:sz w:val="24"/>
          <w:szCs w:val="24"/>
          <w:highlight w:val="none"/>
          <w14:textFill>
            <w14:solidFill>
              <w14:schemeClr w14:val="tx1"/>
            </w14:solidFill>
          </w14:textFill>
        </w:rPr>
        <w:t xml:space="preserve">采购编号为</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XXXXXXXXXXXXXXXXXXXXXXXXX</w:t>
      </w:r>
      <w:r>
        <w:rPr>
          <w:rFonts w:hint="eastAsia" w:ascii="宋体" w:hAnsi="宋体" w:eastAsia="宋体" w:cs="Times New Roman"/>
          <w:color w:val="000000" w:themeColor="text1"/>
          <w:sz w:val="24"/>
          <w:szCs w:val="24"/>
          <w:highlight w:val="none"/>
          <w:u w:val="none"/>
          <w:lang w:eastAsia="zh-CN"/>
          <w14:textFill>
            <w14:solidFill>
              <w14:schemeClr w14:val="tx1"/>
            </w14:solidFill>
          </w14:textFill>
        </w:rPr>
        <w:t xml:space="preserve">项目</w:t>
      </w:r>
      <w:r>
        <w:rPr>
          <w:rFonts w:hint="eastAsia" w:ascii="宋体" w:hAnsi="宋体" w:eastAsia="宋体" w:cs="Times New Roman"/>
          <w:color w:val="000000" w:themeColor="text1"/>
          <w:sz w:val="24"/>
          <w:szCs w:val="24"/>
          <w:highlight w:val="none"/>
          <w:u w:val="none"/>
          <w14:textFill>
            <w14:solidFill>
              <w14:schemeClr w14:val="tx1"/>
            </w14:solidFill>
          </w14:textFill>
        </w:rPr>
        <w:t xml:space="preserve">（分包号：</w:t>
      </w:r>
      <w:r>
        <w:rPr>
          <w:rFonts w:hint="eastAsia" w:ascii="宋体" w:hAnsi="宋体" w:eastAsia="宋体" w:cs="Times New Roman"/>
          <w:color w:val="000000" w:themeColor="text1"/>
          <w:sz w:val="24"/>
          <w:szCs w:val="24"/>
          <w:highlight w:val="none"/>
          <w:u w:val="single"/>
          <w:lang w:eastAsia="zh-CN"/>
          <w14:textFill>
            <w14:solidFill>
              <w14:schemeClr w14:val="tx1"/>
            </w14:solidFill>
          </w14:textFill>
        </w:rPr>
        <w:t xml:space="preserve">XXX</w:t>
      </w:r>
      <w:r>
        <w:rPr>
          <w:rFonts w:hint="eastAsia" w:ascii="宋体" w:hAnsi="宋体" w:eastAsia="宋体" w:cs="Times New Roman"/>
          <w:color w:val="000000" w:themeColor="text1"/>
          <w:sz w:val="24"/>
          <w:szCs w:val="24"/>
          <w:highlight w:val="none"/>
          <w:u w:val="none"/>
          <w14:textFill>
            <w14:solidFill>
              <w14:schemeClr w14:val="tx1"/>
            </w14:solidFill>
          </w14:textFill>
        </w:rPr>
        <w:t xml:space="preserve">）</w:t>
      </w:r>
      <w:r>
        <w:rPr>
          <w:rFonts w:hint="eastAsia" w:ascii="宋体" w:hAnsi="宋体" w:eastAsia="宋体" w:cs="Times New Roman"/>
          <w:color w:val="000000" w:themeColor="text1"/>
          <w:sz w:val="24"/>
          <w:szCs w:val="24"/>
          <w:highlight w:val="none"/>
          <w14:textFill>
            <w14:solidFill>
              <w14:schemeClr w14:val="tx1"/>
            </w14:solidFill>
          </w14:textFill>
        </w:rPr>
        <w:t xml:space="preserve">的采购活动</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并</w:t>
      </w:r>
      <w:r>
        <w:rPr>
          <w:rFonts w:hint="eastAsia" w:ascii="宋体" w:hAnsi="宋体"/>
          <w:color w:val="000000" w:themeColor="text1"/>
          <w:sz w:val="24"/>
          <w:highlight w:val="none"/>
          <w14:textFill>
            <w14:solidFill>
              <w14:schemeClr w14:val="tx1"/>
            </w14:solidFill>
          </w14:textFill>
        </w:rPr>
        <w:t xml:space="preserve">指定</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XXXXXXXXXXXXXXXXXXX</w:t>
      </w:r>
      <w:r>
        <w:rPr>
          <w:rFonts w:hint="eastAsia" w:ascii="宋体" w:hAnsi="宋体"/>
          <w:color w:val="000000" w:themeColor="text1"/>
          <w:sz w:val="24"/>
          <w:highlight w:val="none"/>
          <w:u w:val="none"/>
          <w14:textFill>
            <w14:solidFill>
              <w14:schemeClr w14:val="tx1"/>
            </w14:solidFill>
          </w14:textFill>
        </w:rPr>
        <w:t xml:space="preserve">（供应商</w:t>
      </w:r>
      <w:r>
        <w:rPr>
          <w:rFonts w:hint="eastAsia" w:ascii="宋体" w:hAnsi="宋体"/>
          <w:color w:val="000000" w:themeColor="text1"/>
          <w:sz w:val="24"/>
          <w:highlight w:val="none"/>
          <w:u w:val="none"/>
          <w:lang w:val="en-US" w:eastAsia="zh-CN"/>
          <w14:textFill>
            <w14:solidFill>
              <w14:schemeClr w14:val="tx1"/>
            </w14:solidFill>
          </w14:textFill>
        </w:rPr>
        <w:t xml:space="preserve">名称</w:t>
      </w:r>
      <w:r>
        <w:rPr>
          <w:rFonts w:hint="eastAsia" w:ascii="宋体" w:hAnsi="宋体"/>
          <w:color w:val="000000" w:themeColor="text1"/>
          <w:sz w:val="24"/>
          <w:highlight w:val="none"/>
          <w:u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为牵头单位。</w:t>
      </w:r>
      <w:r/>
    </w:p>
    <w:p>
      <w:pPr>
        <w:ind w:firstLine="645"/>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lang w:val="en-US"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若我们联合中标</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XXXXXXXXXXXXXXXXXXX</w:t>
      </w:r>
      <w:r>
        <w:rPr>
          <w:rFonts w:hint="eastAsia" w:ascii="宋体" w:hAnsi="宋体"/>
          <w:color w:val="000000" w:themeColor="text1"/>
          <w:sz w:val="24"/>
          <w:highlight w:val="none"/>
          <w:u w:val="none"/>
          <w14:textFill>
            <w14:solidFill>
              <w14:schemeClr w14:val="tx1"/>
            </w14:solidFill>
          </w14:textFill>
        </w:rPr>
        <w:t xml:space="preserve">（供应商</w:t>
      </w:r>
      <w:r>
        <w:rPr>
          <w:rFonts w:hint="eastAsia" w:ascii="宋体" w:hAnsi="宋体"/>
          <w:color w:val="000000" w:themeColor="text1"/>
          <w:sz w:val="24"/>
          <w:highlight w:val="none"/>
          <w:u w:val="none"/>
          <w:lang w:val="en-US" w:eastAsia="zh-CN"/>
          <w14:textFill>
            <w14:solidFill>
              <w14:schemeClr w14:val="tx1"/>
            </w14:solidFill>
          </w14:textFill>
        </w:rPr>
        <w:t xml:space="preserve">名称</w:t>
      </w:r>
      <w:r>
        <w:rPr>
          <w:rFonts w:hint="eastAsia" w:ascii="宋体" w:hAnsi="宋体"/>
          <w:color w:val="000000" w:themeColor="text1"/>
          <w:sz w:val="24"/>
          <w:highlight w:val="none"/>
          <w:u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实施项目中</w:t>
      </w:r>
      <w:r>
        <w:rPr>
          <w:rFonts w:hint="eastAsia" w:ascii="宋体" w:hAnsi="宋体"/>
          <w:color w:val="000000" w:themeColor="text1"/>
          <w:sz w:val="24"/>
          <w:highlight w:val="none"/>
          <w:u w:val="single"/>
          <w:lang w:val="en-US" w:eastAsia="zh-CN"/>
          <w14:textFill>
            <w14:solidFill>
              <w14:schemeClr w14:val="tx1"/>
            </w14:solidFill>
          </w14:textFill>
        </w:rPr>
        <w:t xml:space="preserve">XXXXXXXXX</w:t>
      </w:r>
      <w:r>
        <w:rPr>
          <w:rFonts w:hint="eastAsia" w:ascii="宋体" w:hAnsi="宋体"/>
          <w:color w:val="000000" w:themeColor="text1"/>
          <w:sz w:val="24"/>
          <w:highlight w:val="none"/>
          <w:u w:val="none"/>
          <w14:textFill>
            <w14:solidFill>
              <w14:schemeClr w14:val="tx1"/>
            </w14:solidFill>
          </w14:textFill>
        </w:rPr>
        <w:t xml:space="preserve">（工作内容）</w:t>
      </w:r>
      <w:r>
        <w:rPr>
          <w:rFonts w:hint="eastAsia" w:ascii="宋体" w:hAnsi="宋体"/>
          <w:color w:val="000000" w:themeColor="text1"/>
          <w:sz w:val="24"/>
          <w:highlight w:val="none"/>
          <w14:textFill>
            <w14:solidFill>
              <w14:schemeClr w14:val="tx1"/>
            </w14:solidFill>
          </w14:textFill>
        </w:rPr>
        <w:t xml:space="preserve">部分工作</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并承担相应的责任</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XXXXXXXXXXXXXXXXXXX</w:t>
      </w:r>
      <w:r>
        <w:rPr>
          <w:rFonts w:hint="eastAsia" w:ascii="宋体" w:hAnsi="宋体"/>
          <w:color w:val="000000" w:themeColor="text1"/>
          <w:sz w:val="24"/>
          <w:highlight w:val="none"/>
          <w:u w:val="none"/>
          <w14:textFill>
            <w14:solidFill>
              <w14:schemeClr w14:val="tx1"/>
            </w14:solidFill>
          </w14:textFill>
        </w:rPr>
        <w:t xml:space="preserve">（供应商</w:t>
      </w:r>
      <w:r>
        <w:rPr>
          <w:rFonts w:hint="eastAsia" w:ascii="宋体" w:hAnsi="宋体"/>
          <w:color w:val="000000" w:themeColor="text1"/>
          <w:sz w:val="24"/>
          <w:highlight w:val="none"/>
          <w:u w:val="none"/>
          <w:lang w:val="en-US" w:eastAsia="zh-CN"/>
          <w14:textFill>
            <w14:solidFill>
              <w14:schemeClr w14:val="tx1"/>
            </w14:solidFill>
          </w14:textFill>
        </w:rPr>
        <w:t xml:space="preserve">名称</w:t>
      </w:r>
      <w:r>
        <w:rPr>
          <w:rFonts w:hint="eastAsia" w:ascii="宋体" w:hAnsi="宋体"/>
          <w:color w:val="000000" w:themeColor="text1"/>
          <w:sz w:val="24"/>
          <w:highlight w:val="none"/>
          <w:u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实施项目中</w:t>
      </w:r>
      <w:r>
        <w:rPr>
          <w:rFonts w:hint="eastAsia" w:ascii="宋体" w:hAnsi="宋体"/>
          <w:color w:val="000000" w:themeColor="text1"/>
          <w:sz w:val="24"/>
          <w:highlight w:val="none"/>
          <w:u w:val="single"/>
          <w:lang w:val="en-US" w:eastAsia="zh-CN"/>
          <w14:textFill>
            <w14:solidFill>
              <w14:schemeClr w14:val="tx1"/>
            </w14:solidFill>
          </w14:textFill>
        </w:rPr>
        <w:t xml:space="preserve">XXXXXXXXX</w:t>
      </w:r>
      <w:r>
        <w:rPr>
          <w:rFonts w:hint="eastAsia" w:ascii="宋体" w:hAnsi="宋体"/>
          <w:color w:val="000000" w:themeColor="text1"/>
          <w:sz w:val="24"/>
          <w:highlight w:val="none"/>
          <w:u w:val="none"/>
          <w14:textFill>
            <w14:solidFill>
              <w14:schemeClr w14:val="tx1"/>
            </w14:solidFill>
          </w14:textFill>
        </w:rPr>
        <w:t xml:space="preserve">（工作内容）</w:t>
      </w:r>
      <w:r>
        <w:rPr>
          <w:rFonts w:hint="eastAsia" w:ascii="宋体" w:hAnsi="宋体"/>
          <w:color w:val="000000" w:themeColor="text1"/>
          <w:sz w:val="24"/>
          <w:highlight w:val="none"/>
          <w14:textFill>
            <w14:solidFill>
              <w14:schemeClr w14:val="tx1"/>
            </w14:solidFill>
          </w14:textFill>
        </w:rPr>
        <w:t xml:space="preserve">部分工作</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并承担相应的责任</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……。（注：</w:t>
      </w:r>
      <w:r>
        <w:rPr>
          <w:rFonts w:hint="eastAsia" w:ascii="宋体" w:hAnsi="宋体"/>
          <w:color w:val="000000" w:themeColor="text1"/>
          <w:sz w:val="24"/>
          <w:highlight w:val="none"/>
          <w:lang w:val="en-US" w:eastAsia="zh-CN"/>
          <w14:textFill>
            <w14:solidFill>
              <w14:schemeClr w14:val="tx1"/>
            </w14:solidFill>
          </w14:textFill>
        </w:rPr>
        <w:t xml:space="preserve">需明确</w:t>
      </w:r>
      <w:r>
        <w:rPr>
          <w:rFonts w:hint="eastAsia" w:ascii="宋体" w:hAnsi="宋体"/>
          <w:color w:val="000000" w:themeColor="text1"/>
          <w:sz w:val="24"/>
          <w:highlight w:val="none"/>
          <w14:textFill>
            <w14:solidFill>
              <w14:schemeClr w14:val="tx1"/>
            </w14:solidFill>
          </w14:textFill>
        </w:rPr>
        <w:t xml:space="preserve">联合体中各供应商所承担的工作和相应的责任）。</w:t>
      </w:r>
      <w:r/>
    </w:p>
    <w:p>
      <w:pPr>
        <w:ind w:firstLine="645"/>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en-US"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其中</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u w:val="single"/>
          <w:lang w:val="en-US" w:eastAsia="zh-CN"/>
          <w14:textFill>
            <w14:solidFill>
              <w14:schemeClr w14:val="tx1"/>
            </w14:solidFill>
          </w14:textFill>
        </w:rPr>
        <w:t xml:space="preserve">XXXXXXXXX</w:t>
      </w:r>
      <w:r>
        <w:rPr>
          <w:rFonts w:hint="eastAsia" w:ascii="宋体" w:hAnsi="宋体"/>
          <w:color w:val="000000" w:themeColor="text1"/>
          <w:sz w:val="24"/>
          <w:highlight w:val="none"/>
          <w:u w:val="none"/>
          <w14:textFill>
            <w14:solidFill>
              <w14:schemeClr w14:val="tx1"/>
            </w14:solidFill>
          </w14:textFill>
        </w:rPr>
        <w:t xml:space="preserve">（企业全称）</w:t>
      </w:r>
      <w:r>
        <w:rPr>
          <w:rFonts w:hint="eastAsia" w:ascii="宋体" w:hAnsi="宋体"/>
          <w:color w:val="000000" w:themeColor="text1"/>
          <w:sz w:val="24"/>
          <w:highlight w:val="none"/>
          <w14:textFill>
            <w14:solidFill>
              <w14:schemeClr w14:val="tx1"/>
            </w14:solidFill>
          </w14:textFill>
        </w:rPr>
        <w:t xml:space="preserve">为</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宋体" w:hAnsi="宋体"/>
          <w:color w:val="000000" w:themeColor="text1"/>
          <w:sz w:val="24"/>
          <w:highlight w:val="none"/>
          <w:u w:val="none"/>
          <w14:textFill>
            <w14:solidFill>
              <w14:schemeClr w14:val="tx1"/>
            </w14:solidFill>
          </w14:textFill>
        </w:rPr>
        <w:t xml:space="preserve">小型、微型企业</w:t>
      </w:r>
      <w:r>
        <w:rPr>
          <w:rFonts w:hint="eastAsia" w:ascii="宋体" w:hAnsi="宋体"/>
          <w:color w:val="000000" w:themeColor="text1"/>
          <w:sz w:val="24"/>
          <w:highlight w:val="none"/>
          <w:u w:val="none"/>
          <w:lang w:val="en-US" w:eastAsia="zh-CN"/>
          <w14:textFill>
            <w14:solidFill>
              <w14:schemeClr w14:val="tx1"/>
            </w14:solidFill>
          </w14:textFill>
        </w:rPr>
        <w:t xml:space="preserve"> </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宋体" w:hAnsi="宋体"/>
          <w:color w:val="000000" w:themeColor="text1"/>
          <w:sz w:val="24"/>
          <w:highlight w:val="none"/>
          <w:u w:val="none"/>
          <w14:textFill>
            <w14:solidFill>
              <w14:schemeClr w14:val="tx1"/>
            </w14:solidFill>
          </w14:textFill>
        </w:rPr>
        <w:t xml:space="preserve">残疾人福利性单位</w:t>
      </w:r>
      <w:r>
        <w:rPr>
          <w:rFonts w:hint="eastAsia" w:ascii="宋体" w:hAnsi="宋体"/>
          <w:color w:val="000000" w:themeColor="text1"/>
          <w:sz w:val="24"/>
          <w:highlight w:val="none"/>
          <w:u w:val="none"/>
          <w:lang w:val="en-US" w:eastAsia="zh-CN"/>
          <w14:textFill>
            <w14:solidFill>
              <w14:schemeClr w14:val="tx1"/>
            </w14:solidFill>
          </w14:textFill>
        </w:rPr>
        <w:t xml:space="preserve"> </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宋体" w:hAnsi="宋体"/>
          <w:color w:val="000000" w:themeColor="text1"/>
          <w:sz w:val="24"/>
          <w:highlight w:val="none"/>
          <w:u w:val="none"/>
          <w14:textFill>
            <w14:solidFill>
              <w14:schemeClr w14:val="tx1"/>
            </w14:solidFill>
          </w14:textFill>
        </w:rPr>
        <w:t xml:space="preserve">监狱企业</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且我们约定该单位所承担的合同金额将占本项目合同总金额的</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w:t>
      </w:r>
      <w:r/>
    </w:p>
    <w:p>
      <w:pPr>
        <w:ind w:firstLine="645"/>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645"/>
        <w:spacing w:line="56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p>
    <w:p>
      <w:pPr>
        <w:ind w:firstLine="645"/>
        <w:jc w:val="right"/>
        <w:spacing w:line="5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联合体中各供应商全称</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（加盖电子公章）</w:t>
      </w:r>
      <w:r>
        <w:rPr>
          <w:rFonts w:ascii="宋体" w:hAnsi="宋体"/>
          <w:color w:val="000000" w:themeColor="text1"/>
          <w:sz w:val="24"/>
          <w:highlight w:val="none"/>
          <w14:textFill>
            <w14:solidFill>
              <w14:schemeClr w14:val="tx1"/>
            </w14:solidFill>
          </w14:textFill>
        </w:rPr>
        <w:t xml:space="preserve">    </w:t>
      </w:r>
      <w:r/>
    </w:p>
    <w:p>
      <w:pPr>
        <w:ind w:firstLine="52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  </w:t>
      </w:r>
      <w:r>
        <w:rPr>
          <w:rFonts w:hint="eastAsia"/>
          <w:color w:val="000000" w:themeColor="text1"/>
          <w:sz w:val="24"/>
          <w:szCs w:val="24"/>
          <w:highlight w:val="non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期</w:t>
      </w:r>
      <w:r>
        <w:rPr>
          <w:rFonts w:hint="eastAsia"/>
          <w:color w:val="000000" w:themeColor="text1"/>
          <w:sz w:val="24"/>
          <w:szCs w:val="24"/>
          <w:highlight w:val="none"/>
          <w:lang w:eastAsia="zh-CN"/>
          <w14:textFill>
            <w14:solidFill>
              <w14:schemeClr w14:val="tx1"/>
            </w14:solidFill>
          </w14:textFill>
        </w:rPr>
        <w:t xml:space="preserve">：</w:t>
      </w:r>
      <w:r/>
    </w:p>
    <w:p>
      <w:pPr>
        <w:ind w:firstLine="480"/>
        <w:spacing w:line="480" w:lineRule="exact"/>
        <w:rPr>
          <w:rFonts w:hint="eastAsia" w:ascii="宋体" w:hAnsi="宋体" w:eastAsia="宋体" w:cs="Times New Roman"/>
          <w:color w:val="000000" w:themeColor="text1"/>
          <w:sz w:val="24"/>
          <w:highlight w:val="none"/>
          <w:lang w:eastAsia="zh-CN"/>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r>
      <w:r/>
    </w:p>
    <w:p>
      <w:pPr>
        <w:ind w:firstLine="480"/>
        <w:spacing w:line="480" w:lineRule="exact"/>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备</w:t>
      </w:r>
      <w:r>
        <w:rPr>
          <w:rFonts w:hint="eastAsia" w:ascii="宋体" w:hAnsi="宋体" w:eastAsia="宋体" w:cs="Times New Roman"/>
          <w:color w:val="000000" w:themeColor="text1"/>
          <w:sz w:val="24"/>
          <w:highlight w:val="none"/>
          <w14:textFill>
            <w14:solidFill>
              <w14:schemeClr w14:val="tx1"/>
            </w14:solidFill>
          </w14:textFill>
        </w:rPr>
        <w:t xml:space="preserve">注：</w:t>
      </w:r>
      <w:r/>
    </w:p>
    <w:p>
      <w:pPr>
        <w:ind w:firstLine="480"/>
        <w:spacing w:line="480" w:lineRule="exact"/>
        <w:rPr>
          <w:rFonts w:hint="eastAsia" w:ascii="宋体" w:hAnsi="宋体" w:eastAsia="宋体" w:cs="Times New Roman"/>
          <w:color w:val="000000" w:themeColor="text1"/>
          <w:sz w:val="24"/>
          <w:highlight w:val="none"/>
          <w:lang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highlight w:val="none"/>
          <w14:textFill>
            <w14:solidFill>
              <w14:schemeClr w14:val="tx1"/>
            </w14:solidFill>
          </w14:textFill>
        </w:rPr>
        <w:t xml:space="preserve">牵头单位必须为联合体成员</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p>
    <w:p>
      <w:pPr>
        <w:ind w:firstLine="480"/>
        <w:spacing w:line="480" w:lineRule="exact"/>
        <w:rPr>
          <w:rFonts w:hint="eastAsia" w:ascii="宋体" w:hAnsi="宋体"/>
          <w:color w:val="000000" w:themeColor="text1"/>
          <w:sz w:val="24"/>
          <w:szCs w:val="24"/>
          <w:highlight w:val="none"/>
          <w:u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2.在所属企业类型前的</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宋体" w:hAnsi="宋体"/>
          <w:color w:val="000000" w:themeColor="text1"/>
          <w:sz w:val="24"/>
          <w:szCs w:val="24"/>
          <w:highlight w:val="none"/>
          <w:u w:val="none"/>
          <w:lang w:val="en-US" w:eastAsia="zh-CN"/>
          <w14:textFill>
            <w14:solidFill>
              <w14:schemeClr w14:val="tx1"/>
            </w14:solidFill>
          </w14:textFill>
        </w:rPr>
        <w:t xml:space="preserve">内打“</w:t>
      </w:r>
      <w:r>
        <w:rPr>
          <w:rFonts w:ascii="Arial" w:hAnsi="Arial" w:cs="Arial"/>
          <w:color w:val="000000" w:themeColor="text1"/>
          <w:sz w:val="24"/>
          <w:szCs w:val="24"/>
          <w:highlight w:val="none"/>
          <w:u w:val="none"/>
          <w:lang w:val="en-US" w:eastAsia="zh-CN"/>
          <w14:textFill>
            <w14:solidFill>
              <w14:schemeClr w14:val="tx1"/>
            </w14:solidFill>
          </w14:textFill>
        </w:rPr>
        <w:t xml:space="preserve">√</w:t>
      </w:r>
      <w:r>
        <w:rPr>
          <w:rFonts w:hint="eastAsia" w:ascii="宋体" w:hAnsi="宋体"/>
          <w:color w:val="000000" w:themeColor="text1"/>
          <w:sz w:val="24"/>
          <w:szCs w:val="24"/>
          <w:highlight w:val="none"/>
          <w:u w:val="none"/>
          <w:lang w:val="en-US" w:eastAsia="zh-CN"/>
          <w14:textFill>
            <w14:solidFill>
              <w14:schemeClr w14:val="tx1"/>
            </w14:solidFill>
          </w14:textFill>
        </w:rPr>
        <w:t xml:space="preserve">”。</w:t>
      </w:r>
      <w:r/>
    </w:p>
    <w:p>
      <w:pPr>
        <w:ind w:firstLine="480"/>
        <w:spacing w:line="480" w:lineRule="exact"/>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3.除另有说明外，本</w:t>
      </w:r>
      <w:r>
        <w:rPr>
          <w:rFonts w:hint="eastAsia" w:ascii="宋体" w:hAnsi="宋体" w:eastAsia="宋体" w:cs="Times New Roman"/>
          <w:color w:val="000000" w:themeColor="text1"/>
          <w:sz w:val="24"/>
          <w:highlight w:val="none"/>
          <w14:textFill>
            <w14:solidFill>
              <w14:schemeClr w14:val="tx1"/>
            </w14:solidFill>
          </w14:textFill>
        </w:rPr>
        <w:t xml:space="preserve">招标文件要求加盖电子</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公</w:t>
      </w:r>
      <w:r>
        <w:rPr>
          <w:rFonts w:hint="eastAsia" w:ascii="宋体" w:hAnsi="宋体" w:eastAsia="宋体" w:cs="Times New Roman"/>
          <w:color w:val="000000" w:themeColor="text1"/>
          <w:sz w:val="24"/>
          <w:highlight w:val="none"/>
          <w14:textFill>
            <w14:solidFill>
              <w14:schemeClr w14:val="tx1"/>
            </w14:solidFill>
          </w14:textFill>
        </w:rPr>
        <w:t xml:space="preserve">章</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之处</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加盖牵头单位的电子</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公</w:t>
      </w:r>
      <w:r>
        <w:rPr>
          <w:rFonts w:hint="eastAsia" w:ascii="宋体" w:hAnsi="宋体" w:eastAsia="宋体" w:cs="Times New Roman"/>
          <w:color w:val="000000" w:themeColor="text1"/>
          <w:sz w:val="24"/>
          <w:highlight w:val="none"/>
          <w14:textFill>
            <w14:solidFill>
              <w14:schemeClr w14:val="tx1"/>
            </w14:solidFill>
          </w14:textFill>
        </w:rPr>
        <w:t xml:space="preserve">章</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即可</w:t>
      </w:r>
      <w:r>
        <w:rPr>
          <w:rFonts w:hint="eastAsia" w:ascii="宋体" w:hAnsi="宋体" w:eastAsia="宋体" w:cs="Times New Roman"/>
          <w:color w:val="000000" w:themeColor="text1"/>
          <w:sz w:val="24"/>
          <w:highlight w:val="none"/>
          <w14:textFill>
            <w14:solidFill>
              <w14:schemeClr w14:val="tx1"/>
            </w14:solidFill>
          </w14:textFill>
        </w:rPr>
        <w:t xml:space="preserve">。</w:t>
      </w:r>
      <w:r/>
    </w:p>
    <w:p>
      <w:pPr>
        <w:pStyle w:val="729"/>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645"/>
        <w:spacing w:line="56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645"/>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firstLine="645"/>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pStyle w:val="723"/>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numPr>
          <w:ilvl w:val="0"/>
          <w:numId w:val="0"/>
        </w:numPr>
        <w:jc w:val="left"/>
        <w:spacing w:line="360" w:lineRule="auto"/>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黑体" w:hAnsi="黑体" w:eastAsia="黑体" w:cs="Times New Roman"/>
          <w:i w:val="0"/>
          <w:iCs w:val="0"/>
          <w:color w:val="000000" w:themeColor="text1"/>
          <w:sz w:val="32"/>
          <w:szCs w:val="32"/>
          <w:highlight w:val="none"/>
          <w:u w:val="none"/>
          <w:lang w:val="en-US" w:eastAsia="zh-CN"/>
          <w14:textFill>
            <w14:solidFill>
              <w14:schemeClr w14:val="tx1"/>
            </w14:solidFill>
          </w14:textFill>
        </w:rPr>
        <w:t xml:space="preserve">十三、关于符合本国产品标准的声明函</w:t>
      </w:r>
      <w:r/>
    </w:p>
    <w:p>
      <w:pPr>
        <w:jc w:val="center"/>
        <w:spacing w:line="360" w:lineRule="auto"/>
        <w:rPr>
          <w:rFonts w:hint="eastAsia" w:ascii="宋体" w:hAnsi="宋体" w:eastAsia="宋体" w:cs="宋体"/>
          <w:b/>
          <w:bCs/>
          <w:i w:val="0"/>
          <w:iCs w:val="0"/>
          <w:caps w:val="0"/>
          <w:color w:val="000000" w:themeColor="text1"/>
          <w:spacing w:val="0"/>
          <w:sz w:val="30"/>
          <w:szCs w:val="30"/>
          <w:highlight w:val="none"/>
          <w:shd w:val="clear" w:color="auto" w:fill="ffffff"/>
          <w:vertAlign w:val="baseline"/>
          <w:lang w:val="en-US" w:eastAsia="zh-CN" w:bidi="ar-SA"/>
          <w14:textFill>
            <w14:solidFill>
              <w14:schemeClr w14:val="tx1"/>
            </w14:solidFill>
          </w14:textFill>
        </w:rPr>
        <w:outlineLvl w:val="9"/>
      </w:pPr>
      <w:r>
        <w:rPr>
          <w:rFonts w:hint="eastAsia" w:ascii="宋体" w:hAnsi="宋体" w:eastAsia="宋体" w:cs="宋体"/>
          <w:b/>
          <w:bCs/>
          <w:i w:val="0"/>
          <w:iCs w:val="0"/>
          <w:caps w:val="0"/>
          <w:color w:val="000000" w:themeColor="text1"/>
          <w:spacing w:val="0"/>
          <w:sz w:val="30"/>
          <w:szCs w:val="30"/>
          <w:highlight w:val="none"/>
          <w:shd w:val="clear" w:color="auto" w:fill="ffffff"/>
          <w:vertAlign w:val="baseline"/>
          <w:lang w:val="en-US" w:eastAsia="zh-CN" w:bidi="ar-SA"/>
          <w14:textFill>
            <w14:solidFill>
              <w14:schemeClr w14:val="tx1"/>
            </w14:solidFill>
          </w14:textFill>
        </w:rPr>
        <w:t xml:space="preserve">（如有，可上传至“电子投标文件格式-企业报价折扣证明”）</w:t>
      </w:r>
      <w:r/>
    </w:p>
    <w:p>
      <w:pPr>
        <w:jc w:val="center"/>
        <w:spacing w:line="360" w:lineRule="auto"/>
        <w:rPr>
          <w:rFonts w:hint="eastAsia" w:ascii="方正小标宋简体" w:hAnsi="方正小标宋简体" w:eastAsia="方正小标宋简体" w:cs="方正小标宋简体"/>
          <w:i w:val="0"/>
          <w:iCs w:val="0"/>
          <w:caps w:val="0"/>
          <w:color w:val="000000" w:themeColor="text1"/>
          <w:spacing w:val="0"/>
          <w:sz w:val="32"/>
          <w:szCs w:val="32"/>
          <w:highlight w:val="none"/>
          <w14:textFill>
            <w14:solidFill>
              <w14:schemeClr w14:val="tx1"/>
            </w14:solidFill>
          </w14:textFill>
        </w:rPr>
        <w:outlineLvl w:val="9"/>
      </w:pPr>
      <w:r>
        <w:rPr>
          <w:rFonts w:hint="eastAsia" w:ascii="方正小标宋简体" w:hAnsi="方正小标宋简体" w:eastAsia="方正小标宋简体" w:cs="方正小标宋简体"/>
          <w:i w:val="0"/>
          <w:iCs w:val="0"/>
          <w:caps w:val="0"/>
          <w:color w:val="000000" w:themeColor="text1"/>
          <w:spacing w:val="0"/>
          <w:sz w:val="32"/>
          <w:szCs w:val="32"/>
          <w:highlight w:val="none"/>
          <w:shd w:val="clear" w:color="auto" w:fill="auto"/>
          <w:vertAlign w:val="baseline"/>
          <w14:textFill>
            <w14:solidFill>
              <w14:schemeClr w14:val="tx1"/>
            </w14:solidFill>
          </w14:textFill>
        </w:rPr>
        <w:t xml:space="preserve">关于符合本国产品标准的声明函</w:t>
      </w:r>
      <w:r>
        <w:rPr>
          <w:rFonts w:hint="eastAsia" w:ascii="方正小标宋简体" w:hAnsi="方正小标宋简体" w:eastAsia="方正小标宋简体" w:cs="方正小标宋简体"/>
          <w:color w:val="000000" w:themeColor="text1"/>
          <w:sz w:val="32"/>
          <w:szCs w:val="32"/>
          <w:highlight w:val="none"/>
          <w:shd w:val="clear" w:color="auto" w:fill="auto"/>
          <w14:textFill>
            <w14:solidFill>
              <w14:schemeClr w14:val="tx1"/>
            </w14:solidFill>
          </w14:textFill>
        </w:rPr>
        <w:t xml:space="preserve">（采购包号：**）</w:t>
      </w:r>
      <w:r/>
    </w:p>
    <w:p>
      <w:pPr>
        <w:pStyle w:val="721"/>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21"/>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1.</w:t>
      </w:r>
      <w:r>
        <w:rPr>
          <w:rStyle w:val="726"/>
          <w:rFonts w:hint="eastAsia" w:ascii="宋体" w:hAnsi="宋体" w:eastAsia="宋体" w:cs="宋体"/>
          <w:i w:val="0"/>
          <w:iCs w:val="0"/>
          <w:caps w:val="0"/>
          <w:color w:val="000000" w:themeColor="text1"/>
          <w:spacing w:val="0"/>
          <w:sz w:val="24"/>
          <w:szCs w:val="24"/>
          <w:highlight w:val="none"/>
          <w:u w:val="single"/>
          <w:shd w:val="clear" w:color="auto" w:fill="ffffff"/>
          <w:vertAlign w:val="baseline"/>
          <w14:textFill>
            <w14:solidFill>
              <w14:schemeClr w14:val="tx1"/>
            </w14:solidFill>
          </w14:textFill>
        </w:rPr>
        <w:t xml:space="preserve">（产品名称1）</w:t>
      </w:r>
      <w:r>
        <w:rPr>
          <w:rStyle w:val="726"/>
          <w:rFonts w:hint="eastAsia" w:ascii="宋体" w:hAnsi="宋体" w:eastAsia="宋体" w:cs="宋体"/>
          <w:i w:val="0"/>
          <w:iCs w:val="0"/>
          <w:caps w:val="0"/>
          <w:color w:val="000000" w:themeColor="text1"/>
          <w:spacing w:val="0"/>
          <w:sz w:val="24"/>
          <w:szCs w:val="24"/>
          <w:highlight w:val="none"/>
          <w:shd w:val="clear" w:color="auto" w:fill="ffffff"/>
          <w:vertAlign w:val="superscript"/>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u w:val="single"/>
          <w:shd w:val="clear" w:color="auto" w:fill="ffffff"/>
          <w:vertAlign w:val="baseline"/>
          <w14:textFill>
            <w14:solidFill>
              <w14:schemeClr w14:val="tx1"/>
            </w14:solidFill>
          </w14:textFill>
        </w:rPr>
        <w:t xml:space="preserve">生产厂为</w:t>
      </w:r>
      <w:r>
        <w:rPr>
          <w:rStyle w:val="726"/>
          <w:rFonts w:hint="eastAsia" w:ascii="宋体" w:hAnsi="宋体" w:eastAsia="宋体" w:cs="宋体"/>
          <w:i w:val="0"/>
          <w:iCs w:val="0"/>
          <w:caps w:val="0"/>
          <w:color w:val="000000" w:themeColor="text1"/>
          <w:spacing w:val="0"/>
          <w:sz w:val="24"/>
          <w:szCs w:val="24"/>
          <w:highlight w:val="none"/>
          <w:u w:val="single"/>
          <w:shd w:val="clear" w:color="auto" w:fill="ffffff"/>
          <w:vertAlign w:val="baseline"/>
          <w14:textFill>
            <w14:solidFill>
              <w14:schemeClr w14:val="tx1"/>
            </w14:solidFill>
          </w14:textFill>
        </w:rPr>
        <w:t xml:space="preserve">（厂名）</w:t>
      </w:r>
      <w:r>
        <w:rPr>
          <w:rStyle w:val="726"/>
          <w:rFonts w:hint="eastAsia" w:ascii="宋体" w:hAnsi="宋体" w:eastAsia="宋体" w:cs="宋体"/>
          <w:i w:val="0"/>
          <w:iCs w:val="0"/>
          <w:caps w:val="0"/>
          <w:color w:val="000000" w:themeColor="text1"/>
          <w:spacing w:val="0"/>
          <w:sz w:val="24"/>
          <w:szCs w:val="24"/>
          <w:highlight w:val="none"/>
          <w:shd w:val="clear" w:color="auto" w:fill="ffffff"/>
          <w:vertAlign w:val="superscript"/>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，厂址为</w:t>
      </w:r>
      <w:r>
        <w:rPr>
          <w:rStyle w:val="726"/>
          <w:rFonts w:hint="eastAsia" w:ascii="宋体" w:hAnsi="宋体" w:eastAsia="宋体" w:cs="宋体"/>
          <w:i w:val="0"/>
          <w:iCs w:val="0"/>
          <w:caps w:val="0"/>
          <w:color w:val="000000" w:themeColor="text1"/>
          <w:spacing w:val="0"/>
          <w:sz w:val="24"/>
          <w:szCs w:val="24"/>
          <w:highlight w:val="none"/>
          <w:u w:val="single"/>
          <w:shd w:val="clear" w:color="auto" w:fill="ffffff"/>
          <w:vertAlign w:val="baseline"/>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w:t>
      </w:r>
      <w:r>
        <w:rPr>
          <w:rStyle w:val="726"/>
          <w:rFonts w:hint="eastAsia" w:ascii="宋体" w:hAnsi="宋体" w:eastAsia="宋体" w:cs="宋体"/>
          <w:i w:val="0"/>
          <w:iCs w:val="0"/>
          <w:caps w:val="0"/>
          <w:strike/>
          <w:color w:val="000000" w:themeColor="text1"/>
          <w:spacing w:val="0"/>
          <w:sz w:val="24"/>
          <w:szCs w:val="24"/>
          <w:highlight w:val="none"/>
          <w:u w:val="single"/>
          <w:shd w:val="clear" w:color="auto" w:fill="ffffff"/>
          <w:vertAlign w:val="baseline"/>
          <w14:textFill>
            <w14:solidFill>
              <w14:schemeClr w14:val="tx1"/>
            </w14:solidFill>
          </w14:textFill>
        </w:rPr>
        <w:t xml:space="preserve">（产品名称1）</w:t>
      </w:r>
      <w:r>
        <w:rPr>
          <w:rFonts w:hint="eastAsia" w:ascii="宋体" w:hAnsi="宋体" w:eastAsia="宋体" w:cs="宋体"/>
          <w:i w:val="0"/>
          <w:iCs w:val="0"/>
          <w:caps w:val="0"/>
          <w:strike/>
          <w:color w:val="000000" w:themeColor="text1"/>
          <w:spacing w:val="0"/>
          <w:sz w:val="24"/>
          <w:szCs w:val="24"/>
          <w:highlight w:val="none"/>
          <w:shd w:val="clear" w:color="auto" w:fill="ffffff"/>
          <w:vertAlign w:val="baseline"/>
          <w14:textFill>
            <w14:solidFill>
              <w14:schemeClr w14:val="tx1"/>
            </w14:solidFill>
          </w14:textFill>
        </w:rPr>
        <w:t xml:space="preserve">的中国境内生产的组件成本占比≥</w:t>
      </w:r>
      <w:r>
        <w:rPr>
          <w:rStyle w:val="726"/>
          <w:rFonts w:hint="eastAsia" w:ascii="宋体" w:hAnsi="宋体" w:eastAsia="宋体" w:cs="宋体"/>
          <w:i w:val="0"/>
          <w:iCs w:val="0"/>
          <w:caps w:val="0"/>
          <w:strike/>
          <w:color w:val="000000" w:themeColor="text1"/>
          <w:spacing w:val="0"/>
          <w:sz w:val="24"/>
          <w:szCs w:val="24"/>
          <w:highlight w:val="none"/>
          <w:u w:val="single"/>
          <w:shd w:val="clear" w:color="auto" w:fill="ffffff"/>
          <w:vertAlign w:val="baseline"/>
          <w14:textFill>
            <w14:solidFill>
              <w14:schemeClr w14:val="tx1"/>
            </w14:solidFill>
          </w14:textFill>
        </w:rPr>
        <w:t xml:space="preserve">（规定比例）</w:t>
      </w:r>
      <w:r>
        <w:rPr>
          <w:rStyle w:val="726"/>
          <w:rFonts w:hint="eastAsia" w:ascii="宋体" w:hAnsi="宋体" w:eastAsia="宋体" w:cs="宋体"/>
          <w:i w:val="0"/>
          <w:iCs w:val="0"/>
          <w:caps w:val="0"/>
          <w:strike w:val="0"/>
          <w:color w:val="000000" w:themeColor="text1"/>
          <w:spacing w:val="0"/>
          <w:sz w:val="24"/>
          <w:szCs w:val="24"/>
          <w:highlight w:val="none"/>
          <w:shd w:val="clear" w:color="auto" w:fill="ffffff"/>
          <w:vertAlign w:val="superscript"/>
          <w14:textFill>
            <w14:solidFill>
              <w14:schemeClr w14:val="tx1"/>
            </w14:solidFill>
          </w14:textFill>
        </w:rPr>
        <w:t xml:space="preserve">3</w:t>
      </w:r>
      <w:r>
        <w:rPr>
          <w:rFonts w:hint="eastAsia" w:ascii="宋体" w:hAnsi="宋体" w:eastAsia="宋体" w:cs="宋体"/>
          <w:i w:val="0"/>
          <w:iCs w:val="0"/>
          <w:caps w:val="0"/>
          <w:strike/>
          <w:color w:val="000000" w:themeColor="text1"/>
          <w:spacing w:val="0"/>
          <w:sz w:val="24"/>
          <w:szCs w:val="24"/>
          <w:highlight w:val="none"/>
          <w:shd w:val="clear" w:color="auto" w:fill="ffffff"/>
          <w:vertAlign w:val="baseline"/>
          <w14:textFill>
            <w14:solidFill>
              <w14:schemeClr w14:val="tx1"/>
            </w14:solidFill>
          </w14:textFill>
        </w:rPr>
        <w:t xml:space="preserve">。</w:t>
      </w:r>
      <w:r>
        <w:rPr>
          <w:rStyle w:val="726"/>
          <w:rFonts w:hint="eastAsia" w:ascii="宋体" w:hAnsi="宋体" w:eastAsia="宋体" w:cs="宋体"/>
          <w:i w:val="0"/>
          <w:iCs w:val="0"/>
          <w:caps w:val="0"/>
          <w:strike/>
          <w:color w:val="000000" w:themeColor="text1"/>
          <w:spacing w:val="0"/>
          <w:sz w:val="24"/>
          <w:szCs w:val="24"/>
          <w:highlight w:val="none"/>
          <w:u w:val="single"/>
          <w:shd w:val="clear" w:color="auto" w:fill="ffffff"/>
          <w:vertAlign w:val="baseline"/>
          <w14:textFill>
            <w14:solidFill>
              <w14:schemeClr w14:val="tx1"/>
            </w14:solidFill>
          </w14:textFill>
        </w:rPr>
        <w:t xml:space="preserve">（产品名称1）</w:t>
      </w:r>
      <w:r>
        <w:rPr>
          <w:rFonts w:hint="eastAsia" w:ascii="宋体" w:hAnsi="宋体" w:eastAsia="宋体" w:cs="宋体"/>
          <w:i w:val="0"/>
          <w:iCs w:val="0"/>
          <w:caps w:val="0"/>
          <w:strike/>
          <w:color w:val="000000" w:themeColor="text1"/>
          <w:spacing w:val="0"/>
          <w:sz w:val="24"/>
          <w:szCs w:val="24"/>
          <w:highlight w:val="none"/>
          <w:shd w:val="clear" w:color="auto" w:fill="ffffff"/>
          <w:vertAlign w:val="baseline"/>
          <w14:textFill>
            <w14:solidFill>
              <w14:schemeClr w14:val="tx1"/>
            </w14:solidFill>
          </w14:textFill>
        </w:rPr>
        <w:t xml:space="preserve">的</w:t>
      </w:r>
      <w:r>
        <w:rPr>
          <w:rStyle w:val="726"/>
          <w:rFonts w:hint="eastAsia" w:ascii="宋体" w:hAnsi="宋体" w:eastAsia="宋体" w:cs="宋体"/>
          <w:i w:val="0"/>
          <w:iCs w:val="0"/>
          <w:caps w:val="0"/>
          <w:strike/>
          <w:color w:val="000000" w:themeColor="text1"/>
          <w:spacing w:val="0"/>
          <w:sz w:val="24"/>
          <w:szCs w:val="24"/>
          <w:highlight w:val="none"/>
          <w:u w:val="single"/>
          <w:shd w:val="clear" w:color="auto" w:fill="ffffff"/>
          <w:vertAlign w:val="baseline"/>
          <w14:textFill>
            <w14:solidFill>
              <w14:schemeClr w14:val="tx1"/>
            </w14:solidFill>
          </w14:textFill>
        </w:rPr>
        <w:t xml:space="preserve">（关键组件）</w:t>
      </w:r>
      <w:r>
        <w:rPr>
          <w:rStyle w:val="726"/>
          <w:rFonts w:hint="eastAsia" w:ascii="宋体" w:hAnsi="宋体" w:eastAsia="宋体" w:cs="宋体"/>
          <w:i w:val="0"/>
          <w:iCs w:val="0"/>
          <w:caps w:val="0"/>
          <w:strike w:val="0"/>
          <w:color w:val="000000" w:themeColor="text1"/>
          <w:spacing w:val="0"/>
          <w:sz w:val="24"/>
          <w:szCs w:val="24"/>
          <w:highlight w:val="none"/>
          <w:shd w:val="clear" w:color="auto" w:fill="ffffff"/>
          <w:vertAlign w:val="superscript"/>
          <w14:textFill>
            <w14:solidFill>
              <w14:schemeClr w14:val="tx1"/>
            </w14:solidFill>
          </w14:textFill>
        </w:rPr>
        <w:t xml:space="preserve">4</w:t>
      </w:r>
      <w:r>
        <w:rPr>
          <w:rFonts w:hint="eastAsia" w:ascii="宋体" w:hAnsi="宋体" w:eastAsia="宋体" w:cs="宋体"/>
          <w:i w:val="0"/>
          <w:iCs w:val="0"/>
          <w:caps w:val="0"/>
          <w:strike/>
          <w:color w:val="000000" w:themeColor="text1"/>
          <w:spacing w:val="0"/>
          <w:sz w:val="24"/>
          <w:szCs w:val="24"/>
          <w:highlight w:val="none"/>
          <w:shd w:val="clear" w:color="auto" w:fill="ffffff"/>
          <w:vertAlign w:val="baseline"/>
          <w14:textFill>
            <w14:solidFill>
              <w14:schemeClr w14:val="tx1"/>
            </w14:solidFill>
          </w14:textFill>
        </w:rPr>
        <w:t xml:space="preserve">在中国境内生产。</w:t>
      </w:r>
      <w:r>
        <w:rPr>
          <w:rStyle w:val="726"/>
          <w:rFonts w:hint="eastAsia" w:ascii="宋体" w:hAnsi="宋体" w:eastAsia="宋体" w:cs="宋体"/>
          <w:i w:val="0"/>
          <w:iCs w:val="0"/>
          <w:caps w:val="0"/>
          <w:strike/>
          <w:color w:val="000000" w:themeColor="text1"/>
          <w:spacing w:val="0"/>
          <w:sz w:val="24"/>
          <w:szCs w:val="24"/>
          <w:highlight w:val="none"/>
          <w:u w:val="single"/>
          <w:shd w:val="clear" w:color="auto" w:fill="ffffff"/>
          <w:vertAlign w:val="baseline"/>
          <w14:textFill>
            <w14:solidFill>
              <w14:schemeClr w14:val="tx1"/>
            </w14:solidFill>
          </w14:textFill>
        </w:rPr>
        <w:t xml:space="preserve">（产品名称1）</w:t>
      </w:r>
      <w:r>
        <w:rPr>
          <w:rFonts w:hint="eastAsia" w:ascii="宋体" w:hAnsi="宋体" w:eastAsia="宋体" w:cs="宋体"/>
          <w:i w:val="0"/>
          <w:iCs w:val="0"/>
          <w:caps w:val="0"/>
          <w:strike/>
          <w:color w:val="000000" w:themeColor="text1"/>
          <w:spacing w:val="0"/>
          <w:sz w:val="24"/>
          <w:szCs w:val="24"/>
          <w:highlight w:val="none"/>
          <w:shd w:val="clear" w:color="auto" w:fill="ffffff"/>
          <w:vertAlign w:val="baseline"/>
          <w14:textFill>
            <w14:solidFill>
              <w14:schemeClr w14:val="tx1"/>
            </w14:solidFill>
          </w14:textFill>
        </w:rPr>
        <w:t xml:space="preserve">的</w:t>
      </w:r>
      <w:r>
        <w:rPr>
          <w:rStyle w:val="726"/>
          <w:rFonts w:hint="eastAsia" w:ascii="宋体" w:hAnsi="宋体" w:eastAsia="宋体" w:cs="宋体"/>
          <w:i w:val="0"/>
          <w:iCs w:val="0"/>
          <w:caps w:val="0"/>
          <w:strike/>
          <w:color w:val="000000" w:themeColor="text1"/>
          <w:spacing w:val="0"/>
          <w:sz w:val="24"/>
          <w:szCs w:val="24"/>
          <w:highlight w:val="none"/>
          <w:u w:val="single"/>
          <w:shd w:val="clear" w:color="auto" w:fill="ffffff"/>
          <w:vertAlign w:val="baseline"/>
          <w14:textFill>
            <w14:solidFill>
              <w14:schemeClr w14:val="tx1"/>
            </w14:solidFill>
          </w14:textFill>
        </w:rPr>
        <w:t xml:space="preserve">（关键工序）</w:t>
      </w:r>
      <w:r>
        <w:rPr>
          <w:rStyle w:val="726"/>
          <w:rFonts w:hint="eastAsia" w:ascii="宋体" w:hAnsi="宋体" w:eastAsia="宋体" w:cs="宋体"/>
          <w:i w:val="0"/>
          <w:iCs w:val="0"/>
          <w:caps w:val="0"/>
          <w:strike w:val="0"/>
          <w:color w:val="000000" w:themeColor="text1"/>
          <w:spacing w:val="0"/>
          <w:sz w:val="24"/>
          <w:szCs w:val="24"/>
          <w:highlight w:val="none"/>
          <w:u w:val="none"/>
          <w:shd w:val="clear" w:color="auto" w:fill="ffffff"/>
          <w:vertAlign w:val="superscript"/>
          <w14:textFill>
            <w14:solidFill>
              <w14:schemeClr w14:val="tx1"/>
            </w14:solidFill>
          </w14:textFill>
        </w:rPr>
        <w:t xml:space="preserve">5</w:t>
      </w:r>
      <w:r>
        <w:rPr>
          <w:rFonts w:hint="eastAsia" w:ascii="宋体" w:hAnsi="宋体" w:eastAsia="宋体" w:cs="宋体"/>
          <w:i w:val="0"/>
          <w:iCs w:val="0"/>
          <w:caps w:val="0"/>
          <w:strike/>
          <w:color w:val="000000" w:themeColor="text1"/>
          <w:spacing w:val="0"/>
          <w:sz w:val="24"/>
          <w:szCs w:val="24"/>
          <w:highlight w:val="none"/>
          <w:shd w:val="clear" w:color="auto" w:fill="ffffff"/>
          <w:vertAlign w:val="baseline"/>
          <w14:textFill>
            <w14:solidFill>
              <w14:schemeClr w14:val="tx1"/>
            </w14:solidFill>
          </w14:textFill>
        </w:rPr>
        <w:t xml:space="preserve">在中国境内完成。</w:t>
      </w:r>
      <w:r/>
    </w:p>
    <w:p>
      <w:pPr>
        <w:pStyle w:val="721"/>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strike/>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2.</w:t>
      </w:r>
      <w:r>
        <w:rPr>
          <w:rStyle w:val="726"/>
          <w:rFonts w:hint="eastAsia" w:ascii="宋体" w:hAnsi="宋体" w:eastAsia="宋体" w:cs="宋体"/>
          <w:i w:val="0"/>
          <w:iCs w:val="0"/>
          <w:caps w:val="0"/>
          <w:color w:val="000000" w:themeColor="text1"/>
          <w:spacing w:val="0"/>
          <w:sz w:val="24"/>
          <w:szCs w:val="24"/>
          <w:highlight w:val="none"/>
          <w:u w:val="single"/>
          <w:shd w:val="clear" w:color="auto" w:fill="ffffff"/>
          <w:vertAlign w:val="baseline"/>
          <w14:textFill>
            <w14:solidFill>
              <w14:schemeClr w14:val="tx1"/>
            </w14:solidFill>
          </w14:textFill>
        </w:rPr>
        <w:t xml:space="preserve">（产品名称2）</w:t>
      </w: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，生产厂为</w:t>
      </w:r>
      <w:r>
        <w:rPr>
          <w:rStyle w:val="726"/>
          <w:rFonts w:hint="eastAsia" w:ascii="宋体" w:hAnsi="宋体" w:eastAsia="宋体" w:cs="宋体"/>
          <w:i w:val="0"/>
          <w:iCs w:val="0"/>
          <w:caps w:val="0"/>
          <w:color w:val="000000" w:themeColor="text1"/>
          <w:spacing w:val="0"/>
          <w:sz w:val="24"/>
          <w:szCs w:val="24"/>
          <w:highlight w:val="none"/>
          <w:u w:val="single"/>
          <w:shd w:val="clear" w:color="auto" w:fill="ffffff"/>
          <w:vertAlign w:val="baseline"/>
          <w14:textFill>
            <w14:solidFill>
              <w14:schemeClr w14:val="tx1"/>
            </w14:solidFill>
          </w14:textFill>
        </w:rPr>
        <w:t xml:space="preserve">（厂名）</w:t>
      </w: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，厂址为</w:t>
      </w:r>
      <w:r>
        <w:rPr>
          <w:rStyle w:val="726"/>
          <w:rFonts w:hint="eastAsia" w:ascii="宋体" w:hAnsi="宋体" w:eastAsia="宋体" w:cs="宋体"/>
          <w:i w:val="0"/>
          <w:iCs w:val="0"/>
          <w:caps w:val="0"/>
          <w:color w:val="000000" w:themeColor="text1"/>
          <w:spacing w:val="0"/>
          <w:sz w:val="24"/>
          <w:szCs w:val="24"/>
          <w:highlight w:val="none"/>
          <w:u w:val="single"/>
          <w:shd w:val="clear" w:color="auto" w:fill="ffffff"/>
          <w:vertAlign w:val="baseline"/>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w:t>
      </w:r>
      <w:r>
        <w:rPr>
          <w:rStyle w:val="726"/>
          <w:rFonts w:hint="eastAsia" w:ascii="宋体" w:hAnsi="宋体" w:eastAsia="宋体" w:cs="宋体"/>
          <w:i w:val="0"/>
          <w:iCs w:val="0"/>
          <w:caps w:val="0"/>
          <w:strike/>
          <w:color w:val="000000" w:themeColor="text1"/>
          <w:spacing w:val="0"/>
          <w:sz w:val="24"/>
          <w:szCs w:val="24"/>
          <w:highlight w:val="none"/>
          <w:u w:val="single"/>
          <w:shd w:val="clear" w:color="auto" w:fill="ffffff"/>
          <w:vertAlign w:val="baseline"/>
          <w14:textFill>
            <w14:solidFill>
              <w14:schemeClr w14:val="tx1"/>
            </w14:solidFill>
          </w14:textFill>
        </w:rPr>
        <w:t xml:space="preserve">（产品名称2）</w:t>
      </w:r>
      <w:r>
        <w:rPr>
          <w:rFonts w:hint="eastAsia" w:ascii="宋体" w:hAnsi="宋体" w:eastAsia="宋体" w:cs="宋体"/>
          <w:i w:val="0"/>
          <w:iCs w:val="0"/>
          <w:caps w:val="0"/>
          <w:strike/>
          <w:color w:val="000000" w:themeColor="text1"/>
          <w:spacing w:val="0"/>
          <w:sz w:val="24"/>
          <w:szCs w:val="24"/>
          <w:highlight w:val="none"/>
          <w:shd w:val="clear" w:color="auto" w:fill="ffffff"/>
          <w:vertAlign w:val="baseline"/>
          <w14:textFill>
            <w14:solidFill>
              <w14:schemeClr w14:val="tx1"/>
            </w14:solidFill>
          </w14:textFill>
        </w:rPr>
        <w:t xml:space="preserve">的中国境内生产的组件成本占比≥</w:t>
      </w:r>
      <w:r>
        <w:rPr>
          <w:rStyle w:val="726"/>
          <w:rFonts w:hint="eastAsia" w:ascii="宋体" w:hAnsi="宋体" w:eastAsia="宋体" w:cs="宋体"/>
          <w:i w:val="0"/>
          <w:iCs w:val="0"/>
          <w:caps w:val="0"/>
          <w:strike/>
          <w:color w:val="000000" w:themeColor="text1"/>
          <w:spacing w:val="0"/>
          <w:sz w:val="24"/>
          <w:szCs w:val="24"/>
          <w:highlight w:val="none"/>
          <w:u w:val="single"/>
          <w:shd w:val="clear" w:color="auto" w:fill="ffffff"/>
          <w:vertAlign w:val="baseline"/>
          <w14:textFill>
            <w14:solidFill>
              <w14:schemeClr w14:val="tx1"/>
            </w14:solidFill>
          </w14:textFill>
        </w:rPr>
        <w:t xml:space="preserve">（规定比例）</w:t>
      </w:r>
      <w:r>
        <w:rPr>
          <w:rFonts w:hint="eastAsia" w:ascii="宋体" w:hAnsi="宋体" w:eastAsia="宋体" w:cs="宋体"/>
          <w:i w:val="0"/>
          <w:iCs w:val="0"/>
          <w:caps w:val="0"/>
          <w:strike/>
          <w:color w:val="000000" w:themeColor="text1"/>
          <w:spacing w:val="0"/>
          <w:sz w:val="24"/>
          <w:szCs w:val="24"/>
          <w:highlight w:val="none"/>
          <w:shd w:val="clear" w:color="auto" w:fill="ffffff"/>
          <w:vertAlign w:val="baseline"/>
          <w14:textFill>
            <w14:solidFill>
              <w14:schemeClr w14:val="tx1"/>
            </w14:solidFill>
          </w14:textFill>
        </w:rPr>
        <w:t xml:space="preserve">。</w:t>
      </w:r>
      <w:r>
        <w:rPr>
          <w:rStyle w:val="726"/>
          <w:rFonts w:hint="eastAsia" w:ascii="宋体" w:hAnsi="宋体" w:eastAsia="宋体" w:cs="宋体"/>
          <w:i w:val="0"/>
          <w:iCs w:val="0"/>
          <w:caps w:val="0"/>
          <w:strike/>
          <w:color w:val="000000" w:themeColor="text1"/>
          <w:spacing w:val="0"/>
          <w:sz w:val="24"/>
          <w:szCs w:val="24"/>
          <w:highlight w:val="none"/>
          <w:u w:val="single"/>
          <w:shd w:val="clear" w:color="auto" w:fill="ffffff"/>
          <w:vertAlign w:val="baseline"/>
          <w14:textFill>
            <w14:solidFill>
              <w14:schemeClr w14:val="tx1"/>
            </w14:solidFill>
          </w14:textFill>
        </w:rPr>
        <w:t xml:space="preserve">（产品名称2）</w:t>
      </w:r>
      <w:r>
        <w:rPr>
          <w:rFonts w:hint="eastAsia" w:ascii="宋体" w:hAnsi="宋体" w:eastAsia="宋体" w:cs="宋体"/>
          <w:i w:val="0"/>
          <w:iCs w:val="0"/>
          <w:caps w:val="0"/>
          <w:strike/>
          <w:color w:val="000000" w:themeColor="text1"/>
          <w:spacing w:val="0"/>
          <w:sz w:val="24"/>
          <w:szCs w:val="24"/>
          <w:highlight w:val="none"/>
          <w:shd w:val="clear" w:color="auto" w:fill="ffffff"/>
          <w:vertAlign w:val="baseline"/>
          <w14:textFill>
            <w14:solidFill>
              <w14:schemeClr w14:val="tx1"/>
            </w14:solidFill>
          </w14:textFill>
        </w:rPr>
        <w:t xml:space="preserve">的</w:t>
      </w:r>
      <w:r>
        <w:rPr>
          <w:rStyle w:val="726"/>
          <w:rFonts w:hint="eastAsia" w:ascii="宋体" w:hAnsi="宋体" w:eastAsia="宋体" w:cs="宋体"/>
          <w:i w:val="0"/>
          <w:iCs w:val="0"/>
          <w:caps w:val="0"/>
          <w:strike/>
          <w:color w:val="000000" w:themeColor="text1"/>
          <w:spacing w:val="0"/>
          <w:sz w:val="24"/>
          <w:szCs w:val="24"/>
          <w:highlight w:val="none"/>
          <w:u w:val="single"/>
          <w:shd w:val="clear" w:color="auto" w:fill="ffffff"/>
          <w:vertAlign w:val="baseline"/>
          <w14:textFill>
            <w14:solidFill>
              <w14:schemeClr w14:val="tx1"/>
            </w14:solidFill>
          </w14:textFill>
        </w:rPr>
        <w:t xml:space="preserve">（关键组件）</w:t>
      </w:r>
      <w:r>
        <w:rPr>
          <w:rFonts w:hint="eastAsia" w:ascii="宋体" w:hAnsi="宋体" w:eastAsia="宋体" w:cs="宋体"/>
          <w:i w:val="0"/>
          <w:iCs w:val="0"/>
          <w:caps w:val="0"/>
          <w:strike/>
          <w:color w:val="000000" w:themeColor="text1"/>
          <w:spacing w:val="0"/>
          <w:sz w:val="24"/>
          <w:szCs w:val="24"/>
          <w:highlight w:val="none"/>
          <w:shd w:val="clear" w:color="auto" w:fill="ffffff"/>
          <w:vertAlign w:val="baseline"/>
          <w14:textFill>
            <w14:solidFill>
              <w14:schemeClr w14:val="tx1"/>
            </w14:solidFill>
          </w14:textFill>
        </w:rPr>
        <w:t xml:space="preserve">在中国境内生产。</w:t>
      </w:r>
      <w:r>
        <w:rPr>
          <w:rStyle w:val="726"/>
          <w:rFonts w:hint="eastAsia" w:ascii="宋体" w:hAnsi="宋体" w:eastAsia="宋体" w:cs="宋体"/>
          <w:i w:val="0"/>
          <w:iCs w:val="0"/>
          <w:caps w:val="0"/>
          <w:strike/>
          <w:color w:val="000000" w:themeColor="text1"/>
          <w:spacing w:val="0"/>
          <w:sz w:val="24"/>
          <w:szCs w:val="24"/>
          <w:highlight w:val="none"/>
          <w:u w:val="single"/>
          <w:shd w:val="clear" w:color="auto" w:fill="ffffff"/>
          <w:vertAlign w:val="baseline"/>
          <w14:textFill>
            <w14:solidFill>
              <w14:schemeClr w14:val="tx1"/>
            </w14:solidFill>
          </w14:textFill>
        </w:rPr>
        <w:t xml:space="preserve">（产品名称2）</w:t>
      </w:r>
      <w:r>
        <w:rPr>
          <w:rFonts w:hint="eastAsia" w:ascii="宋体" w:hAnsi="宋体" w:eastAsia="宋体" w:cs="宋体"/>
          <w:i w:val="0"/>
          <w:iCs w:val="0"/>
          <w:caps w:val="0"/>
          <w:strike/>
          <w:color w:val="000000" w:themeColor="text1"/>
          <w:spacing w:val="0"/>
          <w:sz w:val="24"/>
          <w:szCs w:val="24"/>
          <w:highlight w:val="none"/>
          <w:shd w:val="clear" w:color="auto" w:fill="ffffff"/>
          <w:vertAlign w:val="baseline"/>
          <w14:textFill>
            <w14:solidFill>
              <w14:schemeClr w14:val="tx1"/>
            </w14:solidFill>
          </w14:textFill>
        </w:rPr>
        <w:t xml:space="preserve">的</w:t>
      </w:r>
      <w:r>
        <w:rPr>
          <w:rStyle w:val="726"/>
          <w:rFonts w:hint="eastAsia" w:ascii="宋体" w:hAnsi="宋体" w:eastAsia="宋体" w:cs="宋体"/>
          <w:i w:val="0"/>
          <w:iCs w:val="0"/>
          <w:caps w:val="0"/>
          <w:strike/>
          <w:color w:val="000000" w:themeColor="text1"/>
          <w:spacing w:val="0"/>
          <w:sz w:val="24"/>
          <w:szCs w:val="24"/>
          <w:highlight w:val="none"/>
          <w:u w:val="single"/>
          <w:shd w:val="clear" w:color="auto" w:fill="ffffff"/>
          <w:vertAlign w:val="baseline"/>
          <w14:textFill>
            <w14:solidFill>
              <w14:schemeClr w14:val="tx1"/>
            </w14:solidFill>
          </w14:textFill>
        </w:rPr>
        <w:t xml:space="preserve">（关键工序）</w:t>
      </w:r>
      <w:r>
        <w:rPr>
          <w:rFonts w:hint="eastAsia" w:ascii="宋体" w:hAnsi="宋体" w:eastAsia="宋体" w:cs="宋体"/>
          <w:i w:val="0"/>
          <w:iCs w:val="0"/>
          <w:caps w:val="0"/>
          <w:strike/>
          <w:color w:val="000000" w:themeColor="text1"/>
          <w:spacing w:val="0"/>
          <w:sz w:val="24"/>
          <w:szCs w:val="24"/>
          <w:highlight w:val="none"/>
          <w:shd w:val="clear" w:color="auto" w:fill="ffffff"/>
          <w:vertAlign w:val="baseline"/>
          <w14:textFill>
            <w14:solidFill>
              <w14:schemeClr w14:val="tx1"/>
            </w14:solidFill>
          </w14:textFill>
        </w:rPr>
        <w:t xml:space="preserve">在中国境内完成。</w:t>
      </w:r>
      <w:r/>
    </w:p>
    <w:p>
      <w:pPr>
        <w:pStyle w:val="721"/>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w:t>
      </w:r>
      <w:r/>
    </w:p>
    <w:p>
      <w:pPr>
        <w:pStyle w:val="721"/>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本采购包中提供的符合本国产品标准的产品成本之和占该采购包提供的全部产品成本之和的比例为</w:t>
      </w:r>
      <w:r>
        <w:rPr>
          <w:rFonts w:hint="eastAsia" w:ascii="宋体" w:hAnsi="宋体" w:eastAsia="宋体" w:cs="宋体"/>
          <w:color w:val="000000" w:themeColor="text1"/>
          <w:sz w:val="24"/>
          <w:szCs w:val="24"/>
          <w:highlight w:val="none"/>
          <w:u w:val="single"/>
          <w:shd w:val="clear" w:color="auto" w:fill="ffffff"/>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w:t>
      </w:r>
      <w:r>
        <w:rPr>
          <w:rStyle w:val="726"/>
          <w:color w:val="000000" w:themeColor="text1"/>
          <w:highlight w:val="none"/>
          <w:vertAlign w:val="superscript"/>
          <w14:textFill>
            <w14:solidFill>
              <w14:schemeClr w14:val="tx1"/>
            </w14:solidFill>
          </w14:textFill>
        </w:rPr>
        <w:t xml:space="preserve">6</w:t>
      </w:r>
      <w:r/>
    </w:p>
    <w:p>
      <w:pPr>
        <w:pStyle w:val="721"/>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本公司（单位）对上述声明内容的真实性负责。如有虚假，愿承担相应法律责任。</w:t>
      </w:r>
      <w:r/>
    </w:p>
    <w:p>
      <w:pPr>
        <w:pStyle w:val="721"/>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公司（单位）名称（盖章）：　        </w:t>
      </w:r>
      <w:r/>
    </w:p>
    <w:p>
      <w:pPr>
        <w:pStyle w:val="721"/>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themeColor="text1"/>
          <w:spacing w:val="0"/>
          <w:sz w:val="28"/>
          <w:szCs w:val="28"/>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 xml:space="preserve">日期：　     年　  月　  日    </w:t>
      </w:r>
      <w:r>
        <w:rPr>
          <w:rFonts w:hint="eastAsia" w:ascii="宋体" w:hAnsi="宋体" w:eastAsia="宋体" w:cs="宋体"/>
          <w:i w:val="0"/>
          <w:iCs w:val="0"/>
          <w:caps w:val="0"/>
          <w:color w:val="000000" w:themeColor="text1"/>
          <w:spacing w:val="0"/>
          <w:sz w:val="28"/>
          <w:szCs w:val="28"/>
          <w:highlight w:val="none"/>
          <w:shd w:val="clear" w:color="auto" w:fill="ffffff"/>
          <w:vertAlign w:val="baseline"/>
          <w14:textFill>
            <w14:solidFill>
              <w14:schemeClr w14:val="tx1"/>
            </w14:solidFill>
          </w14:textFill>
        </w:rPr>
        <w:t xml:space="preserve">     </w:t>
      </w:r>
      <w:r/>
    </w:p>
    <w:p>
      <w:pPr>
        <w:pStyle w:val="721"/>
        <w:ind w:left="0" w:right="0" w:firstLine="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themeColor="text1"/>
          <w:spacing w:val="0"/>
          <w:sz w:val="28"/>
          <w:szCs w:val="28"/>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8"/>
          <w:szCs w:val="28"/>
          <w:highlight w:val="none"/>
          <w:shd w:val="clear" w:color="auto" w:fill="ffffff"/>
          <w:vertAlign w:val="baseline"/>
          <w14:textFill>
            <w14:solidFill>
              <w14:schemeClr w14:val="tx1"/>
            </w14:solidFill>
          </w14:textFill>
        </w:rPr>
        <w:t xml:space="preserve">__________________</w:t>
      </w:r>
      <w:r/>
    </w:p>
    <w:p>
      <w:pPr>
        <w:pStyle w:val="721"/>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highlight w:val="none"/>
          <w:shd w:val="clear" w:color="auto" w:fill="ffffff"/>
          <w:vertAlign w:val="baseline"/>
          <w14:textFill>
            <w14:solidFill>
              <w14:schemeClr w14:val="tx1"/>
            </w14:solidFill>
          </w14:textFill>
        </w:rPr>
        <w:t xml:space="preserve">1.产品如有型号，请在“产品名称”栏一并填写。</w:t>
      </w:r>
      <w:r/>
    </w:p>
    <w:p>
      <w:pPr>
        <w:pStyle w:val="721"/>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highlight w:val="none"/>
          <w:shd w:val="clear" w:color="auto" w:fill="ffffff"/>
          <w:vertAlign w:val="baseline"/>
          <w14:textFill>
            <w14:solidFill>
              <w14:schemeClr w14:val="tx1"/>
            </w14:solidFill>
          </w14:textFill>
        </w:rPr>
        <w:t xml:space="preserve">2.生产厂名与厂址应与生产厂营业执照载明的相关信息保持一致。</w:t>
      </w:r>
      <w:r/>
    </w:p>
    <w:p>
      <w:pPr>
        <w:pStyle w:val="721"/>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themeColor="text1"/>
          <w:spacing w:val="0"/>
          <w:sz w:val="21"/>
          <w:szCs w:val="21"/>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themeColor="text1"/>
          <w:spacing w:val="0"/>
          <w:sz w:val="21"/>
          <w:szCs w:val="21"/>
          <w:highlight w:val="none"/>
          <w:shd w:val="clear" w:color="auto" w:fill="ffffff"/>
          <w:vertAlign w:val="baseline"/>
          <w14:textFill>
            <w14:solidFill>
              <w14:schemeClr w14:val="tx1"/>
            </w14:solidFill>
          </w14:textFill>
        </w:rPr>
        <w:t xml:space="preserve">3.该产品的中国境内生产的组件成本占比相关要求实施前，“规定比例”栏可不填。</w:t>
      </w:r>
      <w:r/>
    </w:p>
    <w:p>
      <w:pPr>
        <w:pStyle w:val="721"/>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themeColor="text1"/>
          <w:spacing w:val="0"/>
          <w:sz w:val="21"/>
          <w:szCs w:val="21"/>
          <w:highlight w:val="none"/>
          <w:shd w:val="clear" w:color="auto" w:fill="ffffff"/>
          <w:vertAlign w:val="baseli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themeColor="text1"/>
          <w:spacing w:val="0"/>
          <w:sz w:val="21"/>
          <w:szCs w:val="21"/>
          <w:highlight w:val="none"/>
          <w:shd w:val="clear" w:color="auto" w:fill="ffffff"/>
          <w:vertAlign w:val="baseline"/>
          <w14:textFill>
            <w14:solidFill>
              <w14:schemeClr w14:val="tx1"/>
            </w14:solidFill>
          </w14:textFill>
        </w:rPr>
        <w:t xml:space="preserve">4.该产品的关键组件要求实施前，“关键组件”栏可不填。</w:t>
      </w:r>
      <w:r/>
    </w:p>
    <w:p>
      <w:pPr>
        <w:pStyle w:val="721"/>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themeColor="text1"/>
          <w:spacing w:val="0"/>
          <w:sz w:val="21"/>
          <w:szCs w:val="21"/>
          <w:highlight w:val="none"/>
          <w:shd w:val="clear" w:color="auto" w:fill="ffffff"/>
          <w:vertAlign w:val="baseli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themeColor="text1"/>
          <w:spacing w:val="0"/>
          <w:sz w:val="21"/>
          <w:szCs w:val="21"/>
          <w:highlight w:val="none"/>
          <w:shd w:val="clear" w:color="auto" w:fill="ffffff"/>
          <w:vertAlign w:val="baseline"/>
          <w14:textFill>
            <w14:solidFill>
              <w14:schemeClr w14:val="tx1"/>
            </w14:solidFill>
          </w14:textFill>
        </w:rPr>
        <w:t xml:space="preserve">5.该产品的关键工序要求实施前，“关键工序”栏可不填。</w:t>
      </w:r>
      <w:r/>
    </w:p>
    <w:p>
      <w:pPr>
        <w:pStyle w:val="721"/>
        <w:ind w:left="0" w:right="0" w:firstLine="420"/>
        <w:keepLines w:val="0"/>
        <w:keepNext w:val="0"/>
        <w:spacing w:before="24" w:beforeAutospacing="0" w:after="24" w:afterAutospacing="0" w:line="360" w:lineRule="auto"/>
        <w:shd w:val="clear" w:color="auto" w:fill="ffffff"/>
        <w:widowControl/>
        <w:rPr>
          <w:color w:val="000000" w:themeColor="text1"/>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br w:type="page" w:clear="all"/>
      </w:r>
      <w:bookmarkEnd w:id="211"/>
      <w:r/>
      <w:r/>
    </w:p>
    <w:p>
      <w:pPr>
        <w:jc w:val="center"/>
        <w:rPr>
          <w:rFonts w:hint="eastAsia" w:ascii="方正小标宋简体" w:hAnsi="方正小标宋简体" w:eastAsia="方正小标宋简体" w:cs="方正小标宋简体"/>
          <w:b w:val="0"/>
          <w:bCs w:val="0"/>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sz w:val="32"/>
          <w:szCs w:val="32"/>
          <w:highlight w:val="none"/>
          <w14:textFill>
            <w14:solidFill>
              <w14:schemeClr w14:val="tx1"/>
            </w14:solidFill>
          </w14:textFill>
        </w:rPr>
        <w:t xml:space="preserve">质疑函</w:t>
      </w:r>
      <w:r>
        <w:rPr>
          <w:rFonts w:hint="eastAsia" w:ascii="方正小标宋简体" w:hAnsi="方正小标宋简体" w:eastAsia="方正小标宋简体" w:cs="方正小标宋简体"/>
          <w:b w:val="0"/>
          <w:bCs w:val="0"/>
          <w:color w:val="000000" w:themeColor="text1"/>
          <w:sz w:val="32"/>
          <w:szCs w:val="32"/>
          <w:highlight w:val="none"/>
          <w:lang w:val="en-US" w:eastAsia="zh-CN"/>
          <w14:textFill>
            <w14:solidFill>
              <w14:schemeClr w14:val="tx1"/>
            </w14:solidFill>
          </w14:textFill>
        </w:rPr>
        <w:t xml:space="preserve">范本</w:t>
      </w:r>
      <w:r/>
    </w:p>
    <w:p>
      <w:pPr>
        <w:spacing w:before="290" w:line="360"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一、质疑供应商基本信息</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供应商</w:t>
      </w:r>
      <w:r>
        <w:rPr>
          <w:rFonts w:hint="eastAsia" w:ascii="宋体" w:hAnsi="宋体" w:cs="仿宋"/>
          <w:color w:val="000000" w:themeColor="text1"/>
          <w:sz w:val="24"/>
          <w:szCs w:val="24"/>
          <w:highlight w:val="none"/>
          <w:lang w:val="en-US" w:eastAsia="zh-CN"/>
          <w14:textFill>
            <w14:solidFill>
              <w14:schemeClr w14:val="tx1"/>
            </w14:solidFill>
          </w14:textFill>
        </w:rPr>
        <w:t xml:space="preserve">名称</w:t>
      </w:r>
      <w:r>
        <w:rPr>
          <w:rFonts w:hint="eastAsia" w:ascii="宋体" w:hAnsi="宋体" w:cs="仿宋"/>
          <w:color w:val="000000" w:themeColor="text1"/>
          <w:sz w:val="24"/>
          <w:szCs w:val="24"/>
          <w:highlight w:val="none"/>
          <w14:textFill>
            <w14:solidFill>
              <w14:schemeClr w14:val="tx1"/>
            </w14:solidFill>
          </w14:textFill>
        </w:rPr>
        <w:t xml:space="preserve">：</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地址：</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邮编：</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联系人：</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联系电话：</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授权代表：</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联系电话：</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before="290" w:line="360"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二、质疑项目基本情况</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项目名称：</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项目编号：</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lang w:val="en-US" w:eastAsia="zh-CN"/>
          <w14:textFill>
            <w14:solidFill>
              <w14:schemeClr w14:val="tx1"/>
            </w14:solidFill>
          </w14:textFill>
        </w:rPr>
        <w:t xml:space="preserve">分</w:t>
      </w:r>
      <w:r>
        <w:rPr>
          <w:rFonts w:hint="eastAsia" w:ascii="宋体" w:hAnsi="宋体" w:cs="仿宋"/>
          <w:color w:val="000000" w:themeColor="text1"/>
          <w:sz w:val="24"/>
          <w:szCs w:val="24"/>
          <w:highlight w:val="none"/>
          <w14:textFill>
            <w14:solidFill>
              <w14:schemeClr w14:val="tx1"/>
            </w14:solidFill>
          </w14:textFill>
        </w:rPr>
        <w:t xml:space="preserve">包号：</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采购人名称：</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before="290" w:line="360"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三、质疑事项具体内容</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质疑事项1：</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事实依据：</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法律依据：</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质疑事项2</w:t>
      </w:r>
      <w:r>
        <w:rPr>
          <w:rFonts w:hint="eastAsia" w:ascii="宋体" w:hAnsi="宋体" w:cs="仿宋"/>
          <w:color w:val="000000" w:themeColor="text1"/>
          <w:sz w:val="24"/>
          <w:szCs w:val="24"/>
          <w:highlight w:val="none"/>
          <w:lang w:eastAsia="zh-CN"/>
          <w14:textFill>
            <w14:solidFill>
              <w14:schemeClr w14:val="tx1"/>
            </w14:solidFill>
          </w14:textFill>
        </w:rPr>
        <w:t xml:space="preserve">：</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w:t>
      </w:r>
      <w:r/>
    </w:p>
    <w:p>
      <w:pPr>
        <w:spacing w:before="290" w:line="360"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四、质疑事项相关请求</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请求：</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签</w:t>
      </w: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字(签章)：                   </w:t>
      </w: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公</w:t>
      </w: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章：                      </w:t>
      </w:r>
      <w:r/>
    </w:p>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w:t>
      </w: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期：    </w:t>
      </w:r>
      <w:r/>
    </w:p>
    <w:p>
      <w:pPr>
        <w:spacing w:line="480" w:lineRule="exact"/>
        <w:rPr>
          <w:rFonts w:hint="eastAsia" w:ascii="宋体" w:hAns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r>
      <w:r/>
    </w:p>
    <w:p>
      <w:pPr>
        <w:ind w:firstLine="480"/>
        <w:spacing w:line="480" w:lineRule="exact"/>
        <w:rPr>
          <w:rFonts w:hint="eastAsia" w:ascii="宋体" w:hAnsi="宋体"/>
          <w:b w:val="0"/>
          <w:bCs/>
          <w:color w:val="000000" w:themeColor="text1"/>
          <w:sz w:val="24"/>
          <w:szCs w:val="24"/>
          <w:highlight w:val="none"/>
          <w:lang w:val="en-US" w:eastAsia="zh-CN"/>
          <w14:textFill>
            <w14:solidFill>
              <w14:schemeClr w14:val="tx1"/>
            </w14:solidFill>
          </w14:textFill>
        </w:rPr>
      </w:pPr>
      <w:r>
        <w:rPr>
          <w:rFonts w:hint="eastAsia" w:ascii="宋体" w:hAnsi="宋体"/>
          <w:b w:val="0"/>
          <w:bCs/>
          <w:color w:val="000000" w:themeColor="text1"/>
          <w:sz w:val="24"/>
          <w:szCs w:val="24"/>
          <w:highlight w:val="none"/>
          <w:lang w:val="en-US" w:eastAsia="zh-CN"/>
          <w14:textFill>
            <w14:solidFill>
              <w14:schemeClr w14:val="tx1"/>
            </w14:solidFill>
          </w14:textFill>
        </w:rPr>
      </w:r>
      <w:r/>
    </w:p>
    <w:p>
      <w:pPr>
        <w:ind w:firstLine="480"/>
        <w:spacing w:line="480" w:lineRule="exact"/>
        <w:rPr>
          <w:rFonts w:ascii="宋体" w:hAns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lang w:val="en-US" w:eastAsia="zh-CN"/>
          <w14:textFill>
            <w14:solidFill>
              <w14:schemeClr w14:val="tx1"/>
            </w14:solidFill>
          </w14:textFill>
        </w:rPr>
        <w:t xml:space="preserve">相关</w:t>
      </w:r>
      <w:r>
        <w:rPr>
          <w:rFonts w:hint="eastAsia" w:ascii="宋体" w:hAnsi="宋体"/>
          <w:b w:val="0"/>
          <w:bCs/>
          <w:color w:val="000000" w:themeColor="text1"/>
          <w:sz w:val="24"/>
          <w:szCs w:val="24"/>
          <w:highlight w:val="none"/>
          <w14:textFill>
            <w14:solidFill>
              <w14:schemeClr w14:val="tx1"/>
            </w14:solidFill>
          </w14:textFill>
        </w:rPr>
        <w:t xml:space="preserve">说明：</w:t>
      </w:r>
      <w:r/>
    </w:p>
    <w:p>
      <w:pPr>
        <w:ind w:firstLine="480"/>
        <w:spacing w:line="480" w:lineRule="exact"/>
        <w:rPr>
          <w:rFonts w:hint="eastAsia" w:ascii="宋体" w:hAnsi="宋体" w:eastAsia="宋体" w:cs="仿宋"/>
          <w:b w:val="0"/>
          <w:bCs w:val="0"/>
          <w:color w:val="000000" w:themeColor="text1"/>
          <w:sz w:val="24"/>
          <w:szCs w:val="24"/>
          <w:highlight w:val="none"/>
          <w14:textFill>
            <w14:solidFill>
              <w14:schemeClr w14:val="tx1"/>
            </w14:solidFill>
          </w14:textFill>
        </w:rPr>
      </w:pP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1.供应商提出质疑</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应提交</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质疑函</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和必要的证明材料。</w:t>
      </w:r>
      <w:r/>
    </w:p>
    <w:p>
      <w:pPr>
        <w:ind w:firstLine="480"/>
        <w:spacing w:line="480" w:lineRule="exact"/>
        <w:rPr>
          <w:rFonts w:hint="eastAsia" w:ascii="宋体" w:hAnsi="宋体" w:eastAsia="宋体" w:cs="仿宋"/>
          <w:b w:val="0"/>
          <w:bCs w:val="0"/>
          <w:color w:val="000000" w:themeColor="text1"/>
          <w:sz w:val="24"/>
          <w:szCs w:val="24"/>
          <w:highlight w:val="none"/>
          <w14:textFill>
            <w14:solidFill>
              <w14:schemeClr w14:val="tx1"/>
            </w14:solidFill>
          </w14:textFill>
        </w:rPr>
      </w:pP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2.</w:t>
      </w:r>
      <w:r>
        <w:rPr>
          <w:rFonts w:hint="eastAsia" w:ascii="宋体" w:hAnsi="宋体" w:eastAsia="宋体" w:cs="仿宋"/>
          <w:color w:val="000000" w:themeColor="text1"/>
          <w:sz w:val="24"/>
          <w:szCs w:val="24"/>
          <w:highlight w:val="none"/>
          <w:lang w:val="en-US" w:eastAsia="zh-CN"/>
          <w14:textFill>
            <w14:solidFill>
              <w14:schemeClr w14:val="tx1"/>
            </w14:solidFill>
          </w14:textFill>
        </w:rPr>
        <w:t xml:space="preserve">由授权代表负责</w:t>
      </w:r>
      <w:r>
        <w:rPr>
          <w:rFonts w:hint="eastAsia" w:ascii="宋体" w:hAnsi="宋体" w:eastAsia="宋体" w:cs="仿宋"/>
          <w:color w:val="000000" w:themeColor="text1"/>
          <w:sz w:val="24"/>
          <w:szCs w:val="24"/>
          <w:highlight w:val="none"/>
          <w:lang w:eastAsia="zh-CN"/>
          <w14:textFill>
            <w14:solidFill>
              <w14:schemeClr w14:val="tx1"/>
            </w14:solidFill>
          </w14:textFill>
        </w:rPr>
        <w:t xml:space="preserve">质疑</w:t>
      </w:r>
      <w:r>
        <w:rPr>
          <w:rFonts w:hint="eastAsia" w:ascii="宋体" w:hAnsi="宋体" w:eastAsia="宋体" w:cs="仿宋"/>
          <w:color w:val="000000" w:themeColor="text1"/>
          <w:sz w:val="24"/>
          <w:szCs w:val="24"/>
          <w:highlight w:val="none"/>
          <w:lang w:val="en-US" w:eastAsia="zh-CN"/>
          <w14:textFill>
            <w14:solidFill>
              <w14:schemeClr w14:val="tx1"/>
            </w14:solidFill>
          </w14:textFill>
        </w:rPr>
        <w:t xml:space="preserve">事宜</w:t>
      </w:r>
      <w:r>
        <w:rPr>
          <w:rFonts w:hint="eastAsia" w:ascii="宋体" w:hAnsi="宋体" w:eastAsia="宋体" w:cs="仿宋"/>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质疑函</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lang w:val="en-US" w:eastAsia="zh-CN"/>
          <w14:textFill>
            <w14:solidFill>
              <w14:schemeClr w14:val="tx1"/>
            </w14:solidFill>
          </w14:textFill>
        </w:rPr>
        <w:t xml:space="preserve">附件中</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应</w:t>
      </w:r>
      <w:r>
        <w:rPr>
          <w:rFonts w:hint="eastAsia" w:ascii="宋体" w:hAnsi="宋体" w:eastAsia="宋体" w:cs="仿宋"/>
          <w:b w:val="0"/>
          <w:bCs w:val="0"/>
          <w:color w:val="000000" w:themeColor="text1"/>
          <w:sz w:val="24"/>
          <w:szCs w:val="24"/>
          <w:highlight w:val="none"/>
          <w:lang w:val="en-US" w:eastAsia="zh-CN"/>
          <w14:textFill>
            <w14:solidFill>
              <w14:schemeClr w14:val="tx1"/>
            </w14:solidFill>
          </w14:textFill>
        </w:rPr>
        <w:t xml:space="preserve">提交</w:t>
      </w:r>
      <w:r>
        <w:rPr>
          <w:rFonts w:hint="eastAsia" w:ascii="宋体" w:hAnsi="宋体" w:eastAsia="宋体" w:cs="仿宋"/>
          <w:color w:val="000000" w:themeColor="text1"/>
          <w:sz w:val="24"/>
          <w:szCs w:val="24"/>
          <w:highlight w:val="none"/>
          <w:lang w:eastAsia="zh-CN"/>
          <w14:textFill>
            <w14:solidFill>
              <w14:schemeClr w14:val="tx1"/>
            </w14:solidFill>
          </w14:textFill>
        </w:rPr>
        <w:t xml:space="preserve">由质疑供应商法定代表人签署的《授权委托书》</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w:t>
      </w:r>
      <w:r/>
    </w:p>
    <w:p>
      <w:pPr>
        <w:ind w:firstLine="480"/>
        <w:spacing w:line="480" w:lineRule="exact"/>
        <w:rPr>
          <w:rFonts w:hint="eastAsia" w:ascii="宋体" w:hAnsi="宋体" w:eastAsia="宋体" w:cs="仿宋"/>
          <w:b w:val="0"/>
          <w:bCs w:val="0"/>
          <w:color w:val="000000" w:themeColor="text1"/>
          <w:sz w:val="24"/>
          <w:szCs w:val="24"/>
          <w:highlight w:val="none"/>
          <w14:textFill>
            <w14:solidFill>
              <w14:schemeClr w14:val="tx1"/>
            </w14:solidFill>
          </w14:textFill>
        </w:rPr>
      </w:pP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3.质疑供应商</w:t>
      </w:r>
      <w:r>
        <w:rPr>
          <w:rFonts w:hint="eastAsia" w:ascii="宋体" w:hAnsi="宋体" w:eastAsia="宋体" w:cs="仿宋"/>
          <w:b w:val="0"/>
          <w:bCs w:val="0"/>
          <w:color w:val="000000" w:themeColor="text1"/>
          <w:sz w:val="24"/>
          <w:szCs w:val="24"/>
          <w:highlight w:val="none"/>
          <w:lang w:val="en-US" w:eastAsia="zh-CN"/>
          <w14:textFill>
            <w14:solidFill>
              <w14:schemeClr w14:val="tx1"/>
            </w14:solidFill>
          </w14:textFill>
        </w:rPr>
        <w:t xml:space="preserve">针</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对项目的某一分包进行质疑</w:t>
      </w:r>
      <w:r>
        <w:rPr>
          <w:rFonts w:hint="eastAsia" w:ascii="宋体" w:hAnsi="宋体" w:eastAsia="宋体" w:cs="仿宋"/>
          <w:b w:val="0"/>
          <w:bCs w:val="0"/>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质疑函</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中应</w:t>
      </w:r>
      <w:r>
        <w:rPr>
          <w:rFonts w:hint="eastAsia" w:ascii="宋体" w:hAnsi="宋体" w:eastAsia="宋体" w:cs="仿宋"/>
          <w:b w:val="0"/>
          <w:bCs w:val="0"/>
          <w:color w:val="000000" w:themeColor="text1"/>
          <w:sz w:val="24"/>
          <w:szCs w:val="24"/>
          <w:highlight w:val="none"/>
          <w:lang w:val="en-US" w:eastAsia="zh-CN"/>
          <w14:textFill>
            <w14:solidFill>
              <w14:schemeClr w14:val="tx1"/>
            </w14:solidFill>
          </w14:textFill>
        </w:rPr>
        <w:t xml:space="preserve">明确</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分包号。</w:t>
      </w:r>
      <w:r/>
    </w:p>
    <w:p>
      <w:pPr>
        <w:ind w:firstLine="480"/>
        <w:spacing w:line="480" w:lineRule="exact"/>
        <w:rPr>
          <w:rFonts w:hint="eastAsia" w:ascii="宋体" w:hAnsi="宋体" w:eastAsia="宋体" w:cs="仿宋"/>
          <w:b w:val="0"/>
          <w:bCs w:val="0"/>
          <w:color w:val="000000" w:themeColor="text1"/>
          <w:sz w:val="24"/>
          <w:szCs w:val="24"/>
          <w:highlight w:val="none"/>
          <w14:textFill>
            <w14:solidFill>
              <w14:schemeClr w14:val="tx1"/>
            </w14:solidFill>
          </w14:textFill>
        </w:rPr>
      </w:pP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4.</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质疑函</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的质疑事项应具体、明确</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并有必要的事实依据和法律依据。</w:t>
      </w:r>
      <w:r/>
    </w:p>
    <w:p>
      <w:pPr>
        <w:ind w:firstLine="480"/>
        <w:spacing w:line="480" w:lineRule="exact"/>
        <w:rPr>
          <w:rFonts w:hint="eastAsia" w:ascii="宋体" w:hAnsi="宋体" w:eastAsia="宋体" w:cs="仿宋"/>
          <w:b w:val="0"/>
          <w:bCs w:val="0"/>
          <w:color w:val="000000" w:themeColor="text1"/>
          <w:sz w:val="24"/>
          <w:szCs w:val="24"/>
          <w:highlight w:val="none"/>
          <w14:textFill>
            <w14:solidFill>
              <w14:schemeClr w14:val="tx1"/>
            </w14:solidFill>
          </w14:textFill>
        </w:rPr>
      </w:pP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5.</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质疑函</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的质疑请求应与质疑事项相关。</w:t>
      </w:r>
      <w:r/>
    </w:p>
    <w:p>
      <w:pPr>
        <w:ind w:firstLine="480"/>
        <w:spacing w:line="480" w:lineRule="exact"/>
        <w:rPr>
          <w:rFonts w:hint="eastAsia" w:ascii="宋体" w:hAnsi="宋体" w:eastAsia="宋体" w:cs="仿宋"/>
          <w:b w:val="0"/>
          <w:bCs w:val="0"/>
          <w:color w:val="000000" w:themeColor="text1"/>
          <w:sz w:val="24"/>
          <w:szCs w:val="24"/>
          <w:highlight w:val="none"/>
          <w14:textFill>
            <w14:solidFill>
              <w14:schemeClr w14:val="tx1"/>
            </w14:solidFill>
          </w14:textFill>
        </w:rPr>
      </w:pP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6.质疑供应商为自然人的</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质疑函</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应由本人签字；质疑供应商为法人或者其他组织的</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质疑函</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应由法定代表人、主要负责人</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或者其授权代表签字或者</w:t>
      </w:r>
      <w:r>
        <w:rPr>
          <w:rFonts w:hint="eastAsia" w:ascii="宋体" w:hAnsi="宋体" w:eastAsia="宋体" w:cs="仿宋"/>
          <w:b w:val="0"/>
          <w:bCs w:val="0"/>
          <w:color w:val="000000" w:themeColor="text1"/>
          <w:sz w:val="24"/>
          <w:szCs w:val="24"/>
          <w:highlight w:val="none"/>
          <w:lang w:val="en-US" w:eastAsia="zh-CN"/>
          <w14:textFill>
            <w14:solidFill>
              <w14:schemeClr w14:val="tx1"/>
            </w14:solidFill>
          </w14:textFill>
        </w:rPr>
        <w:t xml:space="preserve">签</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章</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并加盖公章。</w:t>
      </w:r>
      <w:r/>
    </w:p>
    <w:p>
      <w:pPr>
        <w:ind w:firstLine="480"/>
        <w:spacing w:line="480" w:lineRule="exact"/>
        <w:rPr>
          <w:rFonts w:hint="eastAsia" w:ascii="宋体" w:hAnsi="宋体" w:eastAsia="宋体" w:cs="仿宋"/>
          <w:b w:val="0"/>
          <w:bCs w:val="0"/>
          <w:color w:val="000000" w:themeColor="text1"/>
          <w:sz w:val="24"/>
          <w:szCs w:val="24"/>
          <w:highlight w:val="none"/>
          <w:lang w:eastAsia="zh-CN"/>
          <w14:textFill>
            <w14:solidFill>
              <w14:schemeClr w14:val="tx1"/>
            </w14:solidFill>
          </w14:textFill>
        </w:rPr>
      </w:pPr>
      <w:r>
        <w:rPr>
          <w:rFonts w:hint="eastAsia" w:ascii="宋体" w:hAnsi="宋体" w:eastAsia="宋体" w:cs="仿宋"/>
          <w:b w:val="0"/>
          <w:bCs w:val="0"/>
          <w:color w:val="000000" w:themeColor="text1"/>
          <w:sz w:val="24"/>
          <w:szCs w:val="24"/>
          <w:highlight w:val="none"/>
          <w:lang w:val="en-US" w:eastAsia="zh-CN"/>
          <w14:textFill>
            <w14:solidFill>
              <w14:schemeClr w14:val="tx1"/>
            </w14:solidFill>
          </w14:textFill>
        </w:rPr>
        <w:t xml:space="preserve">7.质疑</w:t>
      </w:r>
      <w:r>
        <w:rPr>
          <w:rFonts w:hint="eastAsia" w:ascii="宋体" w:hAnsi="宋体" w:eastAsia="宋体" w:cs="仿宋"/>
          <w:b w:val="0"/>
          <w:bCs w:val="0"/>
          <w:color w:val="000000" w:themeColor="text1"/>
          <w:sz w:val="24"/>
          <w:szCs w:val="24"/>
          <w:highlight w:val="none"/>
          <w:lang w:val="zh-CN" w:eastAsia="zh-CN"/>
          <w14:textFill>
            <w14:solidFill>
              <w14:schemeClr w14:val="tx1"/>
            </w14:solidFill>
          </w14:textFill>
        </w:rPr>
        <w:t xml:space="preserve">供应商</w:t>
      </w:r>
      <w:r>
        <w:rPr>
          <w:rFonts w:hint="eastAsia" w:ascii="宋体" w:hAnsi="宋体" w:eastAsia="宋体" w:cs="仿宋"/>
          <w:b w:val="0"/>
          <w:bCs w:val="0"/>
          <w:color w:val="000000" w:themeColor="text1"/>
          <w:sz w:val="24"/>
          <w:szCs w:val="24"/>
          <w:highlight w:val="none"/>
          <w:lang w:val="en-US" w:eastAsia="zh-CN"/>
          <w14:textFill>
            <w14:solidFill>
              <w14:schemeClr w14:val="tx1"/>
            </w14:solidFill>
          </w14:textFill>
        </w:rPr>
        <w:t xml:space="preserve">为</w:t>
      </w:r>
      <w:r>
        <w:rPr>
          <w:rFonts w:hint="eastAsia" w:ascii="宋体" w:hAnsi="宋体" w:eastAsia="宋体" w:cs="仿宋"/>
          <w:b w:val="0"/>
          <w:bCs w:val="0"/>
          <w:color w:val="000000" w:themeColor="text1"/>
          <w:sz w:val="24"/>
          <w:szCs w:val="24"/>
          <w:highlight w:val="none"/>
          <w:lang w:val="zh-CN" w:eastAsia="zh-CN"/>
          <w14:textFill>
            <w14:solidFill>
              <w14:schemeClr w14:val="tx1"/>
            </w14:solidFill>
          </w14:textFill>
        </w:rPr>
        <w:t xml:space="preserve">联合体</w:t>
      </w:r>
      <w:r>
        <w:rPr>
          <w:rFonts w:hint="eastAsia" w:ascii="宋体" w:hAnsi="宋体" w:eastAsia="宋体" w:cs="仿宋"/>
          <w:b w:val="0"/>
          <w:bCs w:val="0"/>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仿宋"/>
          <w:b w:val="0"/>
          <w:bCs w:val="0"/>
          <w:color w:val="000000" w:themeColor="text1"/>
          <w:sz w:val="24"/>
          <w:szCs w:val="24"/>
          <w:highlight w:val="none"/>
          <w:lang w:val="zh-CN" w:eastAsia="zh-CN"/>
          <w14:textFill>
            <w14:solidFill>
              <w14:schemeClr w14:val="tx1"/>
            </w14:solidFill>
          </w14:textFill>
        </w:rPr>
        <w:t xml:space="preserve">，则《质疑函》中要求加盖公章之处，联合体各方均须按要求加盖公章。</w:t>
      </w:r>
      <w:r/>
    </w:p>
    <w:p>
      <w:pPr>
        <w:spacing w:line="480" w:lineRule="exact"/>
        <w:rPr>
          <w:rFonts w:hint="eastAsia" w:ascii="宋体" w:hAnsi="宋体" w:eastAsia="宋体" w:cs="仿宋"/>
          <w:b w:val="0"/>
          <w:bCs w:val="0"/>
          <w:color w:val="000000" w:themeColor="text1"/>
          <w:sz w:val="24"/>
          <w:szCs w:val="24"/>
          <w:highlight w:val="none"/>
          <w:lang w:eastAsia="zh-CN"/>
          <w14:textFill>
            <w14:solidFill>
              <w14:schemeClr w14:val="tx1"/>
            </w14:solidFill>
          </w14:textFill>
        </w:rPr>
      </w:pP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黑体_GBK">
    <w:panose1 w:val="020B0503020202020204"/>
  </w:font>
  <w:font w:name="Wingdings">
    <w:panose1 w:val="05000000000000000000"/>
  </w:font>
  <w:font w:name="Tahoma">
    <w:panose1 w:val="020B0604030504040204"/>
  </w:font>
  <w:font w:name="方正楷体_GBK">
    <w:panose1 w:val="020B0503020202020204"/>
  </w:font>
  <w:font w:name="仿宋">
    <w:panose1 w:val="02010609060101010101"/>
  </w:font>
  <w:font w:name="FangSong_GB2312">
    <w:panose1 w:val="02010609060101010101"/>
  </w:font>
  <w:font w:name="Symbol">
    <w:panose1 w:val="05050102010706020507"/>
  </w:font>
  <w:font w:name="Verdana">
    <w:panose1 w:val="020B0604030504040204"/>
  </w:font>
  <w:font w:name="仿宋_GB2312">
    <w:panose1 w:val="02010609060101010101"/>
  </w:font>
  <w:font w:name="黑体">
    <w:panose1 w:val="02010609060101010101"/>
  </w:font>
  <w:font w:name="Calibri">
    <w:panose1 w:val="020F0502020204030204"/>
  </w:font>
  <w:font w:name="方正小标宋简体">
    <w:panose1 w:val="020B0503020202020204"/>
  </w:font>
  <w:font w:name="Courier New">
    <w:panose1 w:val="020703090202050204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rPr>
        <w:rStyle w:val="895"/>
        <w:rFonts w:ascii="宋体" w:hAnsi="宋体"/>
      </w:rPr>
      <w:framePr w:wrap="around" w:vAnchor="text" w:hAnchor="margin" w:xAlign="center" w:y="1"/>
    </w:pPr>
    <w:r>
      <w:rPr>
        <w:rFonts w:ascii="宋体" w:hAnsi="宋体"/>
      </w:rPr>
      <w:fldChar w:fldCharType="begin"/>
    </w:r>
    <w:r>
      <w:rPr>
        <w:rStyle w:val="895"/>
        <w:rFonts w:ascii="宋体" w:hAnsi="宋体"/>
      </w:rPr>
      <w:instrText xml:space="preserve">PAGE  </w:instrText>
    </w:r>
    <w:r>
      <w:rPr>
        <w:rFonts w:ascii="宋体" w:hAnsi="宋体"/>
      </w:rPr>
      <w:fldChar w:fldCharType="separate"/>
    </w:r>
    <w:r>
      <w:rPr>
        <w:rStyle w:val="895"/>
        <w:rFonts w:ascii="宋体" w:hAnsi="宋体"/>
      </w:rPr>
      <w:t xml:space="preserve">４２</w:t>
    </w:r>
    <w:r>
      <w:rPr>
        <w:rFonts w:ascii="宋体" w:hAnsi="宋体"/>
      </w:rPr>
      <w:fldChar w:fldCharType="end"/>
    </w:r>
    <w:r/>
  </w:p>
  <w:p>
    <w:pPr>
      <w:pStyle w:val="913"/>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rPr>
        <w:rStyle w:val="895"/>
      </w:rPr>
      <w:framePr w:wrap="around" w:vAnchor="text" w:hAnchor="margin" w:xAlign="center" w:y="1"/>
    </w:pPr>
    <w:r>
      <w:fldChar w:fldCharType="begin"/>
    </w:r>
    <w:r>
      <w:rPr>
        <w:rStyle w:val="895"/>
      </w:rPr>
      <w:instrText xml:space="preserve">PAGE  </w:instrText>
    </w:r>
    <w:r>
      <w:fldChar w:fldCharType="separate"/>
    </w:r>
    <w:r>
      <w:rPr>
        <w:rStyle w:val="895"/>
      </w:rPr>
      <w:t xml:space="preserve">1</w:t>
    </w:r>
    <w:r>
      <w:fldChar w:fldCharType="end"/>
    </w:r>
    <w:r/>
  </w:p>
  <w:p>
    <w:pPr>
      <w:pStyle w:val="91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link w:val="90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89">
    <w:name w:val="Heading 1"/>
    <w:basedOn w:val="688"/>
    <w:next w:val="688"/>
    <w:link w:val="732"/>
    <w:uiPriority w:val="9"/>
    <w:qFormat/>
    <w:pPr>
      <w:keepLines/>
      <w:keepNext/>
      <w:spacing w:before="480" w:after="200"/>
      <w:outlineLvl w:val="0"/>
    </w:pPr>
    <w:rPr>
      <w:rFonts w:ascii="Arial" w:hAnsi="Arial" w:eastAsia="Arial" w:cs="Arial"/>
      <w:sz w:val="40"/>
      <w:szCs w:val="40"/>
    </w:rPr>
  </w:style>
  <w:style w:type="paragraph" w:styleId="690">
    <w:name w:val="Heading 2"/>
    <w:basedOn w:val="688"/>
    <w:next w:val="688"/>
    <w:link w:val="733"/>
    <w:uiPriority w:val="9"/>
    <w:unhideWhenUsed/>
    <w:qFormat/>
    <w:pPr>
      <w:keepLines/>
      <w:keepNext/>
      <w:spacing w:before="360" w:after="200"/>
      <w:outlineLvl w:val="1"/>
    </w:pPr>
    <w:rPr>
      <w:rFonts w:ascii="Arial" w:hAnsi="Arial" w:eastAsia="Arial" w:cs="Arial"/>
      <w:sz w:val="34"/>
    </w:rPr>
  </w:style>
  <w:style w:type="paragraph" w:styleId="691">
    <w:name w:val="Heading 3"/>
    <w:basedOn w:val="688"/>
    <w:next w:val="688"/>
    <w:link w:val="734"/>
    <w:uiPriority w:val="9"/>
    <w:unhideWhenUsed/>
    <w:qFormat/>
    <w:pPr>
      <w:keepLines/>
      <w:keepNext/>
      <w:spacing w:before="320" w:after="200"/>
      <w:outlineLvl w:val="2"/>
    </w:pPr>
    <w:rPr>
      <w:rFonts w:ascii="Arial" w:hAnsi="Arial" w:eastAsia="Arial" w:cs="Arial"/>
      <w:sz w:val="30"/>
      <w:szCs w:val="30"/>
    </w:rPr>
  </w:style>
  <w:style w:type="paragraph" w:styleId="692">
    <w:name w:val="Heading 4"/>
    <w:basedOn w:val="688"/>
    <w:next w:val="688"/>
    <w:link w:val="735"/>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688"/>
    <w:next w:val="688"/>
    <w:link w:val="736"/>
    <w:uiPriority w:val="9"/>
    <w:unhideWhenUsed/>
    <w:qFormat/>
    <w:pPr>
      <w:keepLines/>
      <w:keepNext/>
      <w:spacing w:before="320" w:after="200"/>
      <w:outlineLvl w:val="4"/>
    </w:pPr>
    <w:rPr>
      <w:rFonts w:ascii="Arial" w:hAnsi="Arial" w:eastAsia="Arial" w:cs="Arial"/>
      <w:b/>
      <w:bCs/>
      <w:sz w:val="24"/>
      <w:szCs w:val="24"/>
    </w:rPr>
  </w:style>
  <w:style w:type="paragraph" w:styleId="694">
    <w:name w:val="Heading 6"/>
    <w:basedOn w:val="688"/>
    <w:next w:val="688"/>
    <w:link w:val="737"/>
    <w:uiPriority w:val="9"/>
    <w:unhideWhenUsed/>
    <w:qFormat/>
    <w:pPr>
      <w:keepLines/>
      <w:keepNext/>
      <w:spacing w:before="320" w:after="200"/>
      <w:outlineLvl w:val="5"/>
    </w:pPr>
    <w:rPr>
      <w:rFonts w:ascii="Arial" w:hAnsi="Arial" w:eastAsia="Arial" w:cs="Arial"/>
      <w:b/>
      <w:bCs/>
      <w:sz w:val="22"/>
      <w:szCs w:val="22"/>
    </w:rPr>
  </w:style>
  <w:style w:type="paragraph" w:styleId="695">
    <w:name w:val="Heading 7"/>
    <w:basedOn w:val="688"/>
    <w:next w:val="688"/>
    <w:link w:val="738"/>
    <w:uiPriority w:val="9"/>
    <w:unhideWhenUsed/>
    <w:qFormat/>
    <w:pPr>
      <w:keepLines/>
      <w:keepNext/>
      <w:spacing w:before="320" w:after="200"/>
      <w:outlineLvl w:val="6"/>
    </w:pPr>
    <w:rPr>
      <w:rFonts w:ascii="Arial" w:hAnsi="Arial" w:eastAsia="Arial" w:cs="Arial"/>
      <w:b/>
      <w:bCs/>
      <w:i/>
      <w:iCs/>
      <w:sz w:val="22"/>
      <w:szCs w:val="22"/>
    </w:rPr>
  </w:style>
  <w:style w:type="paragraph" w:styleId="696">
    <w:name w:val="Heading 8"/>
    <w:basedOn w:val="688"/>
    <w:next w:val="688"/>
    <w:link w:val="739"/>
    <w:uiPriority w:val="9"/>
    <w:unhideWhenUsed/>
    <w:qFormat/>
    <w:pPr>
      <w:keepLines/>
      <w:keepNext/>
      <w:spacing w:before="320" w:after="200"/>
      <w:outlineLvl w:val="7"/>
    </w:pPr>
    <w:rPr>
      <w:rFonts w:ascii="Arial" w:hAnsi="Arial" w:eastAsia="Arial" w:cs="Arial"/>
      <w:i/>
      <w:iCs/>
      <w:sz w:val="22"/>
      <w:szCs w:val="22"/>
    </w:rPr>
  </w:style>
  <w:style w:type="paragraph" w:styleId="697">
    <w:name w:val="Heading 9"/>
    <w:basedOn w:val="688"/>
    <w:next w:val="688"/>
    <w:link w:val="740"/>
    <w:uiPriority w:val="9"/>
    <w:unhideWhenUsed/>
    <w:qFormat/>
    <w:pPr>
      <w:keepLines/>
      <w:keepNext/>
      <w:spacing w:before="320" w:after="200"/>
      <w:outlineLvl w:val="8"/>
    </w:pPr>
    <w:rPr>
      <w:rFonts w:ascii="Arial" w:hAnsi="Arial" w:eastAsia="Arial" w:cs="Arial"/>
      <w:i/>
      <w:iCs/>
      <w:sz w:val="21"/>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name w:val="toc 7"/>
    <w:basedOn w:val="688"/>
    <w:next w:val="688"/>
    <w:uiPriority w:val="39"/>
    <w:unhideWhenUsed/>
    <w:qFormat/>
    <w:pPr>
      <w:ind w:left="1701" w:right="0" w:firstLine="0"/>
      <w:spacing w:after="57"/>
    </w:pPr>
  </w:style>
  <w:style w:type="paragraph" w:styleId="701">
    <w:name w:val="Normal Indent"/>
    <w:basedOn w:val="688"/>
    <w:uiPriority w:val="0"/>
    <w:qFormat/>
    <w:pPr>
      <w:ind w:firstLine="420"/>
    </w:pPr>
    <w:rPr>
      <w:szCs w:val="21"/>
    </w:rPr>
  </w:style>
  <w:style w:type="paragraph" w:styleId="702">
    <w:name w:val="Caption"/>
    <w:basedOn w:val="688"/>
    <w:next w:val="68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3">
    <w:name w:val="annotation text"/>
    <w:basedOn w:val="688"/>
    <w:uiPriority w:val="99"/>
    <w:semiHidden/>
    <w:unhideWhenUsed/>
    <w:qFormat/>
    <w:pPr>
      <w:jc w:val="left"/>
    </w:pPr>
  </w:style>
  <w:style w:type="paragraph" w:styleId="704">
    <w:name w:val="Body Text Indent"/>
    <w:basedOn w:val="688"/>
    <w:next w:val="705"/>
    <w:uiPriority w:val="0"/>
    <w:unhideWhenUsed/>
    <w:qFormat/>
    <w:pPr>
      <w:ind w:left="420"/>
      <w:spacing w:after="120"/>
    </w:pPr>
  </w:style>
  <w:style w:type="paragraph" w:styleId="705">
    <w:name w:val="envelope return"/>
    <w:basedOn w:val="688"/>
    <w:uiPriority w:val="0"/>
    <w:qFormat/>
    <w:rPr>
      <w:rFonts w:ascii="Arial" w:hAnsi="Arial" w:eastAsia="宋体" w:cs="宋体"/>
    </w:rPr>
  </w:style>
  <w:style w:type="paragraph" w:styleId="706">
    <w:name w:val="toc 5"/>
    <w:basedOn w:val="688"/>
    <w:next w:val="688"/>
    <w:uiPriority w:val="39"/>
    <w:unhideWhenUsed/>
    <w:qFormat/>
    <w:pPr>
      <w:ind w:left="1134" w:right="0" w:firstLine="0"/>
      <w:spacing w:after="57"/>
    </w:pPr>
  </w:style>
  <w:style w:type="paragraph" w:styleId="707">
    <w:name w:val="toc 3"/>
    <w:basedOn w:val="688"/>
    <w:next w:val="688"/>
    <w:uiPriority w:val="39"/>
    <w:unhideWhenUsed/>
    <w:qFormat/>
    <w:pPr>
      <w:ind w:left="567" w:right="0" w:firstLine="0"/>
      <w:spacing w:after="57"/>
    </w:pPr>
  </w:style>
  <w:style w:type="paragraph" w:styleId="708">
    <w:name w:val="Plain Text"/>
    <w:basedOn w:val="688"/>
    <w:uiPriority w:val="0"/>
    <w:qFormat/>
    <w:rPr>
      <w:rFonts w:ascii="宋体" w:hAnsi="Courier New" w:eastAsia="宋体" w:cs="Courier New"/>
      <w:szCs w:val="21"/>
    </w:rPr>
  </w:style>
  <w:style w:type="paragraph" w:styleId="709">
    <w:name w:val="toc 8"/>
    <w:basedOn w:val="688"/>
    <w:next w:val="688"/>
    <w:uiPriority w:val="39"/>
    <w:unhideWhenUsed/>
    <w:qFormat/>
    <w:pPr>
      <w:ind w:left="1984" w:right="0" w:firstLine="0"/>
      <w:spacing w:after="57"/>
    </w:pPr>
  </w:style>
  <w:style w:type="paragraph" w:styleId="710">
    <w:name w:val="endnote text"/>
    <w:basedOn w:val="688"/>
    <w:link w:val="878"/>
    <w:uiPriority w:val="99"/>
    <w:semiHidden/>
    <w:unhideWhenUsed/>
    <w:qFormat/>
    <w:pPr>
      <w:spacing w:after="0" w:line="240" w:lineRule="auto"/>
    </w:pPr>
    <w:rPr>
      <w:sz w:val="20"/>
    </w:rPr>
  </w:style>
  <w:style w:type="paragraph" w:styleId="711">
    <w:name w:val="Footer"/>
    <w:basedOn w:val="688"/>
    <w:link w:val="751"/>
    <w:uiPriority w:val="99"/>
    <w:unhideWhenUsed/>
    <w:qFormat/>
    <w:pPr>
      <w:spacing w:after="0" w:line="240" w:lineRule="auto"/>
      <w:tabs>
        <w:tab w:val="center" w:pos="7143" w:leader="none"/>
        <w:tab w:val="right" w:pos="14287" w:leader="none"/>
      </w:tabs>
    </w:pPr>
  </w:style>
  <w:style w:type="paragraph" w:styleId="712">
    <w:name w:val="Header"/>
    <w:basedOn w:val="688"/>
    <w:link w:val="749"/>
    <w:uiPriority w:val="99"/>
    <w:unhideWhenUsed/>
    <w:qFormat/>
    <w:pPr>
      <w:spacing w:after="0" w:line="240" w:lineRule="auto"/>
      <w:tabs>
        <w:tab w:val="center" w:pos="7143" w:leader="none"/>
        <w:tab w:val="right" w:pos="14287" w:leader="none"/>
      </w:tabs>
    </w:pPr>
  </w:style>
  <w:style w:type="paragraph" w:styleId="713">
    <w:name w:val="toc 1"/>
    <w:basedOn w:val="688"/>
    <w:next w:val="688"/>
    <w:uiPriority w:val="39"/>
    <w:unhideWhenUsed/>
    <w:qFormat/>
    <w:pPr>
      <w:ind w:left="0" w:right="0" w:firstLine="0"/>
      <w:spacing w:after="57"/>
    </w:pPr>
  </w:style>
  <w:style w:type="paragraph" w:styleId="714">
    <w:name w:val="toc 4"/>
    <w:basedOn w:val="688"/>
    <w:next w:val="688"/>
    <w:uiPriority w:val="39"/>
    <w:unhideWhenUsed/>
    <w:qFormat/>
    <w:pPr>
      <w:ind w:left="850" w:right="0" w:firstLine="0"/>
      <w:spacing w:after="57"/>
    </w:pPr>
  </w:style>
  <w:style w:type="paragraph" w:styleId="715">
    <w:name w:val="Subtitle"/>
    <w:basedOn w:val="688"/>
    <w:next w:val="688"/>
    <w:link w:val="744"/>
    <w:uiPriority w:val="11"/>
    <w:qFormat/>
    <w:pPr>
      <w:spacing w:before="200" w:after="200"/>
    </w:pPr>
    <w:rPr>
      <w:sz w:val="24"/>
      <w:szCs w:val="24"/>
    </w:rPr>
  </w:style>
  <w:style w:type="paragraph" w:styleId="716">
    <w:name w:val="footnote text"/>
    <w:basedOn w:val="688"/>
    <w:link w:val="877"/>
    <w:uiPriority w:val="99"/>
    <w:semiHidden/>
    <w:unhideWhenUsed/>
    <w:qFormat/>
    <w:pPr>
      <w:spacing w:after="40" w:line="240" w:lineRule="auto"/>
    </w:pPr>
    <w:rPr>
      <w:sz w:val="18"/>
    </w:rPr>
  </w:style>
  <w:style w:type="paragraph" w:styleId="717">
    <w:name w:val="toc 6"/>
    <w:basedOn w:val="688"/>
    <w:next w:val="688"/>
    <w:uiPriority w:val="39"/>
    <w:unhideWhenUsed/>
    <w:qFormat/>
    <w:pPr>
      <w:ind w:left="1417" w:right="0" w:firstLine="0"/>
      <w:spacing w:after="57"/>
    </w:pPr>
  </w:style>
  <w:style w:type="paragraph" w:styleId="718">
    <w:name w:val="table of figures"/>
    <w:basedOn w:val="688"/>
    <w:next w:val="688"/>
    <w:uiPriority w:val="99"/>
    <w:unhideWhenUsed/>
    <w:qFormat/>
    <w:pPr>
      <w:spacing w:after="0" w:afterAutospacing="0"/>
    </w:pPr>
  </w:style>
  <w:style w:type="paragraph" w:styleId="719">
    <w:name w:val="toc 2"/>
    <w:basedOn w:val="688"/>
    <w:next w:val="688"/>
    <w:uiPriority w:val="39"/>
    <w:unhideWhenUsed/>
    <w:qFormat/>
    <w:pPr>
      <w:ind w:left="283" w:right="0" w:firstLine="0"/>
      <w:spacing w:after="57"/>
    </w:pPr>
  </w:style>
  <w:style w:type="paragraph" w:styleId="720">
    <w:name w:val="toc 9"/>
    <w:basedOn w:val="688"/>
    <w:next w:val="688"/>
    <w:uiPriority w:val="39"/>
    <w:unhideWhenUsed/>
    <w:qFormat/>
    <w:pPr>
      <w:ind w:left="2268" w:right="0" w:firstLine="0"/>
      <w:spacing w:after="57"/>
    </w:pPr>
  </w:style>
  <w:style w:type="paragraph" w:styleId="721">
    <w:name w:val="Normal (Web)"/>
    <w:basedOn w:val="688"/>
    <w:uiPriority w:val="99"/>
    <w:qFormat/>
    <w:pPr>
      <w:jc w:val="left"/>
      <w:spacing w:before="100" w:beforeAutospacing="1" w:after="100" w:afterAutospacing="1"/>
      <w:widowControl/>
    </w:pPr>
    <w:rPr>
      <w:rFonts w:ascii="宋体" w:hAnsi="宋体" w:eastAsia="宋体" w:cs="宋体"/>
      <w:sz w:val="24"/>
      <w:szCs w:val="24"/>
    </w:rPr>
  </w:style>
  <w:style w:type="paragraph" w:styleId="722">
    <w:name w:val="Title"/>
    <w:basedOn w:val="688"/>
    <w:next w:val="688"/>
    <w:link w:val="743"/>
    <w:uiPriority w:val="10"/>
    <w:qFormat/>
    <w:pPr>
      <w:contextualSpacing/>
      <w:spacing w:before="300" w:after="200"/>
    </w:pPr>
    <w:rPr>
      <w:sz w:val="48"/>
      <w:szCs w:val="48"/>
    </w:rPr>
  </w:style>
  <w:style w:type="paragraph" w:styleId="723">
    <w:name w:val="Body Text First Indent 2"/>
    <w:basedOn w:val="704"/>
    <w:next w:val="688"/>
    <w:uiPriority w:val="0"/>
    <w:qFormat/>
    <w:pPr>
      <w:ind w:left="0" w:firstLine="420"/>
      <w:spacing w:after="0" w:line="360" w:lineRule="auto"/>
    </w:pPr>
    <w:rPr>
      <w:rFonts w:ascii="宋体" w:hAnsi="宋体" w:eastAsia="宋体" w:cs="Times New Roman"/>
      <w:szCs w:val="20"/>
    </w:rPr>
  </w:style>
  <w:style w:type="table" w:styleId="72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5">
    <w:name w:val="endnote reference"/>
    <w:uiPriority w:val="99"/>
    <w:semiHidden/>
    <w:unhideWhenUsed/>
    <w:qFormat/>
    <w:rPr>
      <w:vertAlign w:val="superscript"/>
    </w:rPr>
  </w:style>
  <w:style w:type="character" w:styleId="726">
    <w:name w:val="Emphasis"/>
    <w:uiPriority w:val="0"/>
    <w:qFormat/>
    <w:rPr>
      <w:i/>
    </w:rPr>
  </w:style>
  <w:style w:type="character" w:styleId="727">
    <w:name w:val="Hyperlink"/>
    <w:uiPriority w:val="99"/>
    <w:unhideWhenUsed/>
    <w:qFormat/>
    <w:rPr>
      <w:color w:val="0000ff" w:themeColor="hyperlink"/>
      <w:u w:val="single"/>
      <w14:textFill>
        <w14:solidFill>
          <w14:schemeClr w14:val="hlink"/>
        </w14:solidFill>
      </w14:textFill>
    </w:rPr>
  </w:style>
  <w:style w:type="character" w:styleId="728">
    <w:name w:val="footnote reference"/>
    <w:uiPriority w:val="99"/>
    <w:unhideWhenUsed/>
    <w:qFormat/>
    <w:rPr>
      <w:vertAlign w:val="superscript"/>
    </w:rPr>
  </w:style>
  <w:style w:type="paragraph" w:styleId="729" w:customStyle="1">
    <w:name w:val="正文首行缩进 21"/>
    <w:basedOn w:val="730"/>
    <w:next w:val="688"/>
    <w:uiPriority w:val="0"/>
    <w:qFormat/>
    <w:pPr>
      <w:ind w:left="0" w:firstLine="420"/>
      <w:spacing w:after="0" w:line="360" w:lineRule="auto"/>
    </w:pPr>
    <w:rPr>
      <w:rFonts w:ascii="宋体" w:hAnsi="宋体" w:eastAsia="宋体" w:cs="Times New Roman"/>
      <w:szCs w:val="20"/>
    </w:rPr>
  </w:style>
  <w:style w:type="paragraph" w:styleId="730" w:customStyle="1">
    <w:name w:val="正文文本缩进11"/>
    <w:basedOn w:val="688"/>
    <w:next w:val="731"/>
    <w:uiPriority w:val="0"/>
    <w:unhideWhenUsed/>
    <w:qFormat/>
    <w:pPr>
      <w:ind w:left="420"/>
      <w:spacing w:after="120"/>
    </w:pPr>
  </w:style>
  <w:style w:type="paragraph" w:styleId="731" w:customStyle="1">
    <w:name w:val="寄信人地址1"/>
    <w:basedOn w:val="688"/>
    <w:uiPriority w:val="0"/>
    <w:qFormat/>
    <w:rPr>
      <w:rFonts w:ascii="Arial" w:hAnsi="Arial" w:eastAsia="宋体" w:cs="宋体"/>
    </w:rPr>
  </w:style>
  <w:style w:type="character" w:styleId="732" w:customStyle="1">
    <w:name w:val="Heading 1 Char"/>
    <w:link w:val="689"/>
    <w:uiPriority w:val="9"/>
    <w:qFormat/>
    <w:rPr>
      <w:rFonts w:ascii="Arial" w:hAnsi="Arial" w:eastAsia="Arial" w:cs="Arial"/>
      <w:sz w:val="40"/>
      <w:szCs w:val="40"/>
    </w:rPr>
  </w:style>
  <w:style w:type="character" w:styleId="733" w:customStyle="1">
    <w:name w:val="Heading 2 Char"/>
    <w:link w:val="690"/>
    <w:uiPriority w:val="9"/>
    <w:qFormat/>
    <w:rPr>
      <w:rFonts w:ascii="Arial" w:hAnsi="Arial" w:eastAsia="Arial" w:cs="Arial"/>
      <w:sz w:val="34"/>
    </w:rPr>
  </w:style>
  <w:style w:type="character" w:styleId="734" w:customStyle="1">
    <w:name w:val="Heading 3 Char"/>
    <w:link w:val="691"/>
    <w:uiPriority w:val="9"/>
    <w:qFormat/>
    <w:rPr>
      <w:rFonts w:ascii="Arial" w:hAnsi="Arial" w:eastAsia="Arial" w:cs="Arial"/>
      <w:sz w:val="30"/>
      <w:szCs w:val="30"/>
    </w:rPr>
  </w:style>
  <w:style w:type="character" w:styleId="735" w:customStyle="1">
    <w:name w:val="Heading 4 Char"/>
    <w:link w:val="692"/>
    <w:uiPriority w:val="9"/>
    <w:qFormat/>
    <w:rPr>
      <w:rFonts w:ascii="Arial" w:hAnsi="Arial" w:eastAsia="Arial" w:cs="Arial"/>
      <w:b/>
      <w:bCs/>
      <w:sz w:val="26"/>
      <w:szCs w:val="26"/>
    </w:rPr>
  </w:style>
  <w:style w:type="character" w:styleId="736" w:customStyle="1">
    <w:name w:val="Heading 5 Char"/>
    <w:link w:val="693"/>
    <w:uiPriority w:val="9"/>
    <w:qFormat/>
    <w:rPr>
      <w:rFonts w:ascii="Arial" w:hAnsi="Arial" w:eastAsia="Arial" w:cs="Arial"/>
      <w:b/>
      <w:bCs/>
      <w:sz w:val="24"/>
      <w:szCs w:val="24"/>
    </w:rPr>
  </w:style>
  <w:style w:type="character" w:styleId="737" w:customStyle="1">
    <w:name w:val="Heading 6 Char"/>
    <w:link w:val="694"/>
    <w:uiPriority w:val="9"/>
    <w:qFormat/>
    <w:rPr>
      <w:rFonts w:ascii="Arial" w:hAnsi="Arial" w:eastAsia="Arial" w:cs="Arial"/>
      <w:b/>
      <w:bCs/>
      <w:sz w:val="22"/>
      <w:szCs w:val="22"/>
    </w:rPr>
  </w:style>
  <w:style w:type="character" w:styleId="738" w:customStyle="1">
    <w:name w:val="Heading 7 Char"/>
    <w:link w:val="695"/>
    <w:uiPriority w:val="9"/>
    <w:qFormat/>
    <w:rPr>
      <w:rFonts w:ascii="Arial" w:hAnsi="Arial" w:eastAsia="Arial" w:cs="Arial"/>
      <w:b/>
      <w:bCs/>
      <w:i/>
      <w:iCs/>
      <w:sz w:val="22"/>
      <w:szCs w:val="22"/>
    </w:rPr>
  </w:style>
  <w:style w:type="character" w:styleId="739" w:customStyle="1">
    <w:name w:val="Heading 8 Char"/>
    <w:link w:val="696"/>
    <w:uiPriority w:val="9"/>
    <w:qFormat/>
    <w:rPr>
      <w:rFonts w:ascii="Arial" w:hAnsi="Arial" w:eastAsia="Arial" w:cs="Arial"/>
      <w:i/>
      <w:iCs/>
      <w:sz w:val="22"/>
      <w:szCs w:val="22"/>
    </w:rPr>
  </w:style>
  <w:style w:type="character" w:styleId="740" w:customStyle="1">
    <w:name w:val="Heading 9 Char"/>
    <w:link w:val="697"/>
    <w:uiPriority w:val="9"/>
    <w:qFormat/>
    <w:rPr>
      <w:rFonts w:ascii="Arial" w:hAnsi="Arial" w:eastAsia="Arial" w:cs="Arial"/>
      <w:i/>
      <w:iCs/>
      <w:sz w:val="21"/>
      <w:szCs w:val="21"/>
    </w:rPr>
  </w:style>
  <w:style w:type="paragraph" w:styleId="741">
    <w:name w:val="List Paragraph"/>
    <w:basedOn w:val="688"/>
    <w:uiPriority w:val="34"/>
    <w:qFormat/>
    <w:pPr>
      <w:contextualSpacing/>
      <w:ind w:left="720"/>
    </w:pPr>
  </w:style>
  <w:style w:type="paragraph" w:styleId="742">
    <w:name w:val="No Spacing"/>
    <w:basedOn w:val="688"/>
    <w:next w:val="688"/>
    <w:uiPriority w:val="1"/>
    <w:qFormat/>
    <w:pPr>
      <w:spacing w:before="0" w:after="0" w:line="240" w:lineRule="auto"/>
    </w:pPr>
    <w:rPr>
      <w:rFonts w:hint="default" w:ascii="Times New Roman" w:hAnsi="Times New Roman" w:eastAsia="宋体" w:cs="Times New Roman"/>
    </w:rPr>
  </w:style>
  <w:style w:type="character" w:styleId="743" w:customStyle="1">
    <w:name w:val="Title Char"/>
    <w:link w:val="722"/>
    <w:uiPriority w:val="10"/>
    <w:qFormat/>
    <w:rPr>
      <w:sz w:val="48"/>
      <w:szCs w:val="48"/>
    </w:rPr>
  </w:style>
  <w:style w:type="character" w:styleId="744" w:customStyle="1">
    <w:name w:val="Subtitle Char"/>
    <w:link w:val="715"/>
    <w:uiPriority w:val="11"/>
    <w:qFormat/>
    <w:rPr>
      <w:sz w:val="24"/>
      <w:szCs w:val="24"/>
    </w:rPr>
  </w:style>
  <w:style w:type="paragraph" w:styleId="745">
    <w:name w:val="Quote"/>
    <w:basedOn w:val="688"/>
    <w:next w:val="688"/>
    <w:link w:val="746"/>
    <w:uiPriority w:val="29"/>
    <w:qFormat/>
    <w:pPr>
      <w:ind w:left="720" w:right="720"/>
    </w:pPr>
    <w:rPr>
      <w:i/>
    </w:rPr>
  </w:style>
  <w:style w:type="character" w:styleId="746" w:customStyle="1">
    <w:name w:val="Quote Char"/>
    <w:link w:val="745"/>
    <w:uiPriority w:val="29"/>
    <w:qFormat/>
    <w:rPr>
      <w:i/>
    </w:rPr>
  </w:style>
  <w:style w:type="paragraph" w:styleId="747">
    <w:name w:val="Intense Quote"/>
    <w:basedOn w:val="688"/>
    <w:next w:val="688"/>
    <w:link w:val="7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customStyle="1">
    <w:name w:val="Intense Quote Char"/>
    <w:link w:val="747"/>
    <w:uiPriority w:val="30"/>
    <w:qFormat/>
    <w:rPr>
      <w:i/>
    </w:rPr>
  </w:style>
  <w:style w:type="character" w:styleId="749" w:customStyle="1">
    <w:name w:val="Header Char"/>
    <w:link w:val="712"/>
    <w:uiPriority w:val="99"/>
    <w:qFormat/>
  </w:style>
  <w:style w:type="character" w:styleId="750" w:customStyle="1">
    <w:name w:val="Footer Char"/>
    <w:link w:val="711"/>
    <w:uiPriority w:val="99"/>
    <w:qFormat/>
  </w:style>
  <w:style w:type="character" w:styleId="751" w:customStyle="1">
    <w:name w:val="Caption Char"/>
    <w:link w:val="711"/>
    <w:uiPriority w:val="99"/>
    <w:qFormat/>
  </w:style>
  <w:style w:type="table" w:styleId="75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7" w:customStyle="1">
    <w:name w:val="Footnote Text Char"/>
    <w:link w:val="716"/>
    <w:uiPriority w:val="99"/>
    <w:qFormat/>
    <w:rPr>
      <w:sz w:val="18"/>
    </w:rPr>
  </w:style>
  <w:style w:type="character" w:styleId="878" w:customStyle="1">
    <w:name w:val="Endnote Text Char"/>
    <w:link w:val="710"/>
    <w:uiPriority w:val="99"/>
    <w:qFormat/>
    <w:rPr>
      <w:sz w:val="20"/>
    </w:rPr>
  </w:style>
  <w:style w:type="paragraph" w:styleId="879" w:customStyle="1">
    <w:name w:val="TOC Heading"/>
    <w:uiPriority w:val="39"/>
    <w:unhideWhenUsed/>
    <w:qFormat/>
    <w:rPr>
      <w:rFonts w:hint="default" w:ascii="Times New Roman" w:hAnsi="Times New Roman" w:eastAsia="宋体" w:cs="Times New Roman"/>
    </w:rPr>
  </w:style>
  <w:style w:type="character" w:styleId="880" w:customStyle="1">
    <w:name w:val="默认段落字体1"/>
    <w:link w:val="688"/>
    <w:uiPriority w:val="0"/>
    <w:semiHidden/>
    <w:qFormat/>
  </w:style>
  <w:style w:type="table" w:styleId="881" w:customStyle="1">
    <w:name w:val="普通表格1"/>
    <w:uiPriority w:val="0"/>
    <w:semiHidden/>
    <w:qFormat/>
    <w:tblPr/>
  </w:style>
  <w:style w:type="paragraph" w:styleId="882" w:customStyle="1">
    <w:name w:val="索引 41"/>
    <w:basedOn w:val="688"/>
    <w:next w:val="688"/>
    <w:uiPriority w:val="0"/>
    <w:semiHidden/>
    <w:qFormat/>
    <w:pPr>
      <w:ind w:left="1260"/>
    </w:pPr>
    <w:rPr>
      <w:rFonts w:ascii="Calibri" w:hAnsi="Calibri" w:eastAsia="Calibri" w:cs="宋体"/>
      <w:sz w:val="20"/>
      <w:lang w:val="zh-CN"/>
    </w:rPr>
  </w:style>
  <w:style w:type="paragraph" w:styleId="883" w:customStyle="1">
    <w:name w:val="批注文字1"/>
    <w:basedOn w:val="688"/>
    <w:uiPriority w:val="99"/>
    <w:unhideWhenUsed/>
    <w:qFormat/>
    <w:pPr>
      <w:jc w:val="left"/>
    </w:pPr>
  </w:style>
  <w:style w:type="paragraph" w:styleId="884" w:customStyle="1">
    <w:name w:val="正文文本缩进1"/>
    <w:basedOn w:val="688"/>
    <w:next w:val="885"/>
    <w:uiPriority w:val="0"/>
    <w:unhideWhenUsed/>
    <w:qFormat/>
    <w:pPr>
      <w:ind w:left="420"/>
      <w:spacing w:after="120"/>
    </w:pPr>
  </w:style>
  <w:style w:type="paragraph" w:styleId="885" w:customStyle="1">
    <w:name w:val="寄信人地址111"/>
    <w:basedOn w:val="688"/>
    <w:uiPriority w:val="0"/>
    <w:qFormat/>
    <w:rPr>
      <w:rFonts w:ascii="Arial" w:hAnsi="Arial" w:cs="宋体"/>
    </w:rPr>
  </w:style>
  <w:style w:type="paragraph" w:styleId="886" w:customStyle="1">
    <w:name w:val="普通(网站)11"/>
    <w:basedOn w:val="688"/>
    <w:uiPriority w:val="0"/>
    <w:qFormat/>
    <w:pPr>
      <w:ind w:left="0" w:right="0"/>
      <w:jc w:val="left"/>
      <w:spacing w:before="0" w:beforeAutospacing="0" w:after="0" w:afterAutospacing="0"/>
      <w:pBdr>
        <w:top w:val="none" w:color="000000" w:sz="0" w:space="0"/>
        <w:left w:val="none" w:color="000000" w:sz="0" w:space="0"/>
        <w:bottom w:val="none" w:color="000000" w:sz="0" w:space="0"/>
        <w:right w:val="none" w:color="000000" w:sz="0" w:space="0"/>
      </w:pBdr>
    </w:pPr>
    <w:rPr>
      <w:sz w:val="24"/>
      <w:lang w:val="en-US" w:eastAsia="zh-CN" w:bidi="ar"/>
    </w:rPr>
  </w:style>
  <w:style w:type="paragraph" w:styleId="887" w:customStyle="1">
    <w:name w:val="正文首行缩进 211"/>
    <w:basedOn w:val="884"/>
    <w:next w:val="688"/>
    <w:uiPriority w:val="0"/>
    <w:qFormat/>
    <w:pPr>
      <w:ind w:left="0" w:firstLine="420"/>
      <w:spacing w:after="0" w:line="360" w:lineRule="auto"/>
    </w:pPr>
    <w:rPr>
      <w:rFonts w:ascii="宋体" w:hAnsi="宋体"/>
      <w:szCs w:val="20"/>
    </w:rPr>
  </w:style>
  <w:style w:type="character" w:styleId="888" w:customStyle="1">
    <w:name w:val="已访问的超链接11"/>
    <w:basedOn w:val="880"/>
    <w:link w:val="688"/>
    <w:uiPriority w:val="0"/>
    <w:qFormat/>
    <w:rPr>
      <w:color w:val="800080"/>
      <w:u w:val="none"/>
    </w:rPr>
  </w:style>
  <w:style w:type="character" w:styleId="889" w:customStyle="1">
    <w:name w:val="HTML 打字机1"/>
    <w:basedOn w:val="880"/>
    <w:link w:val="688"/>
    <w:uiPriority w:val="0"/>
    <w:qFormat/>
    <w:rPr>
      <w:rFonts w:ascii="monospace" w:hAnsi="monospace" w:eastAsia="monospace" w:cs="monospace"/>
      <w:sz w:val="20"/>
    </w:rPr>
  </w:style>
  <w:style w:type="character" w:styleId="890" w:customStyle="1">
    <w:name w:val="HTML 缩写1"/>
    <w:basedOn w:val="880"/>
    <w:link w:val="688"/>
    <w:uiPriority w:val="0"/>
    <w:qFormat/>
  </w:style>
  <w:style w:type="character" w:styleId="891" w:customStyle="1">
    <w:name w:val="超链接1"/>
    <w:basedOn w:val="880"/>
    <w:link w:val="688"/>
    <w:uiPriority w:val="0"/>
    <w:qFormat/>
    <w:rPr>
      <w:color w:val="0000ff"/>
      <w:u w:val="none"/>
    </w:rPr>
  </w:style>
  <w:style w:type="character" w:styleId="892" w:customStyle="1">
    <w:name w:val="HTML 代码1"/>
    <w:basedOn w:val="880"/>
    <w:link w:val="688"/>
    <w:uiPriority w:val="0"/>
    <w:qFormat/>
    <w:rPr>
      <w:rFonts w:ascii="monospace" w:hAnsi="monospace" w:eastAsia="monospace" w:cs="monospace"/>
      <w:sz w:val="20"/>
    </w:rPr>
  </w:style>
  <w:style w:type="character" w:styleId="893" w:customStyle="1">
    <w:name w:val="HTML 键盘1"/>
    <w:basedOn w:val="880"/>
    <w:link w:val="688"/>
    <w:uiPriority w:val="0"/>
    <w:qFormat/>
    <w:rPr>
      <w:rFonts w:ascii="monospace" w:hAnsi="monospace" w:eastAsia="monospace" w:cs="monospace"/>
      <w:sz w:val="20"/>
    </w:rPr>
  </w:style>
  <w:style w:type="character" w:styleId="894" w:customStyle="1">
    <w:name w:val="HTML 样本1"/>
    <w:basedOn w:val="880"/>
    <w:link w:val="688"/>
    <w:uiPriority w:val="0"/>
    <w:qFormat/>
    <w:rPr>
      <w:rFonts w:ascii="monospace" w:hAnsi="monospace" w:eastAsia="monospace" w:cs="monospace"/>
    </w:rPr>
  </w:style>
  <w:style w:type="character" w:styleId="895" w:customStyle="1">
    <w:name w:val="页码1"/>
    <w:link w:val="688"/>
    <w:uiPriority w:val="0"/>
    <w:qFormat/>
  </w:style>
  <w:style w:type="paragraph" w:styleId="896" w:customStyle="1">
    <w:name w:val="普通正文"/>
    <w:basedOn w:val="688"/>
    <w:uiPriority w:val="0"/>
    <w:qFormat/>
    <w:pPr>
      <w:ind w:firstLine="480"/>
      <w:jc w:val="left"/>
      <w:spacing w:before="120" w:after="120" w:line="360" w:lineRule="auto"/>
    </w:pPr>
    <w:rPr>
      <w:rFonts w:ascii="Arial" w:hAnsi="Arial" w:eastAsia="宋体" w:cs="Times New Roman"/>
      <w:sz w:val="24"/>
      <w:szCs w:val="24"/>
    </w:rPr>
  </w:style>
  <w:style w:type="paragraph" w:styleId="897" w:customStyle="1">
    <w:name w:val="标题 31"/>
    <w:basedOn w:val="688"/>
    <w:next w:val="898"/>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98" w:customStyle="1">
    <w:name w:val="正文缩进1"/>
    <w:basedOn w:val="688"/>
    <w:uiPriority w:val="0"/>
    <w:qFormat/>
    <w:pPr>
      <w:ind w:firstLine="420"/>
    </w:pPr>
    <w:rPr>
      <w:szCs w:val="21"/>
    </w:rPr>
  </w:style>
  <w:style w:type="character" w:styleId="899" w:customStyle="1">
    <w:name w:val="已访问的超链接1"/>
    <w:link w:val="688"/>
    <w:uiPriority w:val="0"/>
    <w:qFormat/>
    <w:rPr>
      <w:rFonts w:ascii="Times New Roman" w:hAnsi="Times New Roman" w:eastAsia="宋体" w:cs="Times New Roman"/>
      <w:sz w:val="21"/>
      <w:szCs w:val="22"/>
      <w:lang w:val="en-US" w:eastAsia="zh-CN" w:bidi="ar-SA"/>
    </w:rPr>
  </w:style>
  <w:style w:type="paragraph" w:styleId="900" w:customStyle="1">
    <w:name w:val="标题 41"/>
    <w:basedOn w:val="688"/>
    <w:next w:val="898"/>
    <w:uiPriority w:val="0"/>
    <w:qFormat/>
    <w:pPr>
      <w:keepLines/>
      <w:keepNext/>
      <w:spacing w:before="280" w:after="290" w:line="376" w:lineRule="auto"/>
      <w:outlineLvl w:val="3"/>
    </w:pPr>
    <w:rPr>
      <w:rFonts w:ascii="Arial" w:hAnsi="Arial" w:eastAsia="黑体" w:cs="Arial"/>
      <w:b/>
      <w:bCs/>
      <w:sz w:val="28"/>
      <w:szCs w:val="28"/>
    </w:rPr>
  </w:style>
  <w:style w:type="paragraph" w:styleId="901" w:customStyle="1">
    <w:name w:val="纯文本1"/>
    <w:basedOn w:val="688"/>
    <w:uiPriority w:val="0"/>
    <w:qFormat/>
    <w:rPr>
      <w:rFonts w:ascii="宋体" w:hAnsi="Courier New" w:eastAsia="宋体" w:cs="Courier New"/>
      <w:szCs w:val="21"/>
    </w:rPr>
  </w:style>
  <w:style w:type="table" w:styleId="902" w:customStyle="1">
    <w:name w:val="网格型11"/>
    <w:basedOn w:val="903"/>
    <w:uiPriority w:val="0"/>
    <w:qFormat/>
    <w:pPr>
      <w:jc w:val="both"/>
      <w:widowControl w:val="off"/>
    </w:pPr>
    <w:rPr>
      <w:rFonts w:ascii="Times New Roman" w:hAnsi="Times New Roman" w:eastAsia="宋体" w:cs="Times New Roman"/>
      <w:sz w:val="20"/>
      <w:szCs w:val="20"/>
    </w:rPr>
    <w:tblPr/>
  </w:style>
  <w:style w:type="table" w:styleId="903" w:customStyle="1">
    <w:name w:val="普通表格11"/>
    <w:uiPriority w:val="99"/>
    <w:unhideWhenUsed/>
    <w:qFormat/>
    <w:tblPr/>
  </w:style>
  <w:style w:type="character" w:styleId="904" w:customStyle="1">
    <w:name w:val="NormalCharacter1"/>
    <w:link w:val="688"/>
    <w:uiPriority w:val="0"/>
    <w:semiHidden/>
    <w:qFormat/>
  </w:style>
  <w:style w:type="table" w:styleId="905" w:customStyle="1">
    <w:name w:val="Table Normal"/>
    <w:uiPriority w:val="0"/>
    <w:qFormat/>
    <w:tblPr/>
  </w:style>
  <w:style w:type="paragraph" w:styleId="906" w:customStyle="1">
    <w:name w:val="PlainText1"/>
    <w:basedOn w:val="688"/>
    <w:uiPriority w:val="0"/>
    <w:qFormat/>
    <w:pPr>
      <w:widowControl/>
    </w:pPr>
    <w:rPr>
      <w:rFonts w:ascii="宋体" w:hAnsi="Courier New" w:eastAsia="Times New Roman"/>
      <w:sz w:val="28"/>
      <w:szCs w:val="28"/>
    </w:rPr>
  </w:style>
  <w:style w:type="paragraph" w:styleId="907" w:customStyle="1">
    <w:name w:val="正文文本12"/>
    <w:basedOn w:val="688"/>
    <w:uiPriority w:val="1"/>
    <w:qFormat/>
    <w:pPr>
      <w:ind w:left="120"/>
    </w:pPr>
    <w:rPr>
      <w:rFonts w:ascii="宋体" w:hAnsi="宋体" w:eastAsia="宋体" w:cs="宋体"/>
      <w:sz w:val="21"/>
      <w:szCs w:val="21"/>
      <w:lang w:val="zh-CN" w:eastAsia="zh-CN" w:bidi="zh-CN"/>
    </w:rPr>
  </w:style>
  <w:style w:type="paragraph" w:styleId="908" w:customStyle="1">
    <w:name w:val="正文文本 211"/>
    <w:basedOn w:val="688"/>
    <w:uiPriority w:val="99"/>
    <w:qFormat/>
    <w:pPr>
      <w:jc w:val="center"/>
    </w:pPr>
    <w:rPr>
      <w:b/>
      <w:bCs/>
      <w:sz w:val="20"/>
      <w:szCs w:val="20"/>
    </w:rPr>
  </w:style>
  <w:style w:type="paragraph" w:styleId="909" w:customStyle="1">
    <w:name w:val="Char"/>
    <w:basedOn w:val="688"/>
    <w:uiPriority w:val="0"/>
    <w:qFormat/>
    <w:pPr>
      <w:ind w:firstLine="200"/>
      <w:tabs>
        <w:tab w:val="left" w:pos="360" w:leader="none"/>
      </w:tabs>
    </w:pPr>
    <w:rPr>
      <w:rFonts w:ascii="Times New Roman" w:hAnsi="Times New Roman" w:eastAsia="宋体" w:cs="Times New Roman"/>
      <w:sz w:val="28"/>
      <w:szCs w:val="30"/>
    </w:rPr>
  </w:style>
  <w:style w:type="paragraph" w:styleId="910" w:customStyle="1">
    <w:name w:val="正文文本1"/>
    <w:basedOn w:val="688"/>
    <w:next w:val="688"/>
    <w:uiPriority w:val="0"/>
    <w:semiHidden/>
    <w:qFormat/>
    <w:rPr>
      <w:rFonts w:ascii="Arial" w:hAnsi="Arial" w:eastAsia="Arial" w:cs="Arial"/>
      <w:sz w:val="21"/>
      <w:szCs w:val="21"/>
      <w:lang w:val="en-US" w:eastAsia="en-US" w:bidi="ar-SA"/>
    </w:rPr>
  </w:style>
  <w:style w:type="paragraph" w:styleId="911" w:customStyle="1">
    <w:name w:val="普通(网站)1"/>
    <w:basedOn w:val="688"/>
    <w:uiPriority w:val="99"/>
    <w:qFormat/>
    <w:pPr>
      <w:jc w:val="left"/>
      <w:spacing w:before="100" w:beforeAutospacing="1" w:after="100" w:afterAutospacing="1"/>
      <w:widowControl/>
    </w:pPr>
    <w:rPr>
      <w:rFonts w:ascii="宋体" w:hAnsi="宋体" w:eastAsia="宋体" w:cs="宋体"/>
      <w:sz w:val="24"/>
      <w:szCs w:val="24"/>
    </w:rPr>
  </w:style>
  <w:style w:type="paragraph" w:styleId="912" w:customStyle="1">
    <w:name w:val="页眉1"/>
    <w:basedOn w:val="688"/>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913" w:customStyle="1">
    <w:name w:val="页脚1"/>
    <w:basedOn w:val="688"/>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914" w:customStyle="1">
    <w:name w:val="Table Text"/>
    <w:basedOn w:val="688"/>
    <w:uiPriority w:val="0"/>
    <w:semiHidden/>
    <w:qFormat/>
    <w:rPr>
      <w:rFonts w:ascii="FangSong_GB2312" w:hAnsi="FangSong_GB2312" w:eastAsia="FangSong_GB2312" w:cs="FangSong_GB2312"/>
      <w:sz w:val="22"/>
      <w:szCs w:val="22"/>
      <w:lang w:val="en-US" w:eastAsia="en-US" w:bidi="ar-SA"/>
    </w:rPr>
  </w:style>
  <w:style w:type="paragraph" w:styleId="915" w:customStyle="1">
    <w:name w:val="正文首行缩进 21111"/>
    <w:basedOn w:val="916"/>
    <w:next w:val="688"/>
    <w:uiPriority w:val="0"/>
    <w:qFormat/>
    <w:pPr>
      <w:ind w:left="0" w:firstLine="420"/>
      <w:spacing w:after="0" w:line="360" w:lineRule="auto"/>
    </w:pPr>
    <w:rPr>
      <w:rFonts w:ascii="宋体" w:hAnsi="宋体" w:eastAsia="宋体" w:cs="Times New Roman"/>
      <w:szCs w:val="20"/>
    </w:rPr>
  </w:style>
  <w:style w:type="paragraph" w:styleId="916" w:customStyle="1">
    <w:name w:val="正文文本缩进1111"/>
    <w:basedOn w:val="688"/>
    <w:next w:val="917"/>
    <w:uiPriority w:val="0"/>
    <w:unhideWhenUsed/>
    <w:qFormat/>
    <w:pPr>
      <w:ind w:left="420"/>
      <w:spacing w:after="120"/>
    </w:pPr>
  </w:style>
  <w:style w:type="paragraph" w:styleId="917" w:customStyle="1">
    <w:name w:val="寄信人地址11"/>
    <w:basedOn w:val="688"/>
    <w:uiPriority w:val="0"/>
    <w:qFormat/>
    <w:rPr>
      <w:rFonts w:ascii="Arial" w:hAnsi="Arial" w:eastAsia="宋体" w:cs="宋体"/>
    </w:rPr>
  </w:style>
  <w:style w:type="paragraph" w:styleId="918" w:customStyle="1">
    <w:name w:val="Table Paragraph"/>
    <w:basedOn w:val="688"/>
    <w:uiPriority w:val="1"/>
    <w:qFormat/>
    <w:pPr>
      <w:jc w:val="left"/>
    </w:pPr>
    <w:rPr>
      <w:rFonts w:ascii="宋体" w:hAnsi="宋体" w:eastAsia="宋体" w:cs="宋体"/>
      <w:sz w:val="22"/>
      <w:szCs w:val="22"/>
      <w:lang w:val="zh-CN" w:bidi="zh-CN"/>
    </w:rPr>
  </w:style>
  <w:style w:type="paragraph" w:styleId="919" w:customStyle="1">
    <w:name w:val="表格正文"/>
    <w:basedOn w:val="688"/>
    <w:uiPriority w:val="0"/>
    <w:qFormat/>
    <w:pPr>
      <w:widowControl/>
    </w:pPr>
    <w:rPr>
      <w:rFonts w:hAnsi="仿宋" w:cs="Tahoma"/>
    </w:rPr>
  </w:style>
  <w:style w:type="paragraph" w:styleId="920" w:customStyle="1">
    <w:name w:val="无间隔强调"/>
    <w:basedOn w:val="742"/>
    <w:next w:val="688"/>
    <w:uiPriority w:val="0"/>
    <w:qFormat/>
    <w:pPr>
      <w:ind w:firstLine="200"/>
    </w:pPr>
    <w:rPr>
      <w:b/>
    </w:rPr>
  </w:style>
  <w:style w:type="numbering" w:styleId="9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23314809-766d-416e-9419-a2e352b16fb2</errorID>
      <errorWord>间</errorWord>
      <group>L1_Word</group>
      <groupName>字词问题</groupName>
      <ability>L2_Typo</ability>
      <abilityName>字词错误</abilityName>
      <candidateList>
        <item>间之</item>
      </candidateList>
      <explain/>
      <paraID>243DED08</paraID>
      <start>10</start>
      <end>11</end>
      <status>unmodified</status>
      <modifiedWord/>
      <trackRevisions>false</trackRevisions>
    </reviewItem>
    <reviewItem>
      <errorID>27ca9447-791e-4f6f-a7ea-4ef8677b4e41</errorID>
      <errorWord>法律、法规</errorWord>
      <group>L1_Word</group>
      <groupName>字词问题</groupName>
      <ability>L2_Typo</ability>
      <abilityName>字词错误</abilityName>
      <candidateList>
        <item>法律法规</item>
      </candidateList>
      <explain/>
      <paraID>20D3AFE8</paraID>
      <start>11</start>
      <end>16</end>
      <status>unmodified</status>
      <modifiedWord/>
      <trackRevisions>false</trackRevisions>
    </reviewItem>
    <reviewItem>
      <errorID>5ac32fae-8655-4eba-bb85-84e6bfe3e6aa</errorID>
      <errorWord>涉及到</errorWord>
      <group>L1_Grammar</group>
      <groupName>语法问题</groupName>
      <ability>L2_Grammar</ability>
      <abilityName>语法错误</abilityName>
      <candidateList>
        <item>涉及</item>
      </candidateList>
      <explain>〈动〉牵涉到；关联到：案子～好几个人｜这个问题～面很广。</explain>
      <paraID>3BCC768D</paraID>
      <start>14</start>
      <end>17</end>
      <status>unmodified</status>
      <modifiedWord/>
      <trackRevisions>false</trackRevisions>
    </reviewItem>
    <reviewItem>
      <errorID>b042d65a-ccb7-47db-91c1-4ecc354288cf</errorID>
      <errorWord>不</errorWord>
      <group>L1_Word</group>
      <groupName>字词问题</groupName>
      <ability>L2_Typo</ability>
      <abilityName>字词错误</abilityName>
      <candidateList>
        <item>不符</item>
      </candidateList>
      <explain/>
      <paraID> B2D664C</paraID>
      <start>47</start>
      <end>48</end>
      <status>unmodified</status>
      <modifiedWord/>
      <trackRevisions>false</trackRevisions>
    </reviewItem>
    <reviewItem>
      <errorID>c42ec093-ae1c-436d-831f-8db614dfed9c</errorID>
      <errorWord>保持通讯畅通</errorWord>
      <group>L1_Word</group>
      <groupName>字词问题</groupName>
      <ability>L2_Typo</ability>
      <abilityName>字词错误</abilityName>
      <candidateList>
        <item>保持通信畅通</item>
      </candidateList>
      <explain/>
      <paraID>5E2E0F6A</paraID>
      <start>18</start>
      <end>24</end>
      <status>unmodified</status>
      <modifiedWord/>
      <trackRevisions>false</trackRevisions>
    </reviewItem>
    <reviewItem>
      <errorID>cd7c8172-d5b6-40ec-89d0-0abfe8069d9f</errorID>
      <errorWord>50-65%</errorWord>
      <group>L1_Knowledge</group>
      <groupName>知识性问题</groupName>
      <ability>L2_Knowledge</ability>
      <abilityName>其他知识</abilityName>
      <candidateList>
        <item>50%—65%</item>
      </candidateList>
      <explain>1. “50-65%”中的单位“%”仅出现在后一个数字上，容易引起歧义；根据《现代汉语标点符号数字用法规范手册》，数字表示范围两边需要使用统一的格式。2. 根据标点国标 4.13 中的规则，数字、时间或地域连接符应使用（视觉上更长的）“—”或“～”。</explain>
      <paraID>6CFC831D</paraID>
      <start>28</start>
      <end>34</end>
      <status>unmodified</status>
      <modifiedWord/>
      <trackRevisions>false</trackRevisions>
    </reviewItem>
    <reviewItem>
      <errorID>c6311e0b-62cc-45cd-b730-ec61ea4be2ce</errorID>
      <errorWord>&lt;</errorWord>
      <group>L1_Format</group>
      <groupName>格式问题</groupName>
      <ability>L2_HalfPunc</ability>
      <abilityName>全半角检查</abilityName>
      <candidateList>
        <item>〈</item>
      </candidateList>
      <explain>文本全半角错误。</explain>
      <paraID>6CFC831D</paraID>
      <start>41</start>
      <end>42</end>
      <status>unmodified</status>
      <modifiedWord/>
      <trackRevisions>false</trackRevisions>
    </reviewItem>
    <reviewItem>
      <errorID>b2a645eb-ceb7-44ac-92ac-ae781f6984a6</errorID>
      <errorWord>50-65%</errorWord>
      <group>L1_Knowledge</group>
      <groupName>知识性问题</groupName>
      <ability>L2_Knowledge</ability>
      <abilityName>其他知识</abilityName>
      <candidateList>
        <item>50%—65%</item>
      </candidateList>
      <explain>1. “50-65%”中的单位“%”仅出现在后一个数字上，容易引起歧义；根据《现代汉语标点符号数字用法规范手册》，数字表示范围两边需要使用统一的格式。2. 根据标点国标 4.13 中的规则，数字、时间或地域连接符应使用（视觉上更长的）“—”或“～”。</explain>
      <paraID>6CFC831D</paraID>
      <start>62</start>
      <end>68</end>
      <status>unmodified</status>
      <modifiedWord/>
      <trackRevisions>false</trackRevisions>
    </reviewItem>
    <reviewItem>
      <errorID>ad1a0ade-e877-4395-82e3-da67d3243a76</errorID>
      <errorWord>50-65%</errorWord>
      <group>L1_Knowledge</group>
      <groupName>知识性问题</groupName>
      <ability>L2_Knowledge</ability>
      <abilityName>其他知识</abilityName>
      <candidateList>
        <item>50%—65%</item>
      </candidateList>
      <explain>1. “50-65%”中的单位“%”仅出现在后一个数字上，容易引起歧义；根据《现代汉语标点符号数字用法规范手册》，数字表示范围两边需要使用统一的格式。2. 根据标点国标 4.13 中的规则，数字、时间或地域连接符应使用（视觉上更长的）“—”或“～”。</explain>
      <paraID>253389EC</paraID>
      <start>28</start>
      <end>34</end>
      <status>unmodified</status>
      <modifiedWord/>
      <trackRevisions>false</trackRevisions>
    </reviewItem>
    <reviewItem>
      <errorID>9b728ce2-dd5b-41a6-8efe-b06ce5889038</errorID>
      <errorWord>&lt;</errorWord>
      <group>L1_Format</group>
      <groupName>格式问题</groupName>
      <ability>L2_HalfPunc</ability>
      <abilityName>全半角检查</abilityName>
      <candidateList>
        <item>〈</item>
      </candidateList>
      <explain>文本全半角错误。</explain>
      <paraID>253389EC</paraID>
      <start>41</start>
      <end>42</end>
      <status>unmodified</status>
      <modifiedWord/>
      <trackRevisions>false</trackRevisions>
    </reviewItem>
    <reviewItem>
      <errorID>1a4e8483-5349-4f78-9b57-6f135f111214</errorID>
      <errorWord>50-65%</errorWord>
      <group>L1_Knowledge</group>
      <groupName>知识性问题</groupName>
      <ability>L2_Knowledge</ability>
      <abilityName>其他知识</abilityName>
      <candidateList>
        <item>50%—65%</item>
      </candidateList>
      <explain>1. “50-65%”中的单位“%”仅出现在后一个数字上，容易引起歧义；根据《现代汉语标点符号数字用法规范手册》，数字表示范围两边需要使用统一的格式。2. 根据标点国标 4.13 中的规则，数字、时间或地域连接符应使用（视觉上更长的）“—”或“～”。</explain>
      <paraID>253389EC</paraID>
      <start>62</start>
      <end>68</end>
      <status>unmodified</status>
      <modifiedWord/>
      <trackRevisions>false</trackRevisions>
    </reviewItem>
    <reviewItem>
      <errorID>f229a5f6-fe69-451a-a683-f9c9c8495b78</errorID>
      <errorWord>45-65%</errorWord>
      <group>L1_Knowledge</group>
      <groupName>知识性问题</groupName>
      <ability>L2_Knowledge</ability>
      <abilityName>其他知识</abilityName>
      <candidateList>
        <item>45%—65%</item>
      </candidateList>
      <explain>1. “45-65%”中的单位“%”仅出现在后一个数字上，容易引起歧义；根据《现代汉语标点符号数字用法规范手册》，数字表示范围两边需要使用统一的格式。2. 根据标点国标 4.13 中的规则，数字、时间或地域连接符应使用（视觉上更长的）“—”或“～”。</explain>
      <paraID>2EEBBB11</paraID>
      <start>17</start>
      <end>23</end>
      <status>unmodified</status>
      <modifiedWord/>
      <trackRevisions>false</trackRevisions>
    </reviewItem>
    <reviewItem>
      <errorID>2dc9ade5-7a75-4056-9600-ac3c1d66ff13</errorID>
      <errorWord>&lt;</errorWord>
      <group>L1_Format</group>
      <groupName>格式问题</groupName>
      <ability>L2_HalfPunc</ability>
      <abilityName>全半角检查</abilityName>
      <candidateList>
        <item>〈</item>
      </candidateList>
      <explain>文本全半角错误。</explain>
      <paraID>2EEBBB11</paraID>
      <start>30</start>
      <end>31</end>
      <status>unmodified</status>
      <modifiedWord/>
      <trackRevisions>false</trackRevisions>
    </reviewItem>
    <reviewItem>
      <errorID>8bfd806d-de7f-41b0-a677-69cd0995f475</errorID>
      <errorWord>45-65%</errorWord>
      <group>L1_Knowledge</group>
      <groupName>知识性问题</groupName>
      <ability>L2_Knowledge</ability>
      <abilityName>其他知识</abilityName>
      <candidateList>
        <item>45%—65%</item>
      </candidateList>
      <explain>1. “45-65%”中的单位“%”仅出现在后一个数字上，容易引起歧义；根据《现代汉语标点符号数字用法规范手册》，数字表示范围两边需要使用统一的格式。2. 根据标点国标 4.13 中的规则，数字、时间或地域连接符应使用（视觉上更长的）“—”或“～”。</explain>
      <paraID>2EEBBB11</paraID>
      <start>40</start>
      <end>46</end>
      <status>unmodified</status>
      <modifiedWord/>
      <trackRevisions>false</trackRevisions>
    </reviewItem>
    <reviewItem>
      <errorID>535b4e80-3fdd-44d0-a7cb-f673bd69ca91</errorID>
      <errorWord>国家发改委</errorWord>
      <group>L1_Knowledge</group>
      <groupName>知识性问题</groupName>
      <ability>L2_Knowledge</ability>
      <abilityName>其他知识</abilityName>
      <candidateList>
        <item>国家发展改革委</item>
      </candidateList>
      <explain/>
      <paraID> 2E6EC5A</paraID>
      <start>17</start>
      <end>22</end>
      <status>unmodified</status>
      <modifiedWord/>
      <trackRevisions>false</trackRevisions>
    </reviewItem>
    <reviewItem>
      <errorID>eb607b8e-6780-46d3-9488-d085d41c2044</errorID>
      <errorWord>提出质疑</errorWord>
      <group>L1_Grammar</group>
      <groupName>语法问题</groupName>
      <ability>L2_Grammar</ability>
      <abilityName>语法错误</abilityName>
      <candidateList>
        <item>质疑</item>
      </candidateList>
      <explain>〈动〉提出疑问：～问难。</explain>
      <paraID>7655BDC6</paraID>
      <start>87</start>
      <end>91</end>
      <status>unmodified</status>
      <modifiedWord/>
      <trackRevisions>false</trackRevisions>
    </reviewItem>
    <reviewItem>
      <errorID>4f589748-5b17-4e87-8531-f43f1f8e929c</errorID>
      <errorWord>提出质疑</errorWord>
      <group>L1_Grammar</group>
      <groupName>语法问题</groupName>
      <ability>L2_Grammar</ability>
      <abilityName>语法错误</abilityName>
      <candidateList>
        <item>质疑</item>
      </candidateList>
      <explain>〈动〉提出疑问：～问难。</explain>
      <paraID>29B87BD3</paraID>
      <start>22</start>
      <end>26</end>
      <status>unmodified</status>
      <modifiedWord/>
      <trackRevisions>false</trackRevisions>
    </reviewItem>
    <reviewItem>
      <errorID>5e1f5b64-610e-4986-b1a3-82770cad59ac</errorID>
      <errorWord>答复的</errorWord>
      <group>L1_Word</group>
      <groupName>字词问题</groupName>
      <ability>L2_Typo</ability>
      <abilityName>字词错误</abilityName>
      <candidateList>
        <item>答复</item>
      </candidateList>
      <explain/>
      <paraID>29B87BD3</paraID>
      <start>45</start>
      <end>48</end>
      <status>unmodified</status>
      <modifiedWord/>
      <trackRevisions>false</trackRevisions>
    </reviewItem>
    <reviewItem>
      <errorID>aece6685-46da-420b-9d9a-18f465a32250</errorID>
      <errorWord>（</errorWord>
      <group>L1_Punc</group>
      <groupName>标点问题</groupName>
      <ability>L2_Punc</ability>
      <abilityName>标点符号检查</abilityName>
      <candidateList/>
      <explain>同一形式括号套用。</explain>
      <paraID>70CEFC0F</paraID>
      <start>64</start>
      <end>65</end>
      <status>unmodified</status>
      <modifiedWord/>
      <trackRevisions>false</trackRevisions>
    </reviewItem>
    <reviewItem>
      <errorID>6c8974aa-aa4a-4b47-b681-5967177b0699</errorID>
      <errorWord>）</errorWord>
      <group>L1_Punc</group>
      <groupName>标点问题</groupName>
      <ability>L2_Punc</ability>
      <abilityName>标点符号检查</abilityName>
      <candidateList/>
      <explain>同一形式括号套用。</explain>
      <paraID>70CEFC0F</paraID>
      <start>81</start>
      <end>82</end>
      <status>unmodified</status>
      <modifiedWord/>
      <trackRevisions>false</trackRevisions>
    </reviewItem>
    <reviewItem>
      <errorID>a9c61fdf-25d9-4d1d-8679-acc2adb645c5</errorID>
      <errorWord>（</errorWord>
      <group>L1_Punc</group>
      <groupName>标点问题</groupName>
      <ability>L2_Punc</ability>
      <abilityName>标点符号检查</abilityName>
      <candidateList/>
      <explain>同一形式括号套用。</explain>
      <paraID>70CEFC0F</paraID>
      <start>108</start>
      <end>109</end>
      <status>unmodified</status>
      <modifiedWord/>
      <trackRevisions>false</trackRevisions>
    </reviewItem>
    <reviewItem>
      <errorID>061f8461-5ff3-4f9f-8c40-c487afd69baf</errorID>
      <errorWord>）</errorWord>
      <group>L1_Punc</group>
      <groupName>标点问题</groupName>
      <ability>L2_Punc</ability>
      <abilityName>标点符号检查</abilityName>
      <candidateList/>
      <explain>同一形式括号套用。</explain>
      <paraID>70CEFC0F</paraID>
      <start>113</start>
      <end>114</end>
      <status>unmodified</status>
      <modifiedWord/>
      <trackRevisions>false</trackRevisions>
    </reviewItem>
    <reviewItem>
      <errorID>58cf29fe-5b04-406c-8381-adfcc40fd203</errorID>
      <errorWord>（</errorWord>
      <group>L1_Punc</group>
      <groupName>标点问题</groupName>
      <ability>L2_Punc</ability>
      <abilityName>标点符号检查</abilityName>
      <candidateList/>
      <explain>同一形式括号套用。</explain>
      <paraID>70CEFC0F</paraID>
      <start>119</start>
      <end>120</end>
      <status>unmodified</status>
      <modifiedWord/>
      <trackRevisions>false</trackRevisions>
    </reviewItem>
    <reviewItem>
      <errorID>92927518-a3c0-4a42-9173-c8701cb252b7</errorID>
      <errorWord>）</errorWord>
      <group>L1_Punc</group>
      <groupName>标点问题</groupName>
      <ability>L2_Punc</ability>
      <abilityName>标点符号检查</abilityName>
      <candidateList/>
      <explain>同一形式括号套用。</explain>
      <paraID>70CEFC0F</paraID>
      <start>133</start>
      <end>134</end>
      <status>unmodified</status>
      <modifiedWord/>
      <trackRevisions>false</trackRevisions>
    </reviewItem>
    <reviewItem>
      <errorID>fd2ca2e3-18d9-4ed1-a4e1-75f7f8f7e1b5</errorID>
      <errorWord>(</errorWord>
      <group>L1_Format</group>
      <groupName>格式问题</groupName>
      <ability>L2_HalfPunc</ability>
      <abilityName>全半角检查</abilityName>
      <candidateList>
        <item>（</item>
      </candidateList>
      <explain>文本全半角错误。</explain>
      <paraID>2660A6ED</paraID>
      <start>94</start>
      <end>95</end>
      <status>unmodified</status>
      <modifiedWord/>
      <trackRevisions>false</trackRevisions>
    </reviewItem>
    <reviewItem>
      <errorID>06ab71a9-0b39-4baf-9833-82a8721d6cc6</errorID>
      <errorWord>)</errorWord>
      <group>L1_Format</group>
      <groupName>格式问题</groupName>
      <ability>L2_HalfPunc</ability>
      <abilityName>全半角检查</abilityName>
      <candidateList>
        <item>）</item>
      </candidateList>
      <explain>文本全半角错误。</explain>
      <paraID>2660A6ED</paraID>
      <start>104</start>
      <end>105</end>
      <status>unmodified</status>
      <modifiedWord/>
      <trackRevisions>false</trackRevisions>
    </reviewItem>
    <reviewItem>
      <errorID>9ab69c2e-e543-4992-81f4-87a9ba8ff0fa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7AF3EC84</paraID>
      <start>35</start>
      <end>36</end>
      <status>unmodified</status>
      <modifiedWord/>
      <trackRevisions>false</trackRevisions>
    </reviewItem>
    <reviewItem>
      <errorID>28492e68-c236-46ae-bfeb-0037ad7a853f</errorID>
      <errorWord>&lt;</errorWord>
      <group>L1_Format</group>
      <groupName>格式问题</groupName>
      <ability>L2_HalfPunc</ability>
      <abilityName>全半角检查</abilityName>
      <candidateList>
        <item>〈</item>
      </candidateList>
      <explain>文本全半角错误。</explain>
      <paraID>3B92E6A7</paraID>
      <start>122</start>
      <end>123</end>
      <status>unmodified</status>
      <modifiedWord/>
      <trackRevisions>false</trackRevisions>
    </reviewItem>
    <reviewItem>
      <errorID>8a4f3661-0993-4a80-8152-6a85ec0e0cb2</errorID>
      <errorWord>&gt;</errorWord>
      <group>L1_Format</group>
      <groupName>格式问题</groupName>
      <ability>L2_HalfPunc</ability>
      <abilityName>全半角检查</abilityName>
      <candidateList>
        <item>〉</item>
      </candidateList>
      <explain>文本全半角错误。</explain>
      <paraID>3B92E6A7</paraID>
      <start>140</start>
      <end>141</end>
      <status>unmodified</status>
      <modifiedWord/>
      <trackRevisions>false</trackRevisions>
    </reviewItem>
    <reviewItem>
      <errorID>3efc7f4e-8903-4a81-81f0-b6b21acfbd8d</errorID>
      <errorWord>(</errorWord>
      <group>L1_Format</group>
      <groupName>格式问题</groupName>
      <ability>L2_HalfPunc</ability>
      <abilityName>全半角检查</abilityName>
      <candidateList>
        <item>（</item>
      </candidateList>
      <explain>文本全半角错误。</explain>
      <paraID> 9DF2ED0</paraID>
      <start>24</start>
      <end>25</end>
      <status>unmodified</status>
      <modifiedWord/>
      <trackRevisions>false</trackRevisions>
    </reviewItem>
    <reviewItem>
      <errorID>7df6400e-6202-46d7-aa1f-48f5cd034b51</errorID>
      <errorWord>)</errorWord>
      <group>L1_Format</group>
      <groupName>格式问题</groupName>
      <ability>L2_HalfPunc</ability>
      <abilityName>全半角检查</abilityName>
      <candidateList>
        <item>）</item>
      </candidateList>
      <explain>文本全半角错误。</explain>
      <paraID> 9DF2ED0</paraID>
      <start>35</start>
      <end>36</end>
      <status>unmodified</status>
      <modifiedWord/>
      <trackRevisions>false</trackRevisions>
    </reviewItem>
    <reviewItem>
      <errorID>eebf9f7a-b1c9-438f-9e8e-e0c7123151c4</errorID>
      <errorWord>》</errorWord>
      <group>L1_Word</group>
      <groupName>字词问题</groupName>
      <ability>L2_Typo</ability>
      <abilityName>字词错误</abilityName>
      <candidateList>
        <item>》等</item>
      </candidateList>
      <explain/>
      <paraID>1862BB12</paraID>
      <start>40</start>
      <end>41</end>
      <status>unmodified</status>
      <modifiedWord/>
      <trackRevisions>false</trackRevisions>
    </reviewItem>
    <reviewItem>
      <errorID>a5a9ed70-1b88-4a61-8719-721e62649e1f</errorID>
      <errorWord>表示</errorWord>
      <group>L1_Word</group>
      <groupName>字词问题</groupName>
      <ability>L2_Typo</ability>
      <abilityName>字词错误</abilityName>
      <candidateList>
        <item>标示</item>
      </candidateList>
      <explain/>
      <paraID>7FA29859</paraID>
      <start>53</start>
      <end>55</end>
      <status>unmodified</status>
      <modifiedWord/>
      <trackRevisions>false</trackRevisions>
    </reviewItem>
    <reviewItem>
      <errorID>c84c3eb9-2cfc-422e-a6c8-5133ca75e451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2B4C019F</paraID>
      <start>39</start>
      <end>40</end>
      <status>unmodified</status>
      <modifiedWord/>
      <trackRevisions>false</trackRevisions>
    </reviewItem>
    <reviewItem>
      <errorID>5b8f0db6-611f-4d66-82fb-b3967a25b4a8</errorID>
      <errorWord>;</errorWord>
      <group>L1_Format</group>
      <groupName>格式问题</groupName>
      <ability>L2_HalfPunc</ability>
      <abilityName>全半角检查</abilityName>
      <candidateList>
        <item>；</item>
      </candidateList>
      <explain>文本全半角错误。</explain>
      <paraID>1E01870D</paraID>
      <start>6</start>
      <end>7</end>
      <status>unmodified</status>
      <modifiedWord/>
      <trackRevisions>false</trackRevisions>
    </reviewItem>
    <reviewItem>
      <errorID>714af2e1-7030-405b-8121-e1d2151c6ab4</errorID>
      <errorWord>;</errorWord>
      <group>L1_Format</group>
      <groupName>格式问题</groupName>
      <ability>L2_HalfPunc</ability>
      <abilityName>全半角检查</abilityName>
      <candidateList>
        <item>；</item>
      </candidateList>
      <explain>文本全半角错误。</explain>
      <paraID>1E01870D</paraID>
      <start>9</start>
      <end>10</end>
      <status>unmodified</status>
      <modifiedWord/>
      <trackRevisions>false</trackRevisions>
    </reviewItem>
    <reviewItem>
      <errorID>12204fae-9023-4000-8c74-66f9c94d1f47</errorID>
      <errorWord>;</errorWord>
      <group>L1_Format</group>
      <groupName>格式问题</groupName>
      <ability>L2_HalfPunc</ability>
      <abilityName>全半角检查</abilityName>
      <candidateList>
        <item>；</item>
      </candidateList>
      <explain>文本全半角错误。</explain>
      <paraID> 7DD4379</paraID>
      <start>9</start>
      <end>10</end>
      <status>unmodified</status>
      <modifiedWord/>
      <trackRevisions>false</trackRevisions>
    </reviewItem>
    <reviewItem>
      <errorID>3a189a44-0c0e-417c-82f5-b1c3a174e312</errorID>
      <errorWord>)</errorWord>
      <group>L1_Format</group>
      <groupName>格式问题</groupName>
      <ability>L2_HalfPunc</ability>
      <abilityName>全半角检查</abilityName>
      <candidateList>
        <item>）</item>
      </candidateList>
      <explain>文本全半角错误。</explain>
      <paraID>5E1C9225</paraID>
      <start>19</start>
      <end>20</end>
      <status>unmodified</status>
      <modifiedWord/>
      <trackRevisions>false</trackRevisions>
    </reviewItem>
    <reviewItem>
      <errorID>4dcdb6cd-6bc7-40c7-bd92-1d0960bd0cb2</errorID>
      <errorWord>，</errorWord>
      <group>L1_Word</group>
      <groupName>字词问题</groupName>
      <ability>L2_Typo</ability>
      <abilityName>字词错误</abilityName>
      <candidateList>
        <item>，西</item>
      </candidateList>
      <explain/>
      <paraID>47C7D418</paraID>
      <start>21</start>
      <end>22</end>
      <status>unmodified</status>
      <modifiedWord/>
      <trackRevisions>false</trackRevisions>
    </reviewItem>
    <reviewItem>
      <errorID>6a13e169-49b8-464b-b54d-ed964d533661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7679D55D</paraID>
      <start>50</start>
      <end>51</end>
      <status>unmodified</status>
      <modifiedWord/>
      <trackRevisions>false</trackRevisions>
    </reviewItem>
    <reviewItem>
      <errorID>28cbfd27-cd2f-4789-90c2-b15a947adab3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7FB71E7B</paraID>
      <start>18</start>
      <end>19</end>
      <status>unmodified</status>
      <modifiedWord/>
      <trackRevisions>false</trackRevisions>
    </reviewItem>
    <reviewItem>
      <errorID>b4674229-dfbc-4256-b90a-6c0464e0f445</errorID>
      <errorWord>：</errorWord>
      <group>L1_Format</group>
      <groupName>格式问题</groupName>
      <ability>L2_HalfPunc</ability>
      <abilityName>全半角检查</abilityName>
      <candidateList>
        <item>:</item>
      </candidateList>
      <explain>文本全半角错误。</explain>
      <paraID>33EF321C</paraID>
      <start>3</start>
      <end>4</end>
      <status>unmodified</status>
      <modifiedWord/>
      <trackRevisions>false</trackRevisions>
    </reviewItem>
    <reviewItem>
      <errorID>75582220-11e2-4a8c-add6-bdb86a266871</errorID>
      <errorWord>；</errorWord>
      <group>L1_Format</group>
      <groupName>格式问题</groupName>
      <ability>L2_HalfPunc</ability>
      <abilityName>全半角检查</abilityName>
      <candidateList>
        <item>; </item>
      </candidateList>
      <explain>文本全半角错误。</explain>
      <paraID>33EF321C</paraID>
      <start>10</start>
      <end>11</end>
      <status>unmodified</status>
      <modifiedWord/>
      <trackRevisions>false</trackRevisions>
    </reviewItem>
    <reviewItem>
      <errorID>680e45d4-8f63-499e-9b07-26cb9a5e64fa</errorID>
      <errorWord>：</errorWord>
      <group>L1_Format</group>
      <groupName>格式问题</groupName>
      <ability>L2_HalfPunc</ability>
      <abilityName>全半角检查</abilityName>
      <candidateList>
        <item>:</item>
      </candidateList>
      <explain>文本全半角错误。</explain>
      <paraID>33EF321C</paraID>
      <start>19</start>
      <end>20</end>
      <status>unmodified</status>
      <modifiedWord/>
      <trackRevisions>false</trackRevisions>
    </reviewItem>
    <reviewItem>
      <errorID>87e25a6e-13de-442a-a7ee-f9c396f5153a</errorID>
      <errorWord>；</errorWord>
      <group>L1_Format</group>
      <groupName>格式问题</groupName>
      <ability>L2_HalfPunc</ability>
      <abilityName>全半角检查</abilityName>
      <candidateList>
        <item>;</item>
      </candidateList>
      <explain>文本全半角错误。</explain>
      <paraID>33EF321C</paraID>
      <start>33</start>
      <end>34</end>
      <status>unmodified</status>
      <modifiedWord/>
      <trackRevisions>false</trackRevisions>
    </reviewItem>
    <reviewItem>
      <errorID>cb853023-c14f-40ac-9673-53ec5a3eb903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8B36BDD</paraID>
      <start>12</start>
      <end>13</end>
      <status>unmodified</status>
      <modifiedWord/>
      <trackRevisions>false</trackRevisions>
    </reviewItem>
    <reviewItem>
      <errorID>109bccca-c05f-45e9-84fe-f7d89bd2908a</errorID>
      <errorWord>：</errorWord>
      <group>L1_Format</group>
      <groupName>格式问题</groupName>
      <ability>L2_HalfPunc</ability>
      <abilityName>全半角检查</abilityName>
      <candidateList>
        <item>:</item>
      </candidateList>
      <explain>文本全半角错误。</explain>
      <paraID>43E4BB4C</paraID>
      <start>3</start>
      <end>4</end>
      <status>unmodified</status>
      <modifiedWord/>
      <trackRevisions>false</trackRevisions>
    </reviewItem>
    <reviewItem>
      <errorID>81e6a055-1dec-406f-87be-62401abe4a38</errorID>
      <errorWord>；</errorWord>
      <group>L1_Format</group>
      <groupName>格式问题</groupName>
      <ability>L2_HalfPunc</ability>
      <abilityName>全半角检查</abilityName>
      <candidateList>
        <item>;</item>
      </candidateList>
      <explain>文本全半角错误。</explain>
      <paraID>43E4BB4C</paraID>
      <start>10</start>
      <end>11</end>
      <status>unmodified</status>
      <modifiedWord/>
      <trackRevisions>false</trackRevisions>
    </reviewItem>
    <reviewItem>
      <errorID>dc1cc1e9-4ed5-4d6f-a479-71f080884477</errorID>
      <errorWord>黏贴</errorWord>
      <group>L1_Word</group>
      <groupName>字词问题</groupName>
      <ability>L2_Typo</ability>
      <abilityName>字词错误</abilityName>
      <candidateList>
        <item>粘贴</item>
      </candidateList>
      <explain>存在发音相同字词的误用。</explain>
      <paraID>3583AE9E</paraID>
      <start>15</start>
      <end>17</end>
      <status>unmodified</status>
      <modifiedWord/>
      <trackRevisions>false</trackRevisions>
    </reviewItem>
    <reviewItem>
      <errorID>a7407722-8b0c-4f14-bee8-9075fbbba72c</errorID>
      <errorWord>理</errorWord>
      <group>L1_Word</group>
      <groupName>字词问题</groupName>
      <ability>L2_Typo</ability>
      <abilityName>字词错误</abilityName>
      <candidateList>
        <item>理人</item>
      </candidateList>
      <explain/>
      <paraID> 2A65369</paraID>
      <start>39</start>
      <end>40</end>
      <status>unmodified</status>
      <modifiedWord/>
      <trackRevisions>false</trackRevisions>
    </reviewItem>
    <reviewItem>
      <errorID>716212f1-dbfb-486f-977a-a3e0a3aae916</errorID>
      <errorWord>-</errorWord>
      <group>L1_Format</group>
      <groupName>格式问题</groupName>
      <ability>L2_HalfPunc</ability>
      <abilityName>全半角检查</abilityName>
      <candidateList>
        <item>－</item>
      </candidateList>
      <explain>文本全半角错误。</explain>
      <paraID>78252C40</paraID>
      <start>53</start>
      <end>54</end>
      <status>unmodified</status>
      <modifiedWord/>
      <trackRevisions>false</trackRevisions>
    </reviewItem>
    <reviewItem>
      <errorID>7fa2a26d-3ba9-43b1-8bf5-65756e4d1c80</errorID>
      <errorWord>-</errorWord>
      <group>L1_Format</group>
      <groupName>格式问题</groupName>
      <ability>L2_HalfPunc</ability>
      <abilityName>全半角检查</abilityName>
      <candidateList>
        <item>－</item>
      </candidateList>
      <explain>文本全半角错误。</explain>
      <paraID>78252C40</paraID>
      <start>58</start>
      <end>59</end>
      <status>unmodified</status>
      <modifiedWord/>
      <trackRevisions>false</trackRevisions>
    </reviewItem>
    <reviewItem>
      <errorID>155d3099-6247-4090-86d3-4acb90d65a20</errorID>
      <errorWord>(</errorWord>
      <group>L1_Format</group>
      <groupName>格式问题</groupName>
      <ability>L2_HalfPunc</ability>
      <abilityName>全半角检查</abilityName>
      <candidateList>
        <item>（</item>
      </candidateList>
      <explain>文本全半角错误。</explain>
      <paraID>5C3DE57B</paraID>
      <start>73</start>
      <end>74</end>
      <status>unmodified</status>
      <modifiedWord/>
      <trackRevisions>false</trackRevisions>
    </reviewItem>
    <reviewItem>
      <errorID>08d0495f-bd6c-4cd1-9913-7b506c2073d0</errorID>
      <errorWord>)</errorWord>
      <group>L1_Format</group>
      <groupName>格式问题</groupName>
      <ability>L2_HalfPunc</ability>
      <abilityName>全半角检查</abilityName>
      <candidateList>
        <item>）</item>
      </candidateList>
      <explain>文本全半角错误。</explain>
      <paraID>5C3DE57B</paraID>
      <start>84</start>
      <end>85</end>
      <status>unmodified</status>
      <modifiedWord/>
      <trackRevisions>false</trackRevisions>
    </reviewItem>
    <reviewItem>
      <errorID>ec0c7517-9a70-4a79-81d4-929f41758593</errorID>
      <errorWord>较</errorWord>
      <group>L1_Word</group>
      <groupName>字词问题</groupName>
      <ability>L2_Typo</ability>
      <abilityName>字词错误</abilityName>
      <candidateList>
        <item>较为</item>
      </candidateList>
      <explain/>
      <paraID>52C493FD</paraID>
      <start>6</start>
      <end>7</end>
      <status>unmodified</status>
      <modifiedWord/>
      <trackRevisions>false</trackRevisions>
    </reviewItem>
    <reviewItem>
      <errorID>aefbff7e-5a8a-4462-b585-7ac6f3de3db0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715C973</paraID>
      <start>0</start>
      <end>3</end>
      <status>unmodified</status>
      <modifiedWord/>
      <trackRevisions>false</trackRevisions>
    </reviewItem>
    <reviewItem>
      <errorID>4bd3a3ab-49c1-4509-8b99-af3d31558b60</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A12998A</paraID>
      <start>0</start>
      <end>3</end>
      <status>unmodified</status>
      <modifiedWord/>
      <trackRevisions>false</trackRevisions>
    </reviewItem>
    <reviewItem>
      <errorID>34dcdecc-e3ff-4ef3-a7da-0405c2323c4a</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7A78880C</paraID>
      <start>0</start>
      <end>3</end>
      <status>unmodified</status>
      <modifiedWord/>
      <trackRevisions>false</trackRevisions>
    </reviewItem>
    <reviewItem>
      <errorID>f6f874cd-2351-42e4-ae91-861f2b0ce7d4</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2B2F4518</paraID>
      <start>0</start>
      <end>3</end>
      <status>unmodified</status>
      <modifiedWord/>
      <trackRevisions>false</trackRevisions>
    </reviewItem>
    <reviewItem>
      <errorID>087af189-2941-426a-bfc5-05aafcbe2ebe</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6C89E0EE</paraID>
      <start>0</start>
      <end>3</end>
      <status>unmodified</status>
      <modifiedWord/>
      <trackRevisions>false</trackRevisions>
    </reviewItem>
    <reviewItem>
      <errorID>363b57b4-ab81-493b-aed4-8b25aa51cfff</errorID>
      <errorWord>间</errorWord>
      <group>L1_Word</group>
      <groupName>字词问题</groupName>
      <ability>L2_Typo</ability>
      <abilityName>字词错误</abilityName>
      <candidateList>
        <item>间内</item>
      </candidateList>
      <explain/>
      <paraID>10ABC673</paraID>
      <start>47</start>
      <end>48</end>
      <status>unmodified</status>
      <modifiedWord/>
      <trackRevisions>false</trackRevisions>
    </reviewItem>
    <reviewItem>
      <errorID>80611cc0-f5d2-4a25-a4bb-29d296c35860</errorID>
      <errorWord>“/</errorWord>
      <group>L1_Punc</group>
      <groupName>标点问题</groupName>
      <ability>L2_Punc</ability>
      <abilityName>标点符号检查</abilityName>
      <candidateList>
        <item>“</item>
      </candidateList>
      <explain/>
      <paraID>3DE37C0C</paraID>
      <start>33</start>
      <end>35</end>
      <status>unmodified</status>
      <modifiedWord/>
      <trackRevisions>false</trackRevisions>
    </reviewItem>
    <reviewItem>
      <errorID>1798d967-5953-4ad0-b52e-b02349a6c0aa</errorID>
      <errorWord>-</errorWord>
      <group>L1_Format</group>
      <groupName>格式问题</groupName>
      <ability>L2_HalfPunc</ability>
      <abilityName>全半角检查</abilityName>
      <candidateList>
        <item>－</item>
      </candidateList>
      <explain>文本全半角错误。</explain>
      <paraID>33B5880F</paraID>
      <start>15</start>
      <end>16</end>
      <status>unmodified</status>
      <modifiedWord/>
      <trackRevisions>false</trackRevisions>
    </reviewItem>
    <reviewItem>
      <errorID>2344692f-c7d0-4e24-a06a-f650f08170be</errorID>
      <errorWord>(</errorWord>
      <group>L1_Format</group>
      <groupName>格式问题</groupName>
      <ability>L2_HalfPunc</ability>
      <abilityName>全半角检查</abilityName>
      <candidateList>
        <item>（</item>
      </candidateList>
      <explain>文本全半角错误。</explain>
      <paraID>5B638E1E</paraID>
      <start>33</start>
      <end>34</end>
      <status>unmodified</status>
      <modifiedWord/>
      <trackRevisions>false</trackRevisions>
    </reviewItem>
    <reviewItem>
      <errorID>98f336fe-8999-4584-bba7-0ab80a5971f4</errorID>
      <errorWord>)</errorWord>
      <group>L1_Format</group>
      <groupName>格式问题</groupName>
      <ability>L2_HalfPunc</ability>
      <abilityName>全半角检查</abilityName>
      <candidateList>
        <item>）</item>
      </candidateList>
      <explain>文本全半角错误。</explain>
      <paraID>5B638E1E</paraID>
      <start>45</start>
      <end>46</end>
      <status>unmodified</status>
      <modifiedWord/>
      <trackRevisions>false</trackRevisions>
    </reviewItem>
    <reviewItem>
      <errorID>bdd840da-88d2-4f1f-a50f-9e3b35f543d7</errorID>
      <errorWord>(</errorWord>
      <group>L1_Format</group>
      <groupName>格式问题</groupName>
      <ability>L2_HalfPunc</ability>
      <abilityName>全半角检查</abilityName>
      <candidateList>
        <item>（</item>
      </candidateList>
      <explain>文本全半角错误。</explain>
      <paraID>5B638E1E</paraID>
      <start>210</start>
      <end>211</end>
      <status>unmodified</status>
      <modifiedWord/>
      <trackRevisions>false</trackRevisions>
    </reviewItem>
    <reviewItem>
      <errorID>a30d46b4-ff8a-4bce-b0de-0829d81efd80</errorID>
      <errorWord>)</errorWord>
      <group>L1_Format</group>
      <groupName>格式问题</groupName>
      <ability>L2_HalfPunc</ability>
      <abilityName>全半角检查</abilityName>
      <candidateList>
        <item>）</item>
      </candidateList>
      <explain>文本全半角错误。</explain>
      <paraID>5B638E1E</paraID>
      <start>227</start>
      <end>228</end>
      <status>unmodified</status>
      <modifiedWord/>
      <trackRevisions>false</trackRevisions>
    </reviewItem>
    <reviewItem>
      <errorID>77dca7a8-92ab-40b0-ac77-c3d7581da68f</errorID>
      <errorWord>前的</errorWord>
      <group>L1_Word</group>
      <groupName>字词问题</groupName>
      <ability>L2_Typo</ability>
      <abilityName>字词错误</abilityName>
      <candidateList>
        <item>前</item>
      </candidateList>
      <explain>❶〈名〉方位词。在正面的（指空间，跟“后”相对）：～门｜村～村后。❷往前走：勇往直～｜畏缩不～。❸〈名〉方位词。次序靠近头里的（跟“后”相对）：～排｜他的成绩在班里总是～三名。❹〈名〉方位词。过去的；较早的（指时间，跟“后”相对）：～天｜从～｜～几年｜～功尽弃｜～所未有｜～无古人，后无来者。❺〈名〉方位词。</explain>
      <paraID>674D8238</paraID>
      <start>55</start>
      <end>57</end>
      <status>unmodified</status>
      <modifiedWord/>
      <trackRevisions>false</trackRevisions>
    </reviewItem>
    <reviewItem>
      <errorID>3f14f714-eadc-4139-acd1-09d07fbd829f</errorID>
      <errorWord>前的</errorWord>
      <group>L1_Word</group>
      <groupName>字词问题</groupName>
      <ability>L2_Typo</ability>
      <abilityName>字词错误</abilityName>
      <candidateList>
        <item>前</item>
      </candidateList>
      <explain>❶〈名〉方位词。在正面的（指空间，跟“后”相对）：～门｜村～村后。❷往前走：勇往直～｜畏缩不～。❸〈名〉方位词。次序靠近头里的（跟“后”相对）：～排｜他的成绩在班里总是～三名。❹〈名〉方位词。过去的；较早的（指时间，跟“后”相对）：～天｜从～｜～几年｜～功尽弃｜～所未有｜～无古人，后无来者。❺〈名〉方位词。</explain>
      <paraID>6CD6D8A6</paraID>
      <start>9</start>
      <end>11</end>
      <status>unmodified</status>
      <modifiedWord/>
      <trackRevisions>false</trackRevisions>
    </reviewItem>
    <reviewItem>
      <errorID>3f598774-efc7-4216-b3ea-f301eda3ff75</errorID>
      <errorWord>(</errorWord>
      <group>L1_Format</group>
      <groupName>格式问题</groupName>
      <ability>L2_HalfPunc</ability>
      <abilityName>全半角检查</abilityName>
      <candidateList>
        <item>（</item>
      </candidateList>
      <explain>文本全半角错误。</explain>
      <paraID>7795D137</paraID>
      <start>4</start>
      <end>5</end>
      <status>unmodified</status>
      <modifiedWord/>
      <trackRevisions>false</trackRevisions>
    </reviewItem>
    <reviewItem>
      <errorID>9e5a6055-33b6-4928-a9df-7ea9166ff04f</errorID>
      <errorWord>)</errorWord>
      <group>L1_Format</group>
      <groupName>格式问题</groupName>
      <ability>L2_HalfPunc</ability>
      <abilityName>全半角检查</abilityName>
      <candidateList>
        <item>）</item>
      </candidateList>
      <explain>文本全半角错误。</explain>
      <paraID>7795D137</paraID>
      <start>7</start>
      <end>8</end>
      <status>unmodified</status>
      <modifiedWord/>
      <trackRevisions>false</trackRevisions>
    </reviewItem>
  </reviewItems>
  <config/>
</contractReview>
</file>

<file path=customXml/itemProps1.xml><?xml version="1.0" encoding="utf-8"?>
<ds:datastoreItem xmlns:ds="http://schemas.openxmlformats.org/officeDocument/2006/customXml" ds:itemID="{55B21A7B-4240-4B6D-AB30-EC0BBFBC8ECB}"/>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丁正良</cp:lastModifiedBy>
  <cp:revision>2</cp:revision>
  <dcterms:created xsi:type="dcterms:W3CDTF">2023-05-24T08:53:00Z</dcterms:created>
  <dcterms:modified xsi:type="dcterms:W3CDTF">2026-05-09T04:17:32Z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eyJoZGlkIjoiYzc1NjM4MjBlMTA3YjBiNWViNzYyNGEzMGNkMzljNGMiLCJ1c2VySWQiOiIxMjYwODY5NTk0In0=</vt:lpwstr>
  </property>
  <property fmtid="{D5CDD505-2E9C-101B-9397-08002B2CF9AE}" pid="3" name="KSOProductBuildVer">
    <vt:lpwstr>2052-12.1.0.22529</vt:lpwstr>
  </property>
  <property fmtid="{D5CDD505-2E9C-101B-9397-08002B2CF9AE}" pid="4" name="ICV">
    <vt:lpwstr>C76508F888034747ADB30AE8E3BFFEAC_13</vt:lpwstr>
  </property>
</Properties>
</file>