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s="宋体"/>
          <w:b/>
          <w:bCs/>
          <w:color w:val="000000"/>
          <w:sz w:val="72"/>
          <w:highlight w:val="none"/>
        </w:rPr>
      </w:pPr>
      <w:r>
        <w:rPr>
          <w:rFonts w:hint="eastAsia" w:cs="宋体"/>
          <w:b/>
          <w:bCs/>
          <w:color w:val="000000"/>
          <w:sz w:val="72"/>
          <w:highlight w:val="none"/>
        </w:rPr>
      </w:r>
      <w:r/>
    </w:p>
    <w:p>
      <w:pPr>
        <w:jc w:val="center"/>
        <w:rPr>
          <w:rFonts w:hint="eastAsia" w:cs="宋体"/>
          <w:b/>
          <w:bCs/>
          <w:color w:val="000000"/>
          <w:sz w:val="84"/>
          <w:szCs w:val="84"/>
          <w:highlight w:val="none"/>
        </w:rPr>
      </w:pPr>
      <w:r>
        <w:rPr>
          <w:rFonts w:hint="eastAsia" w:cs="宋体"/>
          <w:b/>
          <w:bCs/>
          <w:color w:val="000000"/>
          <w:sz w:val="84"/>
          <w:szCs w:val="84"/>
          <w:highlight w:val="none"/>
          <w:lang w:eastAsia="zh-CN"/>
        </w:rPr>
        <w:t xml:space="preserve">吴中区</w:t>
      </w:r>
      <w:r>
        <w:rPr>
          <w:rFonts w:hint="eastAsia" w:cs="宋体"/>
          <w:b/>
          <w:bCs/>
          <w:color w:val="000000"/>
          <w:sz w:val="84"/>
          <w:szCs w:val="84"/>
          <w:highlight w:val="none"/>
        </w:rPr>
        <w:t xml:space="preserve">政府采购</w:t>
      </w:r>
      <w:r/>
    </w:p>
    <w:p>
      <w:pPr>
        <w:jc w:val="center"/>
        <w:rPr>
          <w:rFonts w:hint="eastAsia" w:cs="宋体"/>
          <w:b/>
          <w:bCs/>
          <w:color w:val="000000"/>
          <w:sz w:val="108"/>
          <w:highlight w:val="none"/>
        </w:rPr>
      </w:pPr>
      <w:r>
        <w:rPr>
          <w:rFonts w:hint="eastAsia" w:cs="宋体"/>
          <w:b/>
          <w:bCs/>
          <w:color w:val="000000"/>
          <w:sz w:val="84"/>
          <w:szCs w:val="84"/>
          <w:highlight w:val="none"/>
        </w:rPr>
        <w:t xml:space="preserve">招 标 文 件</w:t>
      </w:r>
      <w:r/>
    </w:p>
    <w:p>
      <w:pPr>
        <w:spacing w:line="360" w:lineRule="auto"/>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u w:val="single"/>
          <w:lang w:eastAsia="zh-CN"/>
        </w:rPr>
      </w:pPr>
      <w:r>
        <w:rPr>
          <w:rFonts w:hint="eastAsia" w:cs="宋体"/>
          <w:b/>
          <w:bCs/>
          <w:color w:val="000000"/>
          <w:sz w:val="32"/>
          <w:highlight w:val="none"/>
        </w:rPr>
        <w:t xml:space="preserve">项目编号：</w:t>
      </w:r>
      <w:r>
        <w:rPr>
          <w:rFonts w:hint="eastAsia" w:cs="宋体"/>
          <w:b/>
          <w:bCs/>
          <w:color w:val="000000"/>
          <w:sz w:val="32"/>
          <w:highlight w:val="none"/>
          <w:u w:val="single"/>
          <w:lang w:eastAsia="zh-CN"/>
        </w:rPr>
        <w:t xml:space="preserve">JSZC-320506-JWGC-G2026-0002</w:t>
      </w:r>
      <w:r/>
    </w:p>
    <w:p>
      <w:pPr>
        <w:pStyle w:val="1175"/>
        <w:rPr>
          <w:rFonts w:hint="eastAsia"/>
          <w:lang w:eastAsia="zh-CN"/>
        </w:rPr>
      </w:pPr>
      <w:r>
        <w:rPr>
          <w:rFonts w:hint="eastAsia"/>
          <w:lang w:eastAsia="zh-CN"/>
        </w:rPr>
      </w:r>
      <w:r/>
    </w:p>
    <w:p>
      <w:pPr>
        <w:ind w:firstLine="2107"/>
        <w:rPr>
          <w:rFonts w:hint="eastAsia" w:cs="宋体"/>
          <w:b/>
          <w:bCs/>
          <w:color w:val="000000"/>
          <w:sz w:val="32"/>
          <w:highlight w:val="none"/>
          <w:u w:val="single"/>
          <w:lang w:eastAsia="zh-CN"/>
        </w:rPr>
      </w:pPr>
      <w:r>
        <w:rPr>
          <w:rFonts w:hint="eastAsia" w:cs="宋体"/>
          <w:b/>
          <w:bCs/>
          <w:color w:val="000000"/>
          <w:sz w:val="32"/>
          <w:highlight w:val="none"/>
        </w:rPr>
        <w:t xml:space="preserve">项目名称：</w:t>
      </w:r>
      <w:r>
        <w:rPr>
          <w:rFonts w:hint="eastAsia" w:cs="宋体"/>
          <w:b/>
          <w:bCs/>
          <w:color w:val="000000"/>
          <w:sz w:val="32"/>
          <w:highlight w:val="none"/>
          <w:u w:val="single"/>
          <w:lang w:eastAsia="zh-CN"/>
        </w:rPr>
        <w:t xml:space="preserve">2026年水质自动站运维</w:t>
      </w:r>
      <w:r/>
    </w:p>
    <w:p>
      <w:pPr>
        <w:pStyle w:val="1175"/>
        <w:rPr>
          <w:rFonts w:hint="eastAsia"/>
          <w:lang w:eastAsia="zh-CN"/>
        </w:rPr>
      </w:pPr>
      <w:r>
        <w:rPr>
          <w:rFonts w:hint="eastAsia"/>
          <w:lang w:eastAsia="zh-CN"/>
        </w:rPr>
      </w:r>
      <w:r/>
    </w:p>
    <w:p>
      <w:pPr>
        <w:ind w:firstLine="2107"/>
        <w:rPr>
          <w:rFonts w:hint="eastAsia" w:eastAsia="宋体" w:cs="宋体"/>
          <w:b/>
          <w:bCs/>
          <w:color w:val="000000"/>
          <w:sz w:val="32"/>
          <w:highlight w:val="none"/>
          <w:lang w:eastAsia="zh-CN"/>
        </w:rPr>
      </w:pPr>
      <w:r>
        <w:rPr>
          <w:rFonts w:hint="eastAsia" w:cs="宋体"/>
          <w:b/>
          <w:bCs/>
          <w:color w:val="000000"/>
          <w:sz w:val="32"/>
          <w:highlight w:val="none"/>
        </w:rPr>
        <w:t xml:space="preserve">采</w:t>
      </w:r>
      <w:r>
        <w:rPr>
          <w:rFonts w:hint="eastAsia" w:cs="宋体"/>
          <w:b/>
          <w:bCs/>
          <w:color w:val="000000"/>
          <w:sz w:val="32"/>
          <w:highlight w:val="none"/>
          <w:lang w:val="en-US" w:eastAsia="zh-CN"/>
        </w:rPr>
        <w:t xml:space="preserve"> </w:t>
      </w:r>
      <w:r>
        <w:rPr>
          <w:rFonts w:hint="eastAsia" w:cs="宋体"/>
          <w:b/>
          <w:bCs/>
          <w:color w:val="000000"/>
          <w:sz w:val="32"/>
          <w:highlight w:val="none"/>
        </w:rPr>
        <w:t xml:space="preserve">购</w:t>
      </w:r>
      <w:r>
        <w:rPr>
          <w:rFonts w:hint="eastAsia" w:cs="宋体"/>
          <w:b/>
          <w:bCs/>
          <w:color w:val="000000"/>
          <w:sz w:val="32"/>
          <w:highlight w:val="none"/>
          <w:lang w:val="en-US" w:eastAsia="zh-CN"/>
        </w:rPr>
        <w:t xml:space="preserve"> </w:t>
      </w:r>
      <w:r>
        <w:rPr>
          <w:rFonts w:hint="eastAsia" w:cs="宋体"/>
          <w:b/>
          <w:bCs/>
          <w:color w:val="000000"/>
          <w:sz w:val="32"/>
          <w:highlight w:val="none"/>
        </w:rPr>
        <w:t xml:space="preserve">人：</w:t>
      </w:r>
      <w:r>
        <w:rPr>
          <w:rFonts w:hint="eastAsia" w:cs="宋体"/>
          <w:b/>
          <w:bCs/>
          <w:color w:val="000000"/>
          <w:sz w:val="32"/>
          <w:highlight w:val="none"/>
          <w:u w:val="single"/>
          <w:lang w:eastAsia="zh-CN"/>
        </w:rPr>
        <w:t xml:space="preserve">苏州市吴中生态环境局</w:t>
      </w:r>
      <w:r/>
    </w:p>
    <w:p>
      <w:pPr>
        <w:rPr>
          <w:rFonts w:hint="eastAsia" w:cs="宋体"/>
          <w:b/>
          <w:bCs/>
          <w:color w:val="000000"/>
          <w:sz w:val="32"/>
          <w:highlight w:val="none"/>
        </w:rPr>
      </w:pPr>
      <w:r>
        <w:rPr>
          <w:rFonts w:hint="eastAsia" w:cs="宋体"/>
          <w:b/>
          <w:bCs/>
          <w:color w:val="000000"/>
          <w:sz w:val="32"/>
          <w:highlight w:val="none"/>
        </w:rPr>
      </w:r>
      <w:r/>
    </w:p>
    <w:p>
      <w:pPr>
        <w:pStyle w:val="1175"/>
        <w:rPr>
          <w:rFonts w:hint="eastAsia"/>
          <w:color w:val="000000"/>
          <w:highlight w:val="none"/>
        </w:rPr>
      </w:pPr>
      <w:r>
        <w:rPr>
          <w:rFonts w:hint="eastAsia"/>
          <w:color w:val="000000"/>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rPr>
          <w:rFonts w:hint="eastAsia" w:cs="宋体"/>
          <w:b/>
          <w:bCs/>
          <w:color w:val="000000"/>
          <w:sz w:val="32"/>
          <w:highlight w:val="none"/>
        </w:rPr>
      </w:pPr>
      <w:r>
        <w:rPr>
          <w:rFonts w:hint="eastAsia" w:cs="宋体"/>
          <w:b/>
          <w:bCs/>
          <w:color w:val="000000"/>
          <w:sz w:val="32"/>
          <w:highlight w:val="none"/>
        </w:rPr>
      </w:r>
      <w:r/>
    </w:p>
    <w:p>
      <w:pPr>
        <w:pStyle w:val="1175"/>
        <w:rPr>
          <w:rFonts w:hint="eastAsia" w:cs="宋体"/>
          <w:b/>
          <w:bCs/>
          <w:color w:val="000000"/>
          <w:sz w:val="32"/>
          <w:highlight w:val="none"/>
        </w:rPr>
      </w:pPr>
      <w:r>
        <w:rPr>
          <w:rFonts w:hint="eastAsia" w:cs="宋体"/>
          <w:b/>
          <w:bCs/>
          <w:color w:val="000000"/>
          <w:sz w:val="32"/>
          <w:highlight w:val="none"/>
        </w:rPr>
      </w:r>
      <w:r/>
    </w:p>
    <w:p>
      <w:pPr>
        <w:rPr>
          <w:rFonts w:hint="eastAsia"/>
          <w:color w:val="000000"/>
          <w:highlight w:val="none"/>
        </w:rPr>
      </w:pPr>
      <w:r>
        <w:rPr>
          <w:rFonts w:hint="eastAsia"/>
          <w:color w:val="000000"/>
          <w:highlight w:val="none"/>
        </w:rPr>
      </w:r>
      <w:r/>
    </w:p>
    <w:p>
      <w:pP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eastAsia="宋体" w:cs="宋体"/>
          <w:b/>
          <w:bCs/>
          <w:color w:val="000000"/>
          <w:sz w:val="32"/>
          <w:highlight w:val="none"/>
          <w:lang w:eastAsia="zh-CN"/>
        </w:rPr>
      </w:pPr>
      <w:r>
        <w:rPr>
          <w:rFonts w:hint="eastAsia" w:cs="宋体"/>
          <w:b/>
          <w:bCs/>
          <w:color w:val="000000"/>
          <w:sz w:val="32"/>
          <w:highlight w:val="none"/>
          <w:lang w:eastAsia="zh-CN"/>
        </w:rPr>
        <w:t xml:space="preserve">经纬工程咨询（苏州）有限公司</w:t>
      </w:r>
      <w:r/>
    </w:p>
    <w:p>
      <w:pPr>
        <w:jc w:val="center"/>
        <w:rPr>
          <w:rFonts w:hint="eastAsia" w:cs="宋体"/>
          <w:color w:val="000000"/>
          <w:sz w:val="48"/>
          <w:highlight w:val="none"/>
        </w:rPr>
      </w:pPr>
      <w:r>
        <w:rPr>
          <w:rFonts w:hint="eastAsia" w:cs="宋体"/>
          <w:b/>
          <w:bCs/>
          <w:color w:val="000000"/>
          <w:sz w:val="32"/>
          <w:highlight w:val="none"/>
        </w:rPr>
        <w:t xml:space="preserve">二○二</w:t>
      </w:r>
      <w:r>
        <w:rPr>
          <w:rFonts w:hint="eastAsia" w:cs="宋体"/>
          <w:b/>
          <w:bCs/>
          <w:color w:val="000000"/>
          <w:sz w:val="32"/>
          <w:highlight w:val="none"/>
          <w:lang w:val="en-US" w:eastAsia="zh-CN"/>
        </w:rPr>
        <w:t xml:space="preserve">六</w:t>
      </w:r>
      <w:r>
        <w:rPr>
          <w:rFonts w:hint="eastAsia" w:cs="宋体"/>
          <w:b/>
          <w:bCs/>
          <w:color w:val="000000"/>
          <w:sz w:val="32"/>
          <w:highlight w:val="none"/>
        </w:rPr>
        <w:t xml:space="preserve">年</w:t>
      </w:r>
      <w:r>
        <w:rPr>
          <w:rFonts w:hint="eastAsia" w:cs="宋体"/>
          <w:b/>
          <w:bCs/>
          <w:color w:val="000000"/>
          <w:sz w:val="32"/>
          <w:highlight w:val="none"/>
          <w:lang w:val="en-US" w:eastAsia="zh-CN"/>
        </w:rPr>
        <w:t xml:space="preserve">四</w:t>
      </w:r>
      <w:r>
        <w:rPr>
          <w:rFonts w:hint="eastAsia" w:cs="宋体"/>
          <w:b/>
          <w:bCs/>
          <w:color w:val="000000"/>
          <w:sz w:val="32"/>
          <w:highlight w:val="none"/>
        </w:rPr>
        <w:t xml:space="preserve">月</w:t>
      </w:r>
      <w:r/>
    </w:p>
    <w:p>
      <w:pPr>
        <w:jc w:val="center"/>
        <w:rPr>
          <w:rFonts w:hint="eastAsia" w:cs="宋体"/>
          <w:color w:val="000000"/>
          <w:sz w:val="48"/>
          <w:highlight w:val="none"/>
        </w:rPr>
      </w:pPr>
      <w:r>
        <w:rPr>
          <w:rFonts w:hint="eastAsia" w:cs="宋体"/>
          <w:color w:val="000000"/>
          <w:sz w:val="48"/>
          <w:highlight w:val="none"/>
        </w:rPr>
        <w:br w:type="page" w:clear="all"/>
      </w:r>
      <w:r/>
    </w:p>
    <w:p>
      <w:pPr>
        <w:jc w:val="center"/>
        <w:rPr>
          <w:rFonts w:hint="eastAsia" w:cs="宋体"/>
          <w:color w:val="000000"/>
          <w:sz w:val="48"/>
          <w:highlight w:val="none"/>
        </w:rPr>
      </w:pPr>
      <w:r>
        <w:rPr>
          <w:rFonts w:hint="eastAsia" w:cs="宋体"/>
          <w:color w:val="000000"/>
          <w:sz w:val="48"/>
          <w:highlight w:val="none"/>
        </w:rPr>
      </w:r>
      <w:r/>
    </w:p>
    <w:p>
      <w:pPr>
        <w:jc w:val="center"/>
        <w:rPr>
          <w:rFonts w:hint="eastAsia" w:cs="宋体"/>
          <w:color w:val="000000"/>
          <w:sz w:val="48"/>
          <w:highlight w:val="none"/>
        </w:rPr>
      </w:pPr>
      <w:r>
        <w:rPr>
          <w:rFonts w:hint="eastAsia" w:cs="宋体"/>
          <w:color w:val="000000"/>
          <w:sz w:val="48"/>
          <w:highlight w:val="none"/>
        </w:rPr>
        <w:t xml:space="preserve">总目录</w:t>
      </w:r>
      <w:r/>
    </w:p>
    <w:p>
      <w:pPr>
        <w:rPr>
          <w:rFonts w:hint="eastAsia" w:cs="宋体"/>
          <w:color w:val="000000"/>
          <w:highlight w:val="none"/>
        </w:rPr>
      </w:pPr>
      <w:r>
        <w:rPr>
          <w:rFonts w:hint="eastAsia" w:cs="宋体"/>
          <w:color w:val="000000"/>
          <w:highlight w:val="none"/>
        </w:rPr>
      </w:r>
      <w:r/>
    </w:p>
    <w:p>
      <w:pPr>
        <w:rPr>
          <w:rFonts w:hint="eastAsia" w:cs="宋体"/>
          <w:color w:val="000000"/>
          <w:highlight w:val="none"/>
        </w:rPr>
      </w:pPr>
      <w:r>
        <w:rPr>
          <w:rFonts w:hint="eastAsia" w:cs="宋体"/>
          <w:color w:val="000000"/>
          <w:highlight w:val="none"/>
        </w:rPr>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第一章 招标公告</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第二章 投标人须知</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第三章 投标文件格式</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第四章 招标书</w:t>
      </w:r>
      <w:r/>
    </w:p>
    <w:p>
      <w:pPr>
        <w:ind w:firstLine="898"/>
        <w:spacing w:line="720" w:lineRule="auto"/>
        <w:rPr>
          <w:rFonts w:hint="eastAsia" w:cs="宋体"/>
          <w:b/>
          <w:bCs/>
          <w:color w:val="000000"/>
          <w:sz w:val="52"/>
          <w:highlight w:val="none"/>
        </w:rPr>
      </w:pPr>
      <w:r>
        <w:rPr>
          <w:rFonts w:hint="eastAsia" w:cs="宋体"/>
          <w:color w:val="000000"/>
          <w:sz w:val="28"/>
          <w:highlight w:val="none"/>
        </w:rPr>
        <w:t xml:space="preserve">第五章 合同主要条款</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第六章 评标办法和评分</w:t>
      </w:r>
      <w:bookmarkStart w:id="0" w:name="_Hlt509838783"/>
      <w:r/>
      <w:bookmarkStart w:id="1" w:name="_Hlt509838784"/>
      <w:r>
        <w:rPr>
          <w:rFonts w:hint="eastAsia" w:cs="宋体"/>
          <w:color w:val="000000"/>
          <w:sz w:val="28"/>
          <w:highlight w:val="none"/>
        </w:rPr>
        <w:t xml:space="preserve">标</w:t>
      </w:r>
      <w:bookmarkEnd w:id="0"/>
      <w:r/>
      <w:bookmarkEnd w:id="1"/>
      <w:r>
        <w:rPr>
          <w:rFonts w:hint="eastAsia" w:cs="宋体"/>
          <w:color w:val="000000"/>
          <w:sz w:val="28"/>
          <w:highlight w:val="none"/>
        </w:rPr>
        <w:t xml:space="preserve">准</w:t>
      </w:r>
      <w:r/>
    </w:p>
    <w:p>
      <w:pPr>
        <w:jc w:val="center"/>
        <w:spacing w:line="720" w:lineRule="auto"/>
        <w:rPr>
          <w:rFonts w:hint="eastAsia" w:cs="宋体"/>
          <w:b/>
          <w:bCs/>
          <w:color w:val="000000"/>
          <w:spacing w:val="20"/>
          <w:sz w:val="30"/>
          <w:highlight w:val="none"/>
        </w:rPr>
      </w:pPr>
      <w:r>
        <w:rPr>
          <w:rFonts w:hint="eastAsia" w:cs="宋体"/>
          <w:b/>
          <w:bCs/>
          <w:color w:val="000000"/>
          <w:spacing w:val="20"/>
          <w:sz w:val="30"/>
          <w:highlight w:val="none"/>
        </w:rPr>
        <w:br w:type="page" w:clear="all"/>
      </w:r>
      <w:r>
        <w:rPr>
          <w:rFonts w:hint="eastAsia" w:cs="宋体"/>
          <w:b/>
          <w:bCs/>
          <w:color w:val="000000"/>
          <w:spacing w:val="20"/>
          <w:sz w:val="30"/>
          <w:highlight w:val="none"/>
        </w:rPr>
        <w:t xml:space="preserve">前 附 表</w:t>
      </w:r>
      <w:r/>
    </w:p>
    <w:p>
      <w:pPr>
        <w:ind w:firstLine="420"/>
        <w:spacing w:line="440" w:lineRule="exact"/>
        <w:rPr>
          <w:rFonts w:hint="eastAsia" w:cs="宋体"/>
          <w:color w:val="000000"/>
          <w:highlight w:val="none"/>
        </w:rPr>
      </w:pPr>
      <w:r>
        <w:rPr>
          <w:rFonts w:hint="eastAsia" w:cs="宋体"/>
          <w:color w:val="000000"/>
          <w:highlight w:val="none"/>
        </w:rPr>
        <w:t xml:space="preserve">下述关于要采购的</w:t>
      </w:r>
      <w:r>
        <w:rPr>
          <w:rFonts w:hint="eastAsia" w:cs="宋体"/>
          <w:bCs/>
          <w:color w:val="000000"/>
          <w:highlight w:val="none"/>
          <w:lang w:eastAsia="zh-CN"/>
        </w:rPr>
        <w:t xml:space="preserve">2026年水质自动站运维</w:t>
      </w:r>
      <w:r>
        <w:rPr>
          <w:rFonts w:hint="eastAsia" w:cs="宋体"/>
          <w:color w:val="000000"/>
          <w:highlight w:val="none"/>
        </w:rPr>
        <w:t xml:space="preserve">的具体资料是对招标文件投标人须知的具体补充和修改，如果有矛盾，以本附表为准。</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条目</w:t>
            </w:r>
            <w:r/>
          </w:p>
        </w:tc>
        <w:tc>
          <w:tcPr>
            <w:tcW w:w="6886"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               容</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p>
        </w:tc>
        <w:tc>
          <w:tcPr>
            <w:tcW w:w="6886" w:type="dxa"/>
            <w:vAlign w:val="center"/>
            <w:textDirection w:val="lrTb"/>
            <w:noWrap w:val="false"/>
          </w:tcPr>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JSZC-320506-JWGC-G2026-0002</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p>
        </w:tc>
        <w:tc>
          <w:tcPr>
            <w:tcW w:w="6886" w:type="dxa"/>
            <w:vAlign w:val="center"/>
            <w:textDirection w:val="lrTb"/>
            <w:noWrap w:val="false"/>
          </w:tcPr>
          <w:p>
            <w:pPr>
              <w:pStyle w:val="1298"/>
              <w:ind w:firstLine="0"/>
              <w:spacing w:line="440" w:lineRule="exact"/>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2026年水质自动站运维</w:t>
            </w:r>
            <w:r/>
          </w:p>
        </w:tc>
      </w:tr>
      <w:tr>
        <w:trPr>
          <w:jc w:val="center"/>
          <w:trHeight w:val="680"/>
        </w:trPr>
        <w:tc>
          <w:tcPr>
            <w:tcW w:w="992" w:type="dxa"/>
            <w:vAlign w:val="center"/>
            <w:textDirection w:val="lrTb"/>
            <w:noWrap w:val="false"/>
          </w:tcPr>
          <w:p>
            <w:pPr>
              <w:pStyle w:val="1298"/>
              <w:ind w:firstLine="0"/>
              <w:jc w:val="center"/>
              <w:spacing w:line="440" w:lineRule="exact"/>
              <w:tabs>
                <w:tab w:val="left" w:pos="252"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采购代理机构名称及地址</w:t>
            </w:r>
            <w:r/>
          </w:p>
        </w:tc>
        <w:tc>
          <w:tcPr>
            <w:tcW w:w="6886" w:type="dxa"/>
            <w:vAlign w:val="center"/>
            <w:textDirection w:val="lrTb"/>
            <w:noWrap w:val="false"/>
          </w:tcPr>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lang w:eastAsia="zh-CN"/>
              </w:rPr>
              <w:t xml:space="preserve">经纬工程咨询（苏州）有限公司</w:t>
            </w:r>
            <w:r/>
          </w:p>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lang w:eastAsia="zh-CN"/>
              </w:rPr>
              <w:t xml:space="preserve">苏州市吴中区吴中东路175号天域大厦7楼</w:t>
            </w:r>
            <w:r/>
          </w:p>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邮编：21500</w:t>
            </w:r>
            <w:r>
              <w:rPr>
                <w:rFonts w:hint="eastAsia" w:ascii="宋体" w:hAnsi="宋体" w:cs="宋体"/>
                <w:color w:val="000000"/>
                <w:sz w:val="21"/>
                <w:szCs w:val="21"/>
                <w:highlight w:val="none"/>
                <w:lang w:val="en-US" w:eastAsia="zh-CN"/>
              </w:rPr>
              <w:t xml:space="preserve">0</w:t>
            </w:r>
            <w:r/>
          </w:p>
          <w:p>
            <w:pPr>
              <w:pStyle w:val="1298"/>
              <w:ind w:firstLine="0"/>
              <w:spacing w:line="440" w:lineRule="exac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电话/传真：</w:t>
            </w:r>
            <w:r>
              <w:rPr>
                <w:rFonts w:hint="eastAsia" w:ascii="宋体" w:hAnsi="宋体" w:cs="宋体"/>
                <w:color w:val="000000"/>
                <w:sz w:val="21"/>
                <w:szCs w:val="21"/>
                <w:highlight w:val="none"/>
                <w:lang w:val="en-US" w:eastAsia="zh-CN"/>
              </w:rPr>
              <w:t xml:space="preserve">18762880325</w:t>
            </w:r>
            <w:r/>
          </w:p>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商婧</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采购单位</w:t>
            </w:r>
            <w:r/>
          </w:p>
        </w:tc>
        <w:tc>
          <w:tcPr>
            <w:tcW w:w="6886" w:type="dxa"/>
            <w:vAlign w:val="center"/>
            <w:textDirection w:val="lrTb"/>
            <w:noWrap w:val="false"/>
          </w:tcPr>
          <w:p>
            <w:pPr>
              <w:pStyle w:val="1298"/>
              <w:ind w:firstLine="0"/>
              <w:spacing w:line="440" w:lineRule="exact"/>
              <w:rPr>
                <w:rFonts w:hint="eastAsia" w:ascii="宋体" w:hAnsi="宋体" w:eastAsia="宋体" w:cs="宋体"/>
                <w:bCs/>
                <w:color w:val="000000"/>
                <w:sz w:val="21"/>
                <w:szCs w:val="21"/>
                <w:highlight w:val="none"/>
                <w:lang w:eastAsia="zh-CN"/>
              </w:rPr>
            </w:pPr>
            <w:r>
              <w:rPr>
                <w:rFonts w:hint="eastAsia" w:ascii="宋体" w:hAnsi="宋体" w:cs="宋体"/>
                <w:color w:val="000000"/>
                <w:sz w:val="21"/>
                <w:szCs w:val="21"/>
                <w:highlight w:val="none"/>
                <w:lang w:eastAsia="zh-CN"/>
              </w:rPr>
              <w:t xml:space="preserve">苏州市吴中生态环境局</w:t>
            </w:r>
            <w:r/>
          </w:p>
          <w:p>
            <w:pPr>
              <w:pStyle w:val="1298"/>
              <w:ind w:firstLine="0"/>
              <w:spacing w:line="440" w:lineRule="exact"/>
              <w:rPr>
                <w:rFonts w:hint="eastAsia" w:ascii="宋体" w:hAnsi="宋体" w:cs="宋体"/>
                <w:color w:val="000000"/>
                <w:sz w:val="21"/>
                <w:szCs w:val="21"/>
                <w:highlight w:val="none"/>
              </w:rPr>
            </w:pPr>
            <w:r>
              <w:rPr>
                <w:rFonts w:hint="eastAsia" w:ascii="宋体" w:hAnsi="宋体" w:eastAsia="宋体" w:cs="宋体"/>
                <w:bCs/>
                <w:color w:val="000000"/>
                <w:sz w:val="21"/>
                <w:szCs w:val="21"/>
                <w:highlight w:val="none"/>
              </w:rPr>
              <w:t xml:space="preserve">联系人：</w:t>
            </w:r>
            <w:r>
              <w:rPr>
                <w:rFonts w:hint="eastAsia" w:ascii="宋体" w:hAnsi="宋体" w:cs="宋体"/>
                <w:bCs/>
                <w:color w:val="000000"/>
                <w:sz w:val="21"/>
                <w:szCs w:val="21"/>
                <w:highlight w:val="none"/>
                <w:lang w:eastAsia="zh-CN"/>
              </w:rPr>
              <w:t xml:space="preserve">阮晓杰</w:t>
            </w:r>
            <w:r>
              <w:rPr>
                <w:rFonts w:hint="eastAsia" w:ascii="宋体" w:hAnsi="宋体" w:eastAsia="宋体" w:cs="宋体"/>
                <w:bCs/>
                <w:color w:val="000000"/>
                <w:sz w:val="21"/>
                <w:szCs w:val="21"/>
                <w:highlight w:val="none"/>
              </w:rPr>
              <w:t xml:space="preserve">           联系电话：</w:t>
            </w:r>
            <w:r>
              <w:rPr>
                <w:rFonts w:hint="eastAsia" w:ascii="宋体" w:hAnsi="宋体" w:cs="宋体"/>
                <w:color w:val="000000"/>
                <w:sz w:val="21"/>
                <w:szCs w:val="21"/>
                <w:highlight w:val="none"/>
                <w:lang w:eastAsia="zh-CN"/>
              </w:rPr>
              <w:t xml:space="preserve">0512-67082875</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标书组成</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详见招标文件第二章</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投标保证金</w:t>
            </w:r>
            <w:r/>
          </w:p>
        </w:tc>
        <w:tc>
          <w:tcPr>
            <w:tcW w:w="6886" w:type="dxa"/>
            <w:vAlign w:val="center"/>
            <w:textDirection w:val="lrTb"/>
            <w:noWrap w:val="false"/>
          </w:tcPr>
          <w:p>
            <w:pPr>
              <w:pStyle w:val="1041"/>
              <w:spacing w:line="440" w:lineRule="exact"/>
              <w:rPr>
                <w:rFonts w:hint="eastAsia" w:eastAsia="宋体" w:cs="宋体"/>
                <w:color w:val="000000"/>
                <w:sz w:val="21"/>
                <w:szCs w:val="21"/>
                <w:highlight w:val="none"/>
              </w:rPr>
            </w:pPr>
            <w:r>
              <w:rPr>
                <w:rFonts w:hint="eastAsia" w:eastAsia="宋体" w:cs="宋体"/>
                <w:color w:val="000000"/>
                <w:sz w:val="21"/>
                <w:szCs w:val="21"/>
                <w:highlight w:val="none"/>
              </w:rPr>
              <w:t xml:space="preserve">本项目免收投标保证金</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投标有效期</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九十天（日历日）</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投标文件份数</w:t>
            </w:r>
            <w:r/>
          </w:p>
        </w:tc>
        <w:tc>
          <w:tcPr>
            <w:tcW w:w="6886" w:type="dxa"/>
            <w:vAlign w:val="center"/>
            <w:textDirection w:val="lrTb"/>
            <w:noWrap w:val="false"/>
          </w:tcPr>
          <w:p>
            <w:pPr>
              <w:pStyle w:val="1298"/>
              <w:ind w:firstLine="0"/>
              <w:spacing w:line="440" w:lineRule="exact"/>
              <w:rPr>
                <w:rFonts w:ascii="宋体" w:hAnsi="宋体" w:cs="宋体"/>
                <w:color w:val="000000"/>
                <w:sz w:val="21"/>
                <w:szCs w:val="21"/>
                <w:highlight w:val="none"/>
              </w:rPr>
            </w:pPr>
            <w:r>
              <w:rPr>
                <w:rFonts w:hint="eastAsia" w:ascii="宋体" w:hAnsi="宋体" w:cs="Arial"/>
                <w:color w:val="000000"/>
                <w:sz w:val="21"/>
                <w:szCs w:val="21"/>
                <w:highlight w:val="none"/>
              </w:rPr>
              <w:t xml:space="preserve">本项目接收电子投标文件，投标人按照招标文件要求制作上传电子投标文件，开标现场无需提供纸质投标文件。中标后，根据采购人需求提交一份纸质投标文件。</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投标文件网上</w:t>
            </w:r>
            <w:r/>
          </w:p>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提交截止时间</w:t>
            </w:r>
            <w:r/>
          </w:p>
        </w:tc>
        <w:tc>
          <w:tcPr>
            <w:tcW w:w="6886" w:type="dxa"/>
            <w:vAlign w:val="center"/>
            <w:textDirection w:val="lrTb"/>
            <w:noWrap w:val="false"/>
          </w:tcPr>
          <w:p>
            <w:pPr>
              <w:pStyle w:val="1298"/>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年05</w:t>
            </w:r>
            <w:r>
              <w:rPr>
                <w:rFonts w:hint="eastAsia" w:ascii="宋体" w:hAnsi="宋体" w:cs="宋体"/>
                <w:color w:val="000000"/>
                <w:sz w:val="21"/>
                <w:szCs w:val="21"/>
                <w:highlight w:val="none"/>
                <w:lang w:eastAsia="zh-CN"/>
              </w:rPr>
              <w:t xml:space="preserve">月20</w:t>
            </w:r>
            <w:r>
              <w:rPr>
                <w:rFonts w:hint="eastAsia" w:ascii="宋体" w:hAnsi="宋体" w:cs="宋体"/>
                <w:color w:val="000000"/>
                <w:sz w:val="21"/>
                <w:szCs w:val="21"/>
                <w:highlight w:val="none"/>
                <w:lang w:eastAsia="zh-CN"/>
              </w:rPr>
              <w:t xml:space="preserve">日</w:t>
            </w: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:30（北京时间）</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开标时间</w:t>
            </w:r>
            <w:r/>
          </w:p>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年05</w:t>
            </w:r>
            <w:r>
              <w:rPr>
                <w:rFonts w:hint="eastAsia" w:ascii="宋体" w:hAnsi="宋体" w:cs="宋体"/>
                <w:color w:val="000000"/>
                <w:sz w:val="21"/>
                <w:szCs w:val="21"/>
                <w:highlight w:val="none"/>
                <w:lang w:eastAsia="zh-CN"/>
              </w:rPr>
              <w:t xml:space="preserve">月20</w:t>
            </w:r>
            <w:r>
              <w:rPr>
                <w:rFonts w:hint="eastAsia" w:ascii="宋体" w:hAnsi="宋体" w:cs="宋体"/>
                <w:color w:val="000000"/>
                <w:sz w:val="21"/>
                <w:szCs w:val="21"/>
                <w:highlight w:val="none"/>
                <w:lang w:eastAsia="zh-CN"/>
              </w:rPr>
              <w:t xml:space="preserve">日</w:t>
            </w: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:30（北京时间）</w:t>
            </w:r>
            <w:r/>
          </w:p>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“苏采云”系统（网址：http://jszfcg.jsczt.cn/）“开标大厅”</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tcW w:w="1843" w:type="dxa"/>
            <w:vAlign w:val="center"/>
            <w:textDirection w:val="lrTb"/>
            <w:noWrap w:val="false"/>
          </w:tcPr>
          <w:p>
            <w:pPr>
              <w:jc w:val="center"/>
              <w:spacing w:line="312" w:lineRule="auto"/>
              <w:rPr>
                <w:color w:val="000000"/>
                <w:highlight w:val="none"/>
              </w:rPr>
            </w:pPr>
            <w:r>
              <w:rPr>
                <w:rFonts w:hint="eastAsia"/>
                <w:color w:val="000000"/>
                <w:highlight w:val="none"/>
              </w:rPr>
              <w:t xml:space="preserve">评标时间</w:t>
            </w:r>
            <w:r/>
          </w:p>
          <w:p>
            <w:pPr>
              <w:jc w:val="center"/>
              <w:spacing w:line="312" w:lineRule="auto"/>
              <w:rPr>
                <w:rFonts w:hint="eastAsia" w:cs="宋体"/>
                <w:color w:val="000000"/>
                <w:highlight w:val="none"/>
              </w:rPr>
            </w:pPr>
            <w:r>
              <w:rPr>
                <w:rFonts w:hint="eastAsia"/>
                <w:color w:val="000000"/>
                <w:highlight w:val="none"/>
              </w:rPr>
              <w:t xml:space="preserve">评标地点</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年05</w:t>
            </w:r>
            <w:r>
              <w:rPr>
                <w:rFonts w:hint="eastAsia" w:ascii="宋体" w:hAnsi="宋体" w:cs="宋体"/>
                <w:color w:val="000000"/>
                <w:sz w:val="21"/>
                <w:szCs w:val="21"/>
                <w:highlight w:val="none"/>
                <w:lang w:eastAsia="zh-CN"/>
              </w:rPr>
              <w:t xml:space="preserve">月20</w:t>
            </w:r>
            <w:r>
              <w:rPr>
                <w:rFonts w:hint="eastAsia" w:ascii="宋体" w:hAnsi="宋体" w:cs="宋体"/>
                <w:color w:val="000000"/>
                <w:sz w:val="21"/>
                <w:szCs w:val="21"/>
                <w:highlight w:val="none"/>
                <w:lang w:eastAsia="zh-CN"/>
              </w:rPr>
              <w:t xml:space="preserve">日13</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（北京时间）</w:t>
            </w:r>
            <w:r/>
          </w:p>
          <w:p>
            <w:pPr>
              <w:jc w:val="left"/>
              <w:spacing w:line="312" w:lineRule="auto"/>
              <w:rPr>
                <w:rFonts w:hint="eastAsia" w:cs="宋体"/>
                <w:color w:val="000000"/>
                <w:highlight w:val="none"/>
              </w:rPr>
            </w:pPr>
            <w:r>
              <w:rPr>
                <w:rFonts w:hint="eastAsia" w:ascii="宋体" w:hAnsi="宋体" w:eastAsia="宋体" w:cs="宋体"/>
                <w:color w:val="000000"/>
                <w:sz w:val="21"/>
                <w:szCs w:val="21"/>
                <w:highlight w:val="none"/>
                <w:lang w:val="en-US" w:eastAsia="zh-CN" w:bidi="ar-SA"/>
              </w:rPr>
              <w:t xml:space="preserve">苏州市市辖区【狮山科技馆】不见面开标室（虚拟开标室） </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投标报价本位币</w:t>
            </w:r>
            <w:r/>
          </w:p>
        </w:tc>
        <w:tc>
          <w:tcPr>
            <w:tcW w:w="6886" w:type="dxa"/>
            <w:vAlign w:val="center"/>
            <w:textDirection w:val="lrTb"/>
            <w:noWrap w:val="false"/>
          </w:tcPr>
          <w:p>
            <w:pPr>
              <w:pStyle w:val="1298"/>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w:t>
            </w:r>
            <w:r/>
          </w:p>
        </w:tc>
        <w:tc>
          <w:tcPr>
            <w:tcW w:w="6886" w:type="dxa"/>
            <w:vAlign w:val="center"/>
            <w:textDirection w:val="lrTb"/>
            <w:noWrap w:val="false"/>
          </w:tcPr>
          <w:p>
            <w:pPr>
              <w:pStyle w:val="1298"/>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14</w:t>
            </w:r>
            <w:r/>
          </w:p>
        </w:tc>
        <w:tc>
          <w:tcPr>
            <w:tcW w:w="1843" w:type="dxa"/>
            <w:vAlign w:val="center"/>
            <w:textDirection w:val="lrTb"/>
            <w:noWrap w:val="false"/>
          </w:tcPr>
          <w:p>
            <w:pPr>
              <w:jc w:val="center"/>
              <w:spacing w:line="440" w:lineRule="exact"/>
              <w:rPr>
                <w:rFonts w:hint="eastAsia" w:cs="宋体"/>
                <w:color w:val="000000"/>
                <w:highlight w:val="none"/>
              </w:rPr>
            </w:pPr>
            <w:r>
              <w:rPr>
                <w:rFonts w:hint="eastAsia"/>
                <w:color w:val="000000"/>
                <w:highlight w:val="none"/>
              </w:rPr>
              <w:t xml:space="preserve">中标通知书</w:t>
            </w:r>
            <w:r/>
          </w:p>
        </w:tc>
        <w:tc>
          <w:tcPr>
            <w:tcW w:w="6886" w:type="dxa"/>
            <w:vAlign w:val="center"/>
            <w:textDirection w:val="lrTb"/>
            <w:noWrap w:val="false"/>
          </w:tcPr>
          <w:p>
            <w:pPr>
              <w:pStyle w:val="1633"/>
              <w:ind w:firstLine="0"/>
              <w:spacing w:line="440" w:lineRule="exact"/>
              <w:rPr>
                <w:rFonts w:cs="宋体"/>
                <w:color w:val="000000"/>
                <w:sz w:val="21"/>
                <w:szCs w:val="21"/>
                <w:highlight w:val="none"/>
              </w:rPr>
            </w:pPr>
            <w:r>
              <w:rPr>
                <w:rFonts w:hint="eastAsia" w:cs="宋体"/>
                <w:color w:val="000000"/>
                <w:sz w:val="21"/>
                <w:szCs w:val="21"/>
                <w:highlight w:val="none"/>
              </w:rPr>
              <w:t xml:space="preserve">确定中标人后，采购代理机构在法定时间内向中标人发出中标通知书。中标通知书将成为合同的组成部分。</w:t>
            </w:r>
            <w:r/>
          </w:p>
          <w:p>
            <w:pPr>
              <w:jc w:val="left"/>
              <w:spacing w:line="440" w:lineRule="exact"/>
              <w:rPr>
                <w:rFonts w:hint="eastAsia" w:cs="宋体"/>
                <w:color w:val="000000"/>
                <w:highlight w:val="none"/>
              </w:rPr>
            </w:pPr>
            <w:r>
              <w:rPr>
                <w:rFonts w:hint="eastAsia" w:cs="宋体"/>
                <w:b/>
                <w:color w:val="000000"/>
                <w:highlight w:val="none"/>
              </w:rPr>
              <w:t xml:space="preserve">请中标人在中标结果公告届满之日起30日内,使用CA证书登录“苏采云”系统及时下载中标通知书。</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15</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中标服务费</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按苏财购告【2016】31号规定的收费标准收取，领取中标通知书时中标人向采购代理机构一次性付清。中标服务费的收取按差额定率累进法计算。</w:t>
            </w:r>
            <w:r/>
          </w:p>
          <w:p>
            <w:pPr>
              <w:spacing w:line="440" w:lineRule="exact"/>
              <w:rPr>
                <w:rFonts w:hint="eastAsia" w:cs="宋体"/>
                <w:color w:val="000000"/>
                <w:highlight w:val="none"/>
              </w:rPr>
            </w:pPr>
            <w:r>
              <w:rPr>
                <w:rFonts w:hint="eastAsia" w:cs="宋体"/>
                <w:color w:val="000000"/>
                <w:highlight w:val="none"/>
              </w:rPr>
              <w:t xml:space="preserve">收费标准：预算金额100万以下部分</w:t>
            </w:r>
            <w:r>
              <w:rPr>
                <w:rFonts w:hint="eastAsia" w:cs="宋体"/>
                <w:color w:val="000000"/>
                <w:highlight w:val="none"/>
                <w:lang w:eastAsia="zh-CN"/>
              </w:rPr>
              <w:t xml:space="preserve">的</w:t>
            </w:r>
            <w:r>
              <w:rPr>
                <w:rFonts w:hint="eastAsia" w:cs="宋体"/>
                <w:color w:val="000000"/>
                <w:highlight w:val="none"/>
              </w:rPr>
              <w:t xml:space="preserve">费率为预算金额的1.5%；</w:t>
            </w:r>
            <w:r/>
          </w:p>
          <w:p>
            <w:pPr>
              <w:ind w:firstLine="1050"/>
              <w:spacing w:line="440" w:lineRule="exact"/>
              <w:rPr>
                <w:rFonts w:hint="eastAsia" w:cs="宋体"/>
                <w:color w:val="000000"/>
                <w:highlight w:val="none"/>
              </w:rPr>
            </w:pPr>
            <w:r>
              <w:rPr>
                <w:rFonts w:hint="eastAsia" w:cs="宋体"/>
                <w:color w:val="000000"/>
                <w:highlight w:val="none"/>
              </w:rPr>
              <w:t xml:space="preserve">预算金额100－500万部分</w:t>
            </w:r>
            <w:r>
              <w:rPr>
                <w:rFonts w:hint="eastAsia" w:cs="宋体"/>
                <w:color w:val="000000"/>
                <w:highlight w:val="none"/>
                <w:lang w:eastAsia="zh-CN"/>
              </w:rPr>
              <w:t xml:space="preserve">的</w:t>
            </w:r>
            <w:r>
              <w:rPr>
                <w:rFonts w:hint="eastAsia" w:cs="宋体"/>
                <w:color w:val="000000"/>
                <w:highlight w:val="none"/>
              </w:rPr>
              <w:t xml:space="preserve">费率为预算金额的1.1%；</w:t>
            </w:r>
            <w:r/>
          </w:p>
          <w:p>
            <w:pPr>
              <w:ind w:firstLine="1050"/>
              <w:spacing w:line="440" w:lineRule="exact"/>
              <w:rPr>
                <w:rFonts w:cs="宋体"/>
                <w:color w:val="000000"/>
                <w:highlight w:val="none"/>
              </w:rPr>
            </w:pPr>
            <w:r>
              <w:rPr>
                <w:rFonts w:hint="eastAsia" w:cs="宋体"/>
                <w:color w:val="000000"/>
                <w:highlight w:val="none"/>
              </w:rPr>
              <w:t xml:space="preserve">预算金额500-1000万部分</w:t>
            </w:r>
            <w:r>
              <w:rPr>
                <w:rFonts w:hint="eastAsia" w:cs="宋体"/>
                <w:color w:val="000000"/>
                <w:highlight w:val="none"/>
                <w:lang w:eastAsia="zh-CN"/>
              </w:rPr>
              <w:t xml:space="preserve">的</w:t>
            </w:r>
            <w:r>
              <w:rPr>
                <w:rFonts w:hint="eastAsia" w:cs="宋体"/>
                <w:color w:val="000000"/>
                <w:highlight w:val="none"/>
              </w:rPr>
              <w:t xml:space="preserve">费率为预算金额的0.8%。</w:t>
            </w:r>
            <w:r/>
          </w:p>
          <w:p>
            <w:pPr>
              <w:spacing w:line="440" w:lineRule="exact"/>
              <w:rPr>
                <w:rFonts w:cs="宋体"/>
                <w:color w:val="000000"/>
                <w:highlight w:val="none"/>
              </w:rPr>
            </w:pPr>
            <w:r>
              <w:rPr>
                <w:rFonts w:hint="eastAsia" w:cs="宋体"/>
                <w:color w:val="000000"/>
                <w:highlight w:val="none"/>
                <w:lang w:val="en-US" w:eastAsia="zh-CN"/>
              </w:rPr>
              <w:t xml:space="preserve">收款</w:t>
            </w:r>
            <w:r>
              <w:rPr>
                <w:rFonts w:hint="eastAsia" w:cs="宋体"/>
                <w:color w:val="000000"/>
                <w:highlight w:val="none"/>
              </w:rPr>
              <w:t xml:space="preserve">账户信息：</w:t>
            </w:r>
            <w:r/>
          </w:p>
          <w:p>
            <w:pPr>
              <w:spacing w:line="440" w:lineRule="exact"/>
              <w:rPr>
                <w:rFonts w:hint="eastAsia" w:eastAsia="宋体" w:cs="宋体"/>
                <w:color w:val="000000"/>
                <w:highlight w:val="none"/>
                <w:lang w:eastAsia="zh-CN"/>
              </w:rPr>
            </w:pPr>
            <w:r>
              <w:rPr>
                <w:rFonts w:hint="eastAsia" w:cs="宋体"/>
                <w:color w:val="000000"/>
                <w:highlight w:val="none"/>
              </w:rPr>
              <w:t xml:space="preserve">账户名：</w:t>
            </w:r>
            <w:r>
              <w:rPr>
                <w:rFonts w:hint="eastAsia" w:cs="宋体"/>
                <w:color w:val="000000"/>
                <w:highlight w:val="none"/>
                <w:lang w:eastAsia="zh-CN"/>
              </w:rPr>
              <w:t xml:space="preserve">经纬工程咨询（苏州）有限公司</w:t>
            </w:r>
            <w:r/>
          </w:p>
          <w:p>
            <w:pPr>
              <w:pStyle w:val="1298"/>
              <w:ind w:firstLine="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账号：</w:t>
            </w:r>
            <w:r>
              <w:rPr>
                <w:rFonts w:hint="eastAsia" w:ascii="宋体" w:hAnsi="宋体" w:eastAsia="宋体" w:cs="宋体"/>
                <w:color w:val="000000"/>
                <w:sz w:val="21"/>
                <w:szCs w:val="21"/>
                <w:highlight w:val="none"/>
                <w:lang w:val="en-US" w:eastAsia="zh-CN" w:bidi="ar-SA"/>
              </w:rPr>
              <w:t xml:space="preserve">3225 0199 7593 0000 0581</w:t>
            </w:r>
            <w:r/>
          </w:p>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w:t>
            </w:r>
            <w:r>
              <w:rPr>
                <w:rFonts w:hint="eastAsia" w:ascii="宋体" w:hAnsi="宋体" w:eastAsia="宋体" w:cs="宋体"/>
                <w:color w:val="000000"/>
                <w:sz w:val="21"/>
                <w:szCs w:val="21"/>
                <w:highlight w:val="none"/>
                <w:lang w:val="en-US" w:eastAsia="zh-CN" w:bidi="ar-SA"/>
              </w:rPr>
              <w:t xml:space="preserve">中国建设银行东苑路支行</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导致无效</w:t>
            </w:r>
            <w:r/>
          </w:p>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投标因素</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投标文件属下列情况之一的，在资格性、符合性检查时按照无效投标处理：</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投标文件未按照招标文件要求签署、盖章的；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不具备招标文件中规定资格要求的；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报价超过招标文件中规定的预算金额或者最高限价的；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投标文件含有采购人不能接受的附加条件的；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不同投标人存在投标(响应)文件制作机器码一致的，视为无效响应；</w:t>
            </w:r>
            <w:r/>
          </w:p>
          <w:p>
            <w:pPr>
              <w:pStyle w:val="1298"/>
              <w:numPr>
                <w:ilvl w:val="0"/>
                <w:numId w:val="32"/>
              </w:numP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法律、法规和招标文件规定的其他无效情形。</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17</w:t>
            </w:r>
            <w:r/>
          </w:p>
        </w:tc>
        <w:tc>
          <w:tcPr>
            <w:tcW w:w="1843" w:type="dxa"/>
            <w:vAlign w:val="center"/>
            <w:textDirection w:val="lrTb"/>
            <w:noWrap w:val="false"/>
          </w:tcPr>
          <w:p>
            <w:pPr>
              <w:jc w:val="center"/>
              <w:spacing w:line="440" w:lineRule="exact"/>
              <w:rPr>
                <w:rFonts w:hint="eastAsia" w:cs="宋体"/>
                <w:color w:val="000000"/>
                <w:highlight w:val="none"/>
              </w:rPr>
            </w:pPr>
            <w:r>
              <w:rPr>
                <w:rFonts w:hint="eastAsia"/>
                <w:color w:val="000000"/>
                <w:highlight w:val="none"/>
              </w:rPr>
              <w:t xml:space="preserve">导致废标因素</w:t>
            </w:r>
            <w:r/>
          </w:p>
        </w:tc>
        <w:tc>
          <w:tcPr>
            <w:tcW w:w="6886" w:type="dxa"/>
            <w:vAlign w:val="center"/>
            <w:textDirection w:val="lrTb"/>
            <w:noWrap w:val="false"/>
          </w:tcPr>
          <w:p>
            <w:pPr>
              <w:jc w:val="left"/>
              <w:spacing w:line="440" w:lineRule="exact"/>
              <w:tabs>
                <w:tab w:val="left" w:pos="420" w:leader="none"/>
              </w:tabs>
              <w:rPr>
                <w:color w:val="000000"/>
                <w:highlight w:val="none"/>
              </w:rPr>
            </w:pPr>
            <w:r>
              <w:rPr>
                <w:rFonts w:hint="eastAsia"/>
                <w:color w:val="000000"/>
                <w:highlight w:val="none"/>
              </w:rPr>
              <w:t xml:space="preserve">出现下列情形之一的，为废标： </w:t>
            </w:r>
            <w:r/>
          </w:p>
          <w:p>
            <w:pPr>
              <w:jc w:val="left"/>
              <w:spacing w:line="440" w:lineRule="exact"/>
              <w:tabs>
                <w:tab w:val="left" w:pos="420" w:leader="none"/>
              </w:tabs>
              <w:rPr>
                <w:rFonts w:hint="eastAsia"/>
                <w:color w:val="000000"/>
                <w:highlight w:val="none"/>
              </w:rPr>
            </w:pPr>
            <w:r>
              <w:rPr>
                <w:rFonts w:hint="eastAsia"/>
                <w:color w:val="000000"/>
                <w:highlight w:val="none"/>
              </w:rPr>
              <w:t xml:space="preserve">（一）符合专业条件的投标人或者对招标文件作实质响应的投标人不足三家的；</w:t>
            </w:r>
            <w:r/>
          </w:p>
          <w:p>
            <w:pPr>
              <w:jc w:val="left"/>
              <w:spacing w:line="440" w:lineRule="exact"/>
              <w:tabs>
                <w:tab w:val="left" w:pos="420" w:leader="none"/>
              </w:tabs>
              <w:rPr>
                <w:color w:val="000000"/>
                <w:highlight w:val="none"/>
              </w:rPr>
            </w:pPr>
            <w:r>
              <w:rPr>
                <w:rFonts w:hint="eastAsia"/>
                <w:color w:val="000000"/>
                <w:highlight w:val="none"/>
              </w:rPr>
              <w:t xml:space="preserve">（二）出现影响采购公正的违法、违规行为的； </w:t>
            </w:r>
            <w:r/>
          </w:p>
          <w:p>
            <w:pPr>
              <w:jc w:val="left"/>
              <w:spacing w:line="440" w:lineRule="exact"/>
              <w:tabs>
                <w:tab w:val="left" w:pos="420" w:leader="none"/>
              </w:tabs>
              <w:rPr>
                <w:color w:val="000000"/>
                <w:highlight w:val="none"/>
              </w:rPr>
            </w:pPr>
            <w:r>
              <w:rPr>
                <w:rFonts w:hint="eastAsia"/>
                <w:color w:val="000000"/>
                <w:highlight w:val="none"/>
              </w:rPr>
              <w:t xml:space="preserve">（三）投标人的报价均超过了采购预算，采购人不能支付的； </w:t>
            </w:r>
            <w:r/>
          </w:p>
          <w:p>
            <w:pPr>
              <w:jc w:val="left"/>
              <w:spacing w:line="440" w:lineRule="exact"/>
              <w:tabs>
                <w:tab w:val="left" w:pos="420" w:leader="none"/>
              </w:tabs>
              <w:rPr>
                <w:rFonts w:hint="eastAsia" w:cs="宋体"/>
                <w:color w:val="000000"/>
                <w:highlight w:val="none"/>
              </w:rPr>
            </w:pPr>
            <w:r>
              <w:rPr>
                <w:rFonts w:hint="eastAsia"/>
                <w:color w:val="000000"/>
                <w:highlight w:val="none"/>
              </w:rPr>
              <w:t xml:space="preserve">（四）因重大变故，采购任务取消的。</w:t>
            </w:r>
            <w:r/>
          </w:p>
        </w:tc>
      </w:tr>
    </w:tbl>
    <w:p>
      <w:pPr>
        <w:jc w:val="center"/>
        <w:rPr>
          <w:rFonts w:hint="eastAsia" w:cs="宋体"/>
          <w:b/>
          <w:bCs/>
          <w:color w:val="000000"/>
          <w:sz w:val="44"/>
          <w:szCs w:val="44"/>
          <w:highlight w:val="none"/>
        </w:rPr>
      </w:pPr>
      <w:r>
        <w:rPr>
          <w:rFonts w:hint="eastAsia" w:cs="宋体"/>
          <w:b/>
          <w:bCs/>
          <w:color w:val="000000"/>
          <w:sz w:val="44"/>
          <w:szCs w:val="44"/>
          <w:highlight w:val="none"/>
        </w:rPr>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第一章  </w:t>
      </w:r>
      <w:bookmarkStart w:id="2" w:name="投标邀请函"/>
      <w:r/>
      <w:bookmarkEnd w:id="2"/>
      <w:r>
        <w:rPr>
          <w:rFonts w:hint="eastAsia" w:cs="宋体"/>
          <w:b/>
          <w:bCs/>
          <w:color w:val="000000"/>
          <w:sz w:val="44"/>
          <w:szCs w:val="44"/>
          <w:highlight w:val="none"/>
        </w:rPr>
        <w:t xml:space="preserve">招标公告</w:t>
      </w:r>
      <w:r/>
    </w:p>
    <w:tbl>
      <w:tblPr>
        <w:tblStyle w:val="8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5"/>
      </w:tblGrid>
      <w:tr>
        <w:trPr/>
        <w:tc>
          <w:tcPr>
            <w:tcW w:w="10065" w:type="dxa"/>
            <w:vAlign w:val="top"/>
            <w:textDirection w:val="lrTb"/>
            <w:noWrap w:val="false"/>
          </w:tcPr>
          <w:p>
            <w:pPr>
              <w:ind w:firstLine="422"/>
              <w:spacing w:line="400" w:lineRule="exact"/>
              <w:rPr>
                <w:rFonts w:hint="eastAsia" w:cs="宋体"/>
                <w:b/>
                <w:color w:val="000000"/>
                <w:highlight w:val="none"/>
              </w:rPr>
            </w:pPr>
            <w:r>
              <w:rPr>
                <w:rFonts w:hint="eastAsia" w:cs="宋体"/>
                <w:b/>
                <w:color w:val="000000"/>
                <w:highlight w:val="none"/>
              </w:rPr>
              <w:t xml:space="preserve">项目概况：</w:t>
            </w:r>
            <w:r/>
          </w:p>
          <w:p>
            <w:pPr>
              <w:ind w:firstLine="420"/>
              <w:spacing w:line="400" w:lineRule="exact"/>
              <w:rPr>
                <w:rFonts w:hint="eastAsia" w:cs="宋体"/>
                <w:color w:val="000000"/>
                <w:highlight w:val="none"/>
              </w:rPr>
            </w:pPr>
            <w:r>
              <w:rPr>
                <w:rFonts w:hint="eastAsia" w:cs="宋体"/>
                <w:bCs/>
                <w:color w:val="000000"/>
                <w:highlight w:val="none"/>
                <w:u w:val="single"/>
                <w:lang w:eastAsia="zh-CN"/>
              </w:rPr>
              <w:t xml:space="preserve">2026年水质自动站运维</w:t>
            </w:r>
            <w:r>
              <w:rPr>
                <w:rFonts w:hint="eastAsia" w:cs="宋体"/>
                <w:color w:val="000000"/>
                <w:highlight w:val="none"/>
              </w:rPr>
              <w:t xml:space="preserve">的潜在投标人应在</w:t>
            </w:r>
            <w:r>
              <w:rPr>
                <w:rFonts w:hint="eastAsia" w:cs="宋体"/>
                <w:color w:val="000000"/>
                <w:highlight w:val="none"/>
                <w:u w:val="single"/>
              </w:rPr>
              <w:t xml:space="preserve">江苏省政府采购一体化平台“苏采云”系统</w:t>
            </w:r>
            <w:r>
              <w:rPr>
                <w:rFonts w:hint="eastAsia" w:cs="宋体"/>
                <w:color w:val="000000"/>
                <w:highlight w:val="none"/>
              </w:rPr>
              <w:t xml:space="preserve">中获取招标文件，并于</w:t>
            </w:r>
            <w:r>
              <w:rPr>
                <w:rFonts w:hint="eastAsia" w:ascii="宋体" w:hAnsi="宋体" w:cs="宋体"/>
                <w:color w:val="000000"/>
                <w:sz w:val="21"/>
                <w:szCs w:val="21"/>
                <w:highlight w:val="none"/>
                <w:lang w:eastAsia="zh-CN"/>
              </w:rPr>
              <w:t xml:space="preserve">202</w:t>
            </w:r>
            <w:r>
              <w:rPr>
                <w:rFonts w:hint="eastAsia"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年05</w:t>
            </w:r>
            <w:r>
              <w:rPr>
                <w:rFonts w:hint="eastAsia" w:ascii="宋体" w:hAnsi="宋体" w:cs="宋体"/>
                <w:color w:val="000000"/>
                <w:sz w:val="21"/>
                <w:szCs w:val="21"/>
                <w:highlight w:val="none"/>
                <w:lang w:eastAsia="zh-CN"/>
              </w:rPr>
              <w:t xml:space="preserve">月20</w:t>
            </w:r>
            <w:r>
              <w:rPr>
                <w:rFonts w:hint="eastAsia" w:ascii="宋体" w:hAnsi="宋体" w:cs="宋体"/>
                <w:color w:val="000000"/>
                <w:sz w:val="21"/>
                <w:szCs w:val="21"/>
                <w:highlight w:val="none"/>
                <w:lang w:eastAsia="zh-CN"/>
              </w:rPr>
              <w:t xml:space="preserve">日</w:t>
            </w: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:30</w:t>
            </w:r>
            <w:r>
              <w:rPr>
                <w:rFonts w:hint="eastAsia" w:cs="宋体"/>
                <w:color w:val="000000"/>
                <w:highlight w:val="none"/>
              </w:rPr>
              <w:t xml:space="preserve">（北京时间）前递交投标文件。</w:t>
            </w:r>
            <w:r/>
          </w:p>
        </w:tc>
      </w:tr>
    </w:tbl>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cs="宋体"/>
          <w:color w:val="000000"/>
          <w:sz w:val="21"/>
          <w:szCs w:val="21"/>
          <w:highlight w:val="none"/>
          <w:lang w:eastAsia="zh-CN"/>
        </w:rPr>
        <w:t xml:space="preserve">经纬工程咨询（苏州）有限公司</w:t>
      </w: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苏州市吴中生态环境局</w:t>
      </w:r>
      <w:r>
        <w:rPr>
          <w:rFonts w:hint="eastAsia" w:ascii="宋体" w:hAnsi="宋体" w:eastAsia="宋体" w:cs="宋体"/>
          <w:color w:val="000000"/>
          <w:sz w:val="21"/>
          <w:szCs w:val="21"/>
          <w:highlight w:val="none"/>
        </w:rPr>
        <w:t xml:space="preserve">的委托，就</w:t>
      </w:r>
      <w:r>
        <w:rPr>
          <w:rFonts w:hint="eastAsia" w:cs="宋体"/>
          <w:bCs/>
          <w:color w:val="000000"/>
          <w:sz w:val="21"/>
          <w:szCs w:val="21"/>
          <w:highlight w:val="none"/>
          <w:lang w:eastAsia="zh-CN"/>
        </w:rPr>
        <w:t xml:space="preserve">2026年水质自动站运维</w:t>
      </w:r>
      <w:r>
        <w:rPr>
          <w:rFonts w:hint="eastAsia" w:ascii="宋体" w:hAnsi="宋体" w:eastAsia="宋体" w:cs="宋体"/>
          <w:color w:val="000000"/>
          <w:sz w:val="21"/>
          <w:szCs w:val="21"/>
          <w:highlight w:val="none"/>
        </w:rPr>
        <w:t xml:space="preserve">进行公开招标，现欢迎符合相关条件的供应商参加投标。</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一、项目基本情况</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1.项目编号：</w:t>
      </w:r>
      <w:r>
        <w:rPr>
          <w:rFonts w:hint="eastAsia" w:cs="宋体"/>
          <w:color w:val="000000"/>
          <w:sz w:val="21"/>
          <w:szCs w:val="21"/>
          <w:highlight w:val="none"/>
          <w:lang w:eastAsia="zh-CN"/>
        </w:rPr>
        <w:t xml:space="preserve">JSZC-320506-JWGC-G2026-0002</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2.项目名称：</w:t>
      </w:r>
      <w:r>
        <w:rPr>
          <w:rFonts w:hint="eastAsia" w:cs="宋体"/>
          <w:color w:val="000000"/>
          <w:sz w:val="21"/>
          <w:szCs w:val="21"/>
          <w:highlight w:val="none"/>
          <w:lang w:eastAsia="zh-CN"/>
        </w:rPr>
        <w:t xml:space="preserve">2026年水质自动站运维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其中：</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i w:val="0"/>
          <w:caps w:val="0"/>
          <w:color w:val="000000"/>
          <w:spacing w:val="0"/>
          <w:sz w:val="21"/>
          <w:szCs w:val="21"/>
          <w:highlight w:val="none"/>
          <w:shd w:val="clear" w:color="auto" w:fill="ffffff"/>
        </w:rPr>
        <w:t xml:space="preserve">一标段：太湖通湖及周边乡镇2</w:t>
      </w:r>
      <w:r>
        <w:rPr>
          <w:rFonts w:hint="eastAsia" w:cs="宋体"/>
          <w:i w:val="0"/>
          <w:caps w:val="0"/>
          <w:color w:val="000000"/>
          <w:spacing w:val="0"/>
          <w:sz w:val="21"/>
          <w:szCs w:val="21"/>
          <w:highlight w:val="none"/>
          <w:shd w:val="clear" w:color="auto" w:fill="ffffff"/>
          <w:lang w:val="en-US" w:eastAsia="zh-CN"/>
        </w:rPr>
        <w:t xml:space="preserve">4</w:t>
      </w:r>
      <w:r>
        <w:rPr>
          <w:rFonts w:hint="eastAsia" w:ascii="宋体" w:hAnsi="宋体" w:eastAsia="宋体" w:cs="宋体"/>
          <w:i w:val="0"/>
          <w:caps w:val="0"/>
          <w:color w:val="000000"/>
          <w:spacing w:val="0"/>
          <w:sz w:val="21"/>
          <w:szCs w:val="21"/>
          <w:highlight w:val="none"/>
          <w:shd w:val="clear" w:color="auto" w:fill="ffffff"/>
        </w:rPr>
        <w:t xml:space="preserve">座水质自动站运维服务</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i w:val="0"/>
          <w:caps w:val="0"/>
          <w:color w:val="000000"/>
          <w:spacing w:val="0"/>
          <w:sz w:val="21"/>
          <w:szCs w:val="21"/>
          <w:highlight w:val="none"/>
          <w:lang w:val="en-US" w:eastAsia="zh-CN" w:bidi="ar"/>
        </w:rPr>
        <w:t xml:space="preserve">二标段：澄湖通湖及周边乡镇</w:t>
      </w:r>
      <w:r>
        <w:rPr>
          <w:rFonts w:hint="eastAsia" w:cs="宋体"/>
          <w:i w:val="0"/>
          <w:caps w:val="0"/>
          <w:color w:val="000000"/>
          <w:spacing w:val="0"/>
          <w:sz w:val="21"/>
          <w:szCs w:val="21"/>
          <w:highlight w:val="none"/>
          <w:lang w:val="en-US" w:eastAsia="zh-CN" w:bidi="ar"/>
        </w:rPr>
        <w:t xml:space="preserve">31</w:t>
      </w:r>
      <w:r>
        <w:rPr>
          <w:rFonts w:hint="eastAsia" w:ascii="宋体" w:hAnsi="宋体" w:eastAsia="宋体" w:cs="宋体"/>
          <w:i w:val="0"/>
          <w:caps w:val="0"/>
          <w:color w:val="000000"/>
          <w:spacing w:val="0"/>
          <w:sz w:val="21"/>
          <w:szCs w:val="21"/>
          <w:highlight w:val="none"/>
          <w:lang w:val="en-US" w:eastAsia="zh-CN" w:bidi="ar"/>
        </w:rPr>
        <w:t xml:space="preserve">座水质自动站运维服务</w:t>
      </w:r>
      <w:r/>
    </w:p>
    <w:p>
      <w:pPr>
        <w:ind w:firstLine="420"/>
        <w:keepLines w:val="0"/>
        <w:keepNext w:val="0"/>
        <w:pageBreakBefore w:val="0"/>
        <w:spacing w:line="400" w:lineRule="exact"/>
        <w:rPr>
          <w:rFonts w:hint="eastAsia" w:ascii="宋体" w:hAnsi="宋体" w:eastAsia="宋体" w:cs="宋体"/>
          <w:i w:val="0"/>
          <w:caps w:val="0"/>
          <w:color w:val="000000"/>
          <w:spacing w:val="0"/>
          <w:sz w:val="21"/>
          <w:szCs w:val="21"/>
          <w:highlight w:val="none"/>
          <w:shd w:val="clear" w:color="auto" w:fill="ffffff"/>
        </w:rPr>
        <w:outlineLvl w:val="9"/>
      </w:pPr>
      <w:r>
        <w:rPr>
          <w:rFonts w:hint="eastAsia" w:ascii="宋体" w:hAnsi="宋体" w:eastAsia="宋体" w:cs="宋体"/>
          <w:i w:val="0"/>
          <w:caps w:val="0"/>
          <w:color w:val="000000"/>
          <w:spacing w:val="0"/>
          <w:sz w:val="21"/>
          <w:szCs w:val="21"/>
          <w:highlight w:val="none"/>
          <w:shd w:val="clear" w:color="auto" w:fill="ffffff"/>
        </w:rPr>
        <w:t xml:space="preserve">三标段：胥江、浒光运河等部分干支流13座水质自动站运维服务</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3.预算金额：</w:t>
      </w:r>
      <w:bookmarkStart w:id="3" w:name="_Hlk162448367"/>
      <w:r>
        <w:rPr>
          <w:rFonts w:hint="eastAsia" w:ascii="宋体" w:hAnsi="宋体" w:eastAsia="宋体" w:cs="宋体"/>
          <w:color w:val="000000"/>
          <w:sz w:val="21"/>
          <w:szCs w:val="21"/>
          <w:highlight w:val="none"/>
          <w:lang w:eastAsia="zh-CN"/>
        </w:rPr>
        <w:t xml:space="preserve">人民币陆佰</w:t>
      </w:r>
      <w:r>
        <w:rPr>
          <w:rFonts w:hint="eastAsia"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lang w:eastAsia="zh-CN"/>
        </w:rPr>
        <w:t xml:space="preserve">拾万元整（￥</w:t>
      </w:r>
      <w:r>
        <w:rPr>
          <w:rFonts w:hint="eastAsia" w:ascii="宋体" w:hAnsi="宋体" w:eastAsia="宋体" w:cs="宋体"/>
          <w:color w:val="000000"/>
          <w:sz w:val="21"/>
          <w:szCs w:val="21"/>
          <w:highlight w:val="none"/>
          <w:lang w:val="en-US" w:eastAsia="zh-CN"/>
        </w:rPr>
        <w:t xml:space="preserve">6</w:t>
      </w:r>
      <w:r>
        <w:rPr>
          <w:rFonts w:hint="eastAsia"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0000.00），</w:t>
      </w:r>
      <w:r>
        <w:rPr>
          <w:rFonts w:hint="eastAsia" w:ascii="宋体" w:hAnsi="宋体" w:eastAsia="宋体" w:cs="宋体"/>
          <w:color w:val="000000"/>
          <w:sz w:val="21"/>
          <w:szCs w:val="21"/>
          <w:highlight w:val="none"/>
          <w:lang w:val="en-US" w:eastAsia="zh-CN"/>
        </w:rPr>
        <w:t xml:space="preserve">其中：</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一标段：人民币贰佰</w:t>
      </w:r>
      <w:r>
        <w:rPr>
          <w:rFonts w:hint="eastAsia"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lang w:val="en-US" w:eastAsia="zh-CN"/>
        </w:rPr>
        <w:t xml:space="preserve">拾</w:t>
      </w:r>
      <w:r>
        <w:rPr>
          <w:rFonts w:hint="eastAsia"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lang w:val="en-US" w:eastAsia="zh-CN"/>
        </w:rPr>
        <w:t xml:space="preserve">万元整（￥2</w:t>
      </w:r>
      <w:r>
        <w:rPr>
          <w:rFonts w:hint="eastAsia" w:cs="宋体"/>
          <w:color w:val="000000"/>
          <w:sz w:val="21"/>
          <w:szCs w:val="21"/>
          <w:highlight w:val="none"/>
          <w:lang w:val="en-US" w:eastAsia="zh-CN"/>
        </w:rPr>
        <w:t xml:space="preserve">72</w:t>
      </w:r>
      <w:r>
        <w:rPr>
          <w:rFonts w:hint="eastAsia" w:ascii="宋体" w:hAnsi="宋体" w:eastAsia="宋体" w:cs="宋体"/>
          <w:color w:val="000000"/>
          <w:sz w:val="21"/>
          <w:szCs w:val="21"/>
          <w:highlight w:val="none"/>
          <w:lang w:val="en-US" w:eastAsia="zh-CN"/>
        </w:rPr>
        <w:t xml:space="preserve">0000.00）</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二标段：人民币贰佰</w:t>
      </w:r>
      <w:r>
        <w:rPr>
          <w:rFonts w:hint="eastAsia"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lang w:val="en-US" w:eastAsia="zh-CN"/>
        </w:rPr>
        <w:t xml:space="preserve">拾万元整（￥2</w:t>
      </w:r>
      <w:r>
        <w:rPr>
          <w:rFonts w:hint="eastAsia"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val="en-US" w:eastAsia="zh-CN"/>
        </w:rPr>
        <w:t xml:space="preserve">0000.00）</w:t>
      </w:r>
      <w:r/>
    </w:p>
    <w:p>
      <w:pPr>
        <w:pStyle w:val="1034"/>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三标段：人民币壹佰零捌万元整</w:t>
      </w:r>
      <w:r>
        <w:rPr>
          <w:rFonts w:hint="eastAsia" w:ascii="宋体" w:hAnsi="宋体" w:eastAsia="宋体" w:cs="宋体"/>
          <w:color w:val="000000"/>
          <w:sz w:val="21"/>
          <w:szCs w:val="21"/>
          <w:highlight w:val="none"/>
          <w:lang w:val="en-US" w:eastAsia="zh-CN"/>
        </w:rPr>
        <w:t xml:space="preserve">（￥1080000.00）</w:t>
      </w:r>
      <w:bookmarkEnd w:id="3"/>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eastAsia="zh-CN"/>
        </w:rPr>
        <w:t xml:space="preserve">无</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5.采购需求：</w:t>
      </w:r>
      <w:r/>
    </w:p>
    <w:p>
      <w:pPr>
        <w:ind w:firstLine="42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一标段：为保障吴中区地表水环境质量监控系统正常安全运行，确保监测数据的有效性、准确性，强化自动监测监督管理工作，推进地表水环境质量监控系统社会化运营模式，拟委托第三方对</w:t>
      </w:r>
      <w:r>
        <w:rPr>
          <w:rFonts w:hint="eastAsia" w:ascii="宋体" w:hAnsi="宋体" w:eastAsia="宋体" w:cs="宋体"/>
          <w:b w:val="0"/>
          <w:bCs/>
          <w:color w:val="000000"/>
          <w:sz w:val="21"/>
          <w:szCs w:val="21"/>
          <w:highlight w:val="none"/>
          <w:vertAlign w:val="baseline"/>
          <w:lang w:val="en-US" w:eastAsia="zh-CN"/>
        </w:rPr>
        <w:t xml:space="preserve">太湖通湖及周边乡镇2</w:t>
      </w:r>
      <w:r>
        <w:rPr>
          <w:rFonts w:hint="eastAsia" w:cs="宋体"/>
          <w:b w:val="0"/>
          <w:bCs/>
          <w:color w:val="000000"/>
          <w:sz w:val="21"/>
          <w:szCs w:val="21"/>
          <w:highlight w:val="none"/>
          <w:vertAlign w:val="baseline"/>
          <w:lang w:val="en-US" w:eastAsia="zh-CN"/>
        </w:rPr>
        <w:t xml:space="preserve">4</w:t>
      </w:r>
      <w:r>
        <w:rPr>
          <w:rFonts w:hint="eastAsia" w:ascii="宋体" w:hAnsi="宋体" w:eastAsia="宋体" w:cs="宋体"/>
          <w:b w:val="0"/>
          <w:bCs/>
          <w:color w:val="000000"/>
          <w:sz w:val="21"/>
          <w:szCs w:val="21"/>
          <w:highlight w:val="none"/>
          <w:vertAlign w:val="baseline"/>
          <w:lang w:val="en-US" w:eastAsia="zh-CN"/>
        </w:rPr>
        <w:t xml:space="preserve">座水质自动站</w:t>
      </w:r>
      <w:r>
        <w:rPr>
          <w:rFonts w:hint="eastAsia" w:ascii="宋体" w:hAnsi="宋体" w:eastAsia="宋体" w:cs="宋体"/>
          <w:color w:val="000000"/>
          <w:sz w:val="21"/>
          <w:szCs w:val="21"/>
          <w:highlight w:val="none"/>
          <w:lang w:val="en-US" w:eastAsia="zh-CN"/>
        </w:rPr>
        <w:t xml:space="preserve">提供运维服务。</w:t>
      </w:r>
      <w:r/>
    </w:p>
    <w:p>
      <w:pPr>
        <w:ind w:firstLine="42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二标段：为保障吴中区地表水环境质量监控系统正常安全运行，确保监测数据的有效性、准确性，强化自动监测监督管理工作，推进地表水环境质量监控系统社会化运营模式，拟委托第三方对</w:t>
      </w:r>
      <w:r>
        <w:rPr>
          <w:rFonts w:hint="eastAsia" w:ascii="宋体" w:hAnsi="宋体" w:eastAsia="宋体" w:cs="宋体"/>
          <w:b w:val="0"/>
          <w:bCs/>
          <w:color w:val="000000"/>
          <w:sz w:val="21"/>
          <w:szCs w:val="21"/>
          <w:highlight w:val="none"/>
          <w:vertAlign w:val="baseline"/>
          <w:lang w:val="en-US" w:eastAsia="zh-CN"/>
        </w:rPr>
        <w:t xml:space="preserve">澄湖通湖及周边乡镇</w:t>
      </w:r>
      <w:r>
        <w:rPr>
          <w:rFonts w:hint="eastAsia" w:cs="宋体"/>
          <w:b w:val="0"/>
          <w:bCs/>
          <w:color w:val="000000"/>
          <w:sz w:val="21"/>
          <w:szCs w:val="21"/>
          <w:highlight w:val="none"/>
          <w:vertAlign w:val="baseline"/>
          <w:lang w:val="en-US" w:eastAsia="zh-CN"/>
        </w:rPr>
        <w:t xml:space="preserve">31</w:t>
      </w:r>
      <w:r>
        <w:rPr>
          <w:rFonts w:hint="eastAsia" w:ascii="宋体" w:hAnsi="宋体" w:eastAsia="宋体" w:cs="宋体"/>
          <w:b w:val="0"/>
          <w:bCs/>
          <w:color w:val="000000"/>
          <w:sz w:val="21"/>
          <w:szCs w:val="21"/>
          <w:highlight w:val="none"/>
          <w:vertAlign w:val="baseline"/>
          <w:lang w:val="en-US" w:eastAsia="zh-CN"/>
        </w:rPr>
        <w:t xml:space="preserve">座水质自动站</w:t>
      </w:r>
      <w:r>
        <w:rPr>
          <w:rFonts w:hint="eastAsia" w:ascii="宋体" w:hAnsi="宋体" w:eastAsia="宋体" w:cs="宋体"/>
          <w:color w:val="000000"/>
          <w:sz w:val="21"/>
          <w:szCs w:val="21"/>
          <w:highlight w:val="none"/>
          <w:lang w:val="en-US" w:eastAsia="zh-CN"/>
        </w:rPr>
        <w:t xml:space="preserve">提供运维服务。</w:t>
      </w:r>
      <w:r/>
    </w:p>
    <w:p>
      <w:pPr>
        <w:pStyle w:val="1034"/>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三标段：为保障吴中区地表水环境质量监控系统正常安全运行，确保监测数据的有效性、准确性，强化自动监测监督管理工作，推进地表水环境质量监控系统社会化运营模式，拟委托第三方对胥江、浒光运河等部分干支流13座水质自动站提供运维服务。</w:t>
      </w:r>
      <w:bookmarkStart w:id="35" w:name="_GoBack"/>
      <w:r/>
      <w:bookmarkEnd w:id="35"/>
      <w:r/>
      <w:r/>
    </w:p>
    <w:p>
      <w:pPr>
        <w:pStyle w:val="1006"/>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注（中标原则）：本项目分为3个采购包，按照采购包1到采购包3的顺序依次进行开评标。投标人可以选择其中一个采购包或多个采购包进行投标。投标人不得兼中采购包1至采购包3。如投标人在采购包1至采购包3评审过程中，已在前一采购包中标，则不再具有后一采购包的中标资格且不计入其余采购包的实质性投标单位数量。若某采购包因质疑、投诉等事项导致中标结果改变的，不影响其它任何采购包的中标结果。</w:t>
      </w:r>
      <w:r/>
    </w:p>
    <w:p>
      <w:pPr>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6.合同履</w:t>
      </w:r>
      <w:r>
        <w:rPr>
          <w:rFonts w:hint="eastAsia" w:ascii="宋体" w:hAnsi="宋体" w:eastAsia="宋体" w:cs="宋体"/>
          <w:color w:val="000000"/>
          <w:sz w:val="21"/>
          <w:szCs w:val="21"/>
          <w:highlight w:val="none"/>
          <w:lang w:val="en-US" w:eastAsia="zh-CN"/>
        </w:rPr>
        <w:t xml:space="preserve">行</w:t>
      </w:r>
      <w:r>
        <w:rPr>
          <w:rFonts w:hint="eastAsia" w:ascii="宋体" w:hAnsi="宋体" w:eastAsia="宋体" w:cs="宋体"/>
          <w:color w:val="000000"/>
          <w:sz w:val="21"/>
          <w:szCs w:val="21"/>
          <w:highlight w:val="none"/>
        </w:rPr>
        <w:t xml:space="preserve">期限：</w:t>
      </w:r>
      <w:r>
        <w:rPr>
          <w:rFonts w:hint="eastAsia" w:cs="宋体"/>
          <w:color w:val="000000"/>
          <w:sz w:val="21"/>
          <w:szCs w:val="21"/>
          <w:highlight w:val="none"/>
          <w:lang w:val="en-US" w:eastAsia="zh-CN"/>
        </w:rPr>
        <w:t xml:space="preserve">12个月</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本项目不接受联合体投标。</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二、申请人的资格要求：</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 满足《中华人民共和国政府采购法》第二十二条规定：</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（1）具有独立承担民事责任的能力；</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（2）具有良好的商业信誉和健全的财务会计制度；</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（3）具有履行合同所必需的设备和专业技术能力；</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（4）有依法缴纳税收和社会保障资金的良好记录；</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（5）参加政府采购活动前三年内，在经营活动中没有重大违法记录；</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（6）法律、行政法规规定的其他条件。</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2.落实政府采购政策需满足的资格要求：</w:t>
      </w:r>
      <w:r/>
    </w:p>
    <w:p>
      <w:pPr>
        <w:pStyle w:val="846"/>
        <w:ind w:left="0" w:right="0" w:firstLine="420"/>
        <w:keepLines w:val="0"/>
        <w:keepNext w:val="0"/>
        <w:spacing w:before="0" w:beforeAutospacing="0" w:after="0" w:afterAutospacing="0" w:line="480" w:lineRule="atLeast"/>
        <w:shd w:val="clear" w:color="auto" w:fill="ffffff"/>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采购包1、2、3</w:t>
      </w:r>
      <w:r/>
    </w:p>
    <w:p>
      <w:pPr>
        <w:pStyle w:val="846"/>
        <w:ind w:left="0" w:right="0" w:firstLine="420"/>
        <w:keepLines w:val="0"/>
        <w:keepNext w:val="0"/>
        <w:spacing w:before="0" w:beforeAutospacing="0" w:after="0" w:afterAutospacing="0" w:line="480" w:lineRule="atLeast"/>
        <w:shd w:val="clear" w:color="auto" w:fill="ffffff"/>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1.本项目非专门面向中小企业采购，本项目属其他未列明行业。</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3.本项目的特定资格要求：</w:t>
      </w:r>
      <w:r/>
    </w:p>
    <w:p>
      <w:pPr>
        <w:pStyle w:val="846"/>
        <w:ind w:left="0" w:right="0" w:firstLine="420"/>
        <w:keepLines w:val="0"/>
        <w:keepNext w:val="0"/>
        <w:spacing w:before="0" w:beforeAutospacing="0" w:after="0" w:afterAutospacing="0" w:line="480" w:lineRule="atLeast"/>
        <w:shd w:val="clear" w:color="auto" w:fill="ffffff"/>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（1）未被列入失信被执行人、重大税收违法案件当事人名单、政府采购严重失信行为记录名单。</w:t>
      </w:r>
      <w:r/>
    </w:p>
    <w:p>
      <w:pPr>
        <w:pStyle w:val="846"/>
        <w:ind w:left="0" w:right="0" w:firstLine="420"/>
        <w:keepLines w:val="0"/>
        <w:keepNext w:val="0"/>
        <w:spacing w:before="0" w:beforeAutospacing="0" w:after="0" w:afterAutospacing="0" w:line="480" w:lineRule="atLeast"/>
        <w:shd w:val="clear" w:color="auto" w:fill="ffffff"/>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三、获取招标文件：</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1.时间：招标公告发布之日起至202</w:t>
      </w:r>
      <w:r>
        <w:rPr>
          <w:rFonts w:hint="eastAsia"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月09</w:t>
      </w:r>
      <w:r>
        <w:rPr>
          <w:rFonts w:hint="eastAsia" w:ascii="宋体" w:hAnsi="宋体" w:eastAsia="宋体" w:cs="宋体"/>
          <w:color w:val="000000"/>
          <w:sz w:val="21"/>
          <w:szCs w:val="21"/>
          <w:highlight w:val="none"/>
        </w:rPr>
        <w:t xml:space="preserve">日。</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2.地点：江苏省政府采购一体化平台“苏采云”系统</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3.方式：登录江苏省政府采购一体化平台“苏采云”系统，确认参与项目后自行下载</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4.售价：免费</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四、提交投标文件截止时间、开标时间和地点：</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1.截止时间：</w:t>
      </w:r>
      <w:r>
        <w:rPr>
          <w:rFonts w:hint="eastAsia" w:ascii="宋体" w:hAnsi="宋体" w:eastAsia="宋体" w:cs="宋体"/>
          <w:color w:val="000000"/>
          <w:sz w:val="21"/>
          <w:szCs w:val="21"/>
          <w:highlight w:val="none"/>
          <w:lang w:eastAsia="zh-CN"/>
        </w:rPr>
        <w:t xml:space="preserve">202</w:t>
      </w:r>
      <w:r>
        <w:rPr>
          <w:rFonts w:hint="eastAsia"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月20</w:t>
      </w:r>
      <w:r>
        <w:rPr>
          <w:rFonts w:hint="eastAsia" w:ascii="宋体" w:hAnsi="宋体" w:eastAsia="宋体" w:cs="宋体"/>
          <w:color w:val="000000"/>
          <w:sz w:val="21"/>
          <w:szCs w:val="21"/>
          <w:highlight w:val="none"/>
          <w:lang w:eastAsia="zh-CN"/>
        </w:rPr>
        <w:t xml:space="preserve">日</w:t>
      </w:r>
      <w:r>
        <w:rPr>
          <w:rFonts w:hint="eastAsia" w:cs="宋体"/>
          <w:color w:val="000000"/>
          <w:sz w:val="21"/>
          <w:szCs w:val="21"/>
          <w:highlight w:val="none"/>
          <w:lang w:val="en-US" w:eastAsia="zh-CN"/>
        </w:rPr>
        <w:t xml:space="preserve">13</w:t>
      </w:r>
      <w:r>
        <w:rPr>
          <w:rFonts w:hint="eastAsia"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（北京时间）</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2.开标时间：</w:t>
      </w:r>
      <w:r>
        <w:rPr>
          <w:rFonts w:hint="eastAsia" w:ascii="宋体" w:hAnsi="宋体" w:eastAsia="宋体" w:cs="宋体"/>
          <w:color w:val="000000"/>
          <w:sz w:val="21"/>
          <w:szCs w:val="21"/>
          <w:highlight w:val="none"/>
          <w:lang w:eastAsia="zh-CN"/>
        </w:rPr>
        <w:t xml:space="preserve">202</w:t>
      </w:r>
      <w:r>
        <w:rPr>
          <w:rFonts w:hint="eastAsia"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月20</w:t>
      </w:r>
      <w:r>
        <w:rPr>
          <w:rFonts w:hint="eastAsia" w:ascii="宋体" w:hAnsi="宋体" w:eastAsia="宋体" w:cs="宋体"/>
          <w:color w:val="000000"/>
          <w:sz w:val="21"/>
          <w:szCs w:val="21"/>
          <w:highlight w:val="none"/>
          <w:lang w:eastAsia="zh-CN"/>
        </w:rPr>
        <w:t xml:space="preserve">日</w:t>
      </w:r>
      <w:r>
        <w:rPr>
          <w:rFonts w:hint="eastAsia" w:cs="宋体"/>
          <w:color w:val="000000"/>
          <w:sz w:val="21"/>
          <w:szCs w:val="21"/>
          <w:highlight w:val="none"/>
          <w:lang w:val="en-US" w:eastAsia="zh-CN"/>
        </w:rPr>
        <w:t xml:space="preserve">13</w:t>
      </w:r>
      <w:r>
        <w:rPr>
          <w:rFonts w:hint="eastAsia"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（北京时间）</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3.开标地点：苏采云系统（网址：http://jszfcg.jsczt.cn/）。</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五、公告期限：自本公告发布之日起5个工作日。</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六、其他相关事宜：</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1"/>
          <w:szCs w:val="21"/>
          <w:highlight w:val="none"/>
          <w:lang w:val="en-US" w:eastAsia="zh-CN"/>
        </w:rPr>
        <w:t xml:space="preserve">苏州市高新区邓尉路105号狮山科技馆窗口，咨询电话：0512-65737699。</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在系统操作过程中如有疑问，请按以下方式联系：</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注册咨询：0512-69820854；</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CA技术咨询电话：400-608-6099；</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签章使用问题：025-83633811、025-83633812、15380932027、13675197356；</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系统使用指导与咨询：联系电话：13914088964、18261002950、0519-86722802；智能客服：登录苏采云系统后，联系系统右下方智能客服图标进行咨询。</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6.线上参加开标（开启）会方式：供应商登录“苏采云”系统，点击“开标大厅”，选择对应项目，点击进入不见面开标系统。</w:t>
      </w:r>
      <w:r/>
    </w:p>
    <w:p>
      <w:pPr>
        <w:ind w:firstLine="422"/>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2"/>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8.请供应商确保电脑、系统及其他设备（视频输入输出设备等）无误，且开启直至项目结束始终保持系统在线状态。</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9.政府采购监督电话：0512-65283947</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10.本公告同时在</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rPr>
        <w:t xml:space="preserve">江苏省政府采购网、苏州市政府采购网上发布。</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七、对本次招标提出询问，请按以下方式联系：</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1.采购人信息</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苏州市吴中生态环境局</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地址：苏州市吴中区苏街198号</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联系方式：0512-</w:t>
      </w:r>
      <w:r>
        <w:rPr>
          <w:rFonts w:hint="eastAsia" w:ascii="宋体" w:hAnsi="宋体" w:eastAsia="宋体" w:cs="宋体"/>
          <w:color w:val="000000"/>
          <w:sz w:val="21"/>
          <w:szCs w:val="21"/>
          <w:highlight w:val="none"/>
          <w:lang w:eastAsia="zh-CN"/>
        </w:rPr>
        <w:t xml:space="preserve">67082875</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联系人：阮晓杰</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2.采购代理机构信息</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名称：</w:t>
      </w:r>
      <w:r>
        <w:rPr>
          <w:rFonts w:hint="eastAsia" w:cs="宋体"/>
          <w:color w:val="000000"/>
          <w:sz w:val="21"/>
          <w:szCs w:val="21"/>
          <w:highlight w:val="none"/>
          <w:lang w:eastAsia="zh-CN"/>
        </w:rPr>
        <w:t xml:space="preserve">经纬工程咨询（苏州）有限公司</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地址：</w:t>
      </w:r>
      <w:r>
        <w:rPr>
          <w:rFonts w:hint="eastAsia" w:cs="宋体"/>
          <w:color w:val="000000"/>
          <w:sz w:val="21"/>
          <w:szCs w:val="21"/>
          <w:highlight w:val="none"/>
          <w:lang w:eastAsia="zh-CN"/>
        </w:rPr>
        <w:t xml:space="preserve">苏州市吴中区吴中东路175号天域大厦7楼</w:t>
      </w:r>
      <w:r/>
    </w:p>
    <w:p>
      <w:pPr>
        <w:ind w:firstLine="420"/>
        <w:keepLines w:val="0"/>
        <w:keepNext w:val="0"/>
        <w:pageBreakBefore w:val="0"/>
        <w:spacing w:line="400" w:lineRule="exact"/>
        <w:rPr>
          <w:rFonts w:hint="eastAsia"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联系方式：</w:t>
      </w:r>
      <w:r>
        <w:rPr>
          <w:rFonts w:hint="eastAsia" w:cs="宋体"/>
          <w:color w:val="000000"/>
          <w:sz w:val="21"/>
          <w:szCs w:val="21"/>
          <w:highlight w:val="none"/>
          <w:lang w:val="en-US" w:eastAsia="zh-CN"/>
        </w:rPr>
        <w:t xml:space="preserve">18762880325</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3.项目联系方式</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项目联系人：</w:t>
      </w:r>
      <w:r>
        <w:rPr>
          <w:rFonts w:hint="eastAsia" w:cs="宋体"/>
          <w:color w:val="000000"/>
          <w:sz w:val="21"/>
          <w:szCs w:val="21"/>
          <w:highlight w:val="none"/>
          <w:lang w:eastAsia="zh-CN"/>
        </w:rPr>
        <w:t xml:space="preserve">商婧</w:t>
      </w:r>
      <w:r/>
    </w:p>
    <w:p>
      <w:pPr>
        <w:ind w:firstLine="420"/>
        <w:keepLines w:val="0"/>
        <w:keepNext w:val="0"/>
        <w:pageBreakBefore w:val="0"/>
        <w:spacing w:line="400" w:lineRule="exact"/>
        <w:rPr>
          <w:rFonts w:hint="eastAsia"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电话：</w:t>
      </w:r>
      <w:r>
        <w:rPr>
          <w:rFonts w:hint="eastAsia" w:cs="宋体"/>
          <w:color w:val="000000"/>
          <w:sz w:val="21"/>
          <w:szCs w:val="21"/>
          <w:highlight w:val="none"/>
          <w:lang w:val="en-US" w:eastAsia="zh-CN"/>
        </w:rPr>
        <w:t xml:space="preserve">18762880325</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第二章  </w:t>
      </w:r>
      <w:bookmarkStart w:id="4" w:name="投标人须知"/>
      <w:r/>
      <w:bookmarkEnd w:id="4"/>
      <w:r>
        <w:rPr>
          <w:rFonts w:hint="eastAsia" w:cs="宋体"/>
          <w:b/>
          <w:bCs/>
          <w:color w:val="000000"/>
          <w:sz w:val="44"/>
          <w:szCs w:val="44"/>
          <w:highlight w:val="none"/>
        </w:rPr>
        <w:t xml:space="preserve">投标人须知</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说明和释义</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说明</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本招标文件仅适用于</w:t>
      </w:r>
      <w:r>
        <w:rPr>
          <w:rFonts w:hint="eastAsia" w:cs="宋体"/>
          <w:color w:val="000000"/>
          <w:highlight w:val="none"/>
          <w:lang w:eastAsia="zh-CN"/>
        </w:rPr>
        <w:t xml:space="preserve">经纬工程咨询（苏州）有限公司</w:t>
      </w:r>
      <w:r>
        <w:rPr>
          <w:rFonts w:hint="eastAsia" w:cs="宋体"/>
          <w:color w:val="000000"/>
          <w:highlight w:val="none"/>
        </w:rPr>
        <w:t xml:space="preserve">组织的招标活动。</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本次招标活动及因本次招标产生的合同受中国法律制约和保护。</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本招标文件的解释权属于</w:t>
      </w:r>
      <w:r>
        <w:rPr>
          <w:rFonts w:hint="eastAsia" w:cs="宋体"/>
          <w:color w:val="000000"/>
          <w:highlight w:val="none"/>
          <w:lang w:eastAsia="zh-CN"/>
        </w:rPr>
        <w:t xml:space="preserve">经纬工程咨询（苏州）有限公司</w:t>
      </w:r>
      <w:r>
        <w:rPr>
          <w:rFonts w:hint="eastAsia" w:cs="宋体"/>
          <w:color w:val="000000"/>
          <w:highlight w:val="none"/>
        </w:rPr>
        <w:t xml:space="preserve">。</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词语释义</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采购代理机构：受采购人委托从事政府采购代理业务的社会中介机构。</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投标人（供应商）：是指响应招标、参加投标竞争的法人、其他组织或者自然人。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响应：投标人根据采购人或采购代理机构发布的招标文件，编制投标文件并按规定投标的行为。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知识产权：指专利权、商标权、著作权等无形财产专有权的统称。</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采购人（甲方）：合同中明确规定的实际购买货物和服务的法人或其他组织或自然人。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中标人（乙方）：合同中规定的向采购方提供货物和服务的法人或其他组织或自然人。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货物：系指乙方按招标文件规定，应向甲方提供的一切设备、备品、备件、工具、手册及其它有关技术资料和材料。</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服务：系指本次招标文件规定的中标人应承担的服务及中标人应承担的其它义务。</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天：日历日。</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交货地点：</w:t>
      </w:r>
      <w:r>
        <w:rPr>
          <w:color w:val="000000"/>
          <w:highlight w:val="none"/>
          <w:lang w:val="zh-CN"/>
        </w:rPr>
        <w:t xml:space="preserve">合同中明确约定的乙方提交的货物和服务最终到达地点。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不可抗力：不能预见、不能避免并且不能克服的客观情况。</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实质性响应：满足有关本次采购标的、数量、质量、价款或者报酬、履行期限、履行地点和方式、违约责任和解决争议方法等要求。</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进口产品：通过中国海关报关验放进入中国境内且产自关境外的产品。</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书面形式：指书面文字、合同书、信件等可有形地表现所载内容的形式。</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投标人</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合格投标人应当具备的条件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详见招标公告。</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投标人必须按招标公告要求获取招标文件，否则不能参加本次招标活动。</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投标委托</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指全权代表投标人参加投标活动并签署投标文件的人，如果投标人代表不是法定代表人代表，须持有法定代表人授权委托书。</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投标费用</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无论投标过程的做法和结果如何，投标人自行承担所有与参加投标有关的全部费用。</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联合投标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本项目不接受联合投标。</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招标文件的说明</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招标文件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招标文件及其更正文件不是直接从指定的政府采购信息发布媒体或系统中获得的，采购人或采购代理机构对招标文件及其补遗的真实性、完整性不承担任何责任。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现场考察 </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投标人可按招标文件规定的时间（如有）对有关现场和周围环境进行考察，以获取编制投标文件和签署合同所需的信息。考察现场所发生的费用由投标人自己承担。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经采购人允许，投标人可为考察目的进入采购人的项目现场，但投标人不得因此使采购人或采购代理机构承担有关的责任和蒙受损失。投标人应承担考察现场的责任和风险。</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在现场考察时，熟悉现场及周围交通道路等情况，以获得一切可能影响其投标的直接资料。投标人中标后，不得以不完全了解现场情况为理由而向采购人提出任何索赔的要求，对此采购人或采购代理机构不承担任何责任并将不作任何答复与考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质疑、招标文件的澄清和修改</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认为招标文件、采购过程和中标结果使自己的权益受到损害的，可以在知道或者应知其权益受到损害之日起七个工作日内，根据《政府采购质疑和投诉办法》（中华人民共和国财政部令第94号）向代理机构提出质疑。凡是对招标文件提出质疑的供应商，须提供在“苏采云”系统中下载的本项目招标文件的《投标供应商确认函》，未提供的视为未依照招标公告要求获取招标文件的供应商，不具备对该政府采购项目提出质疑的法定权利。</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供应商应当在法定质疑期内一次性提出针对同一采购程序环节的质疑。供应商如在法定期限内对同一采购程序环节提出多次质疑的，将只对供应商第一次质疑作出答复。</w:t>
      </w:r>
      <w:r/>
    </w:p>
    <w:p>
      <w:pPr>
        <w:ind w:left="567"/>
        <w:spacing w:line="400" w:lineRule="exact"/>
        <w:rPr>
          <w:rFonts w:hint="eastAsia" w:cs="宋体"/>
          <w:color w:val="000000"/>
          <w:highlight w:val="none"/>
        </w:rPr>
      </w:pPr>
      <w:r>
        <w:rPr>
          <w:rFonts w:hint="eastAsia" w:cs="宋体"/>
          <w:color w:val="000000"/>
          <w:highlight w:val="none"/>
        </w:rPr>
        <w:t xml:space="preserve">接收质疑函的方式为书面形式（当场送达或邮寄方式）。</w:t>
      </w:r>
      <w:r/>
    </w:p>
    <w:p>
      <w:pPr>
        <w:ind w:left="567"/>
        <w:spacing w:line="400" w:lineRule="exact"/>
        <w:rPr>
          <w:rFonts w:hint="eastAsia" w:cs="宋体"/>
          <w:color w:val="000000"/>
          <w:highlight w:val="none"/>
          <w:lang w:val="en-US" w:eastAsia="zh-CN"/>
        </w:rPr>
      </w:pPr>
      <w:r>
        <w:rPr>
          <w:rFonts w:hint="eastAsia" w:cs="宋体"/>
          <w:color w:val="000000"/>
          <w:highlight w:val="none"/>
        </w:rPr>
        <w:t xml:space="preserve">质疑联系部门：</w:t>
      </w:r>
      <w:r>
        <w:rPr>
          <w:rFonts w:hint="eastAsia" w:cs="宋体"/>
          <w:color w:val="000000"/>
          <w:highlight w:val="none"/>
          <w:lang w:val="en-US" w:eastAsia="zh-CN"/>
        </w:rPr>
        <w:t xml:space="preserve">代理</w:t>
      </w:r>
      <w:r>
        <w:rPr>
          <w:rFonts w:hint="eastAsia" w:cs="宋体"/>
          <w:color w:val="000000"/>
          <w:highlight w:val="none"/>
        </w:rPr>
        <w:t xml:space="preserve">部-</w:t>
      </w:r>
      <w:r>
        <w:rPr>
          <w:rFonts w:hint="eastAsia" w:cs="宋体"/>
          <w:color w:val="000000"/>
          <w:highlight w:val="none"/>
          <w:lang w:val="en-US" w:eastAsia="zh-CN"/>
        </w:rPr>
        <w:t xml:space="preserve">商婧</w:t>
      </w:r>
      <w:r/>
    </w:p>
    <w:p>
      <w:pPr>
        <w:ind w:left="567"/>
        <w:spacing w:line="400" w:lineRule="exact"/>
        <w:rPr>
          <w:rFonts w:hint="eastAsia" w:cs="宋体"/>
          <w:color w:val="000000"/>
          <w:highlight w:val="none"/>
          <w:lang w:val="en-US" w:eastAsia="zh-CN"/>
        </w:rPr>
      </w:pPr>
      <w:r>
        <w:rPr>
          <w:rFonts w:hint="eastAsia" w:cs="宋体"/>
          <w:color w:val="000000"/>
          <w:highlight w:val="none"/>
        </w:rPr>
        <w:t xml:space="preserve">联系电话：</w:t>
      </w:r>
      <w:r>
        <w:rPr>
          <w:rFonts w:hint="eastAsia" w:cs="宋体"/>
          <w:color w:val="000000"/>
          <w:highlight w:val="none"/>
          <w:lang w:val="en-US" w:eastAsia="zh-CN"/>
        </w:rPr>
        <w:t xml:space="preserve">18762880325</w:t>
      </w:r>
      <w:r/>
    </w:p>
    <w:p>
      <w:pPr>
        <w:ind w:left="567"/>
        <w:spacing w:line="400" w:lineRule="exact"/>
        <w:rPr>
          <w:rFonts w:hint="eastAsia" w:cs="宋体"/>
          <w:color w:val="000000"/>
          <w:highlight w:val="none"/>
        </w:rPr>
      </w:pPr>
      <w:r>
        <w:rPr>
          <w:rFonts w:hint="eastAsia" w:cs="宋体"/>
          <w:color w:val="000000"/>
          <w:highlight w:val="none"/>
        </w:rPr>
        <w:t xml:space="preserve">通讯地址：</w:t>
      </w:r>
      <w:r>
        <w:rPr>
          <w:rFonts w:hint="eastAsia" w:cs="宋体"/>
          <w:color w:val="000000"/>
          <w:sz w:val="21"/>
          <w:szCs w:val="21"/>
          <w:highlight w:val="none"/>
          <w:lang w:eastAsia="zh-CN"/>
        </w:rPr>
        <w:t xml:space="preserve">苏州市吴中区吴中东路175号天域大厦7楼</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采购人或采购代理机构无论出于自己的考虑，还是出于对投标人提问的澄清，均可对招标文件用更正公告的方式进行修改。</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为使投标人有足够的时间按招标文件的修改要求考虑修正投标文件，或出于其他原因，采购代理机构有权推迟投标截止日期和开标日期。</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采购人或采购代理机构对招标文件的修改，将以补充通知的形式在苏州市政府采购网上公示</w:t>
      </w:r>
      <w:r>
        <w:rPr>
          <w:rFonts w:hint="eastAsia" w:cs="宋体"/>
          <w:bCs/>
          <w:color w:val="000000"/>
          <w:highlight w:val="none"/>
        </w:rPr>
        <w:t xml:space="preserve">。可通过“苏州市政府采购网”——各项目“补充通知”栏定期自行查看、下载相关采购项目的补充通知</w:t>
      </w:r>
      <w:r>
        <w:rPr>
          <w:rFonts w:hint="eastAsia" w:cs="宋体"/>
          <w:color w:val="000000"/>
          <w:highlight w:val="none"/>
        </w:rPr>
        <w:t xml:space="preserve">。</w:t>
      </w:r>
      <w:r/>
    </w:p>
    <w:p>
      <w:pPr>
        <w:numPr>
          <w:ilvl w:val="1"/>
          <w:numId w:val="34"/>
        </w:numPr>
        <w:spacing w:line="400" w:lineRule="exact"/>
        <w:tabs>
          <w:tab w:val="left" w:pos="567" w:leader="none"/>
        </w:tabs>
        <w:rPr>
          <w:rFonts w:hint="eastAsia" w:cs="宋体"/>
          <w:color w:val="000000"/>
          <w:highlight w:val="none"/>
        </w:rPr>
      </w:pPr>
      <w:r>
        <w:rPr>
          <w:rFonts w:hint="eastAsia" w:cs="宋体"/>
          <w:bCs/>
          <w:color w:val="000000"/>
          <w:highlight w:val="none"/>
        </w:rPr>
        <w:t xml:space="preserve">招标文件的更正（含澄清、修改等）内容与原招标文件在同一内容上表述不一致时，以发出日期最接近开标时间的公告为准。招标文件的更正（含澄清、修改等）内容将在财政部门指定的政府采购信息发布媒体或系统上发布，作为招标文件的组成部分，对投标人起约束作用</w:t>
      </w:r>
      <w:r>
        <w:rPr>
          <w:rFonts w:hint="eastAsia" w:cs="宋体"/>
          <w:color w:val="000000"/>
          <w:highlight w:val="none"/>
        </w:rPr>
        <w:t xml:space="preserve">。</w:t>
      </w:r>
      <w:r/>
    </w:p>
    <w:p>
      <w:pPr>
        <w:numPr>
          <w:ilvl w:val="0"/>
          <w:numId w:val="33"/>
        </w:numPr>
        <w:ind w:left="567" w:hanging="567"/>
        <w:spacing w:line="400" w:lineRule="exact"/>
        <w:tabs>
          <w:tab w:val="left" w:pos="567" w:leader="none"/>
        </w:tabs>
        <w:rPr>
          <w:rFonts w:hint="eastAsia" w:cs="宋体"/>
          <w:b/>
          <w:color w:val="000000"/>
          <w:highlight w:val="none"/>
        </w:rPr>
      </w:pPr>
      <w:r>
        <w:rPr>
          <w:rFonts w:hint="eastAsia" w:cs="宋体"/>
          <w:b/>
          <w:bCs/>
          <w:color w:val="000000"/>
          <w:highlight w:val="none"/>
        </w:rPr>
        <w:t xml:space="preserve">投标文件说明</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投标文件计量单位和使用文字</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投标文件中所使用的计量单位，除招标文件中有特殊要求外，均应使用中华人民共和国法定计量单位。</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应使用中文编制，投标文件中必须使用其他文字的，必须附有中文译本，且以中文译本为准。对于未附有中文译本和中文译本不准确的投标文件可能引起的对投标人不利的后果，采购人或采购代理机构概不负责。</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知识产权</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人应保证在本项目使用的任何产品（包括部分使用）或服务时，不会产生因第三方提出侵犯其专利权、商标权或其它知识产权而引起的法律和经济纠纷，如因专利权、商标权或其它知识产权而引起法律和经济纠纷，由投标人承担所有相关责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投标文件的组成</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封面</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开标一览表</w:t>
      </w:r>
      <w:r/>
    </w:p>
    <w:p>
      <w:pPr>
        <w:numPr>
          <w:ilvl w:val="1"/>
          <w:numId w:val="34"/>
        </w:numPr>
        <w:spacing w:line="400" w:lineRule="exact"/>
        <w:tabs>
          <w:tab w:val="left" w:pos="567" w:leader="none"/>
        </w:tabs>
        <w:rPr>
          <w:rFonts w:cs="宋体"/>
          <w:b/>
          <w:bCs/>
          <w:color w:val="000000"/>
          <w:highlight w:val="none"/>
        </w:rPr>
      </w:pPr>
      <w:r>
        <w:rPr>
          <w:rFonts w:hint="eastAsia" w:cs="宋体"/>
          <w:b/>
          <w:bCs/>
          <w:color w:val="000000"/>
          <w:highlight w:val="none"/>
        </w:rPr>
        <w:t xml:space="preserve">公开分项报价</w:t>
      </w:r>
      <w:r>
        <w:rPr>
          <w:rFonts w:hint="eastAsia" w:cs="宋体"/>
          <w:b/>
          <w:bCs/>
          <w:color w:val="000000"/>
          <w:highlight w:val="none"/>
          <w:lang w:val="en-US" w:eastAsia="zh-CN"/>
        </w:rPr>
        <w:t xml:space="preserve">表</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其他针对</w:t>
      </w:r>
      <w:r>
        <w:rPr>
          <w:rFonts w:hint="eastAsia" w:cs="宋体"/>
          <w:b/>
          <w:bCs/>
          <w:color w:val="000000"/>
          <w:highlight w:val="none"/>
          <w:lang w:val="zh-CN"/>
        </w:rPr>
        <w:t xml:space="preserve">对本次投标的详细说明</w:t>
      </w:r>
      <w:r/>
    </w:p>
    <w:p>
      <w:pPr>
        <w:numPr>
          <w:ilvl w:val="2"/>
          <w:numId w:val="34"/>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其他针对</w:t>
      </w:r>
      <w:r>
        <w:rPr>
          <w:rFonts w:hint="eastAsia"/>
          <w:color w:val="000000"/>
          <w:highlight w:val="none"/>
          <w:lang w:val="zh-CN"/>
        </w:rPr>
        <w:t xml:space="preserve">对本次投标的详细说明（</w:t>
      </w:r>
      <w:r>
        <w:rPr>
          <w:rFonts w:hint="eastAsia"/>
          <w:color w:val="000000"/>
          <w:highlight w:val="none"/>
        </w:rPr>
        <w:t xml:space="preserve">无对应模块上传的投标文件内容可传至此，含“第三章 投标文件格式”中部分表格、内容，涉及投标报价除外</w:t>
      </w:r>
      <w:r>
        <w:rPr>
          <w:rFonts w:hint="eastAsia"/>
          <w:color w:val="000000"/>
          <w:highlight w:val="none"/>
          <w:lang w:val="zh-CN"/>
        </w:rPr>
        <w:t xml:space="preserve">）</w:t>
      </w:r>
      <w:r>
        <w:rPr>
          <w:rFonts w:hint="eastAsia"/>
          <w:color w:val="000000"/>
          <w:highlight w:val="none"/>
        </w:rPr>
        <w:t xml:space="preserve">。</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资格审查文件</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关于资格文件的声明函（见投标文件格式）；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投标人基本情况表（见投标文件格式）；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投标人法定代表人身份证复印件；</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法定代表人授权委托书、投标人授权代理人身份证复印件（如有授权，见投标文件格式）；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合格供应商的资格证明材料：</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具有独立承担民事责任的能力（提供法人或者其他组织的营业执照等证明文件，自然人的身份证明）；</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具有良好的商业信誉和健全的财务会计制度（提供参加本次政府采购前一年内的财务报表或</w:t>
      </w:r>
      <w:r>
        <w:rPr>
          <w:color w:val="000000"/>
          <w:highlight w:val="none"/>
        </w:rPr>
        <w:t xml:space="preserve">最近一期经审计的财务报告</w:t>
      </w:r>
      <w:r>
        <w:rPr>
          <w:rFonts w:hint="eastAsia" w:cs="宋体"/>
          <w:color w:val="000000"/>
          <w:highlight w:val="none"/>
        </w:rPr>
        <w:t xml:space="preserve">或提供银行出具的资信证明）；</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具有履行合同所必</w:t>
      </w:r>
      <w:r>
        <w:rPr>
          <w:rFonts w:hint="eastAsia" w:cs="宋体"/>
          <w:color w:val="000000"/>
          <w:highlight w:val="none"/>
          <w:lang w:val="en-US" w:eastAsia="zh-CN"/>
        </w:rPr>
        <w:t xml:space="preserve">需</w:t>
      </w:r>
      <w:r>
        <w:rPr>
          <w:rFonts w:hint="eastAsia" w:cs="宋体"/>
          <w:color w:val="000000"/>
          <w:highlight w:val="none"/>
        </w:rPr>
        <w:t xml:space="preserve">的设备和专业技术能力（企业法人性质的政府采购供应商应在经市场监督管理部门核准登记注册的经营范围内参与经营活动，提供相关证明材料或承诺）；</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有依法缴纳税收和社会保障资金的良好记录（提供参加本次政府采购前一年内（至少一个月）的依法缴纳税收和社会保障资金的相关材料）；</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参加政府采购活动前3年内在经营活动中没有重大违法记录的书面声明；</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本次招标有关的其他资格证明文件。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符合性审查文件</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投标函（见投标文件格式）；</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技术要求偏离表（见投标文件格式）；</w:t>
      </w:r>
      <w:r/>
    </w:p>
    <w:p>
      <w:pPr>
        <w:numPr>
          <w:ilvl w:val="2"/>
          <w:numId w:val="34"/>
        </w:numPr>
        <w:ind w:left="829" w:hanging="829"/>
        <w:spacing w:line="400" w:lineRule="exact"/>
        <w:tabs>
          <w:tab w:val="left" w:pos="840" w:leader="none"/>
        </w:tabs>
        <w:rPr>
          <w:rFonts w:cs="宋体"/>
          <w:color w:val="000000"/>
          <w:highlight w:val="none"/>
        </w:rPr>
      </w:pPr>
      <w:r>
        <w:rPr>
          <w:rFonts w:hint="eastAsia" w:cs="宋体"/>
          <w:color w:val="000000"/>
          <w:highlight w:val="none"/>
        </w:rPr>
        <w:t xml:space="preserve">商务要求偏离表（见投标文件格式）；</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本次招标有关的其他符合性证明文件。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综合评审文件</w:t>
      </w:r>
      <w:r/>
    </w:p>
    <w:p>
      <w:pPr>
        <w:numPr>
          <w:ilvl w:val="2"/>
          <w:numId w:val="34"/>
        </w:numPr>
        <w:ind w:left="829" w:hanging="829"/>
        <w:spacing w:line="400" w:lineRule="exact"/>
        <w:tabs>
          <w:tab w:val="left" w:pos="840" w:leader="none"/>
        </w:tabs>
        <w:rPr>
          <w:rFonts w:hint="eastAsia" w:cs="宋体"/>
          <w:color w:val="000000"/>
          <w:highlight w:val="none"/>
        </w:rPr>
      </w:pPr>
      <w:r/>
      <w:bookmarkStart w:id="5" w:name="_Hlk158130956"/>
      <w:r>
        <w:rPr>
          <w:rFonts w:hint="eastAsia" w:cs="宋体"/>
          <w:color w:val="000000"/>
          <w:highlight w:val="none"/>
        </w:rPr>
        <w:t xml:space="preserve">评分标准中所涉及到针对本项目的相关理解说明，技术服务方案、相关证书、业绩、承诺函及其他材料、证明等。</w:t>
      </w:r>
      <w:bookmarkEnd w:id="5"/>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本次招标有关的其他综合评审文件。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企业报价折扣证明</w:t>
      </w:r>
      <w:r/>
    </w:p>
    <w:p>
      <w:pPr>
        <w:numPr>
          <w:ilvl w:val="2"/>
          <w:numId w:val="34"/>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《中小企业声明函》或《残疾人福利性单位声明函》或由省级以上监狱管理局、戒毒管理局（含新疆生产建设兵团）出具的属于监狱企业的证明文件。</w:t>
      </w:r>
      <w:r/>
    </w:p>
    <w:p>
      <w:pPr>
        <w:pStyle w:val="1642"/>
        <w:ind w:firstLine="567"/>
        <w:spacing w:line="400" w:lineRule="exact"/>
        <w:rPr>
          <w:b/>
          <w:bCs/>
          <w:color w:val="000000"/>
          <w:highlight w:val="none"/>
        </w:rPr>
      </w:pPr>
      <w:r/>
      <w:bookmarkStart w:id="6" w:name="_Hlk158131259"/>
      <w:r>
        <w:rPr>
          <w:rFonts w:hAnsi="宋体"/>
          <w:b/>
          <w:color w:val="000000"/>
          <w:highlight w:val="none"/>
        </w:rPr>
        <w:t xml:space="preserve">注：</w:t>
      </w:r>
      <w:r>
        <w:rPr>
          <w:rFonts w:hint="eastAsia" w:hAnsi="宋体"/>
          <w:b/>
          <w:color w:val="000000"/>
          <w:highlight w:val="none"/>
        </w:rPr>
        <w:t xml:space="preserve">本项目投标文件由13.1-13.8款规定的内容组成并按要求加盖电子公章。</w:t>
      </w:r>
      <w:r>
        <w:rPr>
          <w:rFonts w:hAnsi="宋体"/>
          <w:b/>
          <w:color w:val="000000"/>
          <w:highlight w:val="none"/>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hAnsi="宋体"/>
          <w:b/>
          <w:color w:val="000000"/>
          <w:highlight w:val="none"/>
        </w:rPr>
        <w:t xml:space="preserve">。除投标报价相关模块，其余模块中不得出现投标报价。</w:t>
      </w:r>
      <w:r/>
    </w:p>
    <w:p>
      <w:pPr>
        <w:ind w:firstLine="567"/>
        <w:spacing w:line="400" w:lineRule="exact"/>
        <w:tabs>
          <w:tab w:val="left" w:pos="540" w:leader="none"/>
        </w:tabs>
        <w:rPr>
          <w:b/>
          <w:bCs/>
          <w:color w:val="000000"/>
          <w:highlight w:val="none"/>
        </w:rPr>
      </w:pPr>
      <w:r>
        <w:rPr>
          <w:b/>
          <w:color w:val="000000"/>
          <w:highlight w:val="none"/>
        </w:rPr>
        <w:t xml:space="preserve">投标人</w:t>
      </w:r>
      <w:r>
        <w:rPr>
          <w:b/>
          <w:bCs/>
          <w:color w:val="000000"/>
          <w:highlight w:val="none"/>
        </w:rPr>
        <w:t xml:space="preserve">必须保证全部投标资料的真实性，如有虚假或对招标文件所要求说明的情况故意隐瞒或虚报，视为不实质性响应招标文件，投标无效。</w:t>
      </w:r>
      <w:r/>
    </w:p>
    <w:p>
      <w:pPr>
        <w:ind w:firstLine="567"/>
        <w:spacing w:line="400" w:lineRule="exact"/>
        <w:tabs>
          <w:tab w:val="left" w:pos="540" w:leader="none"/>
          <w:tab w:val="left" w:pos="851" w:leader="none"/>
        </w:tabs>
        <w:rPr>
          <w:b/>
          <w:bCs/>
          <w:color w:val="000000"/>
          <w:highlight w:val="none"/>
        </w:rPr>
      </w:pPr>
      <w:r>
        <w:rPr>
          <w:b/>
          <w:bCs/>
          <w:color w:val="000000"/>
          <w:highlight w:val="none"/>
        </w:rPr>
        <w:t xml:space="preserve">如</w:t>
      </w:r>
      <w:r>
        <w:rPr>
          <w:b/>
          <w:color w:val="000000"/>
          <w:highlight w:val="none"/>
        </w:rPr>
        <w:t xml:space="preserve">投标人</w:t>
      </w:r>
      <w:r>
        <w:rPr>
          <w:b/>
          <w:bCs/>
          <w:color w:val="000000"/>
          <w:highlight w:val="none"/>
        </w:rPr>
        <w:t xml:space="preserve">投标文件中某些条款不响应招标文件提出的全部服务内容与要求，须在偏离表中逐条列出。</w:t>
      </w:r>
      <w:bookmarkEnd w:id="6"/>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投标报价（编制）要求的说明</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投标报价应包括完成该标的物全部内容的一切费用。投标报价为最终报价，投标人所报价格在合同实施期间不因市场变化因素而变。</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按投标分项报价明细表（如有）中的全部货物、服务计算单价和总价。投标分项报价明细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一项投标内容只允许一个报价，采购人或采购代理机构不接受任何有选择性的投标报价。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投标文件报价中的单价和总价全部采用人民币表示，除非合同的特殊条款另有规定。</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最低报价不能作为中标的保证。</w:t>
      </w:r>
      <w:r/>
    </w:p>
    <w:p>
      <w:pPr>
        <w:numPr>
          <w:ilvl w:val="0"/>
          <w:numId w:val="34"/>
        </w:numPr>
        <w:ind w:left="567" w:hanging="567"/>
        <w:spacing w:line="400" w:lineRule="exact"/>
        <w:tabs>
          <w:tab w:val="left" w:pos="567" w:leader="none"/>
        </w:tabs>
        <w:rPr>
          <w:rFonts w:cs="宋体"/>
          <w:b/>
          <w:color w:val="000000"/>
          <w:highlight w:val="none"/>
        </w:rPr>
      </w:pPr>
      <w:r>
        <w:rPr>
          <w:rFonts w:hint="eastAsia" w:cs="宋体"/>
          <w:b/>
          <w:color w:val="000000"/>
          <w:highlight w:val="none"/>
        </w:rPr>
        <w:t xml:space="preserve">投标文件的制作、签署、上传</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本项目采用电子招投标形式，请供应商按照《苏采云系统供应商操作手册》进行制作、上传电子投标文件。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制作电子投标文件时，应按要求加盖投标人电子公章</w:t>
      </w:r>
      <w:r>
        <w:rPr>
          <w:rFonts w:hint="eastAsia" w:cs="宋体"/>
          <w:color w:val="000000"/>
          <w:highlight w:val="none"/>
          <w:lang w:val="zh-CN"/>
        </w:rPr>
        <w:t xml:space="preserve">，需要法定代表人或代理人盖章或签名的文件必须按要求</w:t>
      </w:r>
      <w:r>
        <w:rPr>
          <w:rFonts w:hint="eastAsia" w:cs="宋体"/>
          <w:color w:val="000000"/>
          <w:highlight w:val="none"/>
        </w:rPr>
        <w:t xml:space="preserve">进行</w:t>
      </w:r>
      <w:r>
        <w:rPr>
          <w:rFonts w:hint="eastAsia" w:cs="宋体"/>
          <w:color w:val="000000"/>
          <w:highlight w:val="none"/>
          <w:lang w:val="zh-CN"/>
        </w:rPr>
        <w:t xml:space="preserve">电子签章或签名，若未按上述要求签署</w:t>
      </w:r>
      <w:r>
        <w:rPr>
          <w:rFonts w:hint="eastAsia" w:cs="宋体"/>
          <w:color w:val="000000"/>
          <w:highlight w:val="none"/>
        </w:rPr>
        <w:t xml:space="preserve">或盖章</w:t>
      </w:r>
      <w:r>
        <w:rPr>
          <w:rFonts w:hint="eastAsia" w:cs="宋体"/>
          <w:color w:val="000000"/>
          <w:highlight w:val="none"/>
          <w:lang w:val="zh-CN"/>
        </w:rPr>
        <w:t xml:space="preserve">的电子投标文件为无效投标。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电子投标文件制作完成后请于投标文件网上提交截止时间前成功上传至“苏采云”系统，否则视为放弃参加该采购项目。</w:t>
      </w:r>
      <w:bookmarkStart w:id="7" w:name="_Toc25608"/>
      <w:r/>
      <w:bookmarkStart w:id="8" w:name="_Toc31150"/>
      <w:r>
        <w:rPr>
          <w:rFonts w:hint="eastAsia" w:cs="宋体"/>
          <w:color w:val="000000"/>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lang w:val="zh-CN"/>
        </w:rPr>
        <w:t xml:space="preserve">投标文件的修改和撤回</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投标人在投标截止时间前，</w:t>
      </w:r>
      <w:r>
        <w:rPr>
          <w:rFonts w:hint="eastAsia" w:cs="宋体"/>
          <w:color w:val="000000"/>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s="宋体"/>
          <w:color w:val="000000"/>
          <w:highlight w:val="none"/>
          <w:lang w:val="zh-CN"/>
        </w:rPr>
        <w:t xml:space="preserve">。</w:t>
      </w:r>
      <w:bookmarkEnd w:id="7"/>
      <w:r/>
      <w:bookmarkEnd w:id="8"/>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投标保证金</w:t>
      </w:r>
      <w:r/>
    </w:p>
    <w:p>
      <w:pPr>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本项目不收取投标保证金。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投标文件的有效期</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投标有效期从提交投标文件的截止之日起算。投标文件中承诺的投标有效期应当不少于招标文件中载明的投标有效期，否则投标无效。</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在特殊情况下，采购人可与投标人协商延长投标书的有效期。这种要求和答复都应以书面形式进行。</w:t>
      </w:r>
      <w:r/>
    </w:p>
    <w:p>
      <w:pPr>
        <w:numPr>
          <w:ilvl w:val="0"/>
          <w:numId w:val="33"/>
        </w:numPr>
        <w:ind w:left="567" w:hanging="567"/>
        <w:spacing w:line="400" w:lineRule="exact"/>
        <w:tabs>
          <w:tab w:val="left" w:pos="567" w:leader="none"/>
        </w:tabs>
        <w:rPr>
          <w:rFonts w:hint="eastAsia" w:cs="宋体"/>
          <w:b/>
          <w:bCs/>
          <w:color w:val="000000"/>
          <w:highlight w:val="none"/>
        </w:rPr>
        <w:outlineLvl w:val="1"/>
      </w:pPr>
      <w:r>
        <w:rPr>
          <w:rFonts w:hint="eastAsia" w:cs="宋体"/>
          <w:b/>
          <w:bCs/>
          <w:color w:val="000000"/>
          <w:highlight w:val="none"/>
        </w:rPr>
        <w:t xml:space="preserve">开标和评标</w:t>
      </w:r>
      <w:r/>
    </w:p>
    <w:p>
      <w:pPr>
        <w:numPr>
          <w:ilvl w:val="0"/>
          <w:numId w:val="34"/>
        </w:numPr>
        <w:ind w:left="567" w:hanging="567"/>
        <w:spacing w:line="400" w:lineRule="exact"/>
        <w:tabs>
          <w:tab w:val="left" w:pos="567" w:leader="none"/>
        </w:tabs>
        <w:rPr>
          <w:rFonts w:hint="eastAsia" w:cs="宋体"/>
          <w:b/>
          <w:color w:val="000000"/>
          <w:highlight w:val="none"/>
          <w:lang w:val="zh-CN"/>
        </w:rPr>
      </w:pPr>
      <w:r>
        <w:rPr>
          <w:rFonts w:hint="eastAsia" w:cs="宋体"/>
          <w:b/>
          <w:color w:val="000000"/>
          <w:highlight w:val="none"/>
          <w:lang w:val="zh-CN"/>
        </w:rPr>
        <w:t xml:space="preserve">投标截止</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投标人上传电子投标文件的时间不得迟于招标公告中规定的投标截止时间。</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在投标截止时间收到的投标文件少于三份或完成解密的供应商不足三家的，本次招标失败。</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开标</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开标由采购代理机构</w:t>
      </w:r>
      <w:r>
        <w:rPr>
          <w:rFonts w:hint="eastAsia" w:cs="宋体"/>
          <w:color w:val="000000"/>
          <w:highlight w:val="none"/>
        </w:rPr>
        <w:t xml:space="preserve">在</w:t>
      </w:r>
      <w:r>
        <w:rPr>
          <w:rFonts w:hint="eastAsia" w:cs="宋体"/>
          <w:color w:val="000000"/>
          <w:highlight w:val="none"/>
          <w:lang w:val="zh-CN"/>
        </w:rPr>
        <w:t xml:space="preserve">“苏采云”系统“开标大厅”主持，投标人</w:t>
      </w:r>
      <w:r>
        <w:rPr>
          <w:rFonts w:hint="eastAsia" w:cs="宋体"/>
          <w:color w:val="000000"/>
          <w:highlight w:val="none"/>
        </w:rPr>
        <w:t xml:space="preserve">在线</w:t>
      </w:r>
      <w:r>
        <w:rPr>
          <w:rFonts w:hint="eastAsia" w:cs="宋体"/>
          <w:color w:val="000000"/>
          <w:highlight w:val="none"/>
          <w:lang w:val="zh-CN"/>
        </w:rPr>
        <w:t xml:space="preserve">参加。投标人应当按照《苏采云系统供应商操作手册》规定，参加开标活动，在系统规定的时间内对投标文件进行解密，评标委员会成员不得参加开标活动。</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开标时，由采购代理机构</w:t>
      </w:r>
      <w:r>
        <w:rPr>
          <w:rFonts w:hint="eastAsia" w:cs="宋体"/>
          <w:color w:val="000000"/>
          <w:highlight w:val="none"/>
        </w:rPr>
        <w:t xml:space="preserve">通过“苏采云”系统在线</w:t>
      </w:r>
      <w:r>
        <w:rPr>
          <w:rFonts w:hint="eastAsia" w:cs="宋体"/>
          <w:color w:val="000000"/>
          <w:highlight w:val="none"/>
          <w:lang w:val="zh-CN"/>
        </w:rPr>
        <w:t xml:space="preserve">宣布投标人名称、投标价格和招标文件规定的需要宣布的其他内容。</w:t>
      </w:r>
      <w:r>
        <w:rPr>
          <w:rFonts w:hint="eastAsia" w:cs="宋体"/>
          <w:color w:val="000000"/>
          <w:highlight w:val="none"/>
        </w:rPr>
        <w:t xml:space="preserve">投标人在不见面开标系统中确认投标价格，如</w:t>
      </w:r>
      <w:r>
        <w:rPr>
          <w:rFonts w:hint="eastAsia" w:cs="宋体"/>
          <w:color w:val="000000"/>
          <w:highlight w:val="none"/>
          <w:lang w:val="zh-CN"/>
        </w:rPr>
        <w:t xml:space="preserve">投标人未</w:t>
      </w:r>
      <w:r>
        <w:rPr>
          <w:rFonts w:hint="eastAsia" w:cs="宋体"/>
          <w:color w:val="000000"/>
          <w:highlight w:val="none"/>
        </w:rPr>
        <w:t xml:space="preserve">在线</w:t>
      </w:r>
      <w:r>
        <w:rPr>
          <w:rFonts w:hint="eastAsia" w:cs="宋体"/>
          <w:color w:val="000000"/>
          <w:highlight w:val="none"/>
          <w:lang w:val="zh-CN"/>
        </w:rPr>
        <w:t xml:space="preserve">参加开标</w:t>
      </w:r>
      <w:r>
        <w:rPr>
          <w:rFonts w:hint="eastAsia" w:cs="宋体"/>
          <w:color w:val="000000"/>
          <w:highlight w:val="none"/>
        </w:rPr>
        <w:t xml:space="preserve">或未在规定时间内确认价格</w:t>
      </w:r>
      <w:r>
        <w:rPr>
          <w:rFonts w:hint="eastAsia" w:cs="宋体"/>
          <w:color w:val="000000"/>
          <w:highlight w:val="none"/>
          <w:lang w:val="zh-CN"/>
        </w:rPr>
        <w:t xml:space="preserve">的，视同认可开标结果。</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投标人在开标过程中应按照“开标大厅”</w:t>
      </w:r>
      <w:r>
        <w:rPr>
          <w:rFonts w:hint="eastAsia" w:cs="宋体"/>
          <w:color w:val="000000"/>
          <w:highlight w:val="none"/>
        </w:rPr>
        <w:t xml:space="preserve">相关要求进行其他相关系统操作</w:t>
      </w:r>
      <w:r>
        <w:rPr>
          <w:rFonts w:hint="eastAsia" w:cs="宋体"/>
          <w:color w:val="000000"/>
          <w:highlight w:val="none"/>
          <w:lang w:val="zh-CN"/>
        </w:rPr>
        <w:t xml:space="preserve">。</w:t>
      </w:r>
      <w:r/>
    </w:p>
    <w:p>
      <w:pPr>
        <w:numPr>
          <w:ilvl w:val="1"/>
          <w:numId w:val="34"/>
        </w:numPr>
        <w:spacing w:line="400" w:lineRule="exact"/>
        <w:rPr>
          <w:rFonts w:hint="eastAsia" w:cs="宋体"/>
          <w:color w:val="000000"/>
          <w:highlight w:val="none"/>
          <w:lang w:val="zh-CN"/>
        </w:rPr>
      </w:pPr>
      <w:r/>
      <w:bookmarkStart w:id="9" w:name="_Hlk90652960"/>
      <w:r/>
      <w:bookmarkStart w:id="10" w:name="_Hlk92794076"/>
      <w:r>
        <w:rPr>
          <w:rFonts w:hint="eastAsia" w:cs="宋体"/>
          <w:color w:val="000000"/>
          <w:highlight w:val="none"/>
          <w:lang w:val="zh-CN"/>
        </w:rPr>
        <w:t xml:space="preserve">为了保证开标秩序，请不要在互动交流中发表与开标无关的言论。开标中出现异常情况时，将通过“公告栏”栏目发布相关信息</w:t>
      </w:r>
      <w:r>
        <w:rPr>
          <w:rFonts w:hint="eastAsia" w:cs="宋体"/>
          <w:color w:val="000000"/>
          <w:highlight w:val="none"/>
        </w:rPr>
        <w:t xml:space="preserve">或</w:t>
      </w:r>
      <w:r>
        <w:rPr>
          <w:rFonts w:hint="eastAsia" w:cs="宋体"/>
          <w:color w:val="000000"/>
          <w:highlight w:val="none"/>
          <w:lang w:val="zh-CN"/>
        </w:rPr>
        <w:t xml:space="preserve">通过《投标供应商确认函》留存的手机号与供应商联系，请投标人及时关注，否则导致的不利后果由供应商自行承担。</w:t>
      </w:r>
      <w:bookmarkEnd w:id="9"/>
      <w:r/>
      <w:bookmarkEnd w:id="10"/>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资格审查</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开标结束后，采购</w:t>
      </w:r>
      <w:r>
        <w:rPr>
          <w:rFonts w:hint="eastAsia" w:cs="宋体"/>
          <w:color w:val="000000"/>
          <w:highlight w:val="none"/>
        </w:rPr>
        <w:t xml:space="preserve">人代表</w:t>
      </w:r>
      <w:r>
        <w:rPr>
          <w:rFonts w:hint="eastAsia" w:cs="宋体"/>
          <w:color w:val="000000"/>
          <w:highlight w:val="none"/>
          <w:lang w:val="zh-CN"/>
        </w:rPr>
        <w:t xml:space="preserve">应当依法对投标人的资格进行审查，未通过资格审查的视为无效投标。</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查询时间：投标文件提交截止时间。</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查询渠道：通过“信用中国”网站查询</w:t>
      </w:r>
      <w:r>
        <w:rPr>
          <w:rFonts w:hint="eastAsia" w:cs="宋体"/>
          <w:color w:val="000000"/>
          <w:highlight w:val="none"/>
        </w:rPr>
        <w:t xml:space="preserve">投标人</w:t>
      </w:r>
      <w:r>
        <w:rPr>
          <w:rFonts w:hint="eastAsia" w:cs="宋体"/>
          <w:color w:val="000000"/>
          <w:highlight w:val="none"/>
          <w:lang w:val="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1"/>
          <w:numId w:val="34"/>
        </w:numPr>
        <w:spacing w:line="400" w:lineRule="exact"/>
        <w:rPr>
          <w:rFonts w:hint="eastAsia" w:cs="宋体"/>
          <w:color w:val="000000"/>
          <w:highlight w:val="none"/>
          <w:lang w:val="zh-CN"/>
        </w:rPr>
      </w:pPr>
      <w:r/>
      <w:bookmarkStart w:id="11" w:name="_Hlk92794284"/>
      <w:r>
        <w:rPr>
          <w:rFonts w:hint="eastAsia" w:cs="宋体"/>
          <w:color w:val="000000"/>
          <w:highlight w:val="none"/>
          <w:lang w:val="zh-CN"/>
        </w:rPr>
        <w:t xml:space="preserve">查询证据留存方式：</w:t>
      </w:r>
      <w:bookmarkEnd w:id="11"/>
      <w:r>
        <w:rPr>
          <w:rFonts w:hint="eastAsia" w:cs="宋体"/>
          <w:color w:val="000000"/>
          <w:highlight w:val="none"/>
          <w:lang w:val="zh-CN"/>
        </w:rPr>
        <w:t xml:space="preserve">采购人、采购代理机构工作人员等应按照相关管理办法查询相关主体的信用记录，并保存好相关证据材料，信用查询记录及相关证据应当归入采购档案妥善保管。</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评标委员会</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评标委员会依法组建，负责本项目的评标事务。</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评标委员会独立履行下列职责：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审查、评价投标文件是否符合招标文件的商务、技术等实质性要求；</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要求投标人对投标文件有关事项作出澄清或者说明；</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对投标文件进行比较和评价；</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确定中标候选人名单，或者根据采购人委托直接确定中标人；</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向采购人、采购代理机构或者有关部门报告评标中发现的违法行为。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评标委员会成员应当履行下列义务：</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遵纪守法，客观、公正、廉洁地履行职责；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按照招标文件规定的评标办法和评标标准进行评标，对评审意见承担个人责任；</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对评标过程和结果，以及投标人的商业秘密保密；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根据全体评标成员签字的原始评标记录和评标结果编写评标报告；</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配合相关部门的投诉处理工作；</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配合采购人或采购代理机构答复投标供应商提出的质疑。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评标内容的保密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公开开标后，直到宣布授予中标供应商合同为止，凡属于审查、澄清、评价和比较投标的所有资料，有关授予合同的信息都不应向投标人或与评标无关的其他人泄露。</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在投标文件的审查、澄清、评价和比较以及授予合同的过程中，投标人对采购人或采购代理机构和评标委员会成员施加影响的任何行为，都将取消其投标资格。</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在评标期间，采购代理机构将通过指定联络人与投标人进行联系。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对投标文件审查</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评标委员会应当对符合资格的投标人的投标文件进行符合性审查，以确定是否对招标文件的实质性要求作响应。</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评标委员会应当按照招标文件中规定的评标方法和标准，对符合性审查合格的投标文件进行商务和技术评估，综合比较与评价。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投标文件属下列情况之一的，将按无效投标处理：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与招标文件有重大偏离；</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投标人拒绝修正错误；</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投标人的报价是选择性的；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投标人的报价只响应了部分招标内容；</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法律法规或招标文件规定的其他认定无效的情况。</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评标委员会将对确定为实质性响应的投标进行审查，投标文件报价出现前后不一致的，除招标文件另有规定外，按照下列规定修正：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投标文件中开标一览表（报价表）内容与投标文件中相应内容不一致时的，以开标一览表（报价表）为准；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大写金额和小写金额不一致的，以大写金额为准；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单价金额小数点或者百分比有明显错位的，以开标一览表为准，并修改单价；</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总价金额与按单价汇总金额不一致的，以单价金额计算结果为准。</w:t>
      </w:r>
      <w:r/>
    </w:p>
    <w:p>
      <w:pPr>
        <w:ind w:left="567"/>
        <w:spacing w:line="400" w:lineRule="exact"/>
        <w:tabs>
          <w:tab w:val="left" w:pos="1440" w:leader="none"/>
        </w:tabs>
        <w:rPr>
          <w:rFonts w:hint="eastAsia" w:cs="宋体"/>
          <w:color w:val="000000"/>
          <w:highlight w:val="none"/>
        </w:rPr>
      </w:pPr>
      <w:r>
        <w:rPr>
          <w:rFonts w:hint="eastAsia" w:cs="宋体"/>
          <w:color w:val="000000"/>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采购人或采购代理机构将拒绝被确定为非实质性响应的投标，投标人不能通过修正或撤销不符之处而使其投标成为实质性响应的投标。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评价和比较采用的办法具体内容详见招标文件第六章。</w:t>
      </w:r>
      <w:r/>
    </w:p>
    <w:p>
      <w:pPr>
        <w:numPr>
          <w:ilvl w:val="1"/>
          <w:numId w:val="34"/>
        </w:numPr>
        <w:spacing w:line="400" w:lineRule="exact"/>
        <w:tabs>
          <w:tab w:val="left" w:pos="630" w:leader="none"/>
        </w:tabs>
        <w:rPr>
          <w:rFonts w:hint="eastAsia" w:cs="宋体"/>
          <w:color w:val="000000"/>
          <w:highlight w:val="none"/>
        </w:rPr>
      </w:pPr>
      <w:r>
        <w:rPr>
          <w:rFonts w:hint="eastAsia" w:cs="宋体"/>
          <w:color w:val="000000"/>
          <w:highlight w:val="none"/>
        </w:rPr>
        <w:t xml:space="preserve">最低的投标报价或最高的折扣比例是中标的重要条件，但不是唯一条件。</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废标</w:t>
      </w:r>
      <w:r/>
    </w:p>
    <w:p>
      <w:pPr>
        <w:numPr>
          <w:ilvl w:val="1"/>
          <w:numId w:val="34"/>
        </w:numPr>
        <w:spacing w:line="400" w:lineRule="exact"/>
        <w:rPr>
          <w:rFonts w:hint="eastAsia" w:cs="宋体"/>
          <w:color w:val="000000"/>
          <w:highlight w:val="none"/>
        </w:rPr>
        <w:outlineLvl w:val="2"/>
      </w:pPr>
      <w:r>
        <w:rPr>
          <w:rFonts w:hint="eastAsia" w:cs="宋体"/>
          <w:color w:val="000000"/>
          <w:highlight w:val="none"/>
        </w:rPr>
        <w:t xml:space="preserve">在招标采购中，出现下列情形之一的，应予废标：</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符合专业条件的供应商或者对招标文件作实质响应的供应商不足三家的；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出现影响采购公正的违法、违规行为的；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投标人的报价均超过了采购预算，采购人不能支付的；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因重大变故，采购任务取消的。</w:t>
      </w:r>
      <w:r/>
    </w:p>
    <w:p>
      <w:pPr>
        <w:numPr>
          <w:ilvl w:val="1"/>
          <w:numId w:val="34"/>
        </w:numPr>
        <w:spacing w:line="400" w:lineRule="exact"/>
        <w:rPr>
          <w:rFonts w:hint="eastAsia" w:cs="宋体"/>
          <w:color w:val="000000"/>
          <w:highlight w:val="none"/>
        </w:rPr>
        <w:outlineLvl w:val="2"/>
      </w:pPr>
      <w:r>
        <w:rPr>
          <w:rFonts w:hint="eastAsia" w:cs="宋体"/>
          <w:color w:val="000000"/>
          <w:highlight w:val="none"/>
        </w:rPr>
        <w:t xml:space="preserve">废标后，采购人将废标的理由通知所有投标人。</w:t>
      </w:r>
      <w:r/>
    </w:p>
    <w:p>
      <w:pPr>
        <w:numPr>
          <w:ilvl w:val="0"/>
          <w:numId w:val="33"/>
        </w:numPr>
        <w:ind w:left="567" w:hanging="567"/>
        <w:spacing w:line="400" w:lineRule="exact"/>
        <w:tabs>
          <w:tab w:val="left" w:pos="567" w:leader="none"/>
        </w:tabs>
        <w:rPr>
          <w:rFonts w:hint="eastAsia" w:cs="宋体"/>
          <w:b/>
          <w:color w:val="000000"/>
          <w:highlight w:val="none"/>
        </w:rPr>
        <w:outlineLvl w:val="1"/>
      </w:pPr>
      <w:r>
        <w:rPr>
          <w:rFonts w:hint="eastAsia" w:cs="宋体"/>
          <w:b/>
          <w:color w:val="000000"/>
          <w:highlight w:val="none"/>
        </w:rPr>
        <w:t xml:space="preserve">授予合同</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中标人的确认</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评标委员会按招标文件规定的评标方法和标准进行详细评审后，按采购人或采购代理机构的委托向采购人推荐中标候选单位或根据采购人授权直接确定中标人。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采购代理机构在规定的时间内将中标结果在相应媒体上予以公示。</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合同授予标准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采购人或采购代理机构将把合同授予其投标文件在实质上响应招标文件要求和按本须知规定评选出的投标人。确定为中标的投标人必须具有实施本合同的能力和资源。</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numPr>
          <w:ilvl w:val="0"/>
          <w:numId w:val="34"/>
        </w:numPr>
        <w:ind w:left="567" w:hanging="567"/>
        <w:spacing w:line="400" w:lineRule="exact"/>
        <w:tabs>
          <w:tab w:val="left" w:pos="567" w:leader="none"/>
        </w:tabs>
        <w:rPr>
          <w:rFonts w:hint="eastAsia" w:cs="宋体"/>
          <w:b/>
          <w:bCs/>
          <w:color w:val="000000"/>
          <w:highlight w:val="none"/>
        </w:rPr>
      </w:pPr>
      <w:r>
        <w:rPr>
          <w:rFonts w:hint="eastAsia" w:cs="宋体"/>
          <w:b/>
          <w:color w:val="000000"/>
          <w:highlight w:val="none"/>
        </w:rPr>
        <w:t xml:space="preserve">中标通知书</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中标通知书将成为合同的组成部分，对采购人和中标人具有同等法律效力。</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中标通知书发出后，采购人不得违法改变中标结果，中标人无正当理由不得放弃中标。</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合同的签订</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中标人应按政府采购的相关规定，在规定的时间内与采购人签订合同。未在规定时间内与采购人签订合同的，将根据政府采购的相关规定承担相应的法律责任。</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采购人与中标人应当根据合同的约定依法履行合同义务。</w:t>
      </w:r>
      <w:r/>
    </w:p>
    <w:p>
      <w:pPr>
        <w:numPr>
          <w:ilvl w:val="0"/>
          <w:numId w:val="33"/>
        </w:numPr>
        <w:ind w:left="567" w:hanging="567"/>
        <w:spacing w:line="400" w:lineRule="exact"/>
        <w:tabs>
          <w:tab w:val="left" w:pos="567" w:leader="none"/>
        </w:tabs>
        <w:rPr>
          <w:rFonts w:hint="eastAsia" w:cs="宋体"/>
          <w:b/>
          <w:color w:val="000000"/>
          <w:highlight w:val="none"/>
        </w:rPr>
        <w:outlineLvl w:val="1"/>
      </w:pPr>
      <w:r>
        <w:rPr>
          <w:rFonts w:hint="eastAsia" w:cs="宋体"/>
          <w:b/>
          <w:bCs/>
          <w:color w:val="000000"/>
          <w:highlight w:val="none"/>
        </w:rPr>
        <w:t xml:space="preserve">其他</w:t>
      </w:r>
      <w:r>
        <w:rPr>
          <w:rFonts w:hint="eastAsia" w:cs="宋体"/>
          <w:b/>
          <w:color w:val="000000"/>
          <w:highlight w:val="none"/>
        </w:rPr>
        <w:t xml:space="preserve">事项</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中标服务费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中标人须按规定支付中标服务费，该费用应在领取中标通知书时付清。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中标人如果未按规定支付中标服务费，采购代理机构将保留诉讼的权利。</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监督</w:t>
      </w:r>
      <w:r/>
    </w:p>
    <w:p>
      <w:pPr>
        <w:numPr>
          <w:ilvl w:val="1"/>
          <w:numId w:val="34"/>
        </w:numPr>
        <w:spacing w:line="400" w:lineRule="exact"/>
        <w:rPr>
          <w:rFonts w:hint="eastAsia" w:cs="宋体"/>
          <w:color w:val="000000"/>
          <w:highlight w:val="none"/>
        </w:rPr>
        <w:outlineLvl w:val="2"/>
      </w:pPr>
      <w:r>
        <w:rPr>
          <w:rFonts w:hint="eastAsia" w:cs="宋体"/>
          <w:color w:val="000000"/>
          <w:highlight w:val="none"/>
        </w:rPr>
        <w:t xml:space="preserve">有关监督部门将对招投标全过程进行监督。</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未尽事宜</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按《中华人民共和国政府采购法》、《中华人民共和国政府采购法实施条例》及其他有关法律法规的规定执行。</w:t>
      </w:r>
      <w:r/>
    </w:p>
    <w:p>
      <w:pPr>
        <w:spacing w:line="400" w:lineRule="exact"/>
        <w:rPr>
          <w:rFonts w:hint="eastAsia" w:cs="宋体"/>
          <w:color w:val="000000"/>
          <w:highlight w:val="none"/>
        </w:rPr>
      </w:pPr>
      <w:r>
        <w:rPr>
          <w:rFonts w:hint="eastAsia" w:cs="宋体"/>
          <w:color w:val="000000"/>
          <w:highlight w:val="none"/>
        </w:rPr>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第三章  </w:t>
      </w:r>
      <w:bookmarkStart w:id="12" w:name="投标文件格式"/>
      <w:r/>
      <w:bookmarkEnd w:id="12"/>
      <w:r>
        <w:rPr>
          <w:rFonts w:hint="eastAsia" w:cs="宋体"/>
          <w:b/>
          <w:bCs/>
          <w:color w:val="000000"/>
          <w:sz w:val="44"/>
          <w:szCs w:val="44"/>
          <w:highlight w:val="none"/>
        </w:rPr>
        <w:t xml:space="preserve">投标文件格式</w:t>
      </w:r>
      <w:r/>
    </w:p>
    <w:p>
      <w:pPr>
        <w:ind w:firstLine="422"/>
        <w:spacing w:line="440" w:lineRule="exact"/>
        <w:rPr>
          <w:rFonts w:hint="eastAsia" w:cs="宋体"/>
          <w:b/>
          <w:bCs/>
          <w:color w:val="000000"/>
          <w:highlight w:val="none"/>
        </w:rPr>
      </w:pPr>
      <w:r>
        <w:rPr>
          <w:rFonts w:hint="eastAsia" w:cs="宋体"/>
          <w:b/>
          <w:bCs/>
          <w:color w:val="000000"/>
          <w:highlight w:val="none"/>
        </w:rPr>
        <w:t xml:space="preserve">说明：</w:t>
      </w:r>
      <w:r/>
    </w:p>
    <w:p>
      <w:pPr>
        <w:ind w:left="420" w:firstLine="588"/>
        <w:spacing w:line="440" w:lineRule="exact"/>
        <w:rPr>
          <w:rFonts w:hint="eastAsia" w:cs="宋体"/>
          <w:color w:val="000000"/>
          <w:highlight w:val="none"/>
        </w:rPr>
      </w:pPr>
      <w:r>
        <w:rPr>
          <w:rFonts w:hint="eastAsia" w:cs="宋体"/>
          <w:color w:val="000000"/>
          <w:highlight w:val="none"/>
        </w:rPr>
        <w:t xml:space="preserve">对本章所有的投标书格式，投标人可根据自身情况进行补充和修改，但补充和修改不得造成与本格式内容有实质性的违背。</w:t>
      </w:r>
      <w:r/>
    </w:p>
    <w:p>
      <w:pPr>
        <w:ind w:left="420" w:firstLine="588"/>
        <w:spacing w:line="440" w:lineRule="exact"/>
        <w:rPr>
          <w:rFonts w:hint="eastAsia" w:cs="宋体"/>
          <w:color w:val="000000"/>
          <w:highlight w:val="none"/>
        </w:rPr>
      </w:pPr>
      <w:r>
        <w:rPr>
          <w:rFonts w:hint="eastAsia" w:cs="宋体"/>
          <w:color w:val="000000"/>
          <w:highlight w:val="none"/>
        </w:rPr>
      </w:r>
      <w:r/>
    </w:p>
    <w:p>
      <w:pPr>
        <w:rPr>
          <w:rFonts w:hint="eastAsia" w:cs="宋体"/>
          <w:b/>
          <w:color w:val="000000"/>
          <w:highlight w:val="none"/>
        </w:rPr>
      </w:pPr>
      <w:r>
        <w:rPr>
          <w:rFonts w:hint="eastAsia" w:cs="宋体"/>
          <w:b/>
          <w:color w:val="000000"/>
          <w:highlight w:val="none"/>
        </w:rPr>
        <w:t xml:space="preserve">附件1、投标函</w:t>
      </w:r>
      <w:r/>
    </w:p>
    <w:p>
      <w:pPr>
        <w:ind w:left="482"/>
        <w:jc w:val="center"/>
        <w:spacing w:before="100" w:beforeAutospacing="1" w:after="100" w:afterAutospacing="1" w:line="480" w:lineRule="auto"/>
        <w:rPr>
          <w:rFonts w:hint="eastAsia" w:cs="宋体"/>
          <w:b/>
          <w:bCs/>
          <w:color w:val="000000"/>
          <w:highlight w:val="none"/>
        </w:rPr>
      </w:pPr>
      <w:r>
        <w:rPr>
          <w:rFonts w:hint="eastAsia" w:cs="宋体"/>
          <w:b/>
          <w:bCs/>
          <w:color w:val="000000"/>
          <w:highlight w:val="none"/>
        </w:rPr>
        <w:t xml:space="preserve">投标函</w:t>
      </w:r>
      <w:r/>
    </w:p>
    <w:p>
      <w:pPr>
        <w:ind w:firstLine="420"/>
        <w:spacing w:after="120" w:line="480" w:lineRule="auto"/>
        <w:rPr>
          <w:rFonts w:hint="eastAsia" w:cs="宋体"/>
          <w:bCs/>
          <w:color w:val="000000"/>
          <w:highlight w:val="none"/>
        </w:rPr>
      </w:pPr>
      <w:r>
        <w:rPr>
          <w:rFonts w:hint="eastAsia" w:cs="宋体"/>
          <w:bCs/>
          <w:color w:val="000000"/>
          <w:highlight w:val="none"/>
          <w:lang w:eastAsia="zh-CN"/>
        </w:rPr>
        <w:t xml:space="preserve">经纬工程咨询（苏州）有限公司</w:t>
      </w:r>
      <w:r>
        <w:rPr>
          <w:rFonts w:hint="eastAsia" w:cs="宋体"/>
          <w:bCs/>
          <w:color w:val="000000"/>
          <w:highlight w:val="none"/>
        </w:rPr>
        <w:t xml:space="preserve">：</w:t>
      </w:r>
      <w:r/>
    </w:p>
    <w:p>
      <w:pPr>
        <w:ind w:firstLine="420"/>
        <w:spacing w:after="120" w:line="360" w:lineRule="auto"/>
        <w:rPr>
          <w:rFonts w:hint="eastAsia" w:cs="宋体"/>
          <w:bCs/>
          <w:color w:val="000000"/>
          <w:highlight w:val="none"/>
        </w:rPr>
      </w:pPr>
      <w:r>
        <w:rPr>
          <w:rFonts w:hint="eastAsia" w:cs="宋体"/>
          <w:bCs/>
          <w:color w:val="000000"/>
          <w:highlight w:val="none"/>
        </w:rPr>
        <w:t xml:space="preserve">我方全面研究了</w:t>
      </w:r>
      <w:r>
        <w:rPr>
          <w:rFonts w:hint="eastAsia" w:cs="宋体"/>
          <w:bCs/>
          <w:color w:val="000000"/>
          <w:highlight w:val="none"/>
          <w:u w:val="single"/>
        </w:rPr>
        <w:t xml:space="preserve">               </w:t>
      </w:r>
      <w:r>
        <w:rPr>
          <w:rFonts w:hint="eastAsia" w:cs="宋体"/>
          <w:bCs/>
          <w:color w:val="000000"/>
          <w:highlight w:val="none"/>
        </w:rPr>
        <w:t xml:space="preserve">项目招标文件，决定参加贵单位组织的本项目投标。</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1、我方自愿按照招标文件规定的各项要求向采购人提供所需服务。</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2、一旦我方中标，我们将严格履行招标文件中规定的每一项要求，按期、按质、按量履行合同的义务。</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3、我们同意按招标文件中的规定，本投标书的有效期限为自投标截止之日起</w:t>
      </w:r>
      <w:r>
        <w:rPr>
          <w:rFonts w:hint="eastAsia" w:cs="宋体"/>
          <w:bCs/>
          <w:color w:val="000000"/>
          <w:highlight w:val="none"/>
          <w:u w:val="single"/>
        </w:rPr>
        <w:t xml:space="preserve">  90 </w:t>
      </w:r>
      <w:r>
        <w:rPr>
          <w:rFonts w:hint="eastAsia" w:cs="宋体"/>
          <w:bCs/>
          <w:color w:val="000000"/>
          <w:highlight w:val="none"/>
        </w:rPr>
        <w:t xml:space="preserve">天。</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4、我们愿意提供招标文件中要求的相关资料。</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5、我们愿意遵守招标公告及招标文件中所列的收费标准。</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6、我们承诺该项投标在开标后的全过程中保持有效，不作任何更改和变动。</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7、我方愿意提供贵单位可能另外要求的，与投标有关的文件资料，并保证我方已提供和将要提供的文件资料是真实、准确的。</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投标人名称：        （盖章）</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法定代表人或代理人（签字或盖章）：</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通讯地址：</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联系电话：</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日    期：</w:t>
      </w:r>
      <w:r/>
    </w:p>
    <w:p>
      <w:pPr>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附件2、法定代表人授权委托书</w:t>
      </w:r>
      <w:r/>
    </w:p>
    <w:p>
      <w:pPr>
        <w:ind w:firstLine="420"/>
        <w:jc w:val="center"/>
        <w:spacing w:before="100" w:beforeAutospacing="1" w:after="100" w:afterAutospacing="1" w:line="480" w:lineRule="auto"/>
        <w:rPr>
          <w:rFonts w:hint="eastAsia" w:cs="宋体"/>
          <w:color w:val="000000"/>
          <w:highlight w:val="none"/>
        </w:rPr>
      </w:pPr>
      <w:r>
        <w:rPr>
          <w:rFonts w:hint="eastAsia" w:cs="宋体"/>
          <w:color w:val="000000"/>
          <w:highlight w:val="none"/>
        </w:rPr>
        <w:t xml:space="preserve">法定代表人授权委托书</w:t>
      </w:r>
      <w:r/>
    </w:p>
    <w:p>
      <w:pPr>
        <w:ind w:firstLine="420"/>
        <w:spacing w:line="360" w:lineRule="auto"/>
        <w:rPr>
          <w:rFonts w:hint="eastAsia" w:cs="宋体"/>
          <w:color w:val="000000"/>
          <w:highlight w:val="none"/>
        </w:rPr>
      </w:pPr>
      <w:r>
        <w:rPr>
          <w:rFonts w:hint="eastAsia" w:cs="宋体"/>
          <w:color w:val="000000"/>
          <w:highlight w:val="none"/>
        </w:rPr>
        <w:t xml:space="preserve">本授权委托书声明：  我 </w:t>
      </w:r>
      <w:r>
        <w:rPr>
          <w:rFonts w:hint="eastAsia" w:cs="宋体"/>
          <w:color w:val="000000"/>
          <w:highlight w:val="none"/>
          <w:u w:val="single"/>
        </w:rPr>
        <w:t xml:space="preserve">           </w:t>
      </w:r>
      <w:r>
        <w:rPr>
          <w:rFonts w:hint="eastAsia" w:cs="宋体"/>
          <w:color w:val="000000"/>
          <w:highlight w:val="none"/>
        </w:rPr>
        <w:t xml:space="preserve">（姓名）系</w:t>
      </w:r>
      <w:r>
        <w:rPr>
          <w:rFonts w:hint="eastAsia" w:cs="宋体"/>
          <w:color w:val="000000"/>
          <w:highlight w:val="none"/>
          <w:u w:val="single"/>
        </w:rPr>
        <w:t xml:space="preserve">                 </w:t>
      </w:r>
      <w:r>
        <w:rPr>
          <w:rFonts w:hint="eastAsia" w:cs="宋体"/>
          <w:color w:val="000000"/>
          <w:highlight w:val="none"/>
        </w:rPr>
        <w:t xml:space="preserve">（投标人名称）的法定代表人，现授权委托</w:t>
      </w:r>
      <w:r>
        <w:rPr>
          <w:rFonts w:hint="eastAsia" w:cs="宋体"/>
          <w:color w:val="000000"/>
          <w:highlight w:val="none"/>
          <w:u w:val="single"/>
        </w:rPr>
        <w:t xml:space="preserve">           </w:t>
      </w:r>
      <w:r>
        <w:rPr>
          <w:rFonts w:hint="eastAsia" w:cs="宋体"/>
          <w:color w:val="000000"/>
          <w:highlight w:val="none"/>
        </w:rPr>
        <w:t xml:space="preserve">（姓名）为我公司授权代表（即代理人），以本公司的名义参加</w:t>
      </w:r>
      <w:r>
        <w:rPr>
          <w:rFonts w:hint="eastAsia" w:cs="宋体"/>
          <w:color w:val="000000"/>
          <w:highlight w:val="none"/>
          <w:u w:val="single"/>
        </w:rPr>
        <w:t xml:space="preserve"> </w:t>
      </w:r>
      <w:r>
        <w:rPr>
          <w:rFonts w:hint="eastAsia" w:cs="宋体"/>
          <w:color w:val="000000"/>
          <w:highlight w:val="none"/>
          <w:u w:val="single"/>
          <w:lang w:eastAsia="zh-CN"/>
        </w:rPr>
        <w:t xml:space="preserve">经纬工程咨询（苏州）有限公司</w:t>
      </w:r>
      <w:r>
        <w:rPr>
          <w:rFonts w:hint="eastAsia" w:cs="宋体"/>
          <w:i/>
          <w:color w:val="000000"/>
          <w:highlight w:val="none"/>
          <w:u w:val="single"/>
        </w:rPr>
        <w:t xml:space="preserve"> </w:t>
      </w:r>
      <w:r>
        <w:rPr>
          <w:rFonts w:hint="eastAsia" w:cs="宋体"/>
          <w:color w:val="000000"/>
          <w:highlight w:val="none"/>
        </w:rPr>
        <w:t xml:space="preserve">组织实施的编号为</w:t>
      </w:r>
      <w:r>
        <w:rPr>
          <w:rFonts w:hint="eastAsia" w:cs="宋体"/>
          <w:color w:val="000000"/>
          <w:highlight w:val="none"/>
          <w:u w:val="single"/>
        </w:rPr>
        <w:t xml:space="preserve">                         </w:t>
      </w:r>
      <w:r>
        <w:rPr>
          <w:rFonts w:hint="eastAsia" w:cs="宋体"/>
          <w:color w:val="000000"/>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cs="宋体"/>
          <w:color w:val="000000"/>
          <w:highlight w:val="none"/>
        </w:rPr>
      </w:pPr>
      <w:r>
        <w:rPr>
          <w:rFonts w:hint="eastAsia" w:cs="宋体"/>
          <w:color w:val="000000"/>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cs="宋体"/>
          <w:color w:val="000000"/>
          <w:highlight w:val="none"/>
        </w:rPr>
      </w:pPr>
      <w:r>
        <w:rPr>
          <w:rFonts w:hint="eastAsia" w:cs="宋体"/>
          <w:color w:val="000000"/>
          <w:highlight w:val="none"/>
        </w:rPr>
        <w:t xml:space="preserve">代理人无转委托权。特此委托。</w:t>
      </w:r>
      <w:r/>
    </w:p>
    <w:p>
      <w:pPr>
        <w:ind w:firstLine="420"/>
        <w:spacing w:line="360" w:lineRule="auto"/>
        <w:rPr>
          <w:rFonts w:hint="eastAsia" w:cs="宋体"/>
          <w:color w:val="000000"/>
          <w:highlight w:val="none"/>
        </w:rPr>
      </w:pPr>
      <w:r>
        <w:rPr>
          <w:rFonts w:hint="eastAsia" w:cs="宋体"/>
          <w:color w:val="000000"/>
          <w:highlight w:val="none"/>
        </w:rPr>
        <w:t xml:space="preserve">    </w:t>
      </w:r>
      <w:r/>
    </w:p>
    <w:p>
      <w:pPr>
        <w:ind w:firstLine="420"/>
        <w:spacing w:line="360" w:lineRule="auto"/>
        <w:rPr>
          <w:rFonts w:hint="eastAsia" w:cs="宋体"/>
          <w:color w:val="000000"/>
          <w:highlight w:val="none"/>
        </w:rPr>
      </w:pPr>
      <w:r>
        <w:rPr>
          <w:rFonts w:hint="eastAsia" w:cs="宋体"/>
          <w:bCs/>
          <w:color w:val="000000"/>
          <w:highlight w:val="none"/>
        </w:rPr>
        <w:t xml:space="preserve">投标人名称：</w:t>
      </w:r>
      <w:r>
        <w:rPr>
          <w:rFonts w:hint="eastAsia" w:cs="宋体"/>
          <w:color w:val="000000"/>
          <w:highlight w:val="none"/>
        </w:rPr>
        <w:t xml:space="preserve">（盖章）</w:t>
      </w:r>
      <w:r/>
    </w:p>
    <w:p>
      <w:pPr>
        <w:ind w:firstLine="420"/>
        <w:spacing w:line="360" w:lineRule="auto"/>
        <w:rPr>
          <w:rFonts w:hint="eastAsia" w:cs="宋体"/>
          <w:color w:val="000000"/>
          <w:highlight w:val="none"/>
        </w:rPr>
      </w:pPr>
      <w:r>
        <w:rPr>
          <w:rFonts w:hint="eastAsia" w:cs="宋体"/>
          <w:color w:val="000000"/>
          <w:highlight w:val="none"/>
        </w:rPr>
        <w:t xml:space="preserve">法定代表人：（签字或盖章）</w:t>
      </w:r>
      <w:r/>
    </w:p>
    <w:p>
      <w:pPr>
        <w:ind w:firstLine="420"/>
        <w:spacing w:line="360" w:lineRule="auto"/>
        <w:rPr>
          <w:rFonts w:hint="eastAsia" w:cs="宋体"/>
          <w:color w:val="000000"/>
          <w:highlight w:val="none"/>
        </w:rPr>
      </w:pPr>
      <w:r>
        <w:rPr>
          <w:rFonts w:hint="eastAsia" w:cs="宋体"/>
          <w:color w:val="000000"/>
          <w:highlight w:val="none"/>
        </w:rPr>
        <w:t xml:space="preserve">代理人：（签字或盖章）</w:t>
      </w:r>
      <w:r/>
    </w:p>
    <w:p>
      <w:pPr>
        <w:pStyle w:val="854"/>
        <w:ind w:firstLine="420"/>
        <w:rPr>
          <w:rFonts w:hint="eastAsia" w:hAnsi="宋体" w:cs="宋体"/>
          <w:color w:val="000000"/>
          <w:szCs w:val="21"/>
          <w:highlight w:val="none"/>
        </w:rPr>
      </w:pPr>
      <w:r>
        <w:rPr>
          <w:rFonts w:hint="eastAsia" w:hAnsi="宋体" w:cs="宋体"/>
          <w:color w:val="000000"/>
          <w:szCs w:val="21"/>
          <w:highlight w:val="none"/>
        </w:rPr>
      </w:r>
      <w:r/>
    </w:p>
    <w:p>
      <w:pPr>
        <w:pStyle w:val="854"/>
        <w:ind w:firstLine="420"/>
        <w:rPr>
          <w:rFonts w:hint="eastAsia" w:hAnsi="宋体" w:cs="宋体"/>
          <w:color w:val="000000"/>
          <w:szCs w:val="21"/>
          <w:highlight w:val="none"/>
        </w:rPr>
      </w:pPr>
      <w:r>
        <w:rPr>
          <w:rFonts w:hint="eastAsia" w:hAnsi="宋体" w:cs="宋体"/>
          <w:color w:val="000000"/>
          <w:szCs w:val="21"/>
          <w:highlight w:val="none"/>
        </w:rPr>
      </w:r>
      <w:r/>
    </w:p>
    <w:p>
      <w:pPr>
        <w:pStyle w:val="854"/>
        <w:ind w:firstLine="420"/>
        <w:rPr>
          <w:rFonts w:hint="eastAsia" w:hAnsi="宋体" w:cs="宋体"/>
          <w:color w:val="000000"/>
          <w:szCs w:val="21"/>
          <w:highlight w:val="none"/>
        </w:rPr>
      </w:pPr>
      <w:r>
        <w:rPr>
          <w:rFonts w:hint="eastAsia" w:hAnsi="宋体" w:cs="宋体"/>
          <w:color w:val="000000"/>
          <w:szCs w:val="21"/>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center"/>
        <w:rPr>
          <w:rFonts w:hint="eastAsia" w:cs="宋体"/>
          <w:color w:val="000000"/>
          <w:highlight w:val="none"/>
        </w:rPr>
      </w:pPr>
      <w:r>
        <w:rPr>
          <w:rFonts w:hint="eastAsia" w:cs="宋体"/>
          <w:color w:val="000000"/>
          <w:highlight w:val="none"/>
        </w:rPr>
        <w:t xml:space="preserve">                                         年    月     日</w:t>
      </w:r>
      <w:r/>
    </w:p>
    <w:p>
      <w:pPr>
        <w:rPr>
          <w:rFonts w:hint="eastAsia" w:cs="宋体"/>
          <w:color w:val="000000"/>
          <w:highlight w:val="none"/>
        </w:rPr>
      </w:pPr>
      <w:r>
        <w:rPr>
          <w:rFonts w:hint="eastAsia" w:cs="宋体"/>
          <w:color w:val="000000"/>
          <w:highlight w:val="none"/>
        </w:rPr>
      </w:r>
      <w:r/>
    </w:p>
    <w:p>
      <w:pPr>
        <w:ind w:firstLine="211"/>
        <w:spacing w:line="440" w:lineRule="exact"/>
        <w:rPr>
          <w:rFonts w:hint="eastAsia" w:cs="宋体"/>
          <w:b/>
          <w:bCs/>
          <w:color w:val="000000"/>
          <w:highlight w:val="none"/>
        </w:rPr>
      </w:pPr>
      <w:r>
        <w:rPr>
          <w:rFonts w:hint="eastAsia" w:cs="宋体"/>
          <w:b/>
          <w:bCs/>
          <w:color w:val="000000"/>
          <w:highlight w:val="none"/>
        </w:rPr>
      </w:r>
      <w:r/>
    </w:p>
    <w:p>
      <w:pPr>
        <w:rPr>
          <w:rFonts w:hint="eastAsia" w:cs="宋体"/>
          <w:b/>
          <w:color w:val="000000"/>
          <w:highlight w:val="none"/>
        </w:rPr>
      </w:pPr>
      <w:r>
        <w:rPr>
          <w:rFonts w:hint="eastAsia" w:cs="宋体"/>
          <w:b/>
          <w:bCs/>
          <w:color w:val="000000"/>
          <w:highlight w:val="none"/>
        </w:rPr>
        <w:t xml:space="preserve">后附身份证</w:t>
      </w:r>
      <w:r>
        <w:rPr>
          <w:rFonts w:hint="eastAsia" w:cs="宋体"/>
          <w:b/>
          <w:bCs/>
          <w:color w:val="000000"/>
          <w:highlight w:val="none"/>
        </w:rPr>
        <w:br w:type="page" w:clear="all"/>
      </w:r>
      <w:r>
        <w:rPr>
          <w:rFonts w:hint="eastAsia" w:cs="宋体"/>
          <w:b/>
          <w:color w:val="000000"/>
          <w:highlight w:val="none"/>
        </w:rPr>
        <w:t xml:space="preserve">附件3、开标一览表</w:t>
      </w:r>
      <w:r>
        <w:rPr>
          <w:rFonts w:hint="eastAsia" w:cs="宋体"/>
          <w:b/>
          <w:color w:val="000000"/>
          <w:highlight w:val="none"/>
          <w:lang w:eastAsia="zh-CN"/>
        </w:rPr>
        <w:t xml:space="preserve">、</w:t>
      </w:r>
      <w:r>
        <w:rPr>
          <w:rFonts w:hint="eastAsia" w:cs="宋体"/>
          <w:b/>
          <w:color w:val="000000"/>
          <w:highlight w:val="none"/>
        </w:rPr>
        <w:t xml:space="preserve">公开分项报价表</w:t>
      </w:r>
      <w:r/>
    </w:p>
    <w:p>
      <w:pPr>
        <w:pStyle w:val="1175"/>
        <w:ind w:left="0" w:firstLine="0"/>
        <w:jc w:val="center"/>
        <w:rPr>
          <w:rFonts w:hint="eastAsia" w:cs="宋体"/>
          <w:b/>
          <w:bCs/>
          <w:color w:val="000000"/>
          <w:sz w:val="21"/>
          <w:highlight w:val="none"/>
        </w:rPr>
      </w:pPr>
      <w:r>
        <w:rPr>
          <w:rFonts w:hint="eastAsia" w:cs="宋体"/>
          <w:b/>
          <w:bCs/>
          <w:color w:val="000000"/>
          <w:sz w:val="21"/>
          <w:highlight w:val="none"/>
        </w:rPr>
        <w:t xml:space="preserve">开标一览表</w:t>
      </w:r>
      <w:r/>
    </w:p>
    <w:p>
      <w:pPr>
        <w:pStyle w:val="1175"/>
        <w:rPr>
          <w:rFonts w:hint="eastAsia" w:cs="宋体"/>
          <w:color w:val="000000"/>
          <w:sz w:val="21"/>
          <w:highlight w:val="none"/>
        </w:rPr>
      </w:pPr>
      <w:r>
        <w:rPr>
          <w:rFonts w:hint="eastAsia" w:cs="宋体"/>
          <w:color w:val="000000"/>
          <w:sz w:val="21"/>
          <w:highlight w:val="none"/>
        </w:rPr>
        <w:t xml:space="preserve">项目名称</w:t>
      </w:r>
      <w:r/>
    </w:p>
    <w:p>
      <w:pPr>
        <w:pStyle w:val="1175"/>
        <w:rPr>
          <w:rFonts w:hint="eastAsia" w:cs="宋体"/>
          <w:color w:val="000000"/>
          <w:sz w:val="21"/>
          <w:highlight w:val="none"/>
        </w:rPr>
      </w:pPr>
      <w:r>
        <w:rPr>
          <w:rFonts w:hint="eastAsia" w:cs="宋体"/>
          <w:color w:val="000000"/>
          <w:sz w:val="21"/>
          <w:highlight w:val="none"/>
        </w:rPr>
        <w:t xml:space="preserve">项目编号</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jc w:val="center"/>
          <w:trHeight w:val="680"/>
        </w:trPr>
        <w:tc>
          <w:tcPr>
            <w:tcW w:w="5213" w:type="dxa"/>
            <w:vAlign w:val="center"/>
            <w:textDirection w:val="lrTb"/>
            <w:noWrap w:val="false"/>
          </w:tcPr>
          <w:p>
            <w:pPr>
              <w:jc w:val="center"/>
              <w:rPr>
                <w:rFonts w:hint="eastAsia" w:cs="宋体"/>
                <w:color w:val="000000"/>
                <w:highlight w:val="none"/>
              </w:rPr>
            </w:pPr>
            <w:r>
              <w:rPr>
                <w:rFonts w:hint="eastAsia"/>
                <w:color w:val="000000"/>
                <w:highlight w:val="none"/>
              </w:rPr>
              <w:t xml:space="preserve">项目名称</w:t>
            </w:r>
            <w:r/>
          </w:p>
        </w:tc>
        <w:tc>
          <w:tcPr>
            <w:tcW w:w="2325" w:type="dxa"/>
            <w:vAlign w:val="center"/>
            <w:textDirection w:val="lrTb"/>
            <w:noWrap w:val="false"/>
          </w:tcPr>
          <w:p>
            <w:pPr>
              <w:jc w:val="center"/>
              <w:spacing w:line="360" w:lineRule="auto"/>
              <w:widowControl/>
              <w:rPr>
                <w:rFonts w:cs="宋体"/>
                <w:color w:val="000000"/>
                <w:highlight w:val="none"/>
              </w:rPr>
            </w:pPr>
            <w:r>
              <w:rPr>
                <w:rFonts w:hint="eastAsia" w:cs="宋体"/>
                <w:color w:val="000000"/>
                <w:highlight w:val="none"/>
              </w:rPr>
              <w:t xml:space="preserve">投标报价</w:t>
            </w:r>
            <w:r/>
          </w:p>
        </w:tc>
        <w:tc>
          <w:tcPr>
            <w:tcW w:w="1682" w:type="dxa"/>
            <w:vAlign w:val="center"/>
            <w:textDirection w:val="lrTb"/>
            <w:noWrap w:val="false"/>
          </w:tcPr>
          <w:p>
            <w:pPr>
              <w:jc w:val="center"/>
              <w:spacing w:line="360" w:lineRule="auto"/>
              <w:widowControl/>
              <w:rPr>
                <w:rFonts w:cs="宋体"/>
                <w:bCs/>
                <w:color w:val="000000"/>
                <w:highlight w:val="none"/>
              </w:rPr>
            </w:pPr>
            <w:r>
              <w:rPr>
                <w:rFonts w:hint="eastAsia" w:cs="宋体"/>
                <w:bCs/>
                <w:color w:val="000000"/>
                <w:highlight w:val="none"/>
              </w:rPr>
              <w:t xml:space="preserve">备注</w:t>
            </w:r>
            <w:r/>
          </w:p>
        </w:tc>
      </w:tr>
      <w:tr>
        <w:trPr>
          <w:jc w:val="center"/>
          <w:trHeight w:val="680"/>
        </w:trPr>
        <w:tc>
          <w:tcPr>
            <w:tcW w:w="5213" w:type="dxa"/>
            <w:vAlign w:val="center"/>
            <w:textDirection w:val="lrTb"/>
            <w:noWrap w:val="false"/>
          </w:tcPr>
          <w:p>
            <w:pPr>
              <w:jc w:val="center"/>
              <w:spacing w:line="360" w:lineRule="auto"/>
              <w:widowControl/>
              <w:rPr>
                <w:rFonts w:hint="eastAsia" w:cs="宋体"/>
                <w:color w:val="000000"/>
                <w:highlight w:val="none"/>
              </w:rPr>
            </w:pPr>
            <w:r>
              <w:rPr>
                <w:rFonts w:hint="eastAsia" w:cs="宋体"/>
                <w:color w:val="000000"/>
                <w:highlight w:val="none"/>
              </w:rPr>
            </w:r>
            <w:r/>
          </w:p>
        </w:tc>
        <w:tc>
          <w:tcPr>
            <w:tcW w:w="2325" w:type="dxa"/>
            <w:vAlign w:val="center"/>
            <w:textDirection w:val="lrTb"/>
            <w:noWrap w:val="false"/>
          </w:tcPr>
          <w:p>
            <w:pPr>
              <w:jc w:val="center"/>
              <w:spacing w:line="360" w:lineRule="auto"/>
              <w:widowControl/>
              <w:rPr>
                <w:rFonts w:cs="宋体"/>
                <w:color w:val="000000"/>
                <w:highlight w:val="none"/>
              </w:rPr>
            </w:pPr>
            <w:r>
              <w:rPr>
                <w:rFonts w:cs="宋体"/>
                <w:color w:val="000000"/>
                <w:highlight w:val="none"/>
              </w:rPr>
            </w:r>
            <w:r/>
          </w:p>
        </w:tc>
        <w:tc>
          <w:tcPr>
            <w:tcW w:w="1682" w:type="dxa"/>
            <w:vAlign w:val="center"/>
            <w:textDirection w:val="lrTb"/>
            <w:noWrap w:val="false"/>
          </w:tcPr>
          <w:p>
            <w:pPr>
              <w:jc w:val="center"/>
              <w:spacing w:line="360" w:lineRule="auto"/>
              <w:widowControl/>
              <w:rPr>
                <w:rFonts w:hint="eastAsia" w:cs="宋体"/>
                <w:color w:val="000000"/>
                <w:highlight w:val="none"/>
              </w:rPr>
            </w:pPr>
            <w:r>
              <w:rPr>
                <w:rFonts w:hint="eastAsia" w:cs="宋体"/>
                <w:color w:val="000000"/>
                <w:highlight w:val="none"/>
              </w:rPr>
            </w:r>
            <w:r/>
          </w:p>
        </w:tc>
      </w:tr>
    </w:tbl>
    <w:p>
      <w:pPr>
        <w:ind w:firstLine="420"/>
        <w:jc w:val="left"/>
        <w:spacing w:line="360" w:lineRule="auto"/>
        <w:rPr>
          <w:rFonts w:hint="eastAsia" w:cs="宋体"/>
          <w:color w:val="000000"/>
          <w:highlight w:val="none"/>
        </w:rPr>
      </w:pPr>
      <w:r>
        <w:rPr>
          <w:rFonts w:hint="eastAsia" w:cs="宋体"/>
          <w:color w:val="000000"/>
          <w:highlight w:val="none"/>
        </w:rPr>
        <w:t xml:space="preserve">供应商（盖章）：</w:t>
      </w:r>
      <w:r/>
    </w:p>
    <w:p>
      <w:pPr>
        <w:rPr>
          <w:color w:val="000000"/>
          <w:highlight w:val="none"/>
        </w:rPr>
      </w:pPr>
      <w:r>
        <w:rPr>
          <w:color w:val="000000"/>
          <w:highlight w:val="none"/>
        </w:rPr>
      </w:r>
      <w:r/>
    </w:p>
    <w:p>
      <w:pPr>
        <w:pStyle w:val="1175"/>
        <w:rPr>
          <w:rFonts w:hint="eastAsia"/>
          <w:color w:val="000000"/>
          <w:highlight w:val="none"/>
        </w:rPr>
      </w:pPr>
      <w:r>
        <w:rPr>
          <w:rFonts w:hint="eastAsia"/>
          <w:color w:val="000000"/>
          <w:highlight w:val="none"/>
        </w:rPr>
      </w:r>
      <w:r/>
    </w:p>
    <w:p>
      <w:pPr>
        <w:pStyle w:val="1175"/>
        <w:jc w:val="center"/>
        <w:rPr>
          <w:rFonts w:hint="eastAsia" w:eastAsia="宋体" w:cs="宋体"/>
          <w:b/>
          <w:bCs/>
          <w:color w:val="000000"/>
          <w:sz w:val="21"/>
          <w:highlight w:val="none"/>
          <w:lang w:val="en-US" w:eastAsia="zh-CN"/>
        </w:rPr>
      </w:pPr>
      <w:r>
        <w:rPr>
          <w:rFonts w:hint="eastAsia" w:cs="宋体"/>
          <w:b/>
          <w:bCs/>
          <w:color w:val="000000"/>
          <w:sz w:val="21"/>
          <w:highlight w:val="none"/>
        </w:rPr>
        <w:t xml:space="preserve">公开分项报价</w:t>
      </w:r>
      <w:r>
        <w:rPr>
          <w:rFonts w:hint="eastAsia" w:cs="宋体"/>
          <w:b/>
          <w:bCs/>
          <w:color w:val="000000"/>
          <w:sz w:val="21"/>
          <w:highlight w:val="none"/>
          <w:lang w:val="en-US" w:eastAsia="zh-CN"/>
        </w:rPr>
        <w:t xml:space="preserve">表</w:t>
      </w:r>
      <w:r/>
    </w:p>
    <w:tbl>
      <w:tblPr>
        <w:tblStyle w:val="823"/>
        <w:tblW w:w="0" w:type="auto"/>
        <w:tblInd w:w="4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576"/>
        <w:gridCol w:w="2205"/>
        <w:gridCol w:w="1275"/>
        <w:gridCol w:w="1276"/>
        <w:gridCol w:w="1163"/>
        <w:gridCol w:w="1070"/>
      </w:tblGrid>
      <w:tr>
        <w:trPr>
          <w:trHeight w:val="510"/>
        </w:trPr>
        <w:tc>
          <w:tcPr>
            <w:tcW w:w="73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序号</w:t>
            </w:r>
            <w:r/>
          </w:p>
        </w:tc>
        <w:tc>
          <w:tcPr>
            <w:tcW w:w="15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名称</w:t>
            </w:r>
            <w:r/>
          </w:p>
        </w:tc>
        <w:tc>
          <w:tcPr>
            <w:tcW w:w="220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服务内容</w:t>
            </w:r>
            <w:r/>
          </w:p>
        </w:tc>
        <w:tc>
          <w:tcPr>
            <w:tcW w:w="127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实施单位</w:t>
            </w:r>
            <w:r/>
          </w:p>
        </w:tc>
        <w:tc>
          <w:tcPr>
            <w:tcW w:w="12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数量</w:t>
            </w:r>
            <w:r/>
          </w:p>
        </w:tc>
        <w:tc>
          <w:tcPr>
            <w:tcW w:w="1163"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单价（元）</w:t>
            </w:r>
            <w:r/>
          </w:p>
        </w:tc>
        <w:tc>
          <w:tcPr>
            <w:tcW w:w="1070"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总价（元）</w:t>
            </w:r>
            <w:r/>
          </w:p>
        </w:tc>
      </w:tr>
      <w:tr>
        <w:trPr>
          <w:trHeight w:val="510"/>
        </w:trPr>
        <w:tc>
          <w:tcPr>
            <w:tcW w:w="735" w:type="dxa"/>
            <w:vAlign w:val="center"/>
            <w:textDirection w:val="lrTb"/>
            <w:noWrap w:val="false"/>
          </w:tcPr>
          <w:p>
            <w:pPr>
              <w:jc w:val="center"/>
              <w:rPr>
                <w:rFonts w:hint="eastAsia" w:cs="宋体"/>
                <w:color w:val="000000"/>
                <w:highlight w:val="none"/>
              </w:rPr>
            </w:pPr>
            <w:r>
              <w:rPr>
                <w:rFonts w:hint="eastAsia" w:cs="宋体"/>
                <w:color w:val="000000"/>
                <w:highlight w:val="none"/>
              </w:rPr>
            </w:r>
            <w:r/>
          </w:p>
        </w:tc>
        <w:tc>
          <w:tcPr>
            <w:tcW w:w="15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220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27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2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070"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r>
      <w:tr>
        <w:trPr>
          <w:trHeight w:val="510"/>
        </w:trPr>
        <w:tc>
          <w:tcPr>
            <w:tcW w:w="735" w:type="dxa"/>
            <w:vAlign w:val="center"/>
            <w:textDirection w:val="lrTb"/>
            <w:noWrap w:val="false"/>
          </w:tcPr>
          <w:p>
            <w:pPr>
              <w:jc w:val="center"/>
              <w:rPr>
                <w:rFonts w:hint="eastAsia" w:cs="宋体"/>
                <w:color w:val="000000"/>
                <w:highlight w:val="none"/>
              </w:rPr>
            </w:pPr>
            <w:r>
              <w:rPr>
                <w:rFonts w:hint="eastAsia" w:cs="宋体"/>
                <w:color w:val="000000"/>
                <w:highlight w:val="none"/>
              </w:rPr>
            </w:r>
            <w:r/>
          </w:p>
        </w:tc>
        <w:tc>
          <w:tcPr>
            <w:tcW w:w="15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220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27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2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070"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r>
      <w:tr>
        <w:trPr>
          <w:trHeight w:val="510"/>
        </w:trPr>
        <w:tc>
          <w:tcPr>
            <w:tcW w:w="735"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76"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2205"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1275"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1276"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1163"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1070" w:type="dxa"/>
            <w:vAlign w:val="center"/>
            <w:textDirection w:val="lrTb"/>
            <w:noWrap w:val="false"/>
          </w:tcPr>
          <w:p>
            <w:pPr>
              <w:pStyle w:val="1084"/>
              <w:jc w:val="center"/>
              <w:rPr>
                <w:rFonts w:hAnsi="宋体"/>
                <w:color w:val="000000"/>
                <w:highlight w:val="none"/>
              </w:rPr>
            </w:pPr>
            <w:r>
              <w:rPr>
                <w:rFonts w:hAnsi="宋体"/>
                <w:color w:val="000000"/>
                <w:highlight w:val="none"/>
              </w:rPr>
            </w:r>
            <w:r/>
          </w:p>
        </w:tc>
      </w:tr>
      <w:tr>
        <w:trPr>
          <w:trHeight w:val="510"/>
        </w:trPr>
        <w:tc>
          <w:tcPr>
            <w:gridSpan w:val="2"/>
            <w:tcW w:w="2311" w:type="dxa"/>
            <w:vAlign w:val="center"/>
            <w:textDirection w:val="lrTb"/>
            <w:noWrap w:val="false"/>
          </w:tcPr>
          <w:p>
            <w:pPr>
              <w:pStyle w:val="1084"/>
              <w:jc w:val="center"/>
              <w:rPr>
                <w:rFonts w:hAnsi="宋体"/>
                <w:color w:val="000000"/>
                <w:highlight w:val="none"/>
              </w:rPr>
            </w:pPr>
            <w:r>
              <w:rPr>
                <w:rFonts w:hint="eastAsia" w:hAnsi="宋体"/>
                <w:color w:val="000000"/>
                <w:highlight w:val="none"/>
              </w:rPr>
              <w:t xml:space="preserve">投标报价</w:t>
            </w:r>
            <w:r/>
          </w:p>
        </w:tc>
        <w:tc>
          <w:tcPr>
            <w:gridSpan w:val="5"/>
            <w:tcW w:w="6989" w:type="dxa"/>
            <w:vAlign w:val="center"/>
            <w:textDirection w:val="lrTb"/>
            <w:noWrap w:val="false"/>
          </w:tcPr>
          <w:p>
            <w:pPr>
              <w:pStyle w:val="1084"/>
              <w:jc w:val="center"/>
              <w:rPr>
                <w:rFonts w:hAnsi="宋体"/>
                <w:color w:val="000000"/>
                <w:highlight w:val="none"/>
              </w:rPr>
            </w:pPr>
            <w:r>
              <w:rPr>
                <w:rFonts w:hint="eastAsia" w:hAnsi="宋体" w:cs="宋体"/>
                <w:color w:val="000000"/>
                <w:highlight w:val="none"/>
              </w:rPr>
              <w:t xml:space="preserve">人民币（大写）</w:t>
            </w:r>
            <w:r>
              <w:rPr>
                <w:rFonts w:hint="eastAsia" w:hAnsi="宋体" w:cs="宋体"/>
                <w:color w:val="000000"/>
                <w:highlight w:val="none"/>
                <w:u w:val="single"/>
              </w:rPr>
              <w:t xml:space="preserve">                          </w:t>
            </w:r>
            <w:r>
              <w:rPr>
                <w:rFonts w:hint="eastAsia" w:hAnsi="宋体" w:cs="宋体"/>
                <w:color w:val="000000"/>
                <w:highlight w:val="none"/>
              </w:rPr>
              <w:t xml:space="preserve">；（小写）￥</w:t>
            </w:r>
            <w:r>
              <w:rPr>
                <w:rFonts w:hint="eastAsia" w:hAnsi="宋体" w:cs="宋体"/>
                <w:color w:val="000000"/>
                <w:highlight w:val="none"/>
                <w:u w:val="single"/>
              </w:rPr>
              <w:t xml:space="preserve">             </w:t>
            </w:r>
            <w:r>
              <w:rPr>
                <w:rFonts w:hint="eastAsia" w:hAnsi="宋体" w:cs="宋体"/>
                <w:color w:val="000000"/>
                <w:highlight w:val="none"/>
              </w:rPr>
              <w:t xml:space="preserve"> ；</w:t>
            </w:r>
            <w:r/>
          </w:p>
        </w:tc>
      </w:tr>
    </w:tbl>
    <w:p>
      <w:pPr>
        <w:ind w:firstLine="420"/>
        <w:spacing w:line="440" w:lineRule="exact"/>
        <w:rPr>
          <w:rFonts w:hint="eastAsia" w:cs="宋体"/>
          <w:bCs/>
          <w:color w:val="000000"/>
          <w:highlight w:val="none"/>
        </w:rPr>
      </w:pPr>
      <w:r>
        <w:rPr>
          <w:rFonts w:hint="eastAsia" w:cs="宋体"/>
          <w:color w:val="000000"/>
          <w:highlight w:val="none"/>
        </w:rPr>
        <w:t xml:space="preserve">注：“公开分项报价</w:t>
      </w:r>
      <w:r>
        <w:rPr>
          <w:rFonts w:hint="eastAsia" w:cs="宋体"/>
          <w:bCs/>
          <w:color w:val="000000"/>
          <w:highlight w:val="none"/>
        </w:rPr>
        <w:t xml:space="preserve">”投标价应当与“开标一览表”的</w:t>
      </w:r>
      <w:r>
        <w:rPr>
          <w:rFonts w:hint="eastAsia" w:cs="宋体"/>
          <w:color w:val="000000"/>
          <w:highlight w:val="none"/>
        </w:rPr>
        <w:t xml:space="preserve">投标报价</w:t>
      </w:r>
      <w:r>
        <w:rPr>
          <w:rFonts w:hint="eastAsia" w:cs="宋体"/>
          <w:bCs/>
          <w:color w:val="000000"/>
          <w:highlight w:val="none"/>
        </w:rPr>
        <w:t xml:space="preserve">相等，如不相等，以“开标一览表”为准。</w:t>
      </w:r>
      <w:r/>
    </w:p>
    <w:p>
      <w:pPr>
        <w:ind w:firstLine="420"/>
        <w:spacing w:line="440" w:lineRule="exact"/>
        <w:rPr>
          <w:rFonts w:hint="eastAsia" w:cs="宋体"/>
          <w:color w:val="000000"/>
          <w:highlight w:val="none"/>
        </w:rPr>
      </w:pPr>
      <w:r>
        <w:rPr>
          <w:rFonts w:hint="eastAsia" w:cs="宋体"/>
          <w:color w:val="000000"/>
          <w:highlight w:val="none"/>
        </w:rPr>
      </w:r>
      <w:r/>
    </w:p>
    <w:p>
      <w:pPr>
        <w:ind w:firstLine="420"/>
        <w:spacing w:line="440" w:lineRule="exact"/>
        <w:rPr>
          <w:rFonts w:hint="eastAsia" w:cs="宋体"/>
          <w:color w:val="000000"/>
          <w:highlight w:val="none"/>
        </w:rPr>
      </w:pPr>
      <w:r>
        <w:rPr>
          <w:rFonts w:hint="eastAsia" w:cs="宋体"/>
          <w:color w:val="000000"/>
          <w:highlight w:val="none"/>
        </w:rPr>
        <w:t xml:space="preserve">投标人名称：（单位盖章）</w:t>
      </w:r>
      <w:r/>
    </w:p>
    <w:p>
      <w:pPr>
        <w:ind w:firstLine="420"/>
        <w:spacing w:line="440" w:lineRule="exact"/>
        <w:rPr>
          <w:rFonts w:hint="eastAsia" w:cs="宋体"/>
          <w:color w:val="000000"/>
          <w:highlight w:val="none"/>
        </w:rPr>
      </w:pPr>
      <w:r>
        <w:rPr>
          <w:rFonts w:hint="eastAsia" w:cs="宋体"/>
          <w:color w:val="000000"/>
          <w:highlight w:val="none"/>
        </w:rPr>
        <w:t xml:space="preserve">法定代表人或代理人：（签字或盖章）</w:t>
      </w:r>
      <w:r/>
    </w:p>
    <w:p>
      <w:pPr>
        <w:ind w:firstLine="420"/>
        <w:spacing w:line="440" w:lineRule="exact"/>
        <w:rPr>
          <w:rFonts w:cs="宋体"/>
          <w:color w:val="000000"/>
          <w:highlight w:val="none"/>
        </w:rPr>
      </w:pPr>
      <w:r>
        <w:rPr>
          <w:rFonts w:hint="eastAsia" w:cs="宋体"/>
          <w:color w:val="000000"/>
          <w:highlight w:val="none"/>
        </w:rPr>
        <w:t xml:space="preserve">联系人：</w:t>
      </w:r>
      <w:r/>
    </w:p>
    <w:p>
      <w:pPr>
        <w:ind w:firstLine="420"/>
        <w:spacing w:line="440" w:lineRule="exact"/>
        <w:rPr>
          <w:rFonts w:hint="eastAsia" w:cs="宋体"/>
          <w:color w:val="000000"/>
          <w:highlight w:val="none"/>
        </w:rPr>
      </w:pPr>
      <w:r>
        <w:rPr>
          <w:rFonts w:hint="eastAsia" w:cs="宋体"/>
          <w:color w:val="000000"/>
          <w:highlight w:val="none"/>
        </w:rPr>
        <w:t xml:space="preserve">联系手机：</w:t>
      </w:r>
      <w:r/>
    </w:p>
    <w:p>
      <w:pPr>
        <w:ind w:firstLine="420"/>
        <w:spacing w:line="440" w:lineRule="exact"/>
        <w:rPr>
          <w:rFonts w:hint="eastAsia" w:cs="宋体"/>
          <w:color w:val="000000"/>
          <w:highlight w:val="none"/>
        </w:rPr>
      </w:pPr>
      <w:r>
        <w:rPr>
          <w:rFonts w:hint="eastAsia" w:cs="宋体"/>
          <w:color w:val="000000"/>
          <w:highlight w:val="none"/>
        </w:rPr>
        <w:t xml:space="preserve">日期： </w:t>
      </w:r>
      <w:r/>
    </w:p>
    <w:p>
      <w:pPr>
        <w:jc w:val="left"/>
        <w:spacing w:line="400" w:lineRule="exact"/>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附件4、技术要求偏离表</w:t>
      </w:r>
      <w:r/>
    </w:p>
    <w:p>
      <w:pPr>
        <w:jc w:val="center"/>
        <w:spacing w:line="480" w:lineRule="auto"/>
        <w:rPr>
          <w:rFonts w:hint="eastAsia" w:cs="宋体"/>
          <w:b/>
          <w:bCs/>
          <w:color w:val="000000"/>
          <w:highlight w:val="none"/>
        </w:rPr>
      </w:pPr>
      <w:r/>
      <w:bookmarkStart w:id="13" w:name="_Hlk166591442"/>
      <w:r>
        <w:rPr>
          <w:rFonts w:hint="eastAsia" w:cs="宋体"/>
          <w:b/>
          <w:bCs/>
          <w:color w:val="000000"/>
          <w:highlight w:val="none"/>
        </w:rPr>
        <w:t xml:space="preserve">技术要求偏离表</w:t>
      </w:r>
      <w:bookmarkEnd w:id="13"/>
      <w:r/>
      <w:r/>
    </w:p>
    <w:p>
      <w:pPr>
        <w:ind w:firstLine="283"/>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JSZC-320506-JWGC-G2026-0002</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84"/>
        <w:gridCol w:w="1684"/>
        <w:gridCol w:w="2251"/>
        <w:gridCol w:w="1701"/>
        <w:gridCol w:w="1027"/>
      </w:tblGrid>
      <w:tr>
        <w:trPr>
          <w:jc w:val="center"/>
          <w:trHeight w:val="454"/>
        </w:trPr>
        <w:tc>
          <w:tcPr>
            <w:tcW w:w="959"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序号</w:t>
            </w:r>
            <w:r/>
          </w:p>
        </w:tc>
        <w:tc>
          <w:tcPr>
            <w:tcW w:w="1984"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名称</w:t>
            </w:r>
            <w:r/>
          </w:p>
        </w:tc>
        <w:tc>
          <w:tcPr>
            <w:tcW w:w="1684"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招标需求</w:t>
            </w:r>
            <w:r/>
          </w:p>
        </w:tc>
        <w:tc>
          <w:tcPr>
            <w:tcW w:w="2251"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响应内容</w:t>
            </w:r>
            <w:r/>
          </w:p>
        </w:tc>
        <w:tc>
          <w:tcPr>
            <w:tcW w:w="1701"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偏离情况</w:t>
            </w:r>
            <w:r/>
          </w:p>
        </w:tc>
        <w:tc>
          <w:tcPr>
            <w:tcW w:w="1027"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说明</w:t>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bl>
    <w:p>
      <w:pPr>
        <w:spacing w:line="400" w:lineRule="exact"/>
        <w:rPr>
          <w:rFonts w:hint="eastAsia" w:cs="宋体"/>
          <w:color w:val="000000"/>
          <w:highlight w:val="none"/>
        </w:rPr>
      </w:pPr>
      <w:r>
        <w:rPr>
          <w:rFonts w:hint="eastAsia" w:cs="宋体"/>
          <w:color w:val="000000"/>
          <w:highlight w:val="none"/>
        </w:rPr>
        <w:t xml:space="preserve">注：1、投标供应商应对照招标文件要求等进行响应说明，所响应标的物与招标文件的规定有偏离的，应在此表中申明与招标要求条文的偏差和例外。</w:t>
      </w:r>
      <w:r/>
    </w:p>
    <w:p>
      <w:pPr>
        <w:ind w:firstLine="420"/>
        <w:spacing w:line="400" w:lineRule="exact"/>
        <w:rPr>
          <w:rFonts w:hint="eastAsia" w:cs="宋体"/>
          <w:color w:val="000000"/>
          <w:highlight w:val="none"/>
        </w:rPr>
      </w:pPr>
      <w:r>
        <w:rPr>
          <w:rFonts w:hint="eastAsia" w:cs="宋体"/>
          <w:color w:val="000000"/>
          <w:highlight w:val="none"/>
        </w:rPr>
        <w:t xml:space="preserve">2、未在上表中说明的，如在投标文件其他内容中已有文字说明的，则以已有文字说明为准，否则，将被认为完全响应招标文件的规定。</w:t>
      </w:r>
      <w:r/>
    </w:p>
    <w:p>
      <w:pPr>
        <w:pStyle w:val="1006"/>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1006"/>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1006"/>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rPr>
          <w:rFonts w:hint="eastAsia" w:cs="宋体"/>
          <w:b/>
          <w:color w:val="000000"/>
          <w:highlight w:val="none"/>
        </w:rPr>
      </w:pPr>
      <w:r>
        <w:rPr>
          <w:rFonts w:hint="eastAsia" w:cs="宋体"/>
          <w:b/>
          <w:color w:val="000000"/>
          <w:highlight w:val="none"/>
        </w:rPr>
      </w:r>
      <w:r/>
    </w:p>
    <w:p>
      <w:pPr>
        <w:rPr>
          <w:rFonts w:hint="eastAsia" w:cs="宋体"/>
          <w:b/>
          <w:color w:val="000000"/>
          <w:highlight w:val="none"/>
        </w:rPr>
      </w:pPr>
      <w:r>
        <w:rPr>
          <w:rFonts w:hint="eastAsia" w:cs="宋体"/>
          <w:b/>
          <w:color w:val="000000"/>
          <w:highlight w:val="none"/>
        </w:rPr>
        <w:t xml:space="preserve">附件5、</w:t>
      </w:r>
      <w:bookmarkStart w:id="14" w:name="_Hlk166591448"/>
      <w:r>
        <w:rPr>
          <w:rFonts w:hint="eastAsia" w:cs="宋体"/>
          <w:b/>
          <w:color w:val="000000"/>
          <w:highlight w:val="none"/>
        </w:rPr>
        <w:t xml:space="preserve">商务要求偏离表</w:t>
      </w:r>
      <w:bookmarkEnd w:id="14"/>
      <w:r/>
      <w:r/>
    </w:p>
    <w:p>
      <w:pPr>
        <w:jc w:val="center"/>
        <w:rPr>
          <w:rFonts w:hint="eastAsia" w:cs="宋体"/>
          <w:b/>
          <w:bCs/>
          <w:color w:val="000000"/>
          <w:highlight w:val="none"/>
        </w:rPr>
      </w:pPr>
      <w:r>
        <w:rPr>
          <w:rFonts w:hint="eastAsia" w:cs="宋体"/>
          <w:b/>
          <w:bCs/>
          <w:color w:val="000000"/>
          <w:highlight w:val="none"/>
        </w:rPr>
        <w:t xml:space="preserve">商务要求偏离表</w:t>
      </w:r>
      <w:r/>
    </w:p>
    <w:p>
      <w:pPr>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JSZC-320506-JWGC-G2026-0002</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540"/>
      </w:tblGrid>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序号</w:t>
            </w:r>
            <w:r/>
          </w:p>
        </w:tc>
        <w:tc>
          <w:tcPr>
            <w:tcW w:w="2126"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招标文件条目</w:t>
            </w:r>
            <w:r/>
          </w:p>
        </w:tc>
        <w:tc>
          <w:tcPr>
            <w:tcW w:w="255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招标文件的商务条款</w:t>
            </w:r>
            <w:r/>
          </w:p>
        </w:tc>
        <w:tc>
          <w:tcPr>
            <w:tcW w:w="257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投标文件的商务条款</w:t>
            </w:r>
            <w:r/>
          </w:p>
        </w:tc>
        <w:tc>
          <w:tcPr>
            <w:tcW w:w="1540"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说明</w:t>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1</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服务</w:t>
            </w:r>
            <w:r>
              <w:rPr>
                <w:rFonts w:hint="eastAsia" w:cs="宋体"/>
                <w:color w:val="000000"/>
                <w:highlight w:val="none"/>
                <w:lang w:val="zh-CN"/>
              </w:rPr>
              <w:t xml:space="preserve">期限</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2</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服务</w:t>
            </w:r>
            <w:r>
              <w:rPr>
                <w:rFonts w:hint="eastAsia" w:cs="宋体"/>
                <w:color w:val="000000"/>
                <w:highlight w:val="none"/>
                <w:lang w:val="zh-CN"/>
              </w:rPr>
              <w:t xml:space="preserve">地点</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3</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zh-CN"/>
              </w:rPr>
              <w:t xml:space="preserve">付款方式</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eastAsia="宋体" w:cs="宋体"/>
                <w:color w:val="000000"/>
                <w:highlight w:val="none"/>
                <w:lang w:eastAsia="zh-CN"/>
              </w:rPr>
            </w:pPr>
            <w:r>
              <w:rPr>
                <w:rFonts w:hint="eastAsia" w:cs="宋体"/>
                <w:color w:val="000000"/>
                <w:highlight w:val="none"/>
                <w:lang w:eastAsia="zh-CN"/>
              </w:rPr>
              <w:t xml:space="preserve">……</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zh-CN"/>
              </w:rPr>
              <w:t xml:space="preserve">其他商务要求</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bl>
    <w:p>
      <w:pPr>
        <w:spacing w:line="400" w:lineRule="exact"/>
        <w:rPr>
          <w:rFonts w:hint="eastAsia" w:cs="宋体"/>
          <w:color w:val="000000"/>
          <w:highlight w:val="none"/>
          <w:lang w:val="zh-CN"/>
        </w:rPr>
      </w:pPr>
      <w:r>
        <w:rPr>
          <w:rFonts w:hint="eastAsia" w:cs="宋体"/>
          <w:color w:val="000000"/>
          <w:highlight w:val="none"/>
        </w:rPr>
        <w:t xml:space="preserve">注：1.投标人的投标文件（除技术规格部分）与招标文件规定的有偏离的，应在此表中说明。未在上表中说明的，将被认为完全响应招标文件的规定。</w:t>
      </w:r>
      <w:r/>
    </w:p>
    <w:p>
      <w:pPr>
        <w:ind w:firstLine="420"/>
        <w:jc w:val="left"/>
        <w:spacing w:line="400" w:lineRule="exact"/>
        <w:rPr>
          <w:rFonts w:hint="eastAsia" w:cs="宋体"/>
          <w:color w:val="000000"/>
          <w:highlight w:val="none"/>
        </w:rPr>
      </w:pPr>
      <w:r>
        <w:rPr>
          <w:rFonts w:hint="eastAsia" w:cs="宋体"/>
          <w:color w:val="000000"/>
          <w:highlight w:val="none"/>
        </w:rPr>
        <w:t xml:space="preserve">2.若事项较多，投标人可根据投标内容的实际情况另纸说明。</w:t>
      </w:r>
      <w:r/>
    </w:p>
    <w:p>
      <w:pPr>
        <w:ind w:firstLine="420"/>
        <w:jc w:val="left"/>
        <w:spacing w:line="400" w:lineRule="exact"/>
        <w:rPr>
          <w:rFonts w:hint="eastAsia" w:cs="宋体"/>
          <w:color w:val="000000"/>
          <w:highlight w:val="none"/>
        </w:rPr>
      </w:pPr>
      <w:r>
        <w:rPr>
          <w:rFonts w:hint="eastAsia" w:cs="宋体"/>
          <w:color w:val="000000"/>
          <w:highlight w:val="none"/>
        </w:rPr>
      </w:r>
      <w:r/>
    </w:p>
    <w:p>
      <w:pPr>
        <w:pStyle w:val="1006"/>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1006"/>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1006"/>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spacing w:line="440" w:lineRule="exact"/>
        <w:rPr>
          <w:rFonts w:hint="eastAsia"/>
          <w:b/>
          <w:bCs/>
          <w:color w:val="000000"/>
          <w:highlight w:val="none"/>
        </w:rPr>
      </w:pPr>
      <w:r>
        <w:rPr>
          <w:rFonts w:hint="eastAsia" w:cs="宋体"/>
          <w:color w:val="000000"/>
          <w:highlight w:val="none"/>
        </w:rPr>
        <w:br w:type="page" w:clear="all"/>
      </w:r>
      <w:r>
        <w:rPr>
          <w:rFonts w:hint="eastAsia"/>
          <w:b/>
          <w:bCs/>
          <w:color w:val="000000"/>
          <w:highlight w:val="none"/>
        </w:rPr>
        <w:t xml:space="preserve">附件6</w:t>
      </w:r>
      <w:r/>
    </w:p>
    <w:p>
      <w:pPr>
        <w:ind w:firstLine="316"/>
        <w:jc w:val="center"/>
        <w:spacing w:line="400" w:lineRule="exact"/>
        <w:rPr>
          <w:b/>
          <w:bCs/>
          <w:color w:val="000000"/>
          <w:highlight w:val="none"/>
        </w:rPr>
      </w:pPr>
      <w:r>
        <w:rPr>
          <w:rFonts w:hint="eastAsia"/>
          <w:b/>
          <w:bCs/>
          <w:color w:val="000000"/>
          <w:highlight w:val="none"/>
        </w:rPr>
        <w:t xml:space="preserve">供应商</w:t>
      </w:r>
      <w:r>
        <w:rPr>
          <w:b/>
          <w:bCs/>
          <w:color w:val="000000"/>
          <w:highlight w:val="none"/>
        </w:rPr>
        <w:t xml:space="preserve">单</w:t>
      </w:r>
      <w:r>
        <w:rPr>
          <w:rFonts w:hint="eastAsia"/>
          <w:b/>
          <w:bCs/>
          <w:color w:val="000000"/>
          <w:highlight w:val="none"/>
        </w:rPr>
        <w:t xml:space="preserve">位基本</w:t>
      </w:r>
      <w:r>
        <w:rPr>
          <w:b/>
          <w:bCs/>
          <w:color w:val="000000"/>
          <w:highlight w:val="none"/>
        </w:rPr>
        <w:t xml:space="preserve">情况表</w:t>
      </w:r>
      <w:r/>
    </w:p>
    <w:p>
      <w:pPr>
        <w:pStyle w:val="1395"/>
        <w:rPr>
          <w:color w:val="000000"/>
          <w:highlight w:val="none"/>
        </w:rPr>
      </w:pPr>
      <w:r>
        <w:rPr>
          <w:color w:val="000000"/>
          <w:highlight w:val="none"/>
        </w:rPr>
      </w:r>
      <w:r/>
    </w:p>
    <w:tbl>
      <w:tblPr>
        <w:tblStyle w:val="82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p>
        </w:tc>
        <w:tc>
          <w:tcPr>
            <w:tcW w:w="22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p>
        </w:tc>
        <w:tc>
          <w:tcPr>
            <w:tcW w:w="283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注册地址</w:t>
            </w:r>
            <w:r/>
          </w:p>
        </w:tc>
        <w:tc>
          <w:tcPr>
            <w:tcW w:w="22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注册资金</w:t>
            </w:r>
            <w:r/>
          </w:p>
        </w:tc>
        <w:tc>
          <w:tcPr>
            <w:tcW w:w="2835" w:type="dxa"/>
            <w:vAlign w:val="center"/>
            <w:textDirection w:val="lrTb"/>
            <w:noWrap w:val="false"/>
          </w:tcPr>
          <w:p>
            <w:pPr>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企业资质等级</w:t>
            </w:r>
            <w:r/>
          </w:p>
        </w:tc>
        <w:tc>
          <w:tcPr>
            <w:tcW w:w="22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员工总人数</w:t>
            </w:r>
            <w:r/>
          </w:p>
        </w:tc>
        <w:tc>
          <w:tcPr>
            <w:tcW w:w="283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p>
        </w:tc>
        <w:tc>
          <w:tcPr>
            <w:tcW w:w="2268"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w:t>
            </w:r>
            <w:r/>
          </w:p>
        </w:tc>
        <w:tc>
          <w:tcPr>
            <w:tcW w:w="2835"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p>
        </w:tc>
        <w:tc>
          <w:tcPr>
            <w:tcW w:w="2268"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p>
        </w:tc>
        <w:tc>
          <w:tcPr>
            <w:tcW w:w="283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商业信誉和健全的财务会计制度介绍</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履行合同所必需的设备和专业技术能力情况</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依法缴纳税收和社会保障资金情况</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参加政府采购活动前三年内，在经营活动中有无重大违法记录</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color w:val="000000"/>
                <w:highlight w:val="none"/>
                <w:lang w:val="en-US" w:eastAsia="zh-CN"/>
              </w:rPr>
            </w:pPr>
            <w:r>
              <w:rPr>
                <w:rFonts w:hint="eastAsia"/>
                <w:color w:val="000000"/>
                <w:highlight w:val="none"/>
                <w:lang w:val="en-US" w:eastAsia="zh-CN"/>
              </w:rPr>
              <w:t xml:space="preserve">开票资料</w:t>
            </w:r>
            <w:r/>
          </w:p>
          <w:p>
            <w:pPr>
              <w:pStyle w:val="1395"/>
              <w:rPr>
                <w:color w:val="000000"/>
                <w:highlight w:val="none"/>
                <w:lang w:val="en-US" w:eastAsia="zh-CN"/>
              </w:rPr>
            </w:pPr>
            <w:r>
              <w:rPr>
                <w:rFonts w:hint="eastAsia" w:ascii="宋体" w:hAnsi="宋体" w:eastAsia="宋体" w:cs="宋体"/>
                <w:color w:val="000000"/>
                <w:sz w:val="21"/>
                <w:szCs w:val="21"/>
                <w:highlight w:val="none"/>
                <w:lang w:val="en-US" w:eastAsia="zh-CN"/>
              </w:rPr>
              <w:t xml:space="preserve">数字人民币账户</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315"/>
        <w:spacing w:line="400" w:lineRule="exact"/>
        <w:rPr>
          <w:rFonts w:hint="eastAsia"/>
          <w:color w:val="000000"/>
          <w:highlight w:val="none"/>
        </w:rPr>
      </w:pPr>
      <w:r>
        <w:rPr>
          <w:rFonts w:hint="eastAsia"/>
          <w:color w:val="000000"/>
          <w:highlight w:val="none"/>
        </w:rPr>
        <w:t xml:space="preserve">投标方：（单位盖章）</w:t>
      </w:r>
      <w:r/>
    </w:p>
    <w:p>
      <w:pPr>
        <w:ind w:firstLine="315"/>
        <w:spacing w:line="400" w:lineRule="exact"/>
        <w:rPr>
          <w:color w:val="000000"/>
          <w:highlight w:val="none"/>
        </w:rPr>
      </w:pPr>
      <w:r>
        <w:rPr>
          <w:rFonts w:hint="eastAsia"/>
          <w:color w:val="000000"/>
          <w:highlight w:val="none"/>
        </w:rPr>
        <w:t xml:space="preserve">法定代表人或代理人：（签字或盖章）</w:t>
      </w:r>
      <w:r/>
    </w:p>
    <w:p>
      <w:pPr>
        <w:pStyle w:val="1006"/>
        <w:ind w:firstLine="315"/>
        <w:spacing w:line="400" w:lineRule="exact"/>
        <w:rPr>
          <w:rFonts w:hint="eastAsia" w:eastAsia="宋体"/>
          <w:color w:val="000000"/>
          <w:sz w:val="21"/>
          <w:szCs w:val="21"/>
          <w:highlight w:val="none"/>
        </w:rPr>
      </w:pPr>
      <w:r>
        <w:rPr>
          <w:rFonts w:hint="eastAsia" w:eastAsia="宋体"/>
          <w:color w:val="000000"/>
          <w:sz w:val="21"/>
          <w:szCs w:val="21"/>
          <w:highlight w:val="none"/>
        </w:rPr>
        <w:t xml:space="preserve">日期：</w:t>
      </w:r>
      <w:r>
        <w:rPr>
          <w:rFonts w:eastAsia="宋体"/>
          <w:color w:val="000000"/>
          <w:sz w:val="21"/>
          <w:szCs w:val="21"/>
          <w:highlight w:val="none"/>
        </w:rPr>
        <w:t xml:space="preserve">         </w:t>
      </w:r>
      <w:r>
        <w:rPr>
          <w:rFonts w:hint="eastAsia" w:eastAsia="宋体"/>
          <w:color w:val="000000"/>
          <w:sz w:val="21"/>
          <w:szCs w:val="21"/>
          <w:highlight w:val="none"/>
        </w:rPr>
        <w:t xml:space="preserve">年</w:t>
      </w:r>
      <w:r>
        <w:rPr>
          <w:rFonts w:eastAsia="宋体"/>
          <w:color w:val="000000"/>
          <w:sz w:val="21"/>
          <w:szCs w:val="21"/>
          <w:highlight w:val="none"/>
        </w:rPr>
        <w:t xml:space="preserve">         </w:t>
      </w:r>
      <w:r>
        <w:rPr>
          <w:rFonts w:hint="eastAsia" w:eastAsia="宋体"/>
          <w:color w:val="000000"/>
          <w:sz w:val="21"/>
          <w:szCs w:val="21"/>
          <w:highlight w:val="none"/>
        </w:rPr>
        <w:t xml:space="preserve">月</w:t>
      </w:r>
      <w:r>
        <w:rPr>
          <w:rFonts w:eastAsia="宋体"/>
          <w:color w:val="000000"/>
          <w:sz w:val="21"/>
          <w:szCs w:val="21"/>
          <w:highlight w:val="none"/>
        </w:rPr>
        <w:t xml:space="preserve">       </w:t>
      </w:r>
      <w:r>
        <w:rPr>
          <w:rFonts w:hint="eastAsia" w:eastAsia="宋体"/>
          <w:color w:val="000000"/>
          <w:sz w:val="21"/>
          <w:szCs w:val="21"/>
          <w:highlight w:val="none"/>
        </w:rPr>
        <w:t xml:space="preserve">日</w:t>
      </w:r>
      <w:r/>
    </w:p>
    <w:p>
      <w:pPr>
        <w:spacing w:line="400" w:lineRule="exact"/>
        <w:rPr>
          <w:rFonts w:hint="eastAsia"/>
          <w:b/>
          <w:bCs/>
          <w:color w:val="000000"/>
          <w:highlight w:val="none"/>
        </w:rPr>
      </w:pPr>
      <w:r>
        <w:rPr>
          <w:rFonts w:hint="eastAsia"/>
          <w:b/>
          <w:bCs/>
          <w:color w:val="000000"/>
          <w:highlight w:val="none"/>
        </w:rPr>
      </w:r>
      <w:r/>
    </w:p>
    <w:p>
      <w:pPr>
        <w:spacing w:line="400" w:lineRule="exact"/>
        <w:rPr>
          <w:rFonts w:hint="eastAsia"/>
          <w:b/>
          <w:bCs/>
          <w:color w:val="000000"/>
          <w:highlight w:val="none"/>
        </w:rPr>
      </w:pPr>
      <w:r>
        <w:rPr>
          <w:rFonts w:hint="eastAsia"/>
          <w:b/>
          <w:bCs/>
          <w:color w:val="000000"/>
          <w:highlight w:val="none"/>
        </w:rPr>
      </w:r>
      <w:r/>
    </w:p>
    <w:p>
      <w:pPr>
        <w:spacing w:line="400" w:lineRule="exact"/>
        <w:rPr>
          <w:b/>
          <w:bCs/>
          <w:color w:val="000000"/>
          <w:highlight w:val="none"/>
        </w:rPr>
      </w:pPr>
      <w:r>
        <w:rPr>
          <w:rFonts w:hint="eastAsia"/>
          <w:b/>
          <w:bCs/>
          <w:color w:val="000000"/>
          <w:highlight w:val="none"/>
        </w:rPr>
        <w:br w:type="page" w:clear="all"/>
      </w:r>
      <w:r>
        <w:rPr>
          <w:rFonts w:hint="eastAsia"/>
          <w:b/>
          <w:bCs/>
          <w:color w:val="000000"/>
          <w:highlight w:val="none"/>
        </w:rPr>
        <w:t xml:space="preserve">附件7</w:t>
      </w:r>
      <w:r/>
    </w:p>
    <w:p>
      <w:pPr>
        <w:jc w:val="center"/>
        <w:spacing w:line="400" w:lineRule="exact"/>
        <w:rPr>
          <w:rFonts w:hint="eastAsia"/>
          <w:b/>
          <w:bCs/>
          <w:color w:val="000000"/>
          <w:highlight w:val="none"/>
        </w:rPr>
      </w:pPr>
      <w:r>
        <w:rPr>
          <w:rFonts w:hint="eastAsia"/>
          <w:b/>
          <w:bCs/>
          <w:color w:val="000000"/>
          <w:highlight w:val="none"/>
        </w:rPr>
        <w:t xml:space="preserve">投入本项目的人员情况表</w:t>
      </w:r>
      <w:r/>
    </w:p>
    <w:p>
      <w:pPr>
        <w:ind w:left="570"/>
        <w:spacing w:line="480" w:lineRule="exact"/>
        <w:rPr>
          <w:rFonts w:ascii="Times New Roman" w:hAnsi="Times New Roman"/>
          <w:color w:val="000000"/>
          <w:highlight w:val="none"/>
        </w:rPr>
      </w:pPr>
      <w:r>
        <w:rPr>
          <w:rFonts w:hint="eastAsia" w:ascii="Times New Roman" w:hAnsi="Times New Roman"/>
          <w:color w:val="000000"/>
          <w:highlight w:val="none"/>
        </w:rPr>
        <w:t xml:space="preserve">项目编号：                                                </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813"/>
        <w:gridCol w:w="813"/>
        <w:gridCol w:w="814"/>
        <w:gridCol w:w="1672"/>
        <w:gridCol w:w="1701"/>
        <w:gridCol w:w="1701"/>
        <w:gridCol w:w="1125"/>
      </w:tblGrid>
      <w:tr>
        <w:trPr>
          <w:jc w:val="center"/>
          <w:trHeight w:val="510"/>
        </w:trPr>
        <w:tc>
          <w:tcPr>
            <w:tcW w:w="813"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813"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p>
        </w:tc>
        <w:tc>
          <w:tcPr>
            <w:tcW w:w="813"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p>
        </w:tc>
        <w:tc>
          <w:tcPr>
            <w:tcW w:w="814"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p>
        </w:tc>
        <w:tc>
          <w:tcPr>
            <w:tcW w:w="1672"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p>
        </w:tc>
        <w:tc>
          <w:tcPr>
            <w:tcW w:w="1701"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证书情况</w:t>
            </w:r>
            <w:r/>
          </w:p>
        </w:tc>
        <w:tc>
          <w:tcPr>
            <w:tcW w:w="1701"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岗位</w:t>
            </w:r>
            <w:r/>
          </w:p>
        </w:tc>
        <w:tc>
          <w:tcPr>
            <w:tcW w:w="1125"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315"/>
        <w:rPr>
          <w:color w:val="000000"/>
          <w:highlight w:val="none"/>
        </w:rPr>
      </w:pPr>
      <w:r>
        <w:rPr>
          <w:color w:val="000000"/>
          <w:highlight w:val="none"/>
        </w:rPr>
      </w:r>
      <w:r/>
    </w:p>
    <w:p>
      <w:pPr>
        <w:pStyle w:val="834"/>
        <w:rPr>
          <w:rFonts w:hAnsi="宋体" w:eastAsia="宋体"/>
          <w:color w:val="000000"/>
          <w:sz w:val="21"/>
          <w:szCs w:val="21"/>
          <w:highlight w:val="none"/>
        </w:rPr>
      </w:pPr>
      <w:r>
        <w:rPr>
          <w:rFonts w:hint="eastAsia" w:hAnsi="宋体" w:eastAsia="宋体"/>
          <w:color w:val="000000"/>
          <w:sz w:val="21"/>
          <w:szCs w:val="21"/>
          <w:highlight w:val="none"/>
        </w:rPr>
        <w:t xml:space="preserve">投标方：（单位盖章）</w:t>
      </w:r>
      <w:r/>
    </w:p>
    <w:p>
      <w:pPr>
        <w:pStyle w:val="834"/>
        <w:rPr>
          <w:rFonts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p>
    <w:p>
      <w:pPr>
        <w:spacing w:line="480" w:lineRule="auto"/>
        <w:rPr>
          <w:rFonts w:hint="eastAsia"/>
          <w:color w:val="000000"/>
          <w:highlight w:val="none"/>
        </w:rPr>
      </w:pPr>
      <w:r>
        <w:rPr>
          <w:rFonts w:hint="eastAsia"/>
          <w:color w:val="000000"/>
          <w:highlight w:val="none"/>
        </w:rPr>
        <w:t xml:space="preserve">日期：</w:t>
      </w:r>
      <w:r>
        <w:rPr>
          <w:color w:val="000000"/>
          <w:highlight w:val="none"/>
        </w:rPr>
        <w:t xml:space="preserve">         </w:t>
      </w:r>
      <w:r>
        <w:rPr>
          <w:rFonts w:hint="eastAsia"/>
          <w:color w:val="000000"/>
          <w:highlight w:val="none"/>
        </w:rPr>
        <w:t xml:space="preserve">年</w:t>
      </w:r>
      <w:r>
        <w:rPr>
          <w:color w:val="000000"/>
          <w:highlight w:val="none"/>
        </w:rPr>
        <w:t xml:space="preserve">         </w:t>
      </w:r>
      <w:r>
        <w:rPr>
          <w:rFonts w:hint="eastAsia"/>
          <w:color w:val="000000"/>
          <w:highlight w:val="none"/>
        </w:rPr>
        <w:t xml:space="preserve">月</w:t>
      </w:r>
      <w:r>
        <w:rPr>
          <w:color w:val="000000"/>
          <w:highlight w:val="none"/>
        </w:rPr>
        <w:t xml:space="preserve">       </w:t>
      </w:r>
      <w:r>
        <w:rPr>
          <w:rFonts w:hint="eastAsia"/>
          <w:color w:val="000000"/>
          <w:highlight w:val="none"/>
        </w:rPr>
        <w:t xml:space="preserve">日</w:t>
      </w:r>
      <w:r/>
    </w:p>
    <w:p>
      <w:pPr>
        <w:spacing w:line="480" w:lineRule="auto"/>
        <w:rPr>
          <w:rFonts w:hint="eastAsia"/>
          <w:color w:val="000000"/>
          <w:highlight w:val="none"/>
        </w:rPr>
      </w:pPr>
      <w:r>
        <w:rPr>
          <w:rFonts w:hint="eastAsia"/>
          <w:color w:val="000000"/>
          <w:highlight w:val="none"/>
        </w:rPr>
      </w:r>
      <w:r/>
    </w:p>
    <w:p>
      <w:pPr>
        <w:spacing w:line="400" w:lineRule="exact"/>
        <w:rPr>
          <w:rFonts w:hint="eastAsia"/>
          <w:color w:val="000000"/>
          <w:highlight w:val="none"/>
        </w:rPr>
      </w:pPr>
      <w:r>
        <w:rPr>
          <w:b/>
          <w:bCs/>
          <w:color w:val="000000"/>
          <w:highlight w:val="none"/>
        </w:rPr>
        <w:br w:type="page" w:clear="all"/>
      </w:r>
      <w:r>
        <w:rPr>
          <w:rFonts w:hint="eastAsia"/>
          <w:b/>
          <w:bCs/>
          <w:color w:val="000000"/>
          <w:highlight w:val="none"/>
        </w:rPr>
        <w:t xml:space="preserve">附件</w:t>
      </w:r>
      <w:r>
        <w:rPr>
          <w:b/>
          <w:bCs/>
          <w:color w:val="000000"/>
          <w:highlight w:val="none"/>
        </w:rPr>
        <w:t xml:space="preserve">8</w:t>
      </w:r>
      <w:r/>
    </w:p>
    <w:p>
      <w:pPr>
        <w:rPr>
          <w:rFonts w:hint="eastAsia"/>
          <w:b/>
          <w:bCs/>
          <w:color w:val="000000"/>
          <w:highlight w:val="none"/>
        </w:rPr>
      </w:pPr>
      <w:r>
        <w:rPr>
          <w:rFonts w:hint="eastAsia"/>
          <w:b/>
          <w:bCs/>
          <w:color w:val="000000"/>
          <w:highlight w:val="none"/>
        </w:rPr>
      </w:r>
      <w:r/>
    </w:p>
    <w:p>
      <w:pPr>
        <w:rPr>
          <w:color w:val="000000"/>
          <w:highlight w:val="none"/>
        </w:rPr>
      </w:pPr>
      <w:r>
        <w:rPr>
          <w:rFonts w:hint="eastAsia"/>
          <w:color w:val="000000"/>
          <w:highlight w:val="none"/>
        </w:rPr>
        <w:t xml:space="preserve">（1）中小企业声明函</w:t>
      </w:r>
      <w:r/>
    </w:p>
    <w:p>
      <w:pPr>
        <w:jc w:val="center"/>
        <w:spacing w:line="588" w:lineRule="exact"/>
        <w:rPr>
          <w:b/>
          <w:color w:val="000000"/>
          <w:spacing w:val="6"/>
          <w:highlight w:val="none"/>
        </w:rPr>
      </w:pPr>
      <w:r>
        <w:rPr>
          <w:b/>
          <w:color w:val="000000"/>
          <w:spacing w:val="6"/>
          <w:highlight w:val="none"/>
        </w:rPr>
      </w:r>
      <w:r/>
    </w:p>
    <w:p>
      <w:pPr>
        <w:jc w:val="center"/>
        <w:spacing w:before="100" w:beforeAutospacing="1" w:after="100" w:afterAutospacing="1" w:line="360" w:lineRule="auto"/>
        <w:rPr>
          <w:rFonts w:hint="eastAsia"/>
          <w:b/>
          <w:color w:val="000000"/>
          <w:highlight w:val="none"/>
        </w:rPr>
      </w:pPr>
      <w:r>
        <w:rPr>
          <w:rFonts w:hint="eastAsia"/>
          <w:b/>
          <w:color w:val="000000"/>
          <w:highlight w:val="none"/>
        </w:rPr>
        <w:t xml:space="preserve">中小企业声明函</w:t>
      </w:r>
      <w:r/>
    </w:p>
    <w:p>
      <w:pPr>
        <w:ind w:firstLine="420"/>
        <w:spacing w:line="480" w:lineRule="auto"/>
        <w:rPr>
          <w:rFonts w:hint="eastAsia"/>
          <w:bCs/>
          <w:color w:val="000000"/>
          <w:highlight w:val="none"/>
        </w:rPr>
      </w:pPr>
      <w:r>
        <w:rPr>
          <w:rFonts w:hint="eastAsia"/>
          <w:bCs/>
          <w:color w:val="000000"/>
          <w:highlight w:val="none"/>
        </w:rPr>
        <w:t xml:space="preserve">本公司郑重声明，根据《政府采购促进中小企业发展管理办法》（财库﹝2020﹞46号）的规定，本公司参加</w:t>
      </w:r>
      <w:r>
        <w:rPr>
          <w:rFonts w:hint="eastAsia"/>
          <w:bCs/>
          <w:color w:val="000000"/>
          <w:highlight w:val="none"/>
          <w:u w:val="single"/>
        </w:rPr>
        <w:t xml:space="preserve">（单位名称）</w:t>
      </w:r>
      <w:r>
        <w:rPr>
          <w:rFonts w:hint="eastAsia"/>
          <w:bCs/>
          <w:color w:val="000000"/>
          <w:highlight w:val="none"/>
        </w:rPr>
        <w:t xml:space="preserve">的</w:t>
      </w:r>
      <w:r>
        <w:rPr>
          <w:rFonts w:hint="eastAsia"/>
          <w:bCs/>
          <w:color w:val="000000"/>
          <w:highlight w:val="none"/>
          <w:u w:val="single"/>
        </w:rPr>
        <w:t xml:space="preserve">（项目名称）</w:t>
      </w:r>
      <w:r>
        <w:rPr>
          <w:rFonts w:hint="eastAsia"/>
          <w:bCs/>
          <w:color w:val="000000"/>
          <w:highlight w:val="none"/>
        </w:rPr>
        <w:t xml:space="preserve">采购活动，服务全部由符合政策要求的中小企业承接。企业的具体情况如下： </w:t>
      </w:r>
      <w:r/>
    </w:p>
    <w:p>
      <w:pPr>
        <w:ind w:firstLine="420"/>
        <w:spacing w:line="480" w:lineRule="auto"/>
        <w:rPr>
          <w:rFonts w:hint="eastAsia"/>
          <w:bCs/>
          <w:color w:val="000000"/>
          <w:highlight w:val="none"/>
        </w:rPr>
      </w:pPr>
      <w:r>
        <w:rPr>
          <w:rFonts w:hint="eastAsia"/>
          <w:bCs/>
          <w:color w:val="000000"/>
          <w:highlight w:val="none"/>
          <w:u w:val="single"/>
        </w:rPr>
        <w:t xml:space="preserve">（标的名称）</w:t>
      </w:r>
      <w:r>
        <w:rPr>
          <w:rFonts w:hint="eastAsia"/>
          <w:bCs/>
          <w:color w:val="000000"/>
          <w:highlight w:val="none"/>
        </w:rPr>
        <w:t xml:space="preserve">，属于</w:t>
      </w:r>
      <w:r>
        <w:rPr>
          <w:rFonts w:hint="eastAsia"/>
          <w:bCs/>
          <w:color w:val="000000"/>
          <w:highlight w:val="none"/>
          <w:u w:val="single"/>
        </w:rPr>
        <w:t xml:space="preserve">其他未列明行业</w:t>
      </w:r>
      <w:r>
        <w:rPr>
          <w:rFonts w:hint="eastAsia"/>
          <w:bCs/>
          <w:color w:val="000000"/>
          <w:highlight w:val="none"/>
        </w:rPr>
        <w:t xml:space="preserve">；承接企业为</w:t>
      </w:r>
      <w:r>
        <w:rPr>
          <w:rFonts w:hint="eastAsia"/>
          <w:bCs/>
          <w:color w:val="000000"/>
          <w:highlight w:val="none"/>
          <w:u w:val="single"/>
        </w:rPr>
        <w:t xml:space="preserve">（企业名称）</w:t>
      </w:r>
      <w:r>
        <w:rPr>
          <w:rFonts w:hint="eastAsia"/>
          <w:bCs/>
          <w:color w:val="000000"/>
          <w:highlight w:val="none"/>
        </w:rPr>
        <w:t xml:space="preserve">，从业人员</w:t>
      </w:r>
      <w:r>
        <w:rPr>
          <w:rFonts w:hint="eastAsia"/>
          <w:bCs/>
          <w:color w:val="000000"/>
          <w:highlight w:val="none"/>
          <w:u w:val="single"/>
        </w:rPr>
        <w:t xml:space="preserve">   </w:t>
      </w:r>
      <w:r>
        <w:rPr>
          <w:rFonts w:hint="eastAsia"/>
          <w:bCs/>
          <w:color w:val="000000"/>
          <w:highlight w:val="none"/>
        </w:rPr>
        <w:t xml:space="preserve">人，营业收入为</w:t>
      </w:r>
      <w:r>
        <w:rPr>
          <w:rFonts w:hint="eastAsia"/>
          <w:bCs/>
          <w:color w:val="000000"/>
          <w:highlight w:val="none"/>
          <w:u w:val="single"/>
        </w:rPr>
        <w:t xml:space="preserve">   </w:t>
      </w:r>
      <w:r>
        <w:rPr>
          <w:rFonts w:hint="eastAsia"/>
          <w:bCs/>
          <w:color w:val="000000"/>
          <w:highlight w:val="none"/>
        </w:rPr>
        <w:t xml:space="preserve">万元，资产总额为</w:t>
      </w:r>
      <w:r>
        <w:rPr>
          <w:rFonts w:hint="eastAsia"/>
          <w:bCs/>
          <w:color w:val="000000"/>
          <w:highlight w:val="none"/>
          <w:u w:val="single"/>
        </w:rPr>
        <w:t xml:space="preserve">    </w:t>
      </w:r>
      <w:r>
        <w:rPr>
          <w:rFonts w:hint="eastAsia"/>
          <w:bCs/>
          <w:color w:val="000000"/>
          <w:highlight w:val="none"/>
        </w:rPr>
        <w:t xml:space="preserve">万元，属于</w:t>
      </w:r>
      <w:r>
        <w:rPr>
          <w:rFonts w:hint="eastAsia"/>
          <w:bCs/>
          <w:color w:val="000000"/>
          <w:highlight w:val="none"/>
          <w:u w:val="single"/>
        </w:rPr>
        <w:t xml:space="preserve">（中型企业、小型企业、微型企业</w:t>
      </w:r>
      <w:r>
        <w:rPr>
          <w:rFonts w:hint="eastAsia"/>
          <w:bCs/>
          <w:color w:val="000000"/>
          <w:highlight w:val="none"/>
          <w:u w:val="single"/>
          <w:lang w:eastAsia="zh-CN"/>
        </w:rPr>
        <w:t xml:space="preserve">，</w:t>
      </w:r>
      <w:r>
        <w:rPr>
          <w:rFonts w:hint="eastAsia"/>
          <w:bCs/>
          <w:color w:val="000000"/>
          <w:highlight w:val="none"/>
          <w:u w:val="single"/>
          <w:lang w:val="en-US" w:eastAsia="zh-CN"/>
        </w:rPr>
        <w:t xml:space="preserve">选择一项填写</w:t>
      </w:r>
      <w:r>
        <w:rPr>
          <w:rFonts w:hint="eastAsia"/>
          <w:bCs/>
          <w:color w:val="000000"/>
          <w:highlight w:val="none"/>
          <w:u w:val="single"/>
        </w:rPr>
        <w:t xml:space="preserve">）</w:t>
      </w:r>
      <w:r>
        <w:rPr>
          <w:rFonts w:hint="eastAsia"/>
          <w:bCs/>
          <w:color w:val="000000"/>
          <w:highlight w:val="none"/>
        </w:rPr>
        <w:t xml:space="preserve">； </w:t>
      </w:r>
      <w:r/>
    </w:p>
    <w:p>
      <w:pPr>
        <w:ind w:firstLine="420"/>
        <w:spacing w:line="480" w:lineRule="auto"/>
        <w:rPr>
          <w:rFonts w:hint="eastAsia"/>
          <w:bCs/>
          <w:color w:val="000000"/>
          <w:highlight w:val="none"/>
        </w:rPr>
      </w:pPr>
      <w:r>
        <w:rPr>
          <w:rFonts w:hint="eastAsia"/>
          <w:bCs/>
          <w:color w:val="000000"/>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rFonts w:hint="eastAsia"/>
          <w:bCs/>
          <w:color w:val="000000"/>
          <w:highlight w:val="none"/>
        </w:rPr>
      </w:pPr>
      <w:r>
        <w:rPr>
          <w:rFonts w:hint="eastAsia"/>
          <w:bCs/>
          <w:color w:val="000000"/>
          <w:highlight w:val="none"/>
        </w:rPr>
        <w:t xml:space="preserve">                                                          企业名称（盖章）： </w:t>
      </w:r>
      <w:r/>
    </w:p>
    <w:p>
      <w:pPr>
        <w:spacing w:line="480" w:lineRule="auto"/>
        <w:rPr>
          <w:rFonts w:hint="eastAsia"/>
          <w:bCs/>
          <w:color w:val="000000"/>
          <w:highlight w:val="none"/>
        </w:rPr>
      </w:pPr>
      <w:r>
        <w:rPr>
          <w:rFonts w:hint="eastAsia"/>
          <w:bCs/>
          <w:color w:val="000000"/>
          <w:highlight w:val="none"/>
        </w:rPr>
        <w:t xml:space="preserve">                                                            日 期：</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left"/>
        <w:spacing w:line="580" w:lineRule="exact"/>
        <w:rPr>
          <w:rFonts w:hint="eastAsia" w:eastAsia="方正小标宋简体"/>
          <w:color w:val="000000"/>
          <w:spacing w:val="6"/>
          <w:sz w:val="44"/>
          <w:szCs w:val="32"/>
          <w:highlight w:val="none"/>
        </w:rPr>
      </w:pPr>
      <w:r/>
      <w:bookmarkStart w:id="15" w:name="OLE_LINK14"/>
      <w:r/>
      <w:bookmarkStart w:id="16" w:name="OLE_LINK13"/>
      <w:r>
        <w:rPr>
          <w:rFonts w:hint="eastAsia"/>
          <w:color w:val="000000"/>
          <w:highlight w:val="none"/>
        </w:rPr>
        <w:t xml:space="preserve">（2）</w:t>
      </w:r>
      <w:r>
        <w:rPr>
          <w:rFonts w:hint="eastAsia"/>
          <w:color w:val="000000"/>
          <w:highlight w:val="none"/>
          <w:lang w:val="zh-CN"/>
        </w:rPr>
        <w:t xml:space="preserve">残疾人福利性单位声明函</w:t>
      </w:r>
      <w:r/>
    </w:p>
    <w:p>
      <w:pPr>
        <w:jc w:val="center"/>
        <w:spacing w:line="480" w:lineRule="exact"/>
        <w:rPr>
          <w:rFonts w:eastAsia="方正小标宋简体"/>
          <w:color w:val="000000"/>
          <w:spacing w:val="6"/>
          <w:sz w:val="44"/>
          <w:szCs w:val="32"/>
          <w:highlight w:val="none"/>
        </w:rPr>
      </w:pPr>
      <w:r>
        <w:rPr>
          <w:rFonts w:hint="eastAsia"/>
          <w:color w:val="000000"/>
          <w:highlight w:val="none"/>
          <w:lang w:val="zh-CN"/>
        </w:rPr>
        <w:t xml:space="preserve">残疾人福利性单位声明函</w:t>
      </w:r>
      <w:bookmarkEnd w:id="15"/>
      <w:r/>
      <w:bookmarkEnd w:id="16"/>
      <w:r/>
      <w:r/>
    </w:p>
    <w:p>
      <w:pPr>
        <w:ind w:firstLine="444"/>
        <w:spacing w:line="580" w:lineRule="exact"/>
        <w:rPr>
          <w:color w:val="000000"/>
          <w:spacing w:val="6"/>
          <w:highlight w:val="none"/>
        </w:rPr>
      </w:pPr>
      <w:r>
        <w:rPr>
          <w:rFonts w:hint="eastAsia"/>
          <w:color w:val="000000"/>
          <w:spacing w:val="6"/>
          <w:highlight w:val="none"/>
        </w:rPr>
        <w:t xml:space="preserve">本单位郑重声明，根据《财政部  民政部  中国残疾人联合会关于促进残疾人就业政府采购政策的通知》（财库</w:t>
      </w:r>
      <w:r>
        <w:rPr>
          <w:rFonts w:hint="eastAsia"/>
          <w:color w:val="000000"/>
          <w:highlight w:val="none"/>
        </w:rPr>
        <w:t xml:space="preserve">〔2017〕141</w:t>
      </w:r>
      <w:r>
        <w:rPr>
          <w:rFonts w:hint="eastAsia"/>
          <w:color w:val="000000"/>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color w:val="000000"/>
          <w:spacing w:val="6"/>
          <w:highlight w:val="none"/>
        </w:rPr>
      </w:pPr>
      <w:r>
        <w:rPr>
          <w:rFonts w:hint="eastAsia"/>
          <w:color w:val="000000"/>
          <w:spacing w:val="6"/>
          <w:highlight w:val="none"/>
        </w:rPr>
        <w:t xml:space="preserve">本单位对上述声明的真实性负责。如有虚假，将依法承担相应责任。</w:t>
      </w:r>
      <w:r/>
    </w:p>
    <w:p>
      <w:pPr>
        <w:ind w:right="1560" w:firstLine="444"/>
        <w:jc w:val="center"/>
        <w:spacing w:line="580" w:lineRule="exact"/>
        <w:tabs>
          <w:tab w:val="left" w:pos="4860" w:leader="none"/>
        </w:tabs>
        <w:rPr>
          <w:color w:val="000000"/>
          <w:spacing w:val="6"/>
          <w:highlight w:val="none"/>
        </w:rPr>
      </w:pPr>
      <w:r>
        <w:rPr>
          <w:rFonts w:hint="eastAsia"/>
          <w:color w:val="000000"/>
          <w:spacing w:val="6"/>
          <w:highlight w:val="none"/>
        </w:rPr>
        <w:t xml:space="preserve">                    单位名称（盖章）：</w:t>
      </w:r>
      <w:r/>
    </w:p>
    <w:p>
      <w:pPr>
        <w:spacing w:line="360" w:lineRule="auto"/>
        <w:rPr>
          <w:b/>
          <w:color w:val="000000"/>
          <w:highlight w:val="none"/>
        </w:rPr>
      </w:pPr>
      <w:r>
        <w:rPr>
          <w:rFonts w:hint="eastAsia"/>
          <w:color w:val="000000"/>
          <w:spacing w:val="6"/>
          <w:highlight w:val="none"/>
        </w:rPr>
        <w:t xml:space="preserve">                                        日  期：</w:t>
      </w:r>
      <w:r/>
    </w:p>
    <w:p>
      <w:pPr>
        <w:rPr>
          <w:rFonts w:hint="eastAsia"/>
          <w:b/>
          <w:bCs/>
          <w:color w:val="000000"/>
          <w:highlight w:val="none"/>
        </w:rPr>
      </w:pPr>
      <w:r>
        <w:rPr>
          <w:rFonts w:hint="eastAsia"/>
          <w:b/>
          <w:bCs/>
          <w:color w:val="000000"/>
          <w:highlight w:val="none"/>
        </w:rPr>
      </w:r>
      <w:r/>
    </w:p>
    <w:p>
      <w:pPr>
        <w:rPr>
          <w:b/>
          <w:color w:val="000000"/>
          <w:highlight w:val="none"/>
        </w:rPr>
      </w:pPr>
      <w:r>
        <w:rPr>
          <w:rFonts w:hint="eastAsia"/>
          <w:b/>
          <w:color w:val="000000"/>
          <w:highlight w:val="none"/>
        </w:rPr>
        <w:br w:type="page" w:clear="all"/>
      </w:r>
      <w:r>
        <w:rPr>
          <w:rFonts w:hint="eastAsia"/>
          <w:b/>
          <w:color w:val="000000"/>
          <w:highlight w:val="none"/>
        </w:rPr>
        <w:t xml:space="preserve">附件</w:t>
      </w:r>
      <w:r>
        <w:rPr>
          <w:b/>
          <w:color w:val="000000"/>
          <w:highlight w:val="none"/>
        </w:rPr>
        <w:t xml:space="preserve">9</w:t>
      </w:r>
      <w:r>
        <w:rPr>
          <w:rFonts w:hint="eastAsia"/>
          <w:b/>
          <w:color w:val="000000"/>
          <w:highlight w:val="none"/>
        </w:rPr>
        <w:t xml:space="preserve">、投标（响应）保证承诺书</w:t>
      </w:r>
      <w:r/>
    </w:p>
    <w:p>
      <w:pPr>
        <w:jc w:val="center"/>
        <w:spacing w:line="480" w:lineRule="auto"/>
        <w:rPr>
          <w:color w:val="000000"/>
          <w:highlight w:val="none"/>
        </w:rPr>
      </w:pPr>
      <w:r>
        <w:rPr>
          <w:rFonts w:hint="eastAsia"/>
          <w:color w:val="000000"/>
          <w:highlight w:val="none"/>
        </w:rPr>
        <w:t xml:space="preserve">投标（响应）保证承诺书</w:t>
      </w:r>
      <w:r/>
    </w:p>
    <w:p>
      <w:pPr>
        <w:jc w:val="left"/>
        <w:spacing w:line="360" w:lineRule="auto"/>
        <w:widowControl/>
        <w:rPr>
          <w:rFonts w:cs="宋体"/>
          <w:color w:val="000000"/>
          <w:highlight w:val="none"/>
        </w:rPr>
      </w:pPr>
      <w:r>
        <w:rPr>
          <w:rFonts w:cs="宋体"/>
          <w:color w:val="000000"/>
          <w:highlight w:val="none"/>
        </w:rPr>
      </w:r>
      <w:r/>
    </w:p>
    <w:p>
      <w:pPr>
        <w:jc w:val="left"/>
        <w:spacing w:line="520" w:lineRule="exact"/>
        <w:widowControl/>
        <w:rPr>
          <w:rFonts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（采购代理机构名称）</w:t>
      </w:r>
      <w:r/>
    </w:p>
    <w:p>
      <w:pPr>
        <w:ind w:firstLine="420"/>
        <w:jc w:val="left"/>
        <w:spacing w:line="520" w:lineRule="exact"/>
        <w:widowControl/>
        <w:rPr>
          <w:rFonts w:cs="宋体"/>
          <w:color w:val="000000"/>
          <w:highlight w:val="none"/>
        </w:rPr>
      </w:pPr>
      <w:r>
        <w:rPr>
          <w:rFonts w:hint="eastAsia" w:cs="宋体"/>
          <w:color w:val="000000"/>
          <w:highlight w:val="none"/>
        </w:rPr>
        <w:t xml:space="preserve">我（单位/本人，以下统称我单位）自愿参加</w:t>
      </w:r>
      <w:r>
        <w:rPr>
          <w:rFonts w:hint="eastAsia" w:cs="宋体"/>
          <w:color w:val="000000"/>
          <w:highlight w:val="none"/>
          <w:u w:val="single"/>
        </w:rPr>
        <w:t xml:space="preserve">              （项目名称和采购编号）</w:t>
      </w:r>
      <w:r>
        <w:rPr>
          <w:rFonts w:hint="eastAsia" w:cs="宋体"/>
          <w:color w:val="000000"/>
          <w:highlight w:val="none"/>
        </w:rPr>
        <w:t xml:space="preserve">的投标（响应）,并做出如下承诺：</w:t>
      </w:r>
      <w:r/>
    </w:p>
    <w:p>
      <w:pPr>
        <w:numPr>
          <w:ilvl w:val="0"/>
          <w:numId w:val="36"/>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除不可抗力外，我单位如果发生以下行为，将在行为发生的10个工作日内，向贵方</w:t>
      </w:r>
      <w:r>
        <w:rPr>
          <w:rFonts w:hint="eastAsia" w:cs="宋体"/>
          <w:color w:val="000000"/>
          <w:highlight w:val="none"/>
          <w:u w:val="single"/>
        </w:rPr>
        <w:t xml:space="preserve">（或采购人）</w:t>
      </w:r>
      <w:r>
        <w:rPr>
          <w:rFonts w:hint="eastAsia" w:cs="宋体"/>
          <w:color w:val="000000"/>
          <w:highlight w:val="none"/>
        </w:rPr>
        <w:t xml:space="preserve">支付本采购文件公布的预算金额（或最高限价）的2%作为违约赔偿金（数量不确定的单价采购须约定具体金额）。</w:t>
      </w:r>
      <w:r/>
    </w:p>
    <w:p>
      <w:pPr>
        <w:numPr>
          <w:ilvl w:val="0"/>
          <w:numId w:val="37"/>
        </w:numPr>
        <w:jc w:val="left"/>
        <w:spacing w:line="520" w:lineRule="exact"/>
        <w:widowControl/>
        <w:rPr>
          <w:rFonts w:cs="宋体"/>
          <w:color w:val="000000"/>
          <w:highlight w:val="none"/>
        </w:rPr>
      </w:pPr>
      <w:r>
        <w:rPr>
          <w:rFonts w:hint="eastAsia" w:cs="宋体"/>
          <w:color w:val="000000"/>
          <w:highlight w:val="none"/>
        </w:rPr>
        <w:t xml:space="preserve">自投标（响应）截止时间至本项目发布中标（成交）公告为止，撤销投标（响应）；</w:t>
      </w:r>
      <w:r/>
    </w:p>
    <w:p>
      <w:pPr>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中标（成交）后不依法与采购人签订合同；</w:t>
      </w:r>
      <w:r/>
    </w:p>
    <w:p>
      <w:pPr>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中标（成交）后不按本采购文件规定向采购人提交履约保证金（如有）；</w:t>
      </w:r>
      <w:r/>
    </w:p>
    <w:p>
      <w:pPr>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中标（成交）后不按本采购文件规定向贵方缴纳采购代理费。</w:t>
      </w:r>
      <w:r/>
    </w:p>
    <w:p>
      <w:pPr>
        <w:numPr>
          <w:ilvl w:val="0"/>
          <w:numId w:val="36"/>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我单位知晓上述行为的法律后果，承认本承诺书作为贵方（或采购人）要求我单位履行违约赔偿义务的依据作用。</w:t>
      </w:r>
      <w:r/>
    </w:p>
    <w:p>
      <w:pPr>
        <w:jc w:val="left"/>
        <w:spacing w:line="520" w:lineRule="exact"/>
        <w:widowControl/>
        <w:rPr>
          <w:rFonts w:cs="宋体"/>
          <w:color w:val="000000"/>
          <w:highlight w:val="none"/>
        </w:rPr>
      </w:pPr>
      <w:r>
        <w:rPr>
          <w:rFonts w:hint="eastAsia" w:cs="宋体"/>
          <w:color w:val="000000"/>
          <w:highlight w:val="non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投标（响应）人：（盖公章）</w:t>
      </w:r>
      <w:r/>
    </w:p>
    <w:p>
      <w:pPr>
        <w:ind w:firstLine="424"/>
        <w:jc w:val="left"/>
        <w:spacing w:line="520" w:lineRule="exact"/>
        <w:widowControl/>
        <w:rPr>
          <w:rFonts w:cs="宋体"/>
          <w:color w:val="000000"/>
          <w:highlight w:val="none"/>
        </w:rPr>
      </w:pPr>
      <w:r>
        <w:rPr>
          <w:rFonts w:hint="eastAsia" w:cs="宋体"/>
          <w:color w:val="000000"/>
          <w:highlight w:val="none"/>
        </w:rPr>
        <w:t xml:space="preserve">地址：</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电话：</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传真：</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电子邮件：</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邮编：</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法定代表人或委托代理人(签字或签章)：</w:t>
      </w:r>
      <w:r/>
    </w:p>
    <w:p>
      <w:pPr>
        <w:ind w:firstLine="424"/>
        <w:jc w:val="left"/>
        <w:spacing w:line="520" w:lineRule="exact"/>
        <w:widowControl/>
        <w:rPr>
          <w:rFonts w:cs="宋体"/>
          <w:color w:val="000000"/>
          <w:highlight w:val="none"/>
        </w:rPr>
      </w:pPr>
      <w:r>
        <w:rPr>
          <w:rFonts w:hint="eastAsia" w:cs="宋体"/>
          <w:color w:val="000000"/>
          <w:highlight w:val="none"/>
        </w:rPr>
        <w:t xml:space="preserve">日期：</w:t>
      </w:r>
      <w:r/>
    </w:p>
    <w:p>
      <w:pPr>
        <w:rPr>
          <w:rFonts w:hint="eastAsia" w:cs="宋体"/>
          <w:b/>
          <w:color w:val="000000"/>
          <w:highlight w:val="none"/>
        </w:rPr>
      </w:pPr>
      <w:r>
        <w:rPr>
          <w:b/>
          <w:bCs/>
          <w:color w:val="000000"/>
          <w:sz w:val="44"/>
          <w:szCs w:val="44"/>
          <w:highlight w:val="none"/>
        </w:rPr>
        <w:br w:type="page" w:clear="all"/>
      </w:r>
      <w:r>
        <w:rPr>
          <w:rFonts w:hint="eastAsia" w:cs="宋体"/>
          <w:b/>
          <w:color w:val="000000"/>
          <w:highlight w:val="none"/>
        </w:rPr>
        <w:t xml:space="preserve">附件1</w:t>
      </w:r>
      <w:r>
        <w:rPr>
          <w:rFonts w:cs="宋体"/>
          <w:b/>
          <w:color w:val="000000"/>
          <w:highlight w:val="none"/>
        </w:rPr>
        <w:t xml:space="preserve">0</w:t>
      </w:r>
      <w:r>
        <w:rPr>
          <w:rFonts w:hint="eastAsia" w:cs="宋体"/>
          <w:b/>
          <w:color w:val="000000"/>
          <w:highlight w:val="none"/>
        </w:rPr>
        <w:t xml:space="preserve">、供应商与其他单位存在控股、管理关系情况表</w:t>
      </w:r>
      <w:r/>
    </w:p>
    <w:p>
      <w:pPr>
        <w:jc w:val="center"/>
        <w:spacing w:line="360" w:lineRule="auto"/>
        <w:widowControl/>
        <w:rPr>
          <w:b/>
          <w:color w:val="000000"/>
          <w:highlight w:val="none"/>
          <w:shd w:val="clear" w:color="auto" w:fill="ffffff"/>
        </w:rPr>
      </w:pPr>
      <w:r>
        <w:rPr>
          <w:rFonts w:hint="eastAsia" w:cs="宋体"/>
          <w:b/>
          <w:color w:val="000000"/>
          <w:highlight w:val="none"/>
        </w:rPr>
        <w:t xml:space="preserve">供应商与其他单位存在控股、管理关系情况表</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766"/>
        </w:trPr>
        <w:tc>
          <w:tcPr>
            <w:gridSpan w:val="4"/>
            <w:tcW w:w="6343" w:type="dxa"/>
            <w:vAlign w:val="center"/>
            <w:textDirection w:val="lrTb"/>
            <w:noWrap w:val="false"/>
          </w:tcPr>
          <w:p>
            <w:pPr>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存在直接股权关系</w:t>
            </w:r>
            <w:r/>
          </w:p>
        </w:tc>
        <w:tc>
          <w:tcPr>
            <w:gridSpan w:val="3"/>
            <w:tcW w:w="4063" w:type="dxa"/>
            <w:vAlign w:val="center"/>
            <w:textDirection w:val="lrTb"/>
            <w:noWrap w:val="false"/>
          </w:tcPr>
          <w:p>
            <w:pPr>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存在直接管理关系</w:t>
            </w:r>
            <w:r/>
          </w:p>
        </w:tc>
      </w:tr>
      <w:tr>
        <w:trPr>
          <w:jc w:val="center"/>
          <w:trHeight w:val="768"/>
        </w:trPr>
        <w:tc>
          <w:tcPr>
            <w:tcW w:w="1553" w:type="dxa"/>
            <w:vAlign w:val="center"/>
            <w:textDirection w:val="lrTb"/>
            <w:noWrap w:val="false"/>
          </w:tcPr>
          <w:p>
            <w:pPr>
              <w:jc w:val="center"/>
              <w:widowControl/>
              <w:rPr>
                <w:b/>
                <w:color w:val="000000"/>
                <w:highlight w:val="none"/>
              </w:rPr>
            </w:pPr>
            <w:r>
              <w:rPr>
                <w:rFonts w:hint="eastAsia"/>
                <w:b/>
                <w:color w:val="000000"/>
                <w:highlight w:val="none"/>
              </w:rPr>
              <w:t xml:space="preserve">单位名称</w:t>
            </w:r>
            <w:r/>
          </w:p>
        </w:tc>
        <w:tc>
          <w:tcPr>
            <w:tcW w:w="1704" w:type="dxa"/>
            <w:vAlign w:val="center"/>
            <w:textDirection w:val="lrTb"/>
            <w:noWrap w:val="false"/>
          </w:tcPr>
          <w:p>
            <w:pPr>
              <w:jc w:val="center"/>
              <w:widowControl/>
              <w:rPr>
                <w:b/>
                <w:color w:val="000000"/>
                <w:highlight w:val="none"/>
              </w:rPr>
            </w:pPr>
            <w:r>
              <w:rPr>
                <w:rFonts w:hint="eastAsia"/>
                <w:b/>
                <w:color w:val="000000"/>
                <w:highlight w:val="none"/>
              </w:rPr>
              <w:t xml:space="preserve">是否为大型企业</w:t>
            </w:r>
            <w:r/>
          </w:p>
          <w:p>
            <w:pPr>
              <w:jc w:val="center"/>
              <w:widowControl/>
              <w:rPr>
                <w:b/>
                <w:color w:val="000000"/>
                <w:highlight w:val="none"/>
              </w:rPr>
            </w:pPr>
            <w:r>
              <w:rPr>
                <w:rFonts w:hint="eastAsia"/>
                <w:b/>
                <w:color w:val="000000"/>
                <w:highlight w:val="none"/>
              </w:rPr>
              <w:t xml:space="preserve">（填写“是”或 “否”）</w:t>
            </w:r>
            <w:r/>
          </w:p>
        </w:tc>
        <w:tc>
          <w:tcPr>
            <w:tcW w:w="1506" w:type="dxa"/>
            <w:vAlign w:val="top"/>
            <w:textDirection w:val="lrTb"/>
            <w:noWrap w:val="false"/>
          </w:tcPr>
          <w:p>
            <w:pPr>
              <w:jc w:val="center"/>
              <w:widowControl/>
              <w:rPr>
                <w:b/>
                <w:color w:val="000000"/>
                <w:highlight w:val="none"/>
              </w:rPr>
            </w:pPr>
            <w:r>
              <w:rPr>
                <w:rFonts w:hint="eastAsia"/>
                <w:b/>
                <w:color w:val="000000"/>
                <w:highlight w:val="none"/>
              </w:rPr>
              <w:t xml:space="preserve">是否直接控股</w:t>
            </w:r>
            <w:r/>
          </w:p>
          <w:p>
            <w:pPr>
              <w:jc w:val="center"/>
              <w:widowControl/>
              <w:rPr>
                <w:b/>
                <w:color w:val="000000"/>
                <w:highlight w:val="none"/>
              </w:rPr>
            </w:pPr>
            <w:r>
              <w:rPr>
                <w:rFonts w:hint="eastAsia"/>
                <w:b/>
                <w:color w:val="000000"/>
                <w:highlight w:val="none"/>
              </w:rPr>
              <w:t xml:space="preserve">（填写“是”或 “否”）</w:t>
            </w:r>
            <w:r/>
          </w:p>
        </w:tc>
        <w:tc>
          <w:tcPr>
            <w:tcW w:w="1580" w:type="dxa"/>
            <w:vAlign w:val="center"/>
            <w:textDirection w:val="lrTb"/>
            <w:noWrap w:val="false"/>
          </w:tcPr>
          <w:p>
            <w:pPr>
              <w:jc w:val="center"/>
              <w:widowControl/>
              <w:rPr>
                <w:b/>
                <w:color w:val="000000"/>
                <w:highlight w:val="none"/>
              </w:rPr>
            </w:pPr>
            <w:r>
              <w:rPr>
                <w:rFonts w:hint="eastAsia"/>
                <w:b/>
                <w:color w:val="000000"/>
                <w:highlight w:val="none"/>
              </w:rPr>
              <w:t xml:space="preserve">直接控股关系情况说明（持股比例等）</w:t>
            </w:r>
            <w:r/>
          </w:p>
        </w:tc>
        <w:tc>
          <w:tcPr>
            <w:tcW w:w="1084" w:type="dxa"/>
            <w:vAlign w:val="center"/>
            <w:textDirection w:val="lrTb"/>
            <w:noWrap w:val="false"/>
          </w:tcPr>
          <w:p>
            <w:pPr>
              <w:jc w:val="center"/>
              <w:widowControl/>
              <w:rPr>
                <w:b/>
                <w:color w:val="000000"/>
                <w:highlight w:val="none"/>
              </w:rPr>
            </w:pPr>
            <w:r>
              <w:rPr>
                <w:rFonts w:hint="eastAsia"/>
                <w:b/>
                <w:color w:val="000000"/>
                <w:highlight w:val="none"/>
              </w:rPr>
              <w:t xml:space="preserve">单位名称</w:t>
            </w:r>
            <w:r/>
          </w:p>
        </w:tc>
        <w:tc>
          <w:tcPr>
            <w:tcW w:w="1711" w:type="dxa"/>
            <w:vAlign w:val="center"/>
            <w:textDirection w:val="lrTb"/>
            <w:noWrap w:val="false"/>
          </w:tcPr>
          <w:p>
            <w:pPr>
              <w:jc w:val="center"/>
              <w:widowControl/>
              <w:rPr>
                <w:b/>
                <w:color w:val="000000"/>
                <w:highlight w:val="none"/>
              </w:rPr>
            </w:pPr>
            <w:r>
              <w:rPr>
                <w:rFonts w:hint="eastAsia"/>
                <w:b/>
                <w:color w:val="000000"/>
                <w:highlight w:val="none"/>
              </w:rPr>
              <w:t xml:space="preserve">是否为大型企业</w:t>
            </w:r>
            <w:r/>
          </w:p>
          <w:p>
            <w:pPr>
              <w:jc w:val="center"/>
              <w:widowControl/>
              <w:rPr>
                <w:b/>
                <w:color w:val="000000"/>
                <w:highlight w:val="none"/>
              </w:rPr>
            </w:pPr>
            <w:r>
              <w:rPr>
                <w:rFonts w:hint="eastAsia"/>
                <w:b/>
                <w:color w:val="000000"/>
                <w:highlight w:val="none"/>
              </w:rPr>
              <w:t xml:space="preserve">（填写“是”或 “否”）</w:t>
            </w:r>
            <w:r/>
          </w:p>
        </w:tc>
        <w:tc>
          <w:tcPr>
            <w:tcW w:w="1268" w:type="dxa"/>
            <w:vAlign w:val="center"/>
            <w:textDirection w:val="lrTb"/>
            <w:noWrap w:val="false"/>
          </w:tcPr>
          <w:p>
            <w:pPr>
              <w:jc w:val="center"/>
              <w:widowControl/>
              <w:rPr>
                <w:b/>
                <w:color w:val="000000"/>
                <w:highlight w:val="none"/>
              </w:rPr>
            </w:pPr>
            <w:r>
              <w:rPr>
                <w:rFonts w:hint="eastAsia"/>
                <w:b/>
                <w:color w:val="000000"/>
                <w:highlight w:val="none"/>
              </w:rPr>
              <w:t xml:space="preserve">直接管理关系情况说明</w:t>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bl>
    <w:p>
      <w:pPr>
        <w:ind w:firstLine="566"/>
        <w:spacing w:line="360" w:lineRule="auto"/>
        <w:rPr>
          <w:b/>
          <w:color w:val="000000"/>
          <w:highlight w:val="none"/>
        </w:rPr>
        <w:outlineLvl w:val="1"/>
      </w:pPr>
      <w:r>
        <w:rPr>
          <w:rFonts w:hint="eastAsia"/>
          <w:b/>
          <w:color w:val="000000"/>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b/>
          <w:color w:val="000000"/>
          <w:highlight w:val="none"/>
        </w:rPr>
      </w:pPr>
      <w:r>
        <w:rPr>
          <w:rFonts w:hint="eastAsia"/>
          <w:b/>
          <w:color w:val="000000"/>
          <w:highlight w:val="none"/>
        </w:rPr>
        <w:t xml:space="preserve">2、其中“直接控股”是指投标人与大型企业之间存在直接投资并控股（非普通持股）的关系。</w:t>
      </w:r>
      <w:r/>
    </w:p>
    <w:p>
      <w:pPr>
        <w:rPr>
          <w:b/>
          <w:color w:val="000000"/>
          <w:highlight w:val="none"/>
        </w:rPr>
      </w:pPr>
      <w:r>
        <w:rPr>
          <w:b/>
          <w:color w:val="000000"/>
          <w:highlight w:val="none"/>
        </w:rPr>
      </w:r>
      <w:r/>
    </w:p>
    <w:p>
      <w:pPr>
        <w:pStyle w:val="1006"/>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1006"/>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1006"/>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spacing w:line="400" w:lineRule="exact"/>
        <w:rPr>
          <w:color w:val="000000"/>
          <w:highlight w:val="none"/>
        </w:rPr>
      </w:pPr>
      <w:r>
        <w:rPr>
          <w:color w:val="000000"/>
          <w:highlight w:val="none"/>
        </w:rPr>
      </w:r>
      <w:r/>
    </w:p>
    <w:p>
      <w:pPr>
        <w:jc w:val="center"/>
        <w:rPr>
          <w:rFonts w:hint="eastAsia" w:cs="宋体"/>
          <w:b/>
          <w:bCs/>
          <w:color w:val="000000"/>
          <w:sz w:val="44"/>
          <w:szCs w:val="44"/>
          <w:highlight w:val="none"/>
        </w:rPr>
      </w:pPr>
      <w:r>
        <w:rPr>
          <w:rFonts w:cs="宋体"/>
          <w:b/>
          <w:bCs/>
          <w:color w:val="000000"/>
          <w:highlight w:val="none"/>
        </w:rPr>
        <w:br w:type="page" w:clear="all"/>
      </w:r>
      <w:r>
        <w:rPr>
          <w:rFonts w:hint="eastAsia" w:cs="宋体"/>
          <w:b/>
          <w:bCs/>
          <w:color w:val="000000"/>
          <w:sz w:val="44"/>
          <w:szCs w:val="44"/>
          <w:highlight w:val="none"/>
        </w:rPr>
        <w:t xml:space="preserve">第四章  </w:t>
      </w:r>
      <w:bookmarkStart w:id="17" w:name="招标书"/>
      <w:r/>
      <w:bookmarkEnd w:id="17"/>
      <w:r>
        <w:rPr>
          <w:rFonts w:hint="eastAsia" w:cs="宋体"/>
          <w:b/>
          <w:bCs/>
          <w:color w:val="000000"/>
          <w:sz w:val="44"/>
          <w:szCs w:val="44"/>
          <w:highlight w:val="none"/>
        </w:rPr>
        <w:t xml:space="preserve">招标书</w:t>
      </w:r>
      <w:r/>
    </w:p>
    <w:p>
      <w:pPr>
        <w:ind w:left="6" w:firstLine="558"/>
        <w:jc w:val="left"/>
        <w:spacing w:line="400" w:lineRule="exact"/>
        <w:rPr>
          <w:rFonts w:hint="eastAsia" w:ascii="宋体" w:hAnsi="宋体" w:eastAsia="宋体" w:cs="宋体"/>
          <w:color w:val="000000"/>
          <w:sz w:val="21"/>
          <w:szCs w:val="21"/>
          <w:highlight w:val="none"/>
        </w:rPr>
      </w:pPr>
      <w:r>
        <w:rPr>
          <w:rFonts w:hint="eastAsia" w:cs="宋体"/>
          <w:color w:val="000000"/>
          <w:sz w:val="21"/>
          <w:szCs w:val="21"/>
          <w:highlight w:val="none"/>
          <w:lang w:eastAsia="zh-CN"/>
        </w:rPr>
        <w:t xml:space="preserve">经纬工程咨询（苏州）有限公司</w:t>
      </w: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苏州市吴中生态环境局</w:t>
      </w:r>
      <w:r>
        <w:rPr>
          <w:rFonts w:hint="eastAsia" w:ascii="宋体" w:hAnsi="宋体" w:eastAsia="宋体" w:cs="宋体"/>
          <w:color w:val="000000"/>
          <w:sz w:val="21"/>
          <w:szCs w:val="21"/>
          <w:highlight w:val="none"/>
        </w:rPr>
        <w:t xml:space="preserve">的委托，就</w:t>
      </w:r>
      <w:r>
        <w:rPr>
          <w:rFonts w:hint="eastAsia" w:cs="宋体"/>
          <w:bCs/>
          <w:color w:val="000000"/>
          <w:sz w:val="21"/>
          <w:szCs w:val="21"/>
          <w:highlight w:val="none"/>
          <w:lang w:eastAsia="zh-CN"/>
        </w:rPr>
        <w:t xml:space="preserve">2026年水质自动站运维</w:t>
      </w:r>
      <w:r>
        <w:rPr>
          <w:rFonts w:hint="eastAsia" w:ascii="宋体" w:hAnsi="宋体" w:eastAsia="宋体" w:cs="宋体"/>
          <w:color w:val="000000"/>
          <w:sz w:val="21"/>
          <w:szCs w:val="21"/>
          <w:highlight w:val="none"/>
        </w:rPr>
        <w:t xml:space="preserve">进行公开招标。</w:t>
      </w:r>
      <w:r/>
    </w:p>
    <w:p>
      <w:pPr>
        <w:numPr>
          <w:ilvl w:val="0"/>
          <w:numId w:val="38"/>
        </w:numPr>
        <w:ind w:left="567" w:hanging="567"/>
        <w:spacing w:line="400" w:lineRule="exact"/>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项目编号：</w:t>
      </w:r>
      <w:r>
        <w:rPr>
          <w:rFonts w:hint="eastAsia" w:cs="宋体"/>
          <w:color w:val="000000"/>
          <w:sz w:val="21"/>
          <w:szCs w:val="21"/>
          <w:highlight w:val="none"/>
          <w:lang w:eastAsia="zh-CN"/>
        </w:rPr>
        <w:t xml:space="preserve">JSZC-320506-JWGC-G2026-0002</w:t>
      </w:r>
      <w:r/>
    </w:p>
    <w:p>
      <w:pPr>
        <w:numPr>
          <w:ilvl w:val="0"/>
          <w:numId w:val="38"/>
        </w:numPr>
        <w:ind w:left="567" w:hanging="567"/>
        <w:spacing w:line="400" w:lineRule="exact"/>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项目名称：</w:t>
      </w:r>
      <w:r>
        <w:rPr>
          <w:rFonts w:hint="eastAsia" w:cs="宋体"/>
          <w:color w:val="000000"/>
          <w:sz w:val="21"/>
          <w:szCs w:val="21"/>
          <w:highlight w:val="none"/>
          <w:lang w:eastAsia="zh-CN"/>
        </w:rPr>
        <w:t xml:space="preserve">2026年水质自动站运维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其中：</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一标段：</w:t>
      </w:r>
      <w:r>
        <w:rPr>
          <w:rFonts w:hint="eastAsia" w:ascii="宋体" w:hAnsi="宋体" w:eastAsia="宋体" w:cs="宋体"/>
          <w:b w:val="0"/>
          <w:bCs/>
          <w:color w:val="000000"/>
          <w:sz w:val="21"/>
          <w:szCs w:val="21"/>
          <w:highlight w:val="none"/>
          <w:vertAlign w:val="baseline"/>
          <w:lang w:val="en-US" w:eastAsia="zh-CN"/>
        </w:rPr>
        <w:t xml:space="preserve">太湖通湖及周边乡镇2</w:t>
      </w:r>
      <w:r>
        <w:rPr>
          <w:rFonts w:hint="eastAsia" w:cs="宋体"/>
          <w:b w:val="0"/>
          <w:bCs/>
          <w:color w:val="000000"/>
          <w:sz w:val="21"/>
          <w:szCs w:val="21"/>
          <w:highlight w:val="none"/>
          <w:vertAlign w:val="baseline"/>
          <w:lang w:val="en-US" w:eastAsia="zh-CN"/>
        </w:rPr>
        <w:t xml:space="preserve">4</w:t>
      </w:r>
      <w:r>
        <w:rPr>
          <w:rFonts w:hint="eastAsia" w:ascii="宋体" w:hAnsi="宋体" w:eastAsia="宋体" w:cs="宋体"/>
          <w:b w:val="0"/>
          <w:bCs/>
          <w:color w:val="000000"/>
          <w:sz w:val="21"/>
          <w:szCs w:val="21"/>
          <w:highlight w:val="none"/>
          <w:vertAlign w:val="baseline"/>
          <w:lang w:val="en-US" w:eastAsia="zh-CN"/>
        </w:rPr>
        <w:t xml:space="preserve">座水质自动站运维服务</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二标段：</w:t>
      </w:r>
      <w:r>
        <w:rPr>
          <w:rFonts w:hint="eastAsia" w:ascii="宋体" w:hAnsi="宋体" w:eastAsia="宋体" w:cs="宋体"/>
          <w:b w:val="0"/>
          <w:bCs/>
          <w:color w:val="000000"/>
          <w:sz w:val="21"/>
          <w:szCs w:val="21"/>
          <w:highlight w:val="none"/>
          <w:vertAlign w:val="baseline"/>
          <w:lang w:val="en-US" w:eastAsia="zh-CN"/>
        </w:rPr>
        <w:t xml:space="preserve">澄湖通湖及周边乡镇</w:t>
      </w:r>
      <w:r>
        <w:rPr>
          <w:rFonts w:hint="eastAsia" w:cs="宋体"/>
          <w:b w:val="0"/>
          <w:bCs/>
          <w:color w:val="000000"/>
          <w:sz w:val="21"/>
          <w:szCs w:val="21"/>
          <w:highlight w:val="none"/>
          <w:vertAlign w:val="baseline"/>
          <w:lang w:val="en-US" w:eastAsia="zh-CN"/>
        </w:rPr>
        <w:t xml:space="preserve">31</w:t>
      </w:r>
      <w:r>
        <w:rPr>
          <w:rFonts w:hint="eastAsia" w:ascii="宋体" w:hAnsi="宋体" w:eastAsia="宋体" w:cs="宋体"/>
          <w:b w:val="0"/>
          <w:bCs/>
          <w:color w:val="000000"/>
          <w:sz w:val="21"/>
          <w:szCs w:val="21"/>
          <w:highlight w:val="none"/>
          <w:vertAlign w:val="baseline"/>
          <w:lang w:val="en-US" w:eastAsia="zh-CN"/>
        </w:rPr>
        <w:t xml:space="preserve">座水质自动站运维服务</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三标段：</w:t>
      </w:r>
      <w:r>
        <w:rPr>
          <w:rFonts w:hint="eastAsia" w:ascii="宋体" w:hAnsi="宋体" w:eastAsia="宋体" w:cs="宋体"/>
          <w:b w:val="0"/>
          <w:bCs/>
          <w:color w:val="000000"/>
          <w:sz w:val="21"/>
          <w:szCs w:val="21"/>
          <w:highlight w:val="none"/>
          <w:vertAlign w:val="baseline"/>
          <w:lang w:val="en-US" w:eastAsia="zh-CN"/>
        </w:rPr>
        <w:t xml:space="preserve">胥江、浒光运河等部分干支流13座水质自动站运维服务</w:t>
      </w:r>
      <w:r/>
    </w:p>
    <w:p>
      <w:pPr>
        <w:numPr>
          <w:ilvl w:val="0"/>
          <w:numId w:val="38"/>
        </w:numPr>
        <w:ind w:left="567" w:hanging="567"/>
        <w:spacing w:line="400" w:lineRule="exact"/>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陆佰</w:t>
      </w:r>
      <w:r>
        <w:rPr>
          <w:rFonts w:hint="eastAsia"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lang w:val="en-US" w:eastAsia="zh-CN"/>
        </w:rPr>
        <w:t xml:space="preserve">拾</w:t>
      </w:r>
      <w:r>
        <w:rPr>
          <w:rFonts w:hint="eastAsia" w:ascii="宋体" w:hAnsi="宋体" w:eastAsia="宋体" w:cs="宋体"/>
          <w:color w:val="000000"/>
          <w:sz w:val="21"/>
          <w:szCs w:val="21"/>
          <w:highlight w:val="none"/>
          <w:lang w:eastAsia="zh-CN"/>
        </w:rPr>
        <w:t xml:space="preserve">万元整（￥</w:t>
      </w:r>
      <w:r>
        <w:rPr>
          <w:rFonts w:hint="eastAsia" w:ascii="宋体" w:hAnsi="宋体" w:eastAsia="宋体" w:cs="宋体"/>
          <w:color w:val="000000"/>
          <w:sz w:val="21"/>
          <w:szCs w:val="21"/>
          <w:highlight w:val="none"/>
          <w:lang w:val="en-US" w:eastAsia="zh-CN"/>
        </w:rPr>
        <w:t xml:space="preserve">6</w:t>
      </w:r>
      <w:r>
        <w:rPr>
          <w:rFonts w:hint="eastAsia"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0000.00），</w:t>
      </w:r>
      <w:r>
        <w:rPr>
          <w:rFonts w:hint="eastAsia" w:ascii="宋体" w:hAnsi="宋体" w:eastAsia="宋体" w:cs="宋体"/>
          <w:color w:val="000000"/>
          <w:sz w:val="21"/>
          <w:szCs w:val="21"/>
          <w:highlight w:val="none"/>
          <w:lang w:val="en-US" w:eastAsia="zh-CN"/>
        </w:rPr>
        <w:t xml:space="preserve">其中：</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一标段：人民币贰佰</w:t>
      </w:r>
      <w:r>
        <w:rPr>
          <w:rFonts w:hint="eastAsia"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lang w:val="en-US" w:eastAsia="zh-CN"/>
        </w:rPr>
        <w:t xml:space="preserve">拾</w:t>
      </w:r>
      <w:r>
        <w:rPr>
          <w:rFonts w:hint="eastAsia"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lang w:val="en-US" w:eastAsia="zh-CN"/>
        </w:rPr>
        <w:t xml:space="preserve">万元整（￥2</w:t>
      </w:r>
      <w:r>
        <w:rPr>
          <w:rFonts w:hint="eastAsia" w:cs="宋体"/>
          <w:color w:val="000000"/>
          <w:sz w:val="21"/>
          <w:szCs w:val="21"/>
          <w:highlight w:val="none"/>
          <w:lang w:val="en-US" w:eastAsia="zh-CN"/>
        </w:rPr>
        <w:t xml:space="preserve">72</w:t>
      </w:r>
      <w:r>
        <w:rPr>
          <w:rFonts w:hint="eastAsia" w:ascii="宋体" w:hAnsi="宋体" w:eastAsia="宋体" w:cs="宋体"/>
          <w:color w:val="000000"/>
          <w:sz w:val="21"/>
          <w:szCs w:val="21"/>
          <w:highlight w:val="none"/>
          <w:lang w:val="en-US" w:eastAsia="zh-CN"/>
        </w:rPr>
        <w:t xml:space="preserve">0000.00）</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二标段：人民币贰佰</w:t>
      </w:r>
      <w:r>
        <w:rPr>
          <w:rFonts w:hint="eastAsia"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lang w:val="en-US" w:eastAsia="zh-CN"/>
        </w:rPr>
        <w:t xml:space="preserve">拾万元整（￥2</w:t>
      </w:r>
      <w:r>
        <w:rPr>
          <w:rFonts w:hint="eastAsia"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val="en-US" w:eastAsia="zh-CN"/>
        </w:rPr>
        <w:t xml:space="preserve">0000.00）</w:t>
      </w:r>
      <w:r/>
    </w:p>
    <w:p>
      <w:pPr>
        <w:ind w:left="6" w:firstLine="558"/>
        <w:jc w:val="left"/>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三标段：人民币壹佰零捌万元整</w:t>
      </w:r>
      <w:r>
        <w:rPr>
          <w:rFonts w:hint="eastAsia" w:ascii="宋体" w:hAnsi="宋体" w:eastAsia="宋体" w:cs="宋体"/>
          <w:color w:val="000000"/>
          <w:sz w:val="21"/>
          <w:szCs w:val="21"/>
          <w:highlight w:val="none"/>
          <w:lang w:val="en-US" w:eastAsia="zh-CN"/>
        </w:rPr>
        <w:t xml:space="preserve">（￥1080000.00）</w:t>
      </w:r>
      <w:r/>
    </w:p>
    <w:p>
      <w:pPr>
        <w:numPr>
          <w:ilvl w:val="0"/>
          <w:numId w:val="38"/>
        </w:numPr>
        <w:ind w:left="567" w:hanging="567"/>
        <w:spacing w:line="400" w:lineRule="exact"/>
        <w:tabs>
          <w:tab w:val="left" w:pos="567" w:leader="none"/>
        </w:tabs>
        <w:rPr>
          <w:rFonts w:hint="eastAsia" w:ascii="宋体" w:hAnsi="宋体" w:eastAsia="宋体" w:cs="宋体"/>
          <w:b/>
          <w:color w:val="000000"/>
          <w:highlight w:val="none"/>
          <w:lang w:eastAsia="zh-CN"/>
        </w:rPr>
      </w:pPr>
      <w:r>
        <w:rPr>
          <w:rFonts w:hint="eastAsia" w:ascii="宋体" w:hAnsi="宋体" w:eastAsia="宋体" w:cs="宋体"/>
          <w:b/>
          <w:color w:val="000000"/>
          <w:highlight w:val="none"/>
        </w:rPr>
        <w:t xml:space="preserve">最高限价：</w:t>
      </w:r>
      <w:r>
        <w:rPr>
          <w:rFonts w:hint="eastAsia" w:ascii="宋体" w:hAnsi="宋体" w:eastAsia="宋体" w:cs="宋体"/>
          <w:b/>
          <w:color w:val="000000"/>
          <w:highlight w:val="none"/>
          <w:lang w:eastAsia="zh-CN"/>
        </w:rPr>
        <w:t xml:space="preserve">无</w:t>
      </w:r>
      <w:r/>
    </w:p>
    <w:p>
      <w:pPr>
        <w:numPr>
          <w:ilvl w:val="0"/>
          <w:numId w:val="38"/>
        </w:numPr>
        <w:ind w:left="567" w:hanging="567"/>
        <w:spacing w:line="400" w:lineRule="exact"/>
        <w:tabs>
          <w:tab w:val="left" w:pos="567"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采购需求：</w:t>
      </w:r>
      <w:r/>
    </w:p>
    <w:p>
      <w:pPr>
        <w:ind w:firstLine="422"/>
        <w:jc w:val="center"/>
        <w:spacing w:line="400" w:lineRule="exact"/>
        <w:rPr>
          <w:rFonts w:hint="eastAsia" w:ascii="宋体" w:hAnsi="宋体" w:eastAsia="宋体" w:cs="宋体"/>
          <w:b/>
          <w:bCs/>
          <w:color w:val="000000"/>
          <w:sz w:val="21"/>
          <w:szCs w:val="21"/>
          <w:highlight w:val="none"/>
          <w:lang w:val="en-US" w:eastAsia="zh-CN"/>
        </w:rPr>
      </w:pPr>
      <w:r/>
      <w:bookmarkStart w:id="18" w:name="_Toc18855118"/>
      <w:r>
        <w:rPr>
          <w:rFonts w:hint="eastAsia" w:ascii="宋体" w:hAnsi="宋体" w:eastAsia="宋体" w:cs="宋体"/>
          <w:b/>
          <w:bCs/>
          <w:color w:val="000000"/>
          <w:sz w:val="21"/>
          <w:szCs w:val="21"/>
          <w:highlight w:val="none"/>
          <w:lang w:val="en-US" w:eastAsia="zh-CN"/>
        </w:rPr>
        <w:t xml:space="preserve">一标段：</w:t>
      </w:r>
      <w:r>
        <w:rPr>
          <w:rFonts w:hint="eastAsia" w:ascii="宋体" w:hAnsi="宋体" w:eastAsia="宋体" w:cs="宋体"/>
          <w:b/>
          <w:bCs/>
          <w:color w:val="000000"/>
          <w:sz w:val="21"/>
          <w:szCs w:val="21"/>
          <w:highlight w:val="none"/>
          <w:vertAlign w:val="baseline"/>
          <w:lang w:val="en-US" w:eastAsia="zh-CN"/>
        </w:rPr>
        <w:t xml:space="preserve">太湖通湖及周边乡镇2</w:t>
      </w:r>
      <w:r>
        <w:rPr>
          <w:rFonts w:hint="eastAsia" w:cs="宋体"/>
          <w:b/>
          <w:bCs/>
          <w:color w:val="000000"/>
          <w:sz w:val="21"/>
          <w:szCs w:val="21"/>
          <w:highlight w:val="none"/>
          <w:vertAlign w:val="baseline"/>
          <w:lang w:val="en-US" w:eastAsia="zh-CN"/>
        </w:rPr>
        <w:t xml:space="preserve">4</w:t>
      </w:r>
      <w:r>
        <w:rPr>
          <w:rFonts w:hint="eastAsia" w:ascii="宋体" w:hAnsi="宋体" w:eastAsia="宋体" w:cs="宋体"/>
          <w:b/>
          <w:bCs/>
          <w:color w:val="000000"/>
          <w:sz w:val="21"/>
          <w:szCs w:val="21"/>
          <w:highlight w:val="none"/>
          <w:vertAlign w:val="baseline"/>
          <w:lang w:val="en-US" w:eastAsia="zh-CN"/>
        </w:rPr>
        <w:t xml:space="preserve">座水质自动站运维服务</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1、项目概述</w:t>
      </w:r>
      <w:r/>
    </w:p>
    <w:p>
      <w:pPr>
        <w:pStyle w:val="1368"/>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为保障吴中区地表水环境质量监控系统正常安全运行，确保监测数据的有效性、准确性，强化自动监测监督管理工作，推进地表水环境质量监控系统社会化运营模式，拟委托第三方对</w:t>
      </w:r>
      <w:r>
        <w:rPr>
          <w:rFonts w:hint="eastAsia" w:ascii="宋体" w:hAnsi="宋体" w:eastAsia="宋体" w:cs="宋体"/>
          <w:b w:val="0"/>
          <w:bCs/>
          <w:color w:val="000000"/>
          <w:sz w:val="21"/>
          <w:szCs w:val="21"/>
          <w:highlight w:val="none"/>
          <w:vertAlign w:val="baseline"/>
          <w:lang w:val="en-US" w:eastAsia="zh-CN"/>
        </w:rPr>
        <w:t xml:space="preserve">太湖通湖及周边乡镇2</w:t>
      </w:r>
      <w:r>
        <w:rPr>
          <w:rFonts w:hint="eastAsia" w:ascii="宋体" w:hAnsi="宋体" w:cs="宋体"/>
          <w:b w:val="0"/>
          <w:bCs/>
          <w:color w:val="000000"/>
          <w:sz w:val="21"/>
          <w:szCs w:val="21"/>
          <w:highlight w:val="none"/>
          <w:vertAlign w:val="baseline"/>
          <w:lang w:val="en-US" w:eastAsia="zh-CN"/>
        </w:rPr>
        <w:t xml:space="preserve">4</w:t>
      </w:r>
      <w:r>
        <w:rPr>
          <w:rFonts w:hint="eastAsia" w:ascii="宋体" w:hAnsi="宋体" w:eastAsia="宋体" w:cs="宋体"/>
          <w:b w:val="0"/>
          <w:bCs/>
          <w:color w:val="000000"/>
          <w:sz w:val="21"/>
          <w:szCs w:val="21"/>
          <w:highlight w:val="none"/>
          <w:vertAlign w:val="baseline"/>
          <w:lang w:val="en-US" w:eastAsia="zh-CN"/>
        </w:rPr>
        <w:t xml:space="preserve">座水质自动站</w:t>
      </w:r>
      <w:r>
        <w:rPr>
          <w:rFonts w:hint="eastAsia" w:ascii="宋体" w:hAnsi="宋体" w:eastAsia="宋体" w:cs="宋体"/>
          <w:color w:val="000000"/>
          <w:sz w:val="21"/>
          <w:szCs w:val="21"/>
          <w:highlight w:val="none"/>
          <w:lang w:val="en-US" w:eastAsia="zh-CN"/>
        </w:rPr>
        <w:t xml:space="preserve">提供运维服务。</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2、总体要求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 凡标有“▲”的内容均被视为重要的技术要求和性能指标。投标人要特别加以注意，必须</w:t>
      </w:r>
      <w:r>
        <w:rPr>
          <w:rFonts w:hint="eastAsia" w:ascii="宋体" w:hAnsi="宋体" w:eastAsia="宋体" w:cs="宋体"/>
          <w:color w:val="000000"/>
          <w:sz w:val="21"/>
          <w:szCs w:val="21"/>
          <w:highlight w:val="none"/>
          <w:lang w:val="en-US" w:eastAsia="zh-CN"/>
        </w:rPr>
        <w:t xml:space="preserve">予以承诺响应</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 投标人资金保证充足。</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2.3 投标人应列明水质自动监测系统运营及管理期间的各项费用预算开支。</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 ▲在水质自动监测系统运维及管理期间，在合同约束范围内中标单位拥有管理自主权；不能以任何形式外包合同规定的运行维护任务。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 ▲投标人应提供完整的水质自动监测系统运维实施方案。提出解决目前存在问题的措施，明确维护方法、周期、内容及技术保障。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2.6 ▲投标人应提供完整的水质自动监测运维人员管理方案，提出解决稳定人员队伍的措施。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 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采购人的定期、不定期检查和考核。</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 投标人具备一定的监测数据分析能力，能配合采购人完成各类分析报告的编制工作，可为环境管理提供技术支撑。</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2.9 本项目需要进行现场勘察，各位潜在投标人应提前深入了解原水站系统运行情况，以确保中标后与原运维单位对接并承担相应责任。应于开标日期10日前完成现场勘查。现场勘查联系人及联系方式：</w:t>
      </w:r>
      <w:r>
        <w:rPr>
          <w:rFonts w:hint="eastAsia" w:ascii="宋体" w:hAnsi="宋体" w:eastAsia="宋体" w:cs="宋体"/>
          <w:color w:val="000000"/>
          <w:sz w:val="21"/>
          <w:szCs w:val="21"/>
          <w:highlight w:val="none"/>
          <w:lang w:val="en-US" w:eastAsia="zh-CN"/>
        </w:rPr>
        <w:t xml:space="preserve">阮晓杰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7082875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叶文荣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7082862</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cyan"/>
        </w:rPr>
        <w:t xml:space="preserve">投标人承诺为本项目在采购人单位提供</w:t>
      </w:r>
      <w:r>
        <w:rPr>
          <w:rFonts w:hint="eastAsia" w:cs="宋体"/>
          <w:color w:val="000000"/>
          <w:sz w:val="21"/>
          <w:szCs w:val="21"/>
          <w:highlight w:val="cyan"/>
          <w:lang w:val="en-US" w:eastAsia="zh-CN"/>
        </w:rPr>
        <w:t xml:space="preserve">相关</w:t>
      </w:r>
      <w:r>
        <w:rPr>
          <w:rFonts w:hint="eastAsia" w:eastAsia="宋体" w:cs="宋体"/>
          <w:color w:val="000000"/>
          <w:sz w:val="21"/>
          <w:szCs w:val="21"/>
          <w:highlight w:val="cyan"/>
          <w:lang w:val="en-US" w:eastAsia="zh-CN"/>
        </w:rPr>
        <w:t xml:space="preserve">技术</w:t>
      </w:r>
      <w:r>
        <w:rPr>
          <w:rFonts w:hint="eastAsia" w:ascii="宋体" w:hAnsi="宋体" w:eastAsia="宋体" w:cs="宋体"/>
          <w:color w:val="000000"/>
          <w:sz w:val="21"/>
          <w:szCs w:val="21"/>
          <w:highlight w:val="cyan"/>
        </w:rPr>
        <w:t xml:space="preserve">人员，</w:t>
      </w:r>
      <w:r>
        <w:rPr>
          <w:rFonts w:hint="eastAsia" w:cs="宋体"/>
          <w:color w:val="000000"/>
          <w:sz w:val="21"/>
          <w:szCs w:val="21"/>
          <w:highlight w:val="cyan"/>
          <w:lang w:val="en-US" w:eastAsia="zh-CN"/>
        </w:rPr>
        <w:t xml:space="preserve">具体人员数量须与本章3.2.3中人员表格要求一致，</w:t>
      </w:r>
      <w:r>
        <w:rPr>
          <w:rFonts w:hint="eastAsia"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确保服务响应的及时性，无条件服从采购人的日常工作安排，对采购人负责，未经采购人同意不得调整</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须提供书面盖章承诺。</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b/>
          <w:bCs/>
          <w:i w:val="0"/>
          <w:iCs w:val="0"/>
          <w:color w:val="000000"/>
          <w:sz w:val="21"/>
          <w:szCs w:val="21"/>
          <w:highlight w:val="none"/>
          <w:u w:val="single"/>
        </w:rPr>
        <w:t xml:space="preserve">2.11 投标人自2020年1月1日至今在全国范围内的环境服务活动中出现投标人或其法定代表人、员工（包括但不限于高管人员、项目负责人员、实施人员及其他员工等，员工的认定以违法行为发生当时劳动合同、聘任合同存续为准）曾在本项目类似业务实施过程中，因行贿受贿、数据造假、人为干扰监测等与业务活动相关的行为受到刑事处罚或被区县级（含）以上生态环境部门通报、行政处罚的不能参与此次投标。</w:t>
      </w:r>
      <w:r>
        <w:rPr>
          <w:rFonts w:hint="eastAsia" w:ascii="宋体" w:hAnsi="宋体" w:eastAsia="宋体" w:cs="宋体"/>
          <w:b/>
          <w:bCs/>
          <w:color w:val="000000"/>
          <w:sz w:val="21"/>
          <w:szCs w:val="21"/>
          <w:highlight w:val="none"/>
          <w:u w:val="single"/>
        </w:rPr>
        <w:t xml:space="preserve">投标人须承诺无上述行为，并提供承诺函。如招标人发现投标人虚假承诺，将视为虚假应标，并承担相关法律后果</w:t>
      </w:r>
      <w:r>
        <w:rPr>
          <w:rFonts w:hint="eastAsia" w:ascii="宋体" w:hAnsi="宋体" w:eastAsia="宋体" w:cs="宋体"/>
          <w:b/>
          <w:bCs/>
          <w:color w:val="000000"/>
          <w:sz w:val="21"/>
          <w:szCs w:val="21"/>
          <w:highlight w:val="none"/>
        </w:rPr>
        <w:t xml:space="preserve">。</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3、水站运维管理采购内容和要求</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3.1 需求及采购内容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3.1.1 具体站点情况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本次采购的项目内容为吴中区</w:t>
      </w:r>
      <w:r>
        <w:rPr>
          <w:rFonts w:hint="eastAsia" w:eastAsia="宋体" w:cs="宋体"/>
          <w:color w:val="000000"/>
          <w:sz w:val="21"/>
          <w:szCs w:val="21"/>
          <w:highlight w:val="none"/>
          <w:lang w:val="en-US" w:eastAsia="zh-CN"/>
        </w:rPr>
        <w:t xml:space="preserve">2</w:t>
      </w:r>
      <w:r>
        <w:rPr>
          <w:rFonts w:hint="eastAsia"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个水站的运行维护。要求投标人根据招标文件的要求负责水质自动监测系统的运行维护及管理工作。</w:t>
      </w:r>
      <w:r>
        <w:rPr>
          <w:rFonts w:hint="eastAsia" w:ascii="宋体" w:hAnsi="宋体" w:eastAsia="宋体" w:cs="宋体"/>
          <w:i w:val="0"/>
          <w:iCs w:val="0"/>
          <w:color w:val="000000"/>
          <w:sz w:val="21"/>
          <w:szCs w:val="21"/>
          <w:highlight w:val="none"/>
          <w:u w:val="none"/>
          <w:lang w:val="en-US" w:eastAsia="zh-CN" w:bidi="ar"/>
        </w:rPr>
        <w:t xml:space="preserve">在服务期限内免费提供</w:t>
      </w:r>
      <w:r>
        <w:rPr>
          <w:rFonts w:hint="eastAsia"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次的简易站搬迁服务，包含地基建设、水电接入及吊装等费用</w:t>
      </w:r>
      <w:r>
        <w:rPr>
          <w:rFonts w:hint="eastAsia"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rPr>
        <w:t xml:space="preserve">具体情况见下表：</w:t>
      </w:r>
      <w:r/>
    </w:p>
    <w:tbl>
      <w:tblPr>
        <w:tblStyle w:val="848"/>
        <w:tblW w:w="105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524"/>
        <w:gridCol w:w="3984"/>
        <w:gridCol w:w="1812"/>
        <w:gridCol w:w="2412"/>
      </w:tblGrid>
      <w:tr>
        <w:trPr/>
        <w:tc>
          <w:tcPr>
            <w:tcW w:w="8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序号</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站点名称</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站点配置参数</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服务周期</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备注</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崦里路桥</w:t>
            </w:r>
            <w:r/>
          </w:p>
        </w:tc>
        <w:tc>
          <w:tcPr>
            <w:tcW w:w="398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林屋路桥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lang w:val="en-US" w:eastAsia="zh-CN" w:bidi="ar"/>
              </w:rPr>
              <w:t xml:space="preserve">氨氮和</w:t>
            </w: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消夏湾</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lang w:val="en-US" w:eastAsia="zh-CN" w:bidi="ar"/>
              </w:rPr>
              <w:t xml:space="preserve">氨氮和</w:t>
            </w: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4</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镇夏江</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5</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石人浜桥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6</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馨湖度假村</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7</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西洞庭山路桥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8</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白塔湾桥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9</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植里港桥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10</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堂里江桥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11</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寺前水源地</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高锰酸盐指数、氨氮、总磷、总氮、TOC、挥发酚、生物毒性、氟化物、挥发性有机物、叶绿素a、藻密度</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氟化物</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12</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吴中化工园区</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高锰酸盐指数、氨氮、总磷、总氮、挥发酚、流量计</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河道施工停运</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13</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新家桥</w:t>
            </w:r>
            <w:r/>
          </w:p>
        </w:tc>
        <w:tc>
          <w:tcPr>
            <w:tcW w:w="398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高锰酸盐指数、氨氮、总磷、总氮、流量计</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瓜北流量计</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14</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澄湖</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高锰酸盐指数、氨氮、总磷、总氮、叶绿素a、藻密度</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使用备机，本站点为湖体平台站，中标单位需开展一次平台年度维护工作，包括但不限于平台整体除锈，防锈，救生用品更换等。</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15</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白鹭岛</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高锰酸盐指数、氨氮、总磷、总氮、叶绿素a、藻密度</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16</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rPr>
              <w:t xml:space="preserve">苏旺河</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17</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rPr>
              <w:t xml:space="preserve">白洋湖</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18</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活水泵站</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19</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福利桥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灵山桥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21</w:t>
            </w:r>
            <w:r/>
          </w:p>
        </w:tc>
        <w:tc>
          <w:tcPr>
            <w:tcW w:w="152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eastAsia="宋体" w:cs="宋体"/>
                <w:sz w:val="21"/>
                <w:szCs w:val="21"/>
                <w:lang w:val="en-US" w:eastAsia="zh-CN" w:bidi="ar-SA"/>
              </w:rPr>
              <w:t xml:space="preserve">天鹅荡路桥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22</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林渠桥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氨氮和</w:t>
            </w: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23</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香山桥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24</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
              </w:rPr>
              <w:outlineLvl w:val="9"/>
            </w:pPr>
            <w:r>
              <w:rPr>
                <w:rFonts w:hint="eastAsia" w:eastAsia="宋体" w:cs="宋体"/>
                <w:sz w:val="21"/>
                <w:szCs w:val="21"/>
                <w:lang w:val="en-US" w:eastAsia="zh-CN" w:bidi="ar"/>
              </w:rPr>
              <w:t xml:space="preserve">大禹桥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bl>
    <w:p>
      <w:pPr>
        <w:contextualSpacing/>
        <w:ind w:firstLine="422"/>
        <w:keepLines w:val="0"/>
        <w:keepNext w:val="0"/>
        <w:pageBreakBefore w:val="0"/>
        <w:spacing w:line="400" w:lineRule="exact"/>
        <w:widowControl w:val="off"/>
        <w:tabs>
          <w:tab w:val="left" w:pos="2280" w:leader="none"/>
        </w:tabs>
        <w:rPr>
          <w:rFonts w:hint="eastAsia"/>
        </w:rPr>
        <w:outlineLvl w:val="9"/>
      </w:pPr>
      <w:r>
        <w:rPr>
          <w:rFonts w:hint="eastAsia" w:eastAsia="宋体" w:cs="宋体"/>
          <w:b/>
          <w:bCs/>
          <w:sz w:val="21"/>
          <w:szCs w:val="21"/>
          <w:lang w:val="en-US" w:eastAsia="zh-CN"/>
        </w:rPr>
        <w:t xml:space="preserve">备注：本标段存在设备无法正常运行，中标单位需提供备机，保障站点正常运行，提供的氨氮、高锰酸盐指数、总磷、总氮设备需具备自动质控功能。本标段主要设备品牌为理工、绿洁和岛津（总磷）。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3.1.2设备和设施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维单位负责运维的设备主要包括监测仪器、控制系统和辅助设备设施等。其中，监测仪器主要包括：水温、pH、溶解氧、电导率、浊度、高锰酸盐指数、氨氮、总磷、总氮九项参数，部分站点含挥发性有机物、生物毒性、挥发酚、TOC、氟化物、流量计等。辅助设备设施主要包括UPS、供电系统、通讯系统、防雷系统、视频监控系统等。</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数智化升级服务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投标人在所投包件中，</w:t>
      </w:r>
      <w:r>
        <w:rPr>
          <w:rFonts w:hint="eastAsia" w:ascii="宋体" w:hAnsi="宋体" w:eastAsia="宋体" w:cs="宋体"/>
          <w:color w:val="000000"/>
          <w:sz w:val="21"/>
          <w:szCs w:val="21"/>
          <w:highlight w:val="none"/>
          <w:lang w:val="en-US" w:eastAsia="zh-CN"/>
        </w:rPr>
        <w:t xml:space="preserve">根据采购人需求，对</w:t>
      </w:r>
      <w:r>
        <w:rPr>
          <w:rFonts w:hint="eastAsia" w:ascii="宋体" w:hAnsi="宋体" w:eastAsia="宋体" w:cs="宋体"/>
          <w:color w:val="000000"/>
          <w:sz w:val="21"/>
          <w:szCs w:val="21"/>
          <w:highlight w:val="none"/>
        </w:rPr>
        <w:t xml:space="preserve">一个水站进行数智化升级服务。升级后的数智化水站，能够减少运维频次，提高解决问题的效率，进一步提升水站的运行质量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站点升级原则上以现有站点设备开展改造升级，升级改造参数覆盖水质常规九参数，根据实际情况增加的所有主要监测设备、辅助设备、采水设施、系统集成、站房（现有站房不满足升级要求），产权均归采购方所有。升级改造</w:t>
      </w:r>
      <w:r>
        <w:rPr>
          <w:rFonts w:hint="eastAsia" w:ascii="宋体" w:hAnsi="宋体" w:eastAsia="宋体" w:cs="宋体"/>
          <w:color w:val="000000"/>
          <w:sz w:val="21"/>
          <w:szCs w:val="21"/>
          <w:highlight w:val="none"/>
        </w:rPr>
        <w:t xml:space="preserve">实现的主要功能如下：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水站监控软件能够自动控制高锰酸盐指数、氨氮、总磷和总氮水质在线分析仪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开展</w:t>
      </w:r>
      <w:r>
        <w:rPr>
          <w:rFonts w:hint="eastAsia" w:ascii="宋体" w:hAnsi="宋体" w:eastAsia="宋体" w:cs="宋体"/>
          <w:color w:val="000000"/>
          <w:sz w:val="21"/>
          <w:szCs w:val="21"/>
          <w:highlight w:val="none"/>
        </w:rPr>
        <w:t xml:space="preserve">低浓度标样核查（零点核查）、高浓度标样核查（跨度核查）、多点线性核查、加标回收率测试、仪器校正、动态标样核查（量程范围内的任意浓度）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全自动化质控流程。</w:t>
      </w:r>
      <w:r>
        <w:rPr>
          <w:rFonts w:hint="eastAsia" w:ascii="宋体" w:hAnsi="宋体" w:eastAsia="宋体" w:cs="宋体"/>
          <w:color w:val="000000"/>
          <w:sz w:val="21"/>
          <w:szCs w:val="21"/>
          <w:highlight w:val="none"/>
          <w:lang w:val="en-US" w:eastAsia="zh-CN"/>
        </w:rPr>
        <w:t xml:space="preserve">以及</w:t>
      </w:r>
      <w:r>
        <w:rPr>
          <w:rFonts w:hint="eastAsia" w:ascii="宋体" w:hAnsi="宋体" w:eastAsia="宋体" w:cs="宋体"/>
          <w:color w:val="000000"/>
          <w:sz w:val="21"/>
          <w:szCs w:val="21"/>
          <w:highlight w:val="none"/>
        </w:rPr>
        <w:t xml:space="preserve">集成影响检查、盲样核查、消解率测试</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半自动化质控流程</w:t>
      </w:r>
      <w:r>
        <w:rPr>
          <w:rFonts w:hint="eastAsia" w:ascii="宋体" w:hAnsi="宋体" w:eastAsia="宋体" w:cs="宋体"/>
          <w:color w:val="000000"/>
          <w:sz w:val="21"/>
          <w:szCs w:val="21"/>
          <w:highlight w:val="none"/>
          <w:lang w:eastAsia="zh-CN"/>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水质在线分析仪支持远程桌面技术，用户可以远程对仪器操作界面进行查看，进行远程排障，必要时进行专家会诊，迅速确定故障原因和检修方案，</w:t>
      </w:r>
      <w:r>
        <w:rPr>
          <w:rFonts w:hint="eastAsia" w:ascii="宋体" w:hAnsi="宋体" w:eastAsia="宋体" w:cs="宋体"/>
          <w:color w:val="000000"/>
          <w:sz w:val="21"/>
          <w:szCs w:val="21"/>
          <w:highlight w:val="none"/>
          <w:lang w:val="en-US" w:eastAsia="zh-CN"/>
        </w:rPr>
        <w:t xml:space="preserve">有效降低故障影像</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）常规五参数水质自动在线监测仪，</w:t>
      </w:r>
      <w:r>
        <w:rPr>
          <w:rFonts w:hint="eastAsia" w:ascii="宋体" w:hAnsi="宋体" w:eastAsia="宋体" w:cs="宋体"/>
          <w:color w:val="000000"/>
          <w:sz w:val="21"/>
          <w:szCs w:val="21"/>
          <w:highlight w:val="none"/>
          <w:lang w:val="en-US" w:eastAsia="zh-CN"/>
        </w:rPr>
        <w:t xml:space="preserve">可以实现</w:t>
      </w:r>
      <w:r>
        <w:rPr>
          <w:rFonts w:hint="eastAsia" w:ascii="宋体" w:hAnsi="宋体" w:eastAsia="宋体" w:cs="宋体"/>
          <w:color w:val="000000"/>
          <w:sz w:val="21"/>
          <w:szCs w:val="21"/>
          <w:highlight w:val="none"/>
          <w:lang w:eastAsia="zh-CN"/>
        </w:rPr>
        <w:t xml:space="preserve">自动校正、自动标样核查等质控功能，实现五参数电极探头及本体的自清洗，确保数据的准确性和可靠性。</w:t>
      </w:r>
      <w:r/>
    </w:p>
    <w:p>
      <w:pPr>
        <w:contextualSpacing/>
        <w:ind w:firstLine="420"/>
        <w:keepLines w:val="0"/>
        <w:keepNext w:val="0"/>
        <w:pageBreakBefore w:val="0"/>
        <w:spacing w:line="400" w:lineRule="exact"/>
        <w:widowControl w:val="off"/>
        <w:tabs>
          <w:tab w:val="left" w:pos="2280" w:leader="none"/>
        </w:tabs>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在线监控</w:t>
      </w:r>
      <w:r>
        <w:rPr>
          <w:rFonts w:hint="eastAsia" w:ascii="宋体" w:hAnsi="宋体" w:eastAsia="宋体" w:cs="宋体"/>
          <w:color w:val="000000"/>
          <w:sz w:val="21"/>
          <w:szCs w:val="21"/>
          <w:highlight w:val="none"/>
          <w:lang w:eastAsia="zh-CN"/>
        </w:rPr>
        <w:t xml:space="preserve">系统可全面获取各项水站环境数据、系统状态，可对全过程、全要素的状态信息进行实时监测，具备故障自诊断分析功能。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）在遇到超标异常水质数据时，水站监控软件能自动下发指令使水质在线分析仪自动配制和超标异常水质数据值相同或相近浓度的标准溶液自动进行标液核查，根据核查结果验证仪器性能状态。</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水质在线分析仪关键参数实时上传及远程设置功能，能接受远程控制指令。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具有监测仪器及系统过程日志记录和环境参数记录功能，并能够上传至中心平台。</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能够对室外采水深度、水站用电量、站房温湿度、水浸报警、烟感报警信息进行采集和存储。</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具有异常信息记录和上传功能，如采水故障、部件故障、超量程报警、超标报警、缺试剂报警等信息。</w:t>
      </w:r>
      <w:r/>
    </w:p>
    <w:p>
      <w:pPr>
        <w:pStyle w:val="864"/>
        <w:numPr>
          <w:ilvl w:val="0"/>
          <w:numId w:val="0"/>
        </w:numPr>
        <w:ind w:left="48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val="en-US" w:eastAsia="zh-CN"/>
        </w:rPr>
        <w:t xml:space="preserve">4  监测站房采购及监测设备搬迁服务</w:t>
      </w:r>
      <w:r/>
    </w:p>
    <w:p>
      <w:pPr>
        <w:pStyle w:val="864"/>
        <w:numPr>
          <w:ilvl w:val="0"/>
          <w:numId w:val="0"/>
        </w:numPr>
        <w:ind w:left="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本标段采购集成式监测站房1套，移动数据处理终端1台，站房包含四通一平、配套辅助设施、采配水设施（包含采水栈桥）、监控系统、文化建设及系统集成等，投标单位提供1个水质自动站监测设备的搬迁服务，安装地址为采购方指定地址，技术参数如下： </w:t>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一</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监测站房</w:t>
      </w:r>
      <w:r>
        <w:rPr>
          <w:rFonts w:hint="eastAsia" w:ascii="宋体" w:hAnsi="宋体" w:cs="宋体"/>
          <w:b/>
          <w:color w:val="auto"/>
          <w:sz w:val="21"/>
          <w:szCs w:val="21"/>
          <w:lang w:val="en-US" w:eastAsia="zh-CN"/>
        </w:rPr>
        <w:t xml:space="preserve">及文化建设</w:t>
      </w:r>
      <w:r/>
    </w:p>
    <w:p>
      <w:pPr>
        <w:numPr>
          <w:ilvl w:val="0"/>
          <w:numId w:val="39"/>
        </w:num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水站站房全部采用一体化、可移动、可吊装式的监测站房。技术要求如下：</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（1）站房外型美观、与当地环境相协调，无需征地建房，占地面积小，站房面积</w:t>
      </w:r>
      <w:r>
        <w:rPr>
          <w:rFonts w:hint="eastAsia" w:ascii="宋体" w:hAnsi="宋体" w:cs="宋体"/>
          <w:color w:val="auto"/>
          <w:sz w:val="21"/>
          <w:szCs w:val="21"/>
          <w:lang w:val="en-US" w:eastAsia="zh-CN"/>
        </w:rPr>
        <w:t xml:space="preserve">不小于8</w:t>
      </w:r>
      <w:r>
        <w:rPr>
          <w:rFonts w:hint="eastAsia" w:ascii="宋体" w:hAnsi="宋体" w:eastAsia="宋体" w:cs="宋体"/>
          <w:color w:val="auto"/>
          <w:sz w:val="21"/>
          <w:szCs w:val="21"/>
        </w:rPr>
        <w:t xml:space="preserve">平方米，提供详细的设计方案和效果图。</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（2）站房主要采用厚度为1mm的高强度板材制作，采用组件嵌装式；</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（3）站房面积能够容纳所有的监测仪器设备，并预留人员操作区域。</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站房为无窗结构，墙体有较好的保温性能。有防水、防潮措施，安装排风扇，保证室内空气流通良好。站房的建筑结构能经受10级以上的风力。站房供电采用三相或单相供电；站房监测仪器供电线路独立走线。电源布设符合国家用电相关安全要求，并满足设计和规划中总用电功率的需要。</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（5）站房底座要求具有足够的强度，保证在拖动、起吊、荷载和空载时不变形，安装于混凝土基础上。</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（6）要配有试验台，供操作人员配置试剂或质控使用。</w:t>
      </w:r>
      <w:r/>
    </w:p>
    <w:p>
      <w:pPr>
        <w:numPr>
          <w:ilvl w:val="0"/>
          <w:numId w:val="0"/>
        </w:numPr>
        <w:ind w:firstLine="42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（7）站点</w:t>
      </w:r>
      <w:r>
        <w:rPr>
          <w:rFonts w:hint="eastAsia" w:ascii="宋体" w:hAnsi="宋体" w:eastAsia="宋体" w:cs="宋体"/>
          <w:color w:val="auto"/>
          <w:sz w:val="21"/>
          <w:szCs w:val="21"/>
          <w:lang w:val="en-US" w:eastAsia="zh-CN"/>
        </w:rPr>
        <w:t xml:space="preserve">四</w:t>
      </w:r>
      <w:r>
        <w:rPr>
          <w:rFonts w:hint="eastAsia" w:ascii="宋体" w:hAnsi="宋体" w:eastAsia="宋体" w:cs="宋体"/>
          <w:color w:val="auto"/>
          <w:sz w:val="21"/>
          <w:szCs w:val="21"/>
        </w:rPr>
        <w:t xml:space="preserve">通一平工作，由投标人负责实施，确保水站能够正常运行。</w:t>
      </w:r>
      <w:r>
        <w:rPr>
          <w:rFonts w:hint="eastAsia" w:ascii="宋体" w:hAnsi="宋体" w:eastAsia="宋体" w:cs="宋体"/>
          <w:color w:val="auto"/>
          <w:sz w:val="21"/>
          <w:szCs w:val="21"/>
          <w:lang w:val="en-US" w:eastAsia="zh-CN"/>
        </w:rPr>
        <w:t xml:space="preserve">土地平整，浇筑混凝土地基，地基厚度不小于20厘米。</w:t>
      </w:r>
      <w:r/>
    </w:p>
    <w:p>
      <w:pPr>
        <w:numPr>
          <w:ilvl w:val="0"/>
          <w:numId w:val="0"/>
        </w:numPr>
        <w:ind w:firstLine="420"/>
        <w:spacing w:line="400" w:lineRule="exact"/>
        <w:rPr>
          <w:sz w:val="21"/>
          <w:szCs w:val="21"/>
        </w:rPr>
      </w:pPr>
      <w:r>
        <w:rPr>
          <w:rFonts w:hint="eastAsia" w:ascii="宋体" w:hAnsi="宋体" w:cs="宋体"/>
          <w:color w:val="auto"/>
          <w:sz w:val="21"/>
          <w:szCs w:val="21"/>
          <w:lang w:val="en-US" w:eastAsia="zh-CN"/>
        </w:rPr>
        <w:t xml:space="preserve">2.</w:t>
      </w:r>
      <w:r>
        <w:rPr>
          <w:rFonts w:hint="eastAsia"/>
          <w:sz w:val="21"/>
          <w:szCs w:val="21"/>
        </w:rPr>
        <w:t xml:space="preserve">文化建设</w:t>
      </w:r>
      <w:r/>
    </w:p>
    <w:p>
      <w:pPr>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文化建设清单如下：</w:t>
      </w:r>
      <w:r/>
    </w:p>
    <w:tbl>
      <w:tblPr>
        <w:tblStyle w:val="823"/>
        <w:tblW w:w="921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715"/>
        <w:gridCol w:w="816"/>
        <w:gridCol w:w="816"/>
        <w:gridCol w:w="3049"/>
      </w:tblGrid>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W w:w="3049"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w:t>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水站标志牌</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restart"/>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相关内容根据国家水站文化建设要求进行制作，效果图用户方确认无误后再进行定制及安装（可根据站房大小变更尺寸）</w:t>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水站简介牌</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水站LOGO-标牌式或箱体式</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水站系统流程图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站点流域表征图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restart"/>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运维管理体系图-岗位责任制度图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运维管理体系图-安全责任制度图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运维管理体系图-应急管理制度图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运维管理体系图-维护保养制度图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numPr>
          <w:ilvl w:val="0"/>
          <w:numId w:val="0"/>
        </w:numPr>
        <w:ind w:firstLine="420"/>
        <w:spacing w:line="400" w:lineRule="exact"/>
        <w:tabs>
          <w:tab w:val="left" w:pos="567"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备注：根据站房实际情况，可适当修改尺寸。</w:t>
      </w:r>
      <w:r/>
    </w:p>
    <w:p>
      <w:pPr>
        <w:numPr>
          <w:ilvl w:val="0"/>
          <w:numId w:val="40"/>
        </w:numPr>
        <w:ind w:firstLine="420"/>
        <w:spacing w:line="400" w:lineRule="exact"/>
        <w:tabs>
          <w:tab w:val="left" w:pos="567"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移动数据处理终端</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660"/>
        <w:gridCol w:w="4752"/>
      </w:tblGrid>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序号</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参数名称</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参数指标</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w:t>
            </w:r>
            <w:r/>
          </w:p>
        </w:tc>
        <w:tc>
          <w:tcPr>
            <w:tcW w:w="366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屏幕尺寸</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不小于16英寸</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2</w:t>
            </w:r>
            <w:r/>
          </w:p>
        </w:tc>
        <w:tc>
          <w:tcPr>
            <w:tcW w:w="366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屏幕分辨率</w:t>
            </w:r>
            <w:r/>
          </w:p>
        </w:tc>
        <w:tc>
          <w:tcPr>
            <w:tcW w:w="475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不低于2560*1600</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3</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屏幕刷新率</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olor w:val="000000"/>
                <w:sz w:val="21"/>
                <w:szCs w:val="21"/>
                <w:u w:val="none"/>
                <w:lang w:val="en-US" w:eastAsia="zh-CN" w:bidi="ar"/>
              </w:rPr>
              <w:t xml:space="preserve">不低于120Hz</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4</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CPU</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酷睿Ultra1代</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5</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屏幕类型</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IPS</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6</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接口支持</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USB-C USB-A HDMI</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7</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系统</w:t>
            </w:r>
            <w:r/>
          </w:p>
        </w:tc>
        <w:tc>
          <w:tcPr>
            <w:tcW w:w="475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Windows 11带Office</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8</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硬盘容量</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不小于1TB</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9</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内存容量</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不小于16GB</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10</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显卡</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intel核显</w:t>
            </w:r>
            <w:r/>
          </w:p>
        </w:tc>
      </w:tr>
    </w:tbl>
    <w:p>
      <w:pPr>
        <w:numPr>
          <w:ilvl w:val="0"/>
          <w:numId w:val="0"/>
        </w:numPr>
        <w:spacing w:line="400" w:lineRule="exact"/>
        <w:tabs>
          <w:tab w:val="left" w:pos="567" w:leader="none"/>
        </w:tabs>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val="en-US" w:eastAsia="zh-CN"/>
        </w:rPr>
        <w:t xml:space="preserve">（二）</w:t>
      </w:r>
      <w:r>
        <w:rPr>
          <w:rFonts w:hint="eastAsia" w:ascii="宋体" w:hAnsi="宋体" w:eastAsia="宋体" w:cs="宋体"/>
          <w:b/>
          <w:color w:val="auto"/>
          <w:sz w:val="21"/>
          <w:szCs w:val="21"/>
          <w:lang w:eastAsia="zh-CN"/>
        </w:rPr>
        <w:t xml:space="preserve">系统集成技术要求</w:t>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1、</w:t>
      </w:r>
      <w:r>
        <w:rPr>
          <w:rFonts w:hint="eastAsia" w:ascii="宋体" w:hAnsi="宋体" w:eastAsia="宋体" w:cs="宋体"/>
          <w:b/>
          <w:color w:val="auto"/>
          <w:sz w:val="21"/>
          <w:szCs w:val="21"/>
        </w:rPr>
        <w:t xml:space="preserve">采水单元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水单元建设在满足取水要求的前提下应尽量简洁，因地制宜，针对每个水站取水位置的不同情况采取最适用的方式。投标人中标后须经过与水站所在地方环保部门协商后，根据每个站点具体水文和地质情况给出合理的采水单元设计方案，保证采样的代表性和科学性。</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潜水泵或自吸泵采水，双泵双管路设计，所有取水管路必须配有管道自动清洗、防堵塞功能；双泵轮值工作，当一路出现故障时，能够自动切换到另一路进行工作，保证整个系统的正常运行；要对采水管道进行保温绝热处理，减少环境温度等因素对水样造成的影响，有必要的防冻措施，保证冬季低温（-15℃）时采样管路不被冻裂。采水管道采用排空设计，使管道内不存水，以防藻类孳生。</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采水管路采用优质管道、UPVC管等材质稳定的材料，具有极好的化学稳定性，避免对水样产生污染，采水管路采取可拆卸式。</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样泵的安装方式要便于人工的日常清洗和维护，应考虑能长期稳定安全运行，要注意不影响航运，又能够保护自身安全。保证采水口能够随水位变化，保证取水水管的进水孔位于水表面以下0.5m～1.0m的位置，并与河底保持一定距离，保证采集到具有代表性的符合监测需要的水样，采水量须满足所有监测仪器的需要。</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能自动判断采水系统故障，并发出报警信号。</w:t>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配水单元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水单元含配水及预处理单元，由水样分配单元、预处理装置及管道等组成。预处理单元应根据国家标准分析方法要求为氨氮、高锰酸盐指数、总磷、总氮监测仪器配备相应的预处理装置，常规五参数分析仪使用原水直接分析。提供单独的五参数测量池和单独的沉淀池。</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投标人应提供针对性的配水和预处理方案，具体需满足以下要求：</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（1）配水管路设计合理，流向清晰，便于维护；保证仪器分析测试的水样应能代表断面水质情况并满足仪器测试需求；</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（2）配水单元具备自动反清（吹）洗功能，防止菌类和藻类等微生物对样品污染或对系统工作造成不良影响，设计中不使用对环境产生污染的清洗方法；</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（3）配水主管路采用串联方式，各仪器之间管路采用并联方式，每台仪器从各自的取样杯中取水，任何仪器的配水管路出现故障不能影响其他仪器的测试；</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（4）具备可扩展功能；</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（5）能配合系统实现水样自动分配、自动预处理、故障自动报警、关键部件工作状态的显示和反控等功能；</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（6）配水单元的所有操作均可通过控制单元实现，并接受平台端的远程控制；</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（7）所选管材机械强度及化学稳定性好、使用寿命长、便于安装维护，不会对水样水质造成影响；管路内径、压力、流量、流速满足仪器分析需要，并留有余量；</w:t>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三</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rPr>
        <w:t xml:space="preserve">辅助单元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辅助单元应包含UPS、稳压电源、防雷单元、空压机等部分，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可使用原站点设施）</w:t>
      </w:r>
      <w:r>
        <w:rPr>
          <w:rFonts w:hint="eastAsia" w:ascii="宋体" w:hAnsi="宋体" w:eastAsia="宋体" w:cs="宋体"/>
          <w:color w:val="auto"/>
          <w:sz w:val="21"/>
          <w:szCs w:val="21"/>
        </w:rPr>
        <w:t xml:space="preserve">具体要求如下：</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配备UPS（总功率≥3KVA，断电后至少能保证仪器完成一个测量周期和数据上传，且待机不少于1h）；配备三相稳压电源（功率≥9KW）。</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配备废液收集单元，满足两周以上废液量的收集。</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必须具有电源、信号等设施的三级防雷措施，保证系统稳定、可靠运行。</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配置的空压机须是无油型空压机，保证不对分析结果造成影响。</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监测站房内配置</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台品牌</w:t>
      </w:r>
      <w:r>
        <w:rPr>
          <w:rFonts w:hint="eastAsia" w:ascii="宋体" w:hAnsi="宋体" w:cs="宋体"/>
          <w:color w:val="auto"/>
          <w:sz w:val="21"/>
          <w:szCs w:val="21"/>
          <w:lang w:val="en-US" w:eastAsia="zh-CN"/>
        </w:rPr>
        <w:t xml:space="preserve">温控设备（一备一用）</w:t>
      </w:r>
      <w:r>
        <w:rPr>
          <w:rFonts w:hint="eastAsia" w:ascii="宋体" w:hAnsi="宋体" w:eastAsia="宋体" w:cs="宋体"/>
          <w:color w:val="auto"/>
          <w:sz w:val="21"/>
          <w:szCs w:val="21"/>
        </w:rPr>
        <w:t xml:space="preserve">，确保室内温度应控制在18～28℃，湿度应不大于85%，应具有设定参数贮存，断电自动保护与来电自动恢复功能。</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配备系统集成机柜或机架、维护专用成套工具。</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水站应配置1套视频监控系统，至少包含1台硬盘录像机（含显示器）和3台摄像机，分别监控站房仪表间，站房周边及采水口；视频信息应实现现场存储功能，存储周期应不低于</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0日，现场网络条件具备时，采用宽带实现视频信息的实时传输；视频监控系统具备断电自启功能。</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配备温湿度传感器，实时监测室内温度及湿度数据。</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配备自动灭火装置，采用悬挂式灭火器，灭火材料对人体和设备无害。</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配备感烟探测器，能够探测火灾时产生的烟雾，及时发出报警。</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配备门禁系统，并自动记录站房出入情况，能够接入水站监控软件。</w:t>
      </w:r>
      <w:r/>
    </w:p>
    <w:p>
      <w:pPr>
        <w:pStyle w:val="816"/>
        <w:numPr>
          <w:ilvl w:val="0"/>
          <w:numId w:val="0"/>
        </w:numPr>
        <w:keepLines/>
        <w:pageBreakBefore w:val="0"/>
        <w:spacing w:line="400" w:lineRule="exact"/>
        <w:tabs>
          <w:tab w:val="left" w:pos="0" w:leader="none"/>
        </w:tabs>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站点搬迁服务</w:t>
      </w:r>
      <w:r/>
    </w:p>
    <w:p>
      <w:pPr>
        <w:pStyle w:val="864"/>
        <w:numPr>
          <w:ilvl w:val="0"/>
          <w:numId w:val="0"/>
        </w:numPr>
        <w:ind w:left="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对现有站点的仪器设备搬迁至新站点（站点根据采购人实际需求确定），搬迁满足以下规范：</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《国家地表水水质自动监测站运行管理办法》</w:t>
      </w:r>
      <w:r/>
    </w:p>
    <w:p>
      <w:pPr>
        <w:ind w:firstLine="420"/>
        <w:jc w:val="left"/>
        <w:spacing w:line="360" w:lineRule="auto"/>
        <w:rPr>
          <w:rFonts w:hAnsi="宋体" w:cs="宋体"/>
          <w:b w:val="0"/>
          <w:bCs/>
          <w:szCs w:val="24"/>
          <w:highlight w:val="none"/>
        </w:rPr>
      </w:pPr>
      <w:r>
        <w:rPr>
          <w:highlight w:val="none"/>
        </w:rPr>
        <w:fldChar w:fldCharType="begin"/>
      </w:r>
      <w:r>
        <w:rPr>
          <w:highlight w:val="none"/>
        </w:rPr>
        <w:instrText xml:space="preserve"> HYPERLINK "http://www.mee.gov.cn/ywgz/fgbz/bz/bzwb/jcffbz/202501/t20250126_1101551.shtml" </w:instrText>
      </w:r>
      <w:r>
        <w:rPr>
          <w:highlight w:val="none"/>
        </w:rPr>
        <w:fldChar w:fldCharType="separate"/>
      </w:r>
      <w:r>
        <w:rPr>
          <w:rFonts w:hint="eastAsia" w:hAnsi="宋体" w:cs="宋体"/>
          <w:b w:val="0"/>
          <w:bCs/>
          <w:szCs w:val="24"/>
          <w:highlight w:val="none"/>
        </w:rPr>
        <w:t xml:space="preserve">《地表水水质自动监测站选址与基础设施建设技术要求》（HJ 915.1-2024）</w:t>
      </w:r>
      <w:r>
        <w:rPr>
          <w:rFonts w:hint="eastAsia" w:hAnsi="宋体" w:cs="宋体"/>
          <w:b w:val="0"/>
          <w:bCs/>
          <w:szCs w:val="24"/>
          <w:highlight w:val="none"/>
        </w:rPr>
        <w:fldChar w:fldCharType="end"/>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《地表水水质自动监测站（常规五参数、CODMn、NH3-N、TP、TN）安装</w:t>
      </w:r>
      <w:r/>
    </w:p>
    <w:p>
      <w:pPr>
        <w:jc w:val="left"/>
        <w:spacing w:line="360" w:lineRule="auto"/>
        <w:rPr>
          <w:rFonts w:hAnsi="宋体" w:cs="宋体"/>
          <w:b w:val="0"/>
          <w:bCs/>
          <w:szCs w:val="24"/>
          <w:highlight w:val="none"/>
        </w:rPr>
      </w:pPr>
      <w:r>
        <w:rPr>
          <w:rFonts w:hint="eastAsia" w:hAnsi="宋体" w:cs="宋体"/>
          <w:b w:val="0"/>
          <w:bCs/>
          <w:szCs w:val="24"/>
          <w:highlight w:val="none"/>
        </w:rPr>
        <w:t xml:space="preserve">验收技术规范》（HJ 915.2-2024）</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《地表水水质自动监测站（常规五参数、CODMn、NH3-N、TP、TN）运行维护技术规范》（HJ 915.3-2024）</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《国家地表水水质自动监测站运行维护管理实施细则（试行）》</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《江苏省地表水水质自动监测站运行管理办法（试行）》</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《环境水质(地表水)自动监测站运行维护技术规范》（DB32/T 4536-2023）</w:t>
      </w:r>
      <w:r/>
    </w:p>
    <w:p>
      <w:pPr>
        <w:pStyle w:val="828"/>
        <w:rPr>
          <w:rFonts w:hint="eastAsia" w:eastAsia="宋体"/>
          <w:lang w:eastAsia="zh-CN"/>
        </w:rPr>
      </w:pPr>
      <w:r>
        <w:rPr>
          <w:rFonts w:hint="eastAsia" w:eastAsia="宋体"/>
          <w:lang w:eastAsia="zh-CN"/>
        </w:rPr>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3.2 机构、人员、车辆、设备配备要求</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中标</w:t>
      </w:r>
      <w:r>
        <w:rPr>
          <w:rFonts w:hint="eastAsia" w:ascii="宋体" w:hAnsi="宋体" w:eastAsia="宋体" w:cs="宋体"/>
          <w:b/>
          <w:bCs/>
          <w:sz w:val="21"/>
          <w:szCs w:val="21"/>
        </w:rPr>
        <w:t xml:space="preserve">后</w:t>
      </w:r>
      <w:r>
        <w:rPr>
          <w:rFonts w:hint="eastAsia" w:ascii="宋体" w:hAnsi="宋体" w:eastAsia="宋体" w:cs="宋体"/>
          <w:b/>
          <w:bCs/>
          <w:sz w:val="21"/>
          <w:szCs w:val="21"/>
          <w:lang w:val="en-US" w:eastAsia="zh-CN"/>
        </w:rPr>
        <w:t xml:space="preserve">须</w:t>
      </w:r>
      <w:r>
        <w:rPr>
          <w:rFonts w:hint="eastAsia" w:ascii="宋体" w:hAnsi="宋体" w:eastAsia="宋体" w:cs="宋体"/>
          <w:b/>
          <w:bCs/>
          <w:sz w:val="21"/>
          <w:szCs w:val="21"/>
        </w:rPr>
        <w:t xml:space="preserve">立即配置到位）</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3.2.1 ▲</w:t>
      </w:r>
      <w:r>
        <w:rPr>
          <w:rFonts w:hint="eastAsia" w:eastAsia="宋体" w:cs="宋体"/>
          <w:sz w:val="21"/>
          <w:szCs w:val="21"/>
          <w:lang w:val="en-US" w:eastAsia="zh-CN"/>
        </w:rPr>
        <w:t xml:space="preserve">中标后</w:t>
      </w:r>
      <w:r>
        <w:rPr>
          <w:rFonts w:hint="eastAsia" w:ascii="宋体" w:hAnsi="宋体" w:eastAsia="宋体" w:cs="宋体"/>
          <w:sz w:val="21"/>
          <w:szCs w:val="21"/>
        </w:rPr>
        <w:t xml:space="preserve">需提供本地化运维服务方案，具备本地化运维服务能力，应在项目地设立1个运维技术服务网点（需提供办事处购房或房屋租赁合同、房租、水电缴费发票和记录等材料）。</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3.2.2 ▲</w:t>
      </w:r>
      <w:r>
        <w:rPr>
          <w:rFonts w:hint="eastAsia" w:eastAsia="宋体" w:cs="宋体"/>
          <w:sz w:val="21"/>
          <w:szCs w:val="21"/>
          <w:lang w:val="en-US" w:eastAsia="zh-CN"/>
        </w:rPr>
        <w:t xml:space="preserve">中标后</w:t>
      </w:r>
      <w:r>
        <w:rPr>
          <w:rFonts w:hint="eastAsia" w:ascii="宋体" w:hAnsi="宋体" w:eastAsia="宋体" w:cs="宋体"/>
          <w:sz w:val="21"/>
          <w:szCs w:val="21"/>
        </w:rPr>
        <w:t xml:space="preserve">应配备经验丰富的运维人员，为本项目配置的运维人员应通过省级及以上水质自动站持证上岗考核或培训。</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 ▲中标单位需在合同签订后一周内</w:t>
      </w:r>
      <w:r>
        <w:rPr>
          <w:rFonts w:hint="eastAsia"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采购人单位</w:t>
      </w:r>
      <w:r>
        <w:rPr>
          <w:rFonts w:hint="eastAsia" w:eastAsia="宋体" w:cs="宋体"/>
          <w:color w:val="auto"/>
          <w:sz w:val="21"/>
          <w:szCs w:val="21"/>
          <w:highlight w:val="none"/>
          <w:lang w:val="en-US" w:eastAsia="zh-CN"/>
        </w:rPr>
        <w:t xml:space="preserve">固定技术</w:t>
      </w:r>
      <w:r>
        <w:rPr>
          <w:rFonts w:hint="eastAsia" w:ascii="宋体" w:hAnsi="宋体" w:eastAsia="宋体" w:cs="宋体"/>
          <w:color w:val="auto"/>
          <w:sz w:val="21"/>
          <w:szCs w:val="21"/>
          <w:highlight w:val="none"/>
        </w:rPr>
        <w:t xml:space="preserve">人员，需具有1年以上水站数据监控工作经验。</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配备的专业技术人员数量、</w:t>
      </w:r>
      <w:r>
        <w:rPr>
          <w:rFonts w:hint="eastAsia" w:eastAsia="宋体" w:cs="宋体"/>
          <w:color w:val="auto"/>
          <w:sz w:val="21"/>
          <w:szCs w:val="21"/>
          <w:highlight w:val="none"/>
          <w:lang w:eastAsia="zh-CN"/>
        </w:rPr>
        <w:t xml:space="preserve">固定技术人员</w:t>
      </w:r>
      <w:r>
        <w:rPr>
          <w:rFonts w:hint="eastAsia" w:ascii="宋体" w:hAnsi="宋体" w:eastAsia="宋体" w:cs="宋体"/>
          <w:color w:val="auto"/>
          <w:sz w:val="21"/>
          <w:szCs w:val="21"/>
          <w:highlight w:val="none"/>
        </w:rPr>
        <w:t xml:space="preserve">以及运维专用车辆数量不少于下表的要求。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表：人员、车辆要求</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897"/>
        <w:gridCol w:w="1985"/>
        <w:gridCol w:w="2380"/>
        <w:gridCol w:w="1843"/>
      </w:tblGrid>
      <w:tr>
        <w:trPr>
          <w:jc w:val="center"/>
          <w:trHeight w:val="539"/>
        </w:trPr>
        <w:tc>
          <w:tcPr>
            <w:tcW w:w="7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站点数量（个）</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运维人员（人）</w:t>
            </w:r>
            <w:r/>
          </w:p>
        </w:tc>
        <w:tc>
          <w:tcPr>
            <w:tcW w:w="23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固定技术</w:t>
            </w:r>
            <w:r>
              <w:rPr>
                <w:rFonts w:hint="eastAsia" w:ascii="宋体" w:hAnsi="宋体" w:eastAsia="宋体" w:cs="宋体"/>
                <w:color w:val="auto"/>
                <w:sz w:val="21"/>
                <w:szCs w:val="21"/>
                <w:highlight w:val="none"/>
              </w:rPr>
              <w:t xml:space="preserve">人员（人）</w:t>
            </w:r>
            <w:r/>
          </w:p>
        </w:tc>
        <w:tc>
          <w:tcPr>
            <w:tcW w:w="18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运维车辆（辆）</w:t>
            </w:r>
            <w:r/>
          </w:p>
        </w:tc>
      </w:tr>
      <w:tr>
        <w:trPr>
          <w:jc w:val="center"/>
          <w:trHeight w:val="539"/>
        </w:trPr>
        <w:tc>
          <w:tcPr>
            <w:tcW w:w="7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9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eastAsia="宋体" w:cs="宋体"/>
                <w:color w:val="auto"/>
                <w:sz w:val="21"/>
                <w:szCs w:val="21"/>
                <w:highlight w:val="none"/>
                <w:lang w:val="en-US" w:eastAsia="zh-CN"/>
              </w:rPr>
              <w:t xml:space="preserve">24</w:t>
            </w:r>
            <w:r/>
          </w:p>
        </w:tc>
        <w:tc>
          <w:tcPr>
            <w:tcW w:w="198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eastAsia="宋体" w:cs="宋体"/>
                <w:color w:val="auto"/>
                <w:sz w:val="21"/>
                <w:szCs w:val="21"/>
                <w:highlight w:val="none"/>
                <w:lang w:val="en-US" w:eastAsia="zh-CN"/>
              </w:rPr>
              <w:t xml:space="preserve">5</w:t>
            </w:r>
            <w:r/>
          </w:p>
        </w:tc>
        <w:tc>
          <w:tcPr>
            <w:tcW w:w="23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bl>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3.2.4 ▲投标人须</w:t>
      </w:r>
      <w:r>
        <w:rPr>
          <w:rFonts w:hint="eastAsia" w:eastAsia="宋体" w:cs="宋体"/>
          <w:sz w:val="21"/>
          <w:szCs w:val="21"/>
          <w:lang w:eastAsia="zh-CN"/>
        </w:rPr>
        <w:t xml:space="preserve">在</w:t>
      </w:r>
      <w:r>
        <w:rPr>
          <w:rFonts w:hint="eastAsia" w:ascii="宋体" w:hAnsi="宋体" w:eastAsia="宋体" w:cs="宋体"/>
          <w:sz w:val="21"/>
          <w:szCs w:val="21"/>
        </w:rPr>
        <w:t xml:space="preserve">省内自有（可以为控股）或委托用于质量控制的CMA或CNAS资质认定的质量保证实验室，或承诺在中标后3个月内建立通过资质认定的实验室，实验室认证项目参数需包括水温、pH、溶解氧、电导率、浊度、氨氮、高锰酸盐指数、总磷、总氮。针对上述内容，投标人须按要求提供证明材料或承诺函并加盖公章（格式自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3.2.5 ▲运维单位需要配备3套通过计量检定/校准的便携式五参数（水温、pH、溶解氧、电导率和浊度）监测设备，应满足原位监测要求，并在需要时用于水质自动监测站的质控及比对考核；需要配备1套走航式ADCP流量测量设备，</w:t>
      </w:r>
      <w:r>
        <w:rPr>
          <w:rFonts w:hint="eastAsia" w:ascii="宋体" w:hAnsi="宋体" w:eastAsia="宋体" w:cs="宋体"/>
          <w:sz w:val="21"/>
          <w:szCs w:val="21"/>
          <w:highlight w:val="yellow"/>
        </w:rPr>
        <w:t xml:space="preserve">应</w:t>
      </w:r>
      <w:r>
        <w:rPr>
          <w:rFonts w:hint="eastAsia" w:cs="宋体"/>
          <w:sz w:val="21"/>
          <w:szCs w:val="21"/>
          <w:highlight w:val="yellow"/>
          <w:lang w:val="en-US" w:eastAsia="zh-CN"/>
        </w:rPr>
        <w:t xml:space="preserve">用</w:t>
      </w:r>
      <w:r>
        <w:rPr>
          <w:rFonts w:hint="eastAsia" w:ascii="宋体" w:hAnsi="宋体" w:eastAsia="宋体" w:cs="宋体"/>
          <w:sz w:val="21"/>
          <w:szCs w:val="21"/>
        </w:rPr>
        <w:t xml:space="preserve">于率定工作。（已经购买的须提供购置发票或采购合同证明；未购买的须与生产厂家签订了供货协议或意向性供货协议，并提供协议证明）。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3.2.6 ▲运维单位须配备备机满足自动站运行需要。备机性能及功能应满足相关技术规范要求和管理需求。测量数据等参数按水站数据传输协议上传采购人指定的上层平台。未购买备机的须与生产厂家签订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3.2.7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3.2.8 ▲运维单位须在中标后一个月（30日历日）内，配齐全部投标所述的车辆，并向采购人提交已有、采购的证明材料（车辆接受租赁，如为租赁合同，则租赁合同周期需至少覆盖本项目运维服务期）。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3.2.9 运维单位应在</w:t>
      </w:r>
      <w:r>
        <w:rPr>
          <w:rFonts w:hint="eastAsia" w:eastAsia="宋体" w:cs="宋体"/>
          <w:sz w:val="21"/>
          <w:szCs w:val="21"/>
          <w:lang w:eastAsia="zh-CN"/>
        </w:rPr>
        <w:t xml:space="preserve">项目所在地</w:t>
      </w:r>
      <w:r>
        <w:rPr>
          <w:rFonts w:hint="eastAsia" w:ascii="宋体" w:hAnsi="宋体" w:eastAsia="宋体" w:cs="宋体"/>
          <w:sz w:val="21"/>
          <w:szCs w:val="21"/>
        </w:rPr>
        <w:t xml:space="preserve">配备专业人员，巡检人员必须配备专用工具，包括便携式电脑、万用表、远程数据查询系统等；同时，还须配备通讯调试工具，包括各种硬件接口线、改线工具、接口调试软件及常用零部件等。</w:t>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3.3 运行维护要求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3.3.1 ▲水站运维工作的开展须严格按照《地表水自动监测技术</w:t>
      </w:r>
      <w:r>
        <w:rPr>
          <w:rFonts w:hint="eastAsia" w:ascii="宋体" w:hAnsi="宋体" w:eastAsia="宋体" w:cs="宋体"/>
          <w:sz w:val="21"/>
          <w:szCs w:val="21"/>
        </w:rPr>
        <w:t xml:space="preserve">规范（试行）》（HJ 915-2017）、《关于印发&lt;国家地表水水质自动监测站运行维护管理实施细则（试行）&gt;等文件的通知》（总站水字〔2019〕649号）、《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如文件中有矛盾之处，以后发布的文件为准，采购人保留对文件的解释权。</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3.3.2 当采购人依据国家或省级有关规定和技术规范要求出台新的水站运维要求时，以新要求为准。</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3.3.3 签订合同后15天内，中标单位按照相关技术规范和运维合同要求，结合中标实际情况，有针对性的编制运维交接方案，方案内容包括但不限于时间及人员安排、职责分工、交接内容、交接流程。经采购人审核确认后，交接双方按照运维交接方案有序开展运维交接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3.3.4 中标单位应根据中标情况，有针对性的制定运维计划，根据每个水站现场实际情况，合理安排水站日常运维工作，对运维保障存在不确定性的水站，提前制定补测计划，按相关要求完成水样补充监测工作。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3.3.5 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3.3.6 中标单位应制定质控计划，根据水站运行情况，制定质控工作内容，对停运补测水站，合理调整质控计划。按相关技术规范要求完成水站各项质控工作。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3.3.7 中标单位编写质控报告并按时提交采购人，包含但不限于日质控、周核查、多点线性核查、集成干预检查、加标回收测试、实际水样比对等质控措施开展情况，以及采购人安排的其他质控措施完成情况。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3.3.8 中标单位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3.3.9 中标单位在</w:t>
      </w:r>
      <w:r>
        <w:rPr>
          <w:rFonts w:hint="eastAsia" w:ascii="宋体" w:hAnsi="宋体" w:eastAsia="宋体" w:cs="宋体"/>
          <w:sz w:val="21"/>
          <w:szCs w:val="21"/>
          <w:highlight w:val="cyan"/>
        </w:rPr>
        <w:t xml:space="preserve">中标后</w:t>
      </w:r>
      <w:r>
        <w:rPr>
          <w:rFonts w:hint="eastAsia" w:eastAsia="宋体" w:cs="宋体"/>
          <w:sz w:val="21"/>
          <w:szCs w:val="21"/>
          <w:highlight w:val="cyan"/>
          <w:lang w:val="en-US" w:eastAsia="zh-CN"/>
        </w:rPr>
        <w:t xml:space="preserve">1</w:t>
      </w:r>
      <w:r>
        <w:rPr>
          <w:rFonts w:hint="eastAsia" w:ascii="宋体" w:hAnsi="宋体" w:eastAsia="宋体" w:cs="宋体"/>
          <w:sz w:val="21"/>
          <w:szCs w:val="21"/>
          <w:highlight w:val="cyan"/>
        </w:rPr>
        <w:t xml:space="preserve">个月</w:t>
      </w:r>
      <w:r>
        <w:rPr>
          <w:rFonts w:hint="eastAsia" w:ascii="宋体" w:hAnsi="宋体" w:eastAsia="宋体" w:cs="宋体"/>
          <w:sz w:val="21"/>
          <w:szCs w:val="21"/>
        </w:rPr>
        <w:t xml:space="preserve">内结合现场实际情况，制定并实施“一站一策”技术方案，选择合适的预处理条件，以及仪器、系统关键参数，确保监测数据的“准确性”和“代表性”。通过现场调查研究，不断完善水站运维档案。</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3.3.10 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源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pPr>
      <w:r>
        <w:rPr>
          <w:rFonts w:hint="eastAsia" w:ascii="宋体" w:hAnsi="宋体" w:eastAsia="宋体" w:cs="宋体"/>
          <w:sz w:val="21"/>
          <w:szCs w:val="21"/>
        </w:rPr>
        <w:t xml:space="preserve">3.3.11 中标单位须做好站点运维记录的规范上报。认真、及时做好水站运行维护记录，并上传至采购人指定的水站自动综合监管平台，进行仪器、系统各项关键信息备案</w:t>
      </w:r>
      <w:r>
        <w:rPr>
          <w:rFonts w:hint="eastAsia" w:ascii="宋体" w:hAnsi="宋体" w:eastAsia="宋体" w:cs="宋体"/>
          <w:color w:val="auto"/>
          <w:sz w:val="21"/>
          <w:szCs w:val="21"/>
        </w:rPr>
        <w:t xml:space="preserve">，以及运维过程中相关数据和佐证材料的上传，并根据数据审核有关要求按时完成水站数据审核、异常数据核实等工作。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3.3.12 ▲中标单位须做好站点日常安全管理，运营维护期间所需水电、通讯费用由中标单位负责，委托运营维护及管理的全部资产（包括全部产权和建筑物、设备、软件、配套设施、水质自动站和配套监控系统产生的各类数据信息及相关文档资料）属业主方所有。中标人不得以任何方式对各类财产</w:t>
      </w:r>
      <w:r>
        <w:rPr>
          <w:rFonts w:hint="eastAsia" w:ascii="宋体" w:hAnsi="宋体" w:eastAsia="宋体" w:cs="宋体"/>
          <w:sz w:val="21"/>
          <w:szCs w:val="21"/>
        </w:rPr>
        <w:t xml:space="preserve">进行出售、抵押或转移；同时，</w:t>
      </w:r>
      <w:r>
        <w:rPr>
          <w:rFonts w:hint="eastAsia" w:ascii="宋体" w:hAnsi="宋体" w:eastAsia="宋体" w:cs="宋体"/>
          <w:color w:val="auto"/>
          <w:sz w:val="21"/>
          <w:szCs w:val="21"/>
        </w:rPr>
        <w:t xml:space="preserve">在委托运营及管理期间，中标单位有责任保证上述全部资产的完整、安全并处于良好状态。未经业主允许，非水站运维人员不得擅自进入站房。</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rPr>
        <w:t xml:space="preserve">3.3.13 中标单位负责站房、栈桥及相关附属设施的维修、维护工作。每年对站房进行一次全面检查，对站房外围进行整修</w:t>
      </w:r>
      <w:r>
        <w:rPr>
          <w:rFonts w:hint="eastAsia" w:ascii="宋体" w:hAnsi="宋体" w:eastAsia="宋体" w:cs="宋体"/>
          <w:color w:val="0000ff"/>
          <w:sz w:val="21"/>
          <w:szCs w:val="21"/>
          <w:lang w:val="en-US" w:eastAsia="zh-CN"/>
        </w:rPr>
        <w:t xml:space="preserve">或</w:t>
      </w:r>
      <w:r>
        <w:rPr>
          <w:rFonts w:hint="eastAsia" w:ascii="宋体" w:hAnsi="宋体" w:eastAsia="宋体" w:cs="宋体"/>
          <w:color w:val="0000ff"/>
          <w:sz w:val="21"/>
          <w:szCs w:val="21"/>
        </w:rPr>
        <w:t xml:space="preserve">粉刷，保证墙面整洁、站房安全；每年对栈桥或取水设施进行一次修缮，确保水样取水的代表性；每年对防雷设施进行一次全面检测，并提供检测报告；对站房的门禁、灭火设施进行安装和维护；对站房门禁、灭火器、标志牌、LOGO等附属设施进行安装和维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3.3.14 当点位需要新增、撤销、变更时，由所在地城市生态环境部门按照点位管理程序向上级生态环境厅报批。涉及站点迁移的，运维单位应做好迁移前后监测仪器设备检查工作并做好相关记录。</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lang w:val="en-US" w:eastAsia="zh-CN"/>
        </w:rPr>
        <w:t xml:space="preserve">3.3.15</w:t>
      </w:r>
      <w:r>
        <w:rPr>
          <w:rFonts w:hint="eastAsia" w:ascii="宋体" w:hAnsi="宋体" w:eastAsia="宋体" w:cs="宋体"/>
          <w:color w:val="0000ff"/>
          <w:sz w:val="21"/>
          <w:szCs w:val="21"/>
        </w:rPr>
        <w:t xml:space="preserve"> ▲须在中标后1个月内</w:t>
      </w:r>
      <w:r>
        <w:rPr>
          <w:rFonts w:hint="eastAsia" w:ascii="宋体" w:hAnsi="宋体" w:eastAsia="宋体" w:cs="宋体"/>
          <w:color w:val="0000ff"/>
          <w:sz w:val="21"/>
          <w:szCs w:val="21"/>
          <w:lang w:val="en-US" w:eastAsia="zh-CN"/>
        </w:rPr>
        <w:t xml:space="preserve">完成</w:t>
      </w:r>
      <w:r>
        <w:rPr>
          <w:rFonts w:hint="eastAsia" w:ascii="宋体" w:hAnsi="宋体" w:eastAsia="宋体" w:cs="宋体"/>
          <w:color w:val="0000ff"/>
          <w:sz w:val="21"/>
          <w:szCs w:val="21"/>
        </w:rPr>
        <w:t xml:space="preserve">取水口、站房内外</w:t>
      </w:r>
      <w:r>
        <w:rPr>
          <w:rFonts w:hint="eastAsia" w:ascii="宋体" w:hAnsi="宋体" w:eastAsia="宋体" w:cs="宋体"/>
          <w:color w:val="0000ff"/>
          <w:sz w:val="21"/>
          <w:szCs w:val="21"/>
          <w:lang w:val="en-US" w:eastAsia="zh-CN"/>
        </w:rPr>
        <w:t xml:space="preserve">视频</w:t>
      </w:r>
      <w:r>
        <w:rPr>
          <w:rFonts w:hint="eastAsia" w:ascii="宋体" w:hAnsi="宋体" w:eastAsia="宋体" w:cs="宋体"/>
          <w:color w:val="0000ff"/>
          <w:sz w:val="21"/>
          <w:szCs w:val="21"/>
        </w:rPr>
        <w:t xml:space="preserve">监控</w:t>
      </w:r>
      <w:r>
        <w:rPr>
          <w:rFonts w:hint="eastAsia" w:ascii="宋体" w:hAnsi="宋体" w:eastAsia="宋体" w:cs="宋体"/>
          <w:color w:val="0000ff"/>
          <w:sz w:val="21"/>
          <w:szCs w:val="21"/>
          <w:lang w:val="en-US" w:eastAsia="zh-CN"/>
        </w:rPr>
        <w:t xml:space="preserve">检查及维修、维护</w:t>
      </w:r>
      <w:r>
        <w:rPr>
          <w:rFonts w:hint="eastAsia" w:ascii="宋体" w:hAnsi="宋体" w:eastAsia="宋体" w:cs="宋体"/>
          <w:color w:val="0000ff"/>
          <w:sz w:val="21"/>
          <w:szCs w:val="21"/>
        </w:rPr>
        <w:t xml:space="preserve">，确保对站房内外仪器、进出入人员、来往船只实现24小时不间断监控，实时获取监控区域内清晰的监控图像，支持前端存储和中心存储两种模式，存储周期不低于</w:t>
      </w:r>
      <w:r>
        <w:rPr>
          <w:rFonts w:hint="eastAsia" w:ascii="宋体" w:hAnsi="宋体" w:eastAsia="宋体" w:cs="宋体"/>
          <w:color w:val="0000ff"/>
          <w:sz w:val="21"/>
          <w:szCs w:val="21"/>
          <w:lang w:val="en-US" w:eastAsia="zh-CN"/>
        </w:rPr>
        <w:t xml:space="preserve">3个月</w:t>
      </w:r>
      <w:r>
        <w:rPr>
          <w:rFonts w:hint="eastAsia" w:ascii="宋体" w:hAnsi="宋体" w:eastAsia="宋体" w:cs="宋体"/>
          <w:color w:val="0000ff"/>
          <w:sz w:val="21"/>
          <w:szCs w:val="21"/>
        </w:rPr>
        <w:t xml:space="preserve">。高清摄像头不得低于200万像素，</w:t>
      </w:r>
      <w:r>
        <w:rPr>
          <w:rFonts w:hint="eastAsia" w:ascii="宋体" w:hAnsi="宋体" w:eastAsia="宋体" w:cs="宋体"/>
          <w:color w:val="0000ff"/>
          <w:sz w:val="21"/>
          <w:szCs w:val="21"/>
          <w:lang w:val="en-US" w:eastAsia="zh-CN"/>
        </w:rPr>
        <w:t xml:space="preserve">配合</w:t>
      </w:r>
      <w:r>
        <w:rPr>
          <w:rFonts w:hint="eastAsia" w:ascii="宋体" w:hAnsi="宋体" w:eastAsia="宋体" w:cs="宋体"/>
          <w:color w:val="0000ff"/>
          <w:sz w:val="21"/>
          <w:szCs w:val="21"/>
        </w:rPr>
        <w:t xml:space="preserve">统一接入</w:t>
      </w:r>
      <w:r>
        <w:rPr>
          <w:rFonts w:hint="eastAsia" w:ascii="宋体" w:hAnsi="宋体" w:eastAsia="宋体" w:cs="宋体"/>
          <w:color w:val="0000ff"/>
          <w:sz w:val="21"/>
          <w:szCs w:val="21"/>
          <w:lang w:val="en-US" w:eastAsia="zh-CN"/>
        </w:rPr>
        <w:t xml:space="preserve">吴中区视频监控</w:t>
      </w:r>
      <w:r>
        <w:rPr>
          <w:rFonts w:hint="eastAsia" w:ascii="宋体" w:hAnsi="宋体" w:eastAsia="宋体" w:cs="宋体"/>
          <w:color w:val="0000ff"/>
          <w:sz w:val="21"/>
          <w:szCs w:val="21"/>
        </w:rPr>
        <w:t xml:space="preserve">平台</w:t>
      </w:r>
      <w:r>
        <w:rPr>
          <w:rFonts w:hint="eastAsia" w:ascii="宋体" w:hAnsi="宋体" w:eastAsia="宋体" w:cs="宋体"/>
          <w:color w:val="0000ff"/>
          <w:sz w:val="21"/>
          <w:szCs w:val="21"/>
          <w:lang w:eastAsia="zh-CN"/>
        </w:rPr>
        <w:t xml:space="preserve">，</w:t>
      </w:r>
      <w:r>
        <w:rPr>
          <w:rFonts w:hint="eastAsia" w:ascii="宋体" w:hAnsi="宋体" w:eastAsia="宋体" w:cs="宋体"/>
          <w:color w:val="0000ff"/>
          <w:sz w:val="21"/>
          <w:szCs w:val="21"/>
          <w:lang w:val="en-US" w:eastAsia="zh-CN"/>
        </w:rPr>
        <w:t xml:space="preserve">现有视频监控设备</w:t>
      </w:r>
      <w:r>
        <w:rPr>
          <w:rFonts w:hint="eastAsia" w:ascii="宋体" w:hAnsi="宋体" w:eastAsia="宋体" w:cs="宋体"/>
          <w:color w:val="0000ff"/>
          <w:sz w:val="21"/>
          <w:szCs w:val="21"/>
        </w:rPr>
        <w:t xml:space="preserve">无法满足日常监控的需求，需要中标单位根据实际情况自行更新。如视频监控不符合采购人要求，需及时整改。</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3.4 质量保证与质量控制</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3.4.1 中标单位需建立质量保证体系，制定并完善运维管理制度、运维作业指导书及质控程序文件等，指导和规范运维人员现场操作流程。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3.4.2 中标单位需建立备机和备品备件库。备机需通过验收并定期开展标准溶液核查；备品备件需达到或高于原厂备件的性能；更换备机或关键零部件后，需及时校准仪器，并完成多点线性核查。</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3.4.3 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3.4.4 监测仪器斜率k、截距b、消解温度、消解时间、显色时间、修正系数等关键参数信息需及时在平台备案，变更时需提交书面申请。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ff0000"/>
          <w:sz w:val="21"/>
          <w:szCs w:val="21"/>
        </w:rPr>
      </w:pPr>
      <w:r>
        <w:rPr>
          <w:rFonts w:hint="eastAsia" w:ascii="宋体" w:hAnsi="宋体" w:eastAsia="宋体" w:cs="宋体"/>
          <w:sz w:val="21"/>
          <w:szCs w:val="21"/>
        </w:rPr>
        <w:t xml:space="preserve">3.4.5 水站常规五参数须完成周核查，氨氮、高锰酸盐指数、总磷、总氮须完成标准溶液核查、漂移测试、多点线性核查、集成干预检查、实际水样比对、加标回收试验、盲样考核等质控措施，总磷、总氮还须完成消解率测试，叶绿素a、蓝绿藻密度须完成多点线性核查、实际水样比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3.4.6质控措施频次和技术要求须满足下表要求。</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常规五参数</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1134"/>
        <w:gridCol w:w="4431"/>
        <w:gridCol w:w="1843"/>
        <w:gridCol w:w="1324"/>
      </w:tblGrid>
      <w:tr>
        <w:trPr>
          <w:trHeight w:val="57"/>
        </w:trPr>
        <w:tc>
          <w:tcPr>
            <w:tcW w:w="16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质控措施</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监测项目</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技术要求</w:t>
            </w:r>
            <w:r/>
          </w:p>
        </w:tc>
        <w:tc>
          <w:tcPr>
            <w:tcW w:w="1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实施频次</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标准溶液核查</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水温</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c>
          <w:tcPr>
            <w:tcW w:w="132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每周</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pH值</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±0.15</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溶解氧</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±0.8mg/L</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电导率</w:t>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标准溶液值</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 </w:t>
            </w:r>
            <w:r>
              <w:rPr>
                <w:rFonts w:hint="eastAsia" w:ascii="宋体" w:hAnsi="宋体" w:eastAsia="宋体" w:cs="宋体"/>
                <w:bCs/>
                <w:sz w:val="21"/>
                <w:szCs w:val="21"/>
                <w:lang w:val="zh-CN"/>
              </w:rPr>
              <w:t xml:space="preserve">±5%</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标准溶液值≤100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±5</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浊度</w:t>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浊度≤30 NTU    浊度≥1000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 NTU＜浊度≤50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±15%</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 ±10%</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实际水样比对</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水温</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±0.5 </w:t>
            </w:r>
            <w:r>
              <w:rPr>
                <w:rFonts w:hint="eastAsia" w:ascii="宋体" w:hAnsi="宋体" w:eastAsia="宋体" w:cs="宋体"/>
                <w:sz w:val="21"/>
                <w:szCs w:val="21"/>
                <w:lang w:eastAsia="ja-JP"/>
              </w:rPr>
              <w:t xml:space="preserve">℃</w:t>
            </w:r>
            <w:r/>
          </w:p>
        </w:tc>
        <w:tc>
          <w:tcPr>
            <w:tcW w:w="132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每月</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pH值</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±0.5</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溶解氧</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±0.5 mg/L</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溶解氧过饱和时不考核</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电导率</w:t>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电导率</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 μS/cm</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±10%</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电导率≤ 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±10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浊度</w:t>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≤30 NTU    </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≥1000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 NTU＜</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≤50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±30%</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±20%</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高锰酸盐指数、氨氮、总磷、总氮</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1935"/>
        <w:gridCol w:w="1153"/>
        <w:gridCol w:w="1115"/>
        <w:gridCol w:w="1542"/>
        <w:gridCol w:w="2970"/>
      </w:tblGrid>
      <w:tr>
        <w:trPr>
          <w:trHeight w:val="57"/>
        </w:trPr>
        <w:tc>
          <w:tcPr>
            <w:tcW w:w="16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质控措施</w:t>
            </w:r>
            <w:r/>
          </w:p>
        </w:tc>
        <w:tc>
          <w:tcPr>
            <w:gridSpan w:val="3"/>
            <w:tcW w:w="42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技术要求</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实施频次</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标准溶液核查</w:t>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零点核查</w:t>
            </w:r>
            <w:r/>
          </w:p>
        </w:tc>
        <w:tc>
          <w:tcPr>
            <w:tcW w:w="115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每日/每周</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跨度核查</w:t>
            </w:r>
            <w:r/>
          </w:p>
        </w:tc>
        <w:tc>
          <w:tcPr>
            <w:tcW w:w="115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每日/每周</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浮船站高锰酸盐指数为±15%</w:t>
            </w:r>
            <w:r/>
          </w:p>
        </w:tc>
      </w:tr>
      <w:tr>
        <w:trPr>
          <w:trHeight w:val="57"/>
        </w:trPr>
        <w:tc>
          <w:tcPr>
            <w:tcW w:w="1637" w:type="dxa"/>
            <w:vAlign w:val="center"/>
            <w:vMerge w:val="continue"/>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5"/>
            <w:tcW w:w="8715"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注：具备自动质控功能的站点每日开展，其余站点每周开展。</w:t>
            </w:r>
            <w:r/>
          </w:p>
        </w:tc>
      </w:tr>
      <w:tr>
        <w:trPr>
          <w:trHeight w:val="57"/>
        </w:trPr>
        <w:tc>
          <w:tcPr>
            <w:tcW w:w="1637" w:type="dxa"/>
            <w:vAlign w:val="center"/>
            <w:vMerge w:val="restart"/>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漂移测试</w:t>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零点漂移</w:t>
            </w:r>
            <w:r/>
          </w:p>
        </w:tc>
        <w:tc>
          <w:tcPr>
            <w:tcW w:w="115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每日</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高锰酸盐指数为±10%</w:t>
            </w:r>
            <w:r/>
          </w:p>
        </w:tc>
      </w:tr>
      <w:tr>
        <w:trPr>
          <w:trHeight w:val="57"/>
        </w:trPr>
        <w:tc>
          <w:tcPr>
            <w:tcW w:w="1637" w:type="dxa"/>
            <w:vAlign w:val="center"/>
            <w:vMerge w:val="continue"/>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跨度漂移</w:t>
            </w:r>
            <w:r/>
          </w:p>
        </w:tc>
        <w:tc>
          <w:tcPr>
            <w:tcW w:w="115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每日</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浮船站高锰酸盐指数为±15%</w:t>
            </w:r>
            <w:r/>
          </w:p>
        </w:tc>
      </w:tr>
      <w:tr>
        <w:trPr>
          <w:trHeight w:val="57"/>
        </w:trPr>
        <w:tc>
          <w:tcPr>
            <w:tcW w:w="1637" w:type="dxa"/>
            <w:vAlign w:val="center"/>
            <w:vMerge w:val="continue"/>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5"/>
            <w:tcW w:w="8715"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注：仅具备自动质控功能的站点需开展。</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多点线性核查</w:t>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≥0.98</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每月</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示值误差</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多点线性中的零点示值误差参照零点核查要求</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集成干预检查</w:t>
            </w:r>
            <w:r/>
          </w:p>
        </w:tc>
        <w:tc>
          <w:tcPr>
            <w:tcW w:w="19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相对误差</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Ⅰ～Ⅱ类：两者结果均低于BⅡ时，判定结果合格。</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每季度</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浮船站除外</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Ⅲ～劣Ⅴ类：±15%</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实际水样比对</w:t>
            </w:r>
            <w:r/>
          </w:p>
        </w:tc>
        <w:tc>
          <w:tcPr>
            <w:tcW w:w="19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sz w:val="21"/>
                <w:szCs w:val="21"/>
                <w:shd w:val="clear" w:color="auto" w:fill="ffffff"/>
              </w:rPr>
              <w:t xml:space="preserve">相对误差</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pt;height:11.2pt;mso-wrap-distance-left:0.0pt;mso-wrap-distance-top:0.0pt;mso-wrap-distance-right:0.0pt;mso-wrap-distance-bottom:0.0pt;" filled="f" stroked="f">
                  <v:path textboxrect="0,0,0,0"/>
                  <v:imagedata r:id="rId12" o:title=""/>
                </v:shape>
                <o:OLEObject DrawAspect="Content" r:id="rId13" ObjectID="_1525040" ProgID="Equation.DSMT4" ShapeID="_x0000_i0"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20%</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每月</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2.0pt;height:11.2pt;mso-wrap-distance-left:0.0pt;mso-wrap-distance-top:0.0pt;mso-wrap-distance-right:0.0pt;mso-wrap-distance-bottom:0.0pt;" filled="f" stroked="f">
                  <v:path textboxrect="0,0,0,0"/>
                  <v:imagedata r:id="rId14" o:title=""/>
                </v:shape>
                <o:OLEObject DrawAspect="Content" r:id="rId15" ObjectID="_1525041" ProgID="Equation.DSMT4" ShapeID="_x0000_i1"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30%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i/>
                <w:position w:val="-10"/>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8pt;height:15.0pt;mso-wrap-distance-left:0.0pt;mso-wrap-distance-top:0.0pt;mso-wrap-distance-right:0.0pt;mso-wrap-distance-bottom:0.0pt;" filled="f" stroked="f">
                  <v:path textboxrect="0,0,0,0"/>
                  <v:imagedata r:id="rId16" o:title=""/>
                </v:shape>
                <o:OLEObject DrawAspect="Content" r:id="rId17" ObjectID="_1525042" ProgID="Equation.3" ShapeID="_x0000_i2"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40%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3"/>
            <w:tcW w:w="420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shd w:val="clear" w:color="auto" w:fill="ffffff"/>
              </w:rPr>
              <w:outlineLvl w:val="9"/>
            </w:pPr>
            <w:r>
              <w:rPr>
                <w:rFonts w:hint="eastAsia" w:ascii="宋体" w:hAnsi="宋体" w:eastAsia="宋体" w:cs="宋体"/>
                <w:sz w:val="21"/>
                <w:szCs w:val="21"/>
                <w:shd w:val="clear" w:color="auto" w:fill="ffffff"/>
              </w:rPr>
              <w:t xml:space="preserve">当自动监测结果和实验室分析结果均低于</w:t>
            </w:r>
            <w:r>
              <w:rPr>
                <w:rFonts w:hint="eastAsia" w:ascii="宋体" w:hAnsi="宋体" w:eastAsia="宋体" w:cs="宋体"/>
                <w:i/>
                <w:iCs/>
                <w:sz w:val="21"/>
                <w:szCs w:val="21"/>
                <w:shd w:val="clear" w:color="auto" w:fill="ffffff"/>
              </w:rPr>
              <w:t xml:space="preserve">B</w:t>
            </w:r>
            <w:r>
              <w:rPr>
                <w:rFonts w:hint="eastAsia" w:ascii="宋体" w:hAnsi="宋体" w:eastAsia="宋体" w:cs="宋体"/>
                <w:i/>
                <w:iCs/>
                <w:sz w:val="21"/>
                <w:szCs w:val="21"/>
                <w:shd w:val="clear" w:color="auto" w:fill="ffffff"/>
                <w:vertAlign w:val="subscript"/>
              </w:rPr>
              <w:t xml:space="preserve">Ⅱ</w:t>
            </w:r>
            <w:r>
              <w:rPr>
                <w:rFonts w:hint="eastAsia" w:ascii="宋体" w:hAnsi="宋体" w:eastAsia="宋体" w:cs="宋体"/>
                <w:sz w:val="21"/>
                <w:szCs w:val="21"/>
                <w:shd w:val="clear" w:color="auto" w:fill="ffffff"/>
              </w:rPr>
              <w:t xml:space="preserve">时，认定比对实验结果合格。</w:t>
            </w:r>
            <w:r>
              <w:rPr>
                <w:rFonts w:hint="eastAsia" w:ascii="宋体" w:hAnsi="宋体" w:eastAsia="宋体" w:cs="宋体"/>
                <w:bCs/>
                <w:sz w:val="21"/>
                <w:szCs w:val="21"/>
                <w:shd w:val="clear" w:color="auto" w:fill="ffffff"/>
              </w:rPr>
              <w:t xml:space="preserve">注：①</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QUOTE </w:instrText>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instrText xml:space="preserve"> </w:instrText>
            </w:r>
            <w:r>
              <w:rPr>
                <w:rFonts w:hint="eastAsia" w:ascii="宋体" w:hAnsi="宋体" w:eastAsia="宋体" w:cs="宋体"/>
                <w:sz w:val="21"/>
                <w:szCs w:val="21"/>
              </w:rPr>
              <w:fldChar w:fldCharType="separate"/>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t xml:space="preserve">为实验室分析结果；</w:t>
            </w:r>
            <w:r>
              <w:rPr>
                <w:rFonts w:hint="eastAsia" w:ascii="宋体" w:hAnsi="宋体" w:eastAsia="宋体" w:cs="宋体"/>
                <w:bCs/>
                <w:sz w:val="21"/>
                <w:szCs w:val="21"/>
              </w:rPr>
              <w:t xml:space="preserve">②</w:t>
            </w:r>
            <w:r>
              <w:rPr>
                <w:rFonts w:hint="eastAsia" w:ascii="宋体" w:hAnsi="宋体" w:eastAsia="宋体" w:cs="宋体"/>
                <w:bCs/>
                <w:i/>
                <w:iCs/>
                <w:sz w:val="21"/>
                <w:szCs w:val="21"/>
              </w:rPr>
              <w:t xml:space="preserve">B</w:t>
            </w:r>
            <w:r>
              <w:rPr>
                <w:rFonts w:hint="eastAsia" w:ascii="宋体" w:hAnsi="宋体" w:eastAsia="宋体" w:cs="宋体"/>
                <w:bCs/>
                <w:sz w:val="21"/>
                <w:szCs w:val="21"/>
              </w:rPr>
              <w:t xml:space="preserve">为水质类别限值；③河流总氮可参考湖库标准。</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sz w:val="21"/>
                <w:szCs w:val="21"/>
              </w:rPr>
              <w:t xml:space="preserve">加标回收试验</w:t>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加标回收率</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80.0%～120.0%</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数据异常排查时按需开展</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浮船站除外</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盲样考核</w:t>
            </w:r>
            <w:r/>
          </w:p>
        </w:tc>
        <w:tc>
          <w:tcPr>
            <w:tcW w:w="19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相对误差</w:t>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氨氮</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±15%</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高锰酸盐指数</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总磷</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±15%</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总氮</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消解率测试</w:t>
            </w:r>
            <w:r/>
          </w:p>
        </w:tc>
        <w:tc>
          <w:tcPr>
            <w:tcW w:w="19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消解率</w:t>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总磷</w:t>
            </w:r>
            <w:r/>
          </w:p>
        </w:tc>
        <w:tc>
          <w:tcPr>
            <w:tcW w:w="111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≥95%</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每季度</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总氮</w:t>
            </w:r>
            <w:r/>
          </w:p>
        </w:tc>
        <w:tc>
          <w:tcPr>
            <w:tcW w:w="111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叶绿素a、蓝绿藻密度</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92"/>
        <w:gridCol w:w="1635"/>
        <w:gridCol w:w="2693"/>
        <w:gridCol w:w="1447"/>
        <w:gridCol w:w="3045"/>
      </w:tblGrid>
      <w:tr>
        <w:trPr>
          <w:trHeight w:val="660"/>
        </w:trPr>
        <w:tc>
          <w:tcPr>
            <w:tcW w:w="15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432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44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30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648"/>
        </w:trPr>
        <w:tc>
          <w:tcPr>
            <w:tcW w:w="159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63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tcW w:w="26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rPr>
              <w:t xml:space="preserve">≥0.993</w:t>
            </w:r>
            <w:r/>
          </w:p>
        </w:tc>
        <w:tc>
          <w:tcPr>
            <w:tcW w:w="144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0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02"/>
        </w:trPr>
        <w:tc>
          <w:tcPr>
            <w:tcW w:w="159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3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tcW w:w="26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零点绝对误差应为≤3倍检出限，其他点相对误差≤±5%</w:t>
            </w:r>
            <w:r/>
          </w:p>
        </w:tc>
        <w:tc>
          <w:tcPr>
            <w:tcW w:w="14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0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多光源荧光法除外</w:t>
            </w:r>
            <w:r/>
          </w:p>
        </w:tc>
      </w:tr>
      <w:tr>
        <w:trPr>
          <w:trHeight w:val="652"/>
        </w:trPr>
        <w:tc>
          <w:tcPr>
            <w:shd w:val="clear" w:color="auto" w:fill="auto"/>
            <w:tcW w:w="15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shd w:val="clear" w:color="auto" w:fill="ffffff"/>
            <w:tcW w:w="163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shd w:val="clear" w:color="auto" w:fill="ffffff"/>
            <w:tcW w:w="26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shd w:val="clear" w:color="auto" w:fill="ffffff"/>
            <w:tcW w:w="144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c>
          <w:tcPr>
            <w:shd w:val="clear" w:color="auto" w:fill="ffffff"/>
            <w:tcW w:w="30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采用经校准的便携式荧光法仪器比对</w:t>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挥发性有机物</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52"/>
        <w:gridCol w:w="1134"/>
        <w:gridCol w:w="2007"/>
        <w:gridCol w:w="4134"/>
      </w:tblGrid>
      <w:tr>
        <w:trPr>
          <w:trHeight w:val="465"/>
        </w:trPr>
        <w:tc>
          <w:tcPr>
            <w:tcW w:w="315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4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质控实施频次</w:t>
            </w:r>
            <w:r/>
          </w:p>
        </w:tc>
      </w:tr>
      <w:tr>
        <w:trPr>
          <w:trHeight w:val="403"/>
        </w:trPr>
        <w:tc>
          <w:tcPr>
            <w:tcW w:w="315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20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4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403"/>
        </w:trPr>
        <w:tc>
          <w:tcPr>
            <w:tcW w:w="315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0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r>
      <w:tr>
        <w:trPr>
          <w:trHeight w:val="417"/>
        </w:trPr>
        <w:tc>
          <w:tcPr>
            <w:tcW w:w="315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加标回收试验</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70%～130%</w:t>
            </w:r>
            <w:r/>
          </w:p>
        </w:tc>
        <w:tc>
          <w:tcPr>
            <w:tcW w:w="4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r>
    </w:tbl>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3.5 其他相关要求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3.5.1▲中标单位须协助采购人在必要时做好水站周边水系情况调查及污染溯源排查工作。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3.5.2中标单位须协助采购人做好水站固定资产、备品备件的管理及登记等工作。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3.5.3中标单位应积极参加采购人主办的技术培训班，加强业务学习，不断提高业务能力和水平。</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3.5.4中标单位应根据国家与江苏省有关要求做好废液的处理工作。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3.5.5中标单位须保证满足生态环境部门对水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3.5.6当仪器损坏不能修复时，应在24小时之内使用备机开展监测，并同时报告采购人，采购人组织确认仪器损坏情况及原因，酌情处理。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3.5.7仪器报废后（包括使用超过8年导致，或因特别重大、重大水旱、气象、地震、地质等自然灾害、站房外部火灾、爆炸、恐怖袭击、武装冲突、蓄意破坏等不可抗力导致），运维单位须先行及时使用备机开展监测，同时报告采购人。</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3.5.8严禁擅自更改仪器参数设置。</w:t>
      </w:r>
      <w:r/>
    </w:p>
    <w:p>
      <w:pPr>
        <w:keepLines w:val="0"/>
        <w:keepNext w:val="0"/>
        <w:pageBreakBefore w:val="0"/>
        <w:spacing w:line="400" w:lineRule="exact"/>
        <w:rPr>
          <w:rFonts w:hint="eastAsia" w:ascii="宋体" w:hAnsi="宋体" w:eastAsia="宋体" w:cs="宋体"/>
          <w:b/>
          <w:bCs/>
          <w:sz w:val="21"/>
          <w:szCs w:val="21"/>
        </w:rPr>
        <w:outlineLvl w:val="9"/>
      </w:pPr>
      <w:r>
        <w:rPr>
          <w:rFonts w:hint="eastAsia" w:ascii="宋体" w:hAnsi="宋体" w:eastAsia="宋体" w:cs="宋体"/>
          <w:b/>
          <w:bCs/>
          <w:sz w:val="21"/>
          <w:szCs w:val="21"/>
        </w:rPr>
        <w:t xml:space="preserve">4、监督考核与惩罚办法</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4.1 监督管理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4.1.1</w:t>
      </w:r>
      <w:r>
        <w:rPr>
          <w:rFonts w:hint="eastAsia" w:eastAsia="宋体" w:cs="宋体"/>
          <w:sz w:val="21"/>
          <w:szCs w:val="21"/>
          <w:lang w:val="en-US" w:eastAsia="zh-CN"/>
        </w:rPr>
        <w:t xml:space="preserve">中标人</w:t>
      </w:r>
      <w:r>
        <w:rPr>
          <w:rFonts w:hint="eastAsia" w:ascii="宋体" w:hAnsi="宋体" w:eastAsia="宋体" w:cs="宋体"/>
          <w:sz w:val="21"/>
          <w:szCs w:val="21"/>
        </w:rPr>
        <w:t xml:space="preserve">应承担监测数据的保密责任（签订保密协议），不得利用本项目的数据、档案或有关资料对外开展技术交流、业务联系、数据交换等。否则，采购人有权终止合同。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4.1.2 运维期间出现调整数据、修改参数、改动设备、质控结果与平台采集结果不一致、弄虚作假等违规行为的，一经查实采购人有权终止运维合同。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4.1.3 采购人组织开展运维管理和质控考核，对达不到运维要求或违规操作的，可以取消该公司在江苏区域内相关运维投标资格或扣减相应的运维经费，并有权终止运维合同。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4.1.4 违反相关水质自动站管理办法等违规行为的，一经查实采购人有权终止运维合同。</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4.2 考核办法</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color w:val="auto"/>
          <w:sz w:val="21"/>
          <w:szCs w:val="21"/>
          <w:highlight w:val="cyan"/>
        </w:rPr>
        <w:t xml:space="preserve">甲方每</w:t>
      </w:r>
      <w:r>
        <w:rPr>
          <w:rFonts w:hint="eastAsia" w:ascii="宋体" w:hAnsi="宋体" w:eastAsia="宋体" w:cs="宋体"/>
          <w:color w:val="auto"/>
          <w:sz w:val="21"/>
          <w:szCs w:val="21"/>
          <w:highlight w:val="cyan"/>
          <w:lang w:val="en-US" w:eastAsia="zh-CN"/>
        </w:rPr>
        <w:t xml:space="preserve">半年</w:t>
      </w:r>
      <w:r>
        <w:rPr>
          <w:rFonts w:hint="eastAsia" w:ascii="宋体" w:hAnsi="宋体" w:eastAsia="宋体" w:cs="宋体"/>
          <w:color w:val="auto"/>
          <w:sz w:val="21"/>
          <w:szCs w:val="21"/>
          <w:highlight w:val="cyan"/>
        </w:rPr>
        <w:t xml:space="preserve">对乙方运维水站的运行情况进行考核</w:t>
      </w:r>
      <w:r>
        <w:rPr>
          <w:rFonts w:hint="eastAsia" w:ascii="宋体" w:hAnsi="宋体" w:eastAsia="宋体" w:cs="宋体"/>
          <w:color w:val="auto"/>
          <w:sz w:val="21"/>
          <w:szCs w:val="21"/>
          <w:highlight w:val="cyan"/>
          <w:lang w:val="en-US" w:eastAsia="zh-CN"/>
        </w:rPr>
        <w:t xml:space="preserve">汇总</w:t>
      </w:r>
      <w:r>
        <w:rPr>
          <w:rFonts w:hint="eastAsia" w:ascii="宋体" w:hAnsi="宋体" w:eastAsia="宋体" w:cs="宋体"/>
          <w:sz w:val="21"/>
          <w:szCs w:val="21"/>
        </w:rPr>
        <w:t xml:space="preserve">。采取单站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考核的方式，考核内容以站点数据有效率为主，兼顾盲样考核、</w:t>
      </w:r>
      <w:r>
        <w:rPr>
          <w:rFonts w:hint="eastAsia" w:ascii="宋体" w:hAnsi="宋体" w:eastAsia="宋体" w:cs="宋体"/>
          <w:sz w:val="21"/>
          <w:szCs w:val="21"/>
          <w:lang w:eastAsia="zh-CN"/>
        </w:rPr>
        <w:t xml:space="preserve">固定技术人员</w:t>
      </w:r>
      <w:r>
        <w:rPr>
          <w:rFonts w:hint="eastAsia" w:ascii="宋体" w:hAnsi="宋体" w:eastAsia="宋体" w:cs="宋体"/>
          <w:sz w:val="21"/>
          <w:szCs w:val="21"/>
        </w:rPr>
        <w:t xml:space="preserve">管理、固定资产管理以及运行维护规范性等。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4.2.1 数据有效率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正常运行期间数据有效率=（应获取数据-无效数据）/应获取数据*100%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）非正常运行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1）具备补充监测条件的，根据相关要求，乙方应对非正常运行水站开展补充监测。补测的数据应满足相关质控要求，并应在规定的时间内上传平台，否则按无效数据处理。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计算公式：</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非正常运行期间数据有效率=（实际补测数据-无效数据）/应补测数据*100%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2）不具备补充监测条件的，乙方有义务采取必要措施最大限度的减少国家财产的损失，包括仪器设备保管以及必要性维护工作。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）不具备补充监测条件</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 停运期间，乙方应保证仪器设备及环境设施设备的安全，并关注现场环境变化，具备条件后应及时恢复运行。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4.2.2 运维费支付</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（1）常规参数（水温、pH、溶解氧、电导率、浊度、氨氮、高锰酸盐指数、总磷、总氮、叶绿素、藻密度）</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4）上述1）-3）所列条款中，当存在单参数考核周期内监测数据有效率低于70%的情形时，增扣该付款周期运维费5%。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6）全年平均数据有效率低于60%，取消运维合同。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）特殊参数（VOCS、挥发酚、氟化物、流量计等）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3）单参数考</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5）特征参数设备经鉴定不具备使用条件时，乙方应向甲方申请报废，经甲方同意后终止该设备运行并终止运维费支付。</w:t>
      </w:r>
      <w:r>
        <w:rPr>
          <w:rFonts w:hint="eastAsia" w:eastAsia="宋体" w:cs="宋体"/>
          <w:sz w:val="21"/>
          <w:szCs w:val="21"/>
          <w:lang w:val="en-US" w:eastAsia="zh-CN"/>
        </w:rPr>
        <w:t xml:space="preserve">4</w:t>
      </w:r>
      <w:r>
        <w:rPr>
          <w:rFonts w:hint="eastAsia" w:ascii="宋体" w:hAnsi="宋体" w:eastAsia="宋体" w:cs="宋体"/>
          <w:sz w:val="21"/>
          <w:szCs w:val="21"/>
        </w:rPr>
        <w:t xml:space="preserve">.2.3 水质预警奖惩</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运维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4.2.4 盲样考核</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乙方应按照甲方相关要求配合开展盲样考核工作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每月/</w:t>
      </w:r>
      <w:r>
        <w:rPr>
          <w:rFonts w:hint="eastAsia" w:eastAsia="宋体" w:cs="宋体"/>
          <w:sz w:val="21"/>
          <w:szCs w:val="21"/>
          <w:lang w:val="en-US" w:eastAsia="zh-CN"/>
        </w:rPr>
        <w:t xml:space="preserve">半年</w:t>
      </w:r>
      <w:r>
        <w:rPr>
          <w:rFonts w:hint="eastAsia" w:ascii="宋体" w:hAnsi="宋体" w:eastAsia="宋体" w:cs="宋体"/>
          <w:sz w:val="21"/>
          <w:szCs w:val="21"/>
          <w:lang w:val="en-US" w:eastAsia="zh-CN"/>
        </w:rPr>
        <w:t xml:space="preserve">1次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，每出现1个盲样考核不合格的参数扣除</w:t>
      </w:r>
      <w:r>
        <w:rPr>
          <w:rFonts w:hint="eastAsia" w:ascii="宋体" w:hAnsi="宋体" w:eastAsia="宋体" w:cs="宋体"/>
          <w:sz w:val="21"/>
          <w:szCs w:val="21"/>
          <w:lang w:val="en-US" w:eastAsia="zh-CN"/>
        </w:rPr>
        <w:t xml:space="preserve">该站点</w:t>
      </w:r>
      <w:r>
        <w:rPr>
          <w:rFonts w:hint="eastAsia" w:ascii="宋体" w:hAnsi="宋体" w:eastAsia="宋体" w:cs="宋体"/>
          <w:sz w:val="21"/>
          <w:szCs w:val="21"/>
        </w:rPr>
        <w:t xml:space="preserve">当</w:t>
      </w:r>
      <w:r>
        <w:rPr>
          <w:rFonts w:hint="eastAsia" w:ascii="宋体" w:hAnsi="宋体" w:eastAsia="宋体" w:cs="宋体"/>
          <w:sz w:val="21"/>
          <w:szCs w:val="21"/>
          <w:lang w:val="en-US" w:eastAsia="zh-CN"/>
        </w:rPr>
        <w:t xml:space="preserve">月/</w:t>
      </w:r>
      <w:r>
        <w:rPr>
          <w:rFonts w:hint="eastAsia" w:eastAsia="宋体" w:cs="宋体"/>
          <w:sz w:val="21"/>
          <w:szCs w:val="21"/>
          <w:lang w:val="en-US" w:eastAsia="zh-CN"/>
        </w:rPr>
        <w:t xml:space="preserve">半年</w:t>
      </w:r>
      <w:r>
        <w:rPr>
          <w:rFonts w:hint="eastAsia" w:ascii="宋体" w:hAnsi="宋体" w:eastAsia="宋体" w:cs="宋体"/>
          <w:sz w:val="21"/>
          <w:szCs w:val="21"/>
        </w:rPr>
        <w:t xml:space="preserve">运维费的</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4.2.5 </w:t>
      </w: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w:t>
      </w:r>
      <w:r>
        <w:rPr>
          <w:rFonts w:hint="eastAsia" w:ascii="宋体" w:hAnsi="宋体" w:eastAsia="宋体" w:cs="宋体"/>
          <w:sz w:val="21"/>
          <w:szCs w:val="21"/>
        </w:rPr>
        <w:t xml:space="preserve">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在项目实施过程中，乙方应根据合同安排符合甲方要求的</w:t>
      </w:r>
      <w:r>
        <w:rPr>
          <w:rFonts w:hint="eastAsia" w:eastAsia="宋体" w:cs="宋体"/>
          <w:sz w:val="21"/>
          <w:szCs w:val="21"/>
          <w:lang w:val="en-US" w:eastAsia="zh-CN"/>
        </w:rPr>
        <w:t xml:space="preserve">固定技术</w:t>
      </w:r>
      <w:r>
        <w:rPr>
          <w:rFonts w:hint="eastAsia" w:ascii="宋体" w:hAnsi="宋体" w:eastAsia="宋体" w:cs="宋体"/>
          <w:sz w:val="21"/>
          <w:szCs w:val="21"/>
        </w:rPr>
        <w:t xml:space="preserve">人员，服务期</w:t>
      </w:r>
      <w:r>
        <w:rPr>
          <w:rFonts w:hint="eastAsia" w:ascii="宋体" w:hAnsi="宋体" w:eastAsia="宋体" w:cs="宋体"/>
          <w:sz w:val="21"/>
          <w:szCs w:val="21"/>
          <w:highlight w:val="none"/>
        </w:rPr>
        <w:t xml:space="preserve">内 </w:t>
      </w:r>
      <w:r>
        <w:rPr>
          <w:rFonts w:hint="eastAsia" w:eastAsia="宋体" w:cs="宋体"/>
          <w:sz w:val="21"/>
          <w:szCs w:val="21"/>
          <w:highlight w:val="none"/>
          <w:lang w:val="en-US" w:eastAsia="zh-CN"/>
        </w:rPr>
        <w:t xml:space="preserve">固定技术</w:t>
      </w:r>
      <w:r>
        <w:rPr>
          <w:rFonts w:hint="eastAsia" w:ascii="宋体" w:hAnsi="宋体" w:eastAsia="宋体" w:cs="宋体"/>
          <w:sz w:val="21"/>
          <w:szCs w:val="21"/>
          <w:highlight w:val="none"/>
        </w:rPr>
        <w:t xml:space="preserve">人员应</w:t>
      </w:r>
      <w:r>
        <w:rPr>
          <w:rFonts w:hint="eastAsia" w:ascii="宋体" w:hAnsi="宋体" w:eastAsia="宋体" w:cs="宋体"/>
          <w:sz w:val="21"/>
          <w:szCs w:val="21"/>
        </w:rPr>
        <w:t xml:space="preserve">在甲方指定地点配合开展相关工作。乙方不得随意更换人员。甲方定期对人员进行考核，违反保密工作规定或出现重大工作失误的甲方有权要求更换，并根据情况扣减运维费。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4.2.6 固定资产管理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乙方及人员蓄意破坏水站固定资产，或私自外借、出租、抵押的，将交由相关机构处理；出现国有资产损失或流失的，相关责任人要按原价赔偿，并追究法律责任。</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4.2.7 运行维护规范性</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经甲方认定，乙方存在下列情形的，将根据相应规定进行扣款：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1</w:t>
      </w:r>
      <w:r>
        <w:rPr>
          <w:rFonts w:hint="eastAsia" w:ascii="宋体" w:hAnsi="宋体" w:eastAsia="宋体" w:cs="宋体"/>
          <w:sz w:val="21"/>
          <w:szCs w:val="21"/>
        </w:rPr>
        <w:t xml:space="preserve">）每月3次存在以下情形时，一经查实，扣除该站点当月20%的运维费；每月6次存在以下情形时，一经查实，扣除该站点当月50%的运维费。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1）乙方应在每天12时前，完成前一日数据审核工作。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2）乙方发现非运维人员进入站房后有干扰正常监测行为，未及时制止并上报甲方的。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 分析仪器监测结果出现异常，但乙方未及时响应并未采取有效措施的。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4）乙方未按要求进行例行维护，定期完成试剂更换、仪器校准、核查等维护工作的。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5）乙方未定期进行站房、采水口及采水构筑物、采水管路、辅助设施等清洁维护工作的。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6）乙方未按要求在平台进行运维记录填写或填写不规范的。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7）乙方存在其他不符合相关管理技术规范等要求的情形。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2</w:t>
      </w:r>
      <w:r>
        <w:rPr>
          <w:rFonts w:hint="eastAsia" w:ascii="宋体" w:hAnsi="宋体" w:eastAsia="宋体" w:cs="宋体"/>
          <w:sz w:val="21"/>
          <w:szCs w:val="21"/>
        </w:rPr>
        <w:t xml:space="preserve">）发现监测点位出现未经批准的变更，未及时上报的，扣除该站点考核周期内20%运维费。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3</w:t>
      </w:r>
      <w:r>
        <w:rPr>
          <w:rFonts w:hint="eastAsia" w:ascii="宋体" w:hAnsi="宋体" w:eastAsia="宋体" w:cs="宋体"/>
          <w:sz w:val="21"/>
          <w:szCs w:val="21"/>
        </w:rPr>
        <w:t xml:space="preserve">）发现有人为干扰采样情形，未及时上报的，扣除该站点考核周期内20%运维费。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4</w:t>
      </w:r>
      <w:r>
        <w:rPr>
          <w:rFonts w:hint="eastAsia" w:ascii="宋体" w:hAnsi="宋体" w:eastAsia="宋体" w:cs="宋体"/>
          <w:sz w:val="21"/>
          <w:szCs w:val="21"/>
        </w:rPr>
        <w:t xml:space="preserve">）常规参数（水温、pH、溶解氧、电导率、浊度、氨氮、高锰酸盐指数、总磷、总氮、叶绿素、藻密度、流量计）设备故障，未在48h内修复或启用备机替换并将监测数据上传平台的，每出现1次超期未解决情况扣除当月运维费的10%，扣完为止。</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5</w:t>
      </w:r>
      <w:r>
        <w:rPr>
          <w:rFonts w:hint="eastAsia" w:ascii="宋体" w:hAnsi="宋体" w:eastAsia="宋体" w:cs="宋体"/>
          <w:sz w:val="21"/>
          <w:szCs w:val="21"/>
        </w:rPr>
        <w:t xml:space="preserve">）经甲方认定，乙方使用虚假信息进行停运申请和操作的，扣除该站点当月全部运维费。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6</w:t>
      </w:r>
      <w:r>
        <w:rPr>
          <w:rFonts w:hint="eastAsia" w:ascii="宋体" w:hAnsi="宋体" w:eastAsia="宋体" w:cs="宋体"/>
          <w:sz w:val="21"/>
          <w:szCs w:val="21"/>
        </w:rPr>
        <w:t xml:space="preserve">）存在其他严重违反合同约定或相关规范要求的情形，甲方根据实际情况酌情扣款。</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4.3 其他规定</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4.3.1运维交接</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4.3.2弄虚作假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乙方及其人员实施或参与以下情形的，按弄虚作假处理，一经查实，扣除该站当月运维费，同时采取约谈、通报批评、解除合同等处罚，违反法律法规的，将交由相关部门依法处理。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（1）存在《环境监测数据弄虚作假行为判定及处理办法》中认定的篡改、伪造或者指使篡改、伪造监测数据行为的。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（2）存在关键参数虚假报备，或实际关键参数超出备案范围，对数据造成严重影响的。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（3）随意更改预处理装置，实际预处理方式及其启用/停用与报备方式不一致的。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（4）实施或参与干扰采水设施和自动监测设施、破坏水质自动监测系统的。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（5）其他造成水质自动监测数据严重失真的情形。</w:t>
      </w:r>
      <w:r/>
    </w:p>
    <w:p>
      <w:pPr>
        <w:contextualSpacing/>
        <w:ind w:firstLine="420"/>
        <w:keepLines w:val="0"/>
        <w:keepNext w:val="0"/>
        <w:pageBreakBefore w:val="0"/>
        <w:spacing w:line="400" w:lineRule="exact"/>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4.3.3站点及水质监测防人为干扰</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定期开展巡查，原则要求河流型水站应覆盖站点采水口上下游1公里范围，湖库型水站应覆盖站点采水口周边500米半径的湖区范围。重点内容包括站点周边有无人工喷泉、曝气等增氧装置，有无投放生物、化学药剂行为，有无干扰采水口正常采样行为等。</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(2)不得擅自或者协助他人篡改设备运行参数及干扰设备各个部件的正常运行。</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(3)非运维人员未经吴中生态环境局同意不得进入站房内部及采样区域，如确需进入，提前报备。</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(4)不得将站房门禁或钥匙交给非运维人员，如已有此情况，及时更换锁具或更改门禁密码。</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(5)运维方人为干扰情况不限于以上三项，其余按生态环境部或江苏省生态环境厅有关地表水水质自动站防人为干扰相关文件要求执行。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4.3.4惩罚办法</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甲方开展不定期运维检查，若发现乙方存在人为干扰监测站点正常运行的行为，第一次发现，扣除本合同金额的10%，并警告通报，第二次发现，扣除本合同金额的30%，第三次发现，甲方终止本合同。</w:t>
      </w:r>
      <w:r/>
    </w:p>
    <w:p>
      <w:pPr>
        <w:jc w:val="left"/>
        <w:keepLines w:val="0"/>
        <w:keepNext w:val="0"/>
        <w:pageBreakBefore w:val="0"/>
        <w:spacing w:line="400" w:lineRule="exact"/>
        <w:widowControl/>
        <w:rPr>
          <w:rFonts w:hint="eastAsia" w:ascii="宋体" w:hAnsi="宋体" w:eastAsia="宋体" w:cs="宋体"/>
          <w:b/>
          <w:bCs/>
          <w:sz w:val="21"/>
          <w:szCs w:val="21"/>
        </w:rPr>
        <w:outlineLvl w:val="9"/>
      </w:pPr>
      <w:r>
        <w:rPr>
          <w:rFonts w:hint="eastAsia" w:ascii="宋体" w:hAnsi="宋体" w:eastAsia="宋体" w:cs="宋体"/>
          <w:b/>
          <w:bCs/>
          <w:sz w:val="21"/>
          <w:szCs w:val="21"/>
        </w:rPr>
        <w:t xml:space="preserve">5、技术规范和标准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5.1《地表水自动监测技术规范（试行）》（HJ 915-2017）</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5.2 《关于印发&lt;国家地表水水质自动监测站运行维护管理实施细则（试行）&gt;等文件的通知》（总站水字〔2019〕649）</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5.3《国家地表水水质自动监测站补充监测技术规定（试行）》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5.4《国家地表水水质自动监测站常规五参数现场比对技术要求（试行）》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5.5《国家地表水水质自动监测站盲样考核管理规定（试行）》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5.6《国家地表水水质自动监测数据审核技术细则（试行）》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5.7《国家地表水水质自动监测数据审核管理办法（试行）》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5.8《国家地表水自动监测系统通信协议技术要求》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5.9《国家地表水自动监测仪器通信协议技术要求》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5.10《省生态环境厅&lt;关于印发江苏省地表水自动监测站运行管理办法（试行）&gt;的通知》（苏环办〔2020〕174号）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5.11《省生态环境厅&lt;关于印发江苏省地表水水质自动监测站建设技术要求——站房、采水及文化建设部分（试行）&gt;的通知》（苏环办〔2019〕114号）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5.12《河流流量测验规范》（GB 50179-2015）</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5.13《声学多普勒流量测验规范》（SL337-2006）</w:t>
      </w:r>
      <w:r>
        <w:rPr>
          <w:rFonts w:hint="eastAsia" w:ascii="宋体" w:hAnsi="宋体" w:eastAsia="宋体" w:cs="宋体"/>
          <w:sz w:val="21"/>
          <w:szCs w:val="21"/>
        </w:rPr>
        <w:t xml:space="preserve">。</w:t>
      </w:r>
      <w:r/>
    </w:p>
    <w:p>
      <w:pPr>
        <w:pStyle w:val="1395"/>
        <w:keepLines w:val="0"/>
        <w:keepNext w:val="0"/>
        <w:pageBreakBefore w:val="0"/>
        <w:spacing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二标段：</w:t>
      </w:r>
      <w:r>
        <w:rPr>
          <w:rFonts w:hint="eastAsia" w:ascii="宋体" w:hAnsi="宋体" w:eastAsia="宋体" w:cs="宋体"/>
          <w:b/>
          <w:bCs/>
          <w:color w:val="000000"/>
          <w:sz w:val="21"/>
          <w:szCs w:val="21"/>
          <w:highlight w:val="none"/>
          <w:vertAlign w:val="baseline"/>
          <w:lang w:val="en-US" w:eastAsia="zh-CN"/>
        </w:rPr>
        <w:t xml:space="preserve">澄湖通湖及周边乡镇</w:t>
      </w:r>
      <w:r>
        <w:rPr>
          <w:rFonts w:hint="eastAsia" w:cs="宋体"/>
          <w:b/>
          <w:bCs/>
          <w:color w:val="000000"/>
          <w:sz w:val="21"/>
          <w:szCs w:val="21"/>
          <w:highlight w:val="none"/>
          <w:vertAlign w:val="baseline"/>
          <w:lang w:val="en-US" w:eastAsia="zh-CN"/>
        </w:rPr>
        <w:t xml:space="preserve">31</w:t>
      </w:r>
      <w:r>
        <w:rPr>
          <w:rFonts w:hint="eastAsia" w:ascii="宋体" w:hAnsi="宋体" w:eastAsia="宋体" w:cs="宋体"/>
          <w:b/>
          <w:bCs/>
          <w:color w:val="000000"/>
          <w:sz w:val="21"/>
          <w:szCs w:val="21"/>
          <w:highlight w:val="none"/>
          <w:vertAlign w:val="baseline"/>
          <w:lang w:val="en-US" w:eastAsia="zh-CN"/>
        </w:rPr>
        <w:t xml:space="preserve">座水质自动站运维服务</w:t>
      </w:r>
      <w:r/>
    </w:p>
    <w:p>
      <w:pPr>
        <w:pStyle w:val="1395"/>
        <w:keepLines w:val="0"/>
        <w:keepNext w:val="0"/>
        <w:pageBreakBefore w:val="0"/>
        <w:spacing w:line="400" w:lineRule="exact"/>
        <w:widowControl w:val="off"/>
        <w:rPr>
          <w:color w:val="000000"/>
          <w:highlight w:val="none"/>
        </w:rPr>
      </w:pPr>
      <w:r>
        <w:rPr>
          <w:color w:val="000000"/>
          <w:highlight w:val="none"/>
        </w:rPr>
      </w:r>
      <w:r/>
    </w:p>
    <w:p>
      <w:pPr>
        <w:pStyle w:val="1368"/>
        <w:keepLines w:val="0"/>
        <w:keepNext w:val="0"/>
        <w:pageBreakBefore w:val="0"/>
        <w:spacing w:line="400" w:lineRule="exact"/>
        <w:widowControl w:val="off"/>
        <w:rPr>
          <w:rFonts w:hint="eastAsia" w:ascii="宋体" w:hAnsi="宋体" w:eastAsia="宋体" w:cs="宋体"/>
          <w:b/>
          <w:bCs/>
          <w:color w:val="000000"/>
          <w:sz w:val="21"/>
          <w:szCs w:val="21"/>
          <w:highlight w:val="none"/>
        </w:rPr>
      </w:pPr>
      <w:r/>
      <w:bookmarkStart w:id="19" w:name="_Toc3534286"/>
      <w:r/>
      <w:bookmarkStart w:id="20" w:name="_Toc86147038"/>
      <w:r>
        <w:rPr>
          <w:rFonts w:hint="eastAsia" w:ascii="宋体" w:hAnsi="宋体" w:eastAsia="宋体" w:cs="宋体"/>
          <w:b/>
          <w:bCs/>
          <w:color w:val="000000"/>
          <w:sz w:val="21"/>
          <w:szCs w:val="21"/>
          <w:highlight w:val="none"/>
        </w:rPr>
        <w:t xml:space="preserve">1、项目概述</w:t>
      </w:r>
      <w:bookmarkEnd w:id="19"/>
      <w:r/>
      <w:bookmarkEnd w:id="20"/>
      <w:r/>
      <w:r/>
    </w:p>
    <w:p>
      <w:pPr>
        <w:pStyle w:val="1368"/>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bookmarkStart w:id="21" w:name="_Toc86147039"/>
      <w:r>
        <w:rPr>
          <w:rFonts w:hint="eastAsia" w:ascii="宋体" w:hAnsi="宋体" w:eastAsia="宋体" w:cs="宋体"/>
          <w:color w:val="000000"/>
          <w:sz w:val="21"/>
          <w:szCs w:val="21"/>
          <w:highlight w:val="none"/>
          <w:lang w:val="en-US" w:eastAsia="zh-CN"/>
        </w:rPr>
        <w:t xml:space="preserve">为保障吴中区地表水环境质量监控系统正常安全运行，确保监测数据的有效性、准确性，强化自动监测监督管理工作，推进地表水环境质量监控系统社会化运营模式，拟委托第三方对</w:t>
      </w:r>
      <w:r>
        <w:rPr>
          <w:rFonts w:hint="eastAsia" w:ascii="宋体" w:hAnsi="宋体" w:eastAsia="宋体" w:cs="宋体"/>
          <w:b w:val="0"/>
          <w:bCs/>
          <w:color w:val="000000"/>
          <w:sz w:val="21"/>
          <w:szCs w:val="21"/>
          <w:highlight w:val="none"/>
          <w:vertAlign w:val="baseline"/>
          <w:lang w:val="en-US" w:eastAsia="zh-CN"/>
        </w:rPr>
        <w:t xml:space="preserve">澄湖通湖及周边乡镇</w:t>
      </w:r>
      <w:r>
        <w:rPr>
          <w:rFonts w:hint="eastAsia" w:ascii="宋体" w:hAnsi="宋体" w:cs="宋体"/>
          <w:b w:val="0"/>
          <w:bCs/>
          <w:color w:val="000000"/>
          <w:sz w:val="21"/>
          <w:szCs w:val="21"/>
          <w:highlight w:val="none"/>
          <w:vertAlign w:val="baseline"/>
          <w:lang w:val="en-US" w:eastAsia="zh-CN"/>
        </w:rPr>
        <w:t xml:space="preserve">31</w:t>
      </w:r>
      <w:r>
        <w:rPr>
          <w:rFonts w:hint="eastAsia" w:ascii="宋体" w:hAnsi="宋体" w:eastAsia="宋体" w:cs="宋体"/>
          <w:b w:val="0"/>
          <w:bCs/>
          <w:color w:val="000000"/>
          <w:sz w:val="21"/>
          <w:szCs w:val="21"/>
          <w:highlight w:val="none"/>
          <w:vertAlign w:val="baseline"/>
          <w:lang w:val="en-US" w:eastAsia="zh-CN"/>
        </w:rPr>
        <w:t xml:space="preserve">座水质自动站</w:t>
      </w:r>
      <w:r>
        <w:rPr>
          <w:rFonts w:hint="eastAsia" w:ascii="宋体" w:hAnsi="宋体" w:eastAsia="宋体" w:cs="宋体"/>
          <w:color w:val="000000"/>
          <w:sz w:val="21"/>
          <w:szCs w:val="21"/>
          <w:highlight w:val="none"/>
          <w:lang w:val="en-US" w:eastAsia="zh-CN"/>
        </w:rPr>
        <w:t xml:space="preserve">提供运维服务。</w:t>
      </w:r>
      <w:r/>
    </w:p>
    <w:p>
      <w:pPr>
        <w:pStyle w:val="1368"/>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2、总体要求</w:t>
      </w:r>
      <w:bookmarkEnd w:id="21"/>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 凡标有“▲”的内容均被视为重要的技术要求和性能指标。投标人要特别加以注意，必须</w:t>
      </w:r>
      <w:r>
        <w:rPr>
          <w:rFonts w:hint="eastAsia" w:eastAsia="宋体" w:cs="宋体"/>
          <w:color w:val="000000"/>
          <w:sz w:val="21"/>
          <w:szCs w:val="21"/>
          <w:highlight w:val="none"/>
          <w:lang w:val="en-US" w:eastAsia="zh-CN"/>
        </w:rPr>
        <w:t xml:space="preserve">予以承诺响应</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投标人资金保证充足。</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投标人应列明水质自动监测系统运营及管理期间的各项费用预算开支。</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▲在水质自动监测系统运维及管理期间，在合同约束范围内中标单位拥有管理自主权；不能以任何形式外包合同规定的运行维护任务。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▲投标人应提供完整的水质自动监测系统运维实施方案。提出解决目前存在问题的措施，明确维护方法、周期、内容及技术保障。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 ▲投标人应提供完整的水质自动监测运维人员管理方案，提出解决稳定人员队伍的措施。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 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采购人的定期、不定期检查和考核。</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 投标人具备一定的监测数据分析能力，能配合采购人完成各类分析报告的编制工作，可为环境管理提供技术支撑。</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 本项目需要进行现场勘察，各位潜在投标人应提前深入了解原水站系统运行情况，以确保中标后与原运维单位对接并承担相应责任。应于开标日期10日前完成现场勘查。现场勘查联系人及联系方式：</w:t>
      </w:r>
      <w:r>
        <w:rPr>
          <w:rFonts w:hint="eastAsia" w:ascii="宋体" w:hAnsi="宋体" w:eastAsia="宋体" w:cs="宋体"/>
          <w:color w:val="000000"/>
          <w:sz w:val="21"/>
          <w:szCs w:val="21"/>
          <w:highlight w:val="none"/>
          <w:lang w:val="en-US" w:eastAsia="zh-CN"/>
        </w:rPr>
        <w:t xml:space="preserve">阮晓杰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7082875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叶文荣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7082862</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cyan"/>
        </w:rPr>
        <w:t xml:space="preserve">投标人承诺为本项目在采购人单位提供</w:t>
      </w:r>
      <w:r>
        <w:rPr>
          <w:rFonts w:hint="eastAsia" w:cs="宋体"/>
          <w:color w:val="000000"/>
          <w:sz w:val="21"/>
          <w:szCs w:val="21"/>
          <w:highlight w:val="cyan"/>
          <w:lang w:val="en-US" w:eastAsia="zh-CN"/>
        </w:rPr>
        <w:t xml:space="preserve">相关</w:t>
      </w:r>
      <w:r>
        <w:rPr>
          <w:rFonts w:hint="eastAsia" w:eastAsia="宋体" w:cs="宋体"/>
          <w:color w:val="000000"/>
          <w:sz w:val="21"/>
          <w:szCs w:val="21"/>
          <w:highlight w:val="cyan"/>
          <w:lang w:val="en-US" w:eastAsia="zh-CN"/>
        </w:rPr>
        <w:t xml:space="preserve">技术</w:t>
      </w:r>
      <w:r>
        <w:rPr>
          <w:rFonts w:hint="eastAsia" w:ascii="宋体" w:hAnsi="宋体" w:eastAsia="宋体" w:cs="宋体"/>
          <w:color w:val="000000"/>
          <w:sz w:val="21"/>
          <w:szCs w:val="21"/>
          <w:highlight w:val="cyan"/>
        </w:rPr>
        <w:t xml:space="preserve">人员，</w:t>
      </w:r>
      <w:r>
        <w:rPr>
          <w:rFonts w:hint="eastAsia" w:cs="宋体"/>
          <w:color w:val="000000"/>
          <w:sz w:val="21"/>
          <w:szCs w:val="21"/>
          <w:highlight w:val="cyan"/>
          <w:lang w:val="en-US" w:eastAsia="zh-CN"/>
        </w:rPr>
        <w:t xml:space="preserve">具体人员数量须与本章3.2.3中人员表格要求一致，</w:t>
      </w:r>
      <w:r>
        <w:rPr>
          <w:rFonts w:hint="eastAsia"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确保服务响应的及时性，无条件服从采购人的日常工作安排，对采购人负责，未经采购人同意不得调整</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须提供书面盖章承诺。</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i w:val="0"/>
          <w:iCs w:val="0"/>
          <w:color w:val="000000"/>
          <w:sz w:val="21"/>
          <w:szCs w:val="21"/>
          <w:highlight w:val="none"/>
          <w:u w:val="single"/>
        </w:rPr>
      </w:pPr>
      <w:r>
        <w:rPr>
          <w:rFonts w:hint="eastAsia" w:ascii="宋体" w:hAnsi="宋体" w:eastAsia="宋体" w:cs="宋体"/>
          <w:b/>
          <w:bCs/>
          <w:i w:val="0"/>
          <w:iCs w:val="0"/>
          <w:color w:val="000000"/>
          <w:sz w:val="21"/>
          <w:szCs w:val="21"/>
          <w:highlight w:val="none"/>
          <w:u w:val="single"/>
        </w:rPr>
        <w:t xml:space="preserve">2.11 投标人自2020年1月1日至今在全国范围内的环境服务活动中出现投标人或其法定代表人、员工（包括但不限于高管人员、项目负责人员、实施人员及其他员工等，员工的认定以违法行为发生当时劳动合同、聘任合同存续为准）曾在本项目类似业务实施过程中，因行贿受贿、数据造假、人为干扰监测等与业务活动相关的行为受到刑事处罚或被区县级（含）以上生态环境部门通报、行政处罚的不能参与此次投标。投标人须承诺无上述行为，并提供承诺函。如招标人发现投标人虚假承诺，将视为虚假应标，并承担相关法律后果。</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pPr>
      <w:r/>
      <w:bookmarkStart w:id="22" w:name="_Toc86147040"/>
      <w:r>
        <w:rPr>
          <w:rFonts w:hint="eastAsia" w:ascii="宋体" w:hAnsi="宋体" w:eastAsia="宋体" w:cs="宋体"/>
          <w:color w:val="000000"/>
          <w:sz w:val="21"/>
          <w:szCs w:val="21"/>
          <w:highlight w:val="none"/>
        </w:rPr>
        <w:t xml:space="preserve">3、水站运维管理采购内容和要求</w:t>
      </w:r>
      <w:bookmarkEnd w:id="22"/>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color w:val="000000"/>
          <w:sz w:val="21"/>
          <w:szCs w:val="21"/>
          <w:highlight w:val="none"/>
        </w:rPr>
        <w:outlineLvl w:val="9"/>
      </w:pPr>
      <w:r/>
      <w:bookmarkStart w:id="23" w:name="_Toc86147042"/>
      <w:r>
        <w:rPr>
          <w:rFonts w:hint="eastAsia" w:ascii="宋体" w:hAnsi="宋体" w:eastAsia="宋体" w:cs="宋体"/>
          <w:b/>
          <w:bCs/>
          <w:color w:val="000000"/>
          <w:sz w:val="21"/>
          <w:szCs w:val="21"/>
          <w:highlight w:val="none"/>
        </w:rPr>
        <w:t xml:space="preserve">3.1 需求及采购内容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3.1.1 具体站点情况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本次采购的项目内容为吴中区</w:t>
      </w:r>
      <w:r>
        <w:rPr>
          <w:rFonts w:hint="eastAsia"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个水站的运行维护。要求投标人根据招标文件的要求负责水质自动监测系统的运行维护及管理工作。</w:t>
      </w:r>
      <w:r>
        <w:rPr>
          <w:rFonts w:hint="eastAsia" w:ascii="宋体" w:hAnsi="宋体" w:eastAsia="宋体" w:cs="宋体"/>
          <w:i w:val="0"/>
          <w:iCs w:val="0"/>
          <w:color w:val="000000"/>
          <w:sz w:val="21"/>
          <w:szCs w:val="21"/>
          <w:highlight w:val="none"/>
          <w:u w:val="none"/>
          <w:lang w:val="en-US" w:eastAsia="zh-CN" w:bidi="ar"/>
        </w:rPr>
        <w:t xml:space="preserve">在服务期限内免费提供</w:t>
      </w:r>
      <w:r>
        <w:rPr>
          <w:rFonts w:hint="eastAsia"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次的简易站搬迁服务，包含地基建设、水电接入及吊装等费用</w:t>
      </w:r>
      <w:r>
        <w:rPr>
          <w:rFonts w:hint="eastAsia"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rPr>
        <w:t xml:space="preserve">具体情况见下表：</w:t>
      </w:r>
      <w:r/>
    </w:p>
    <w:tbl>
      <w:tblPr>
        <w:tblStyle w:val="848"/>
        <w:tblW w:w="106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668"/>
        <w:gridCol w:w="4044"/>
        <w:gridCol w:w="2064"/>
        <w:gridCol w:w="2064"/>
      </w:tblGrid>
      <w:tr>
        <w:trPr/>
        <w:tc>
          <w:tcPr>
            <w:tcW w:w="8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序号</w:t>
            </w:r>
            <w:r/>
          </w:p>
        </w:tc>
        <w:tc>
          <w:tcPr>
            <w:tcW w:w="16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站点名称</w:t>
            </w:r>
            <w:r/>
          </w:p>
        </w:tc>
        <w:tc>
          <w:tcPr>
            <w:tcW w:w="4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站点配置参数</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服务周期</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备注</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车坊大桥</w:t>
            </w:r>
            <w:r/>
          </w:p>
        </w:tc>
        <w:tc>
          <w:tcPr>
            <w:tcW w:w="4044"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left"/>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停运</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水八仙生态园</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大姚桥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4</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新开港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5</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界浦港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6</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万千湖</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7</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镬底潭</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8</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lang w:val="en-US" w:eastAsia="zh-CN"/>
              </w:rPr>
              <w:suppressLineNumbers w:val="0"/>
            </w:pPr>
            <w:r>
              <w:rPr>
                <w:rFonts w:hint="eastAsia" w:eastAsia="宋体" w:cs="宋体"/>
                <w:sz w:val="21"/>
                <w:szCs w:val="21"/>
                <w:highlight w:val="none"/>
                <w:vertAlign w:val="baseline"/>
                <w:lang w:val="en-US" w:eastAsia="zh-CN"/>
              </w:rPr>
              <w:t xml:space="preserve">花葱桥</w:t>
            </w:r>
            <w:r/>
          </w:p>
        </w:tc>
        <w:tc>
          <w:tcPr>
            <w:tcW w:w="404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9</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eastAsia="宋体" w:cs="宋体"/>
                <w:i w:val="0"/>
                <w:iCs w:val="0"/>
                <w:color w:val="000000"/>
                <w:sz w:val="20"/>
                <w:szCs w:val="20"/>
                <w:u w:val="none"/>
                <w:lang w:val="en-US" w:eastAsia="zh-CN" w:bidi="ar"/>
              </w:rPr>
              <w:t xml:space="preserve">席区浦</w:t>
            </w:r>
            <w:r/>
          </w:p>
        </w:tc>
        <w:tc>
          <w:tcPr>
            <w:tcW w:w="404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10</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eastAsia="宋体" w:cs="宋体"/>
                <w:i w:val="0"/>
                <w:iCs w:val="0"/>
                <w:color w:val="000000"/>
                <w:sz w:val="20"/>
                <w:szCs w:val="20"/>
                <w:u w:val="none"/>
                <w:lang w:val="en-US" w:eastAsia="zh-CN" w:bidi="ar"/>
              </w:rPr>
              <w:t xml:space="preserve">白虎庙港</w:t>
            </w:r>
            <w:r/>
          </w:p>
        </w:tc>
        <w:tc>
          <w:tcPr>
            <w:tcW w:w="404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11</w:t>
            </w:r>
            <w:r/>
          </w:p>
        </w:tc>
        <w:tc>
          <w:tcPr>
            <w:tcW w:w="166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eastAsia="宋体" w:cs="宋体"/>
                <w:sz w:val="21"/>
                <w:szCs w:val="21"/>
                <w:lang w:val="en-US" w:eastAsia="zh-CN" w:bidi="ar"/>
              </w:rPr>
              <w:t xml:space="preserve">清小港</w:t>
            </w:r>
            <w:r/>
          </w:p>
        </w:tc>
        <w:tc>
          <w:tcPr>
            <w:tcW w:w="4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12</w:t>
            </w:r>
            <w:r/>
          </w:p>
        </w:tc>
        <w:tc>
          <w:tcPr>
            <w:tcW w:w="16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eastAsia="宋体" w:cs="宋体"/>
                <w:sz w:val="21"/>
                <w:szCs w:val="21"/>
                <w:lang w:val="en-US" w:eastAsia="zh-CN" w:bidi="ar"/>
              </w:rPr>
              <w:t xml:space="preserve">赵潭港</w:t>
            </w:r>
            <w:r/>
          </w:p>
        </w:tc>
        <w:tc>
          <w:tcPr>
            <w:tcW w:w="4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13</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尹山桥</w:t>
            </w:r>
            <w:r/>
          </w:p>
        </w:tc>
        <w:tc>
          <w:tcPr>
            <w:tcW w:w="4044"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14</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苏申外港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15</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尹山湖</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16</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尹山斜拉索桥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17</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澹台湖公园</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18</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长桥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停运</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19</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闻溪桥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新桥头桥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21</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马庄排涝站</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22</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东山大道桥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23</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洞庭路渡水桥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24</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明月桥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水温、ph、溶解氧、电导率、CODMn、氨氮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25</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白浮门排涝站</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水温、ph、溶解氧、电导率、CODMn、氨氮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26</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东大缺港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水温、ph、溶解氧、电导率、CODMn、氨氮</w:t>
            </w:r>
            <w:r/>
          </w:p>
        </w:tc>
        <w:tc>
          <w:tcPr>
            <w:tcW w:w="2064" w:type="dxa"/>
            <w:vAlign w:val="top"/>
            <w:textDirection w:val="lrTb"/>
            <w:noWrap w:val="false"/>
          </w:tcPr>
          <w:p>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27</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晋福桥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r>
              <w:t xml:space="preserve">  </w:t>
            </w:r>
            <w:r>
              <w:rPr>
                <w:rFonts w:hint="eastAsia" w:eastAsia="宋体" w:cs="宋体"/>
                <w:sz w:val="21"/>
                <w:szCs w:val="21"/>
                <w:highlight w:val="none"/>
                <w:vertAlign w:val="baseline"/>
                <w:lang w:val="en-US" w:eastAsia="zh-CN"/>
              </w:rPr>
              <w:t xml:space="preserve">2026.6-2027.5</w:t>
            </w:r>
            <w:r/>
            <w:r/>
            <w:r>
              <w:rPr>
                <w:rFonts w:hint="default" w:ascii="宋体" w:hAnsi="宋体" w:eastAsia="宋体" w:cs="宋体"/>
                <w:sz w:val="21"/>
                <w:szCs w:val="21"/>
                <w:highlight w:val="none"/>
                <w:vertAlign w:val="baseline"/>
                <w:lang w:val="en-US" w:eastAsia="zh-CN"/>
              </w:rPr>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28</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eastAsia="宋体" w:cs="宋体"/>
                <w:i w:val="0"/>
                <w:iCs w:val="0"/>
                <w:color w:val="000000"/>
                <w:sz w:val="21"/>
                <w:szCs w:val="21"/>
                <w:u w:val="none"/>
                <w:lang w:val="en-US" w:eastAsia="zh-CN" w:bidi="ar"/>
              </w:rPr>
              <w:t xml:space="preserve">北望港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29</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eastAsia="宋体" w:cs="宋体"/>
                <w:i w:val="0"/>
                <w:iCs w:val="0"/>
                <w:color w:val="000000"/>
                <w:sz w:val="21"/>
                <w:szCs w:val="21"/>
                <w:u w:val="none"/>
                <w:lang w:val="en-US" w:eastAsia="zh-CN" w:bidi="ar"/>
              </w:rPr>
              <w:t xml:space="preserve">直泾港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30</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eastAsia="宋体" w:cs="宋体"/>
                <w:i w:val="0"/>
                <w:iCs w:val="0"/>
                <w:color w:val="000000"/>
                <w:sz w:val="21"/>
                <w:szCs w:val="21"/>
                <w:u w:val="none"/>
                <w:lang w:val="en-US" w:eastAsia="zh-CN" w:bidi="ar"/>
              </w:rPr>
              <w:t xml:space="preserve">茭白港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31</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eastAsia="宋体" w:cs="宋体"/>
                <w:i w:val="0"/>
                <w:iCs w:val="0"/>
                <w:color w:val="000000"/>
                <w:sz w:val="21"/>
                <w:szCs w:val="21"/>
                <w:u w:val="none"/>
                <w:lang w:val="en-US" w:eastAsia="zh-CN" w:bidi="ar"/>
              </w:rPr>
              <w:t xml:space="preserve">鸡山港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bl>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eastAsia="宋体" w:cs="宋体"/>
          <w:b/>
          <w:bCs/>
          <w:sz w:val="21"/>
          <w:szCs w:val="21"/>
          <w:lang w:val="en-US" w:eastAsia="zh-CN"/>
        </w:rPr>
        <w:t xml:space="preserve">备注：本标段设备若出现无法正常运行，48小时内无法修复的，中标单位需提供备机，保障站点正常运行，提供的氨氮、高锰酸盐指数、总磷、总氮设备需具备自动质控功能。本标段主要设备品牌为绿洁、蓝盾、岛津（总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3.1.2设备和设施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维单位负责运维的设备主要包括监测仪器、控制系统和辅助设备设施等。其中，监测仪器主要包括：水温、pH、溶解氧、电导率、浊度、高锰酸盐指数、氨氮、总磷、总氮九项参数，部分站点含挥发性有机物、生物毒性、挥发酚、TOC、氟化物、流量计等。辅助设备设施主要包括UPS、供电系统、通讯系统、防雷系统、视频监控系统等。</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数智化升级服务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投标人在所投包件中，</w:t>
      </w:r>
      <w:r>
        <w:rPr>
          <w:rFonts w:hint="eastAsia" w:ascii="宋体" w:hAnsi="宋体" w:eastAsia="宋体" w:cs="宋体"/>
          <w:color w:val="000000"/>
          <w:sz w:val="21"/>
          <w:szCs w:val="21"/>
          <w:highlight w:val="none"/>
          <w:lang w:val="en-US" w:eastAsia="zh-CN"/>
        </w:rPr>
        <w:t xml:space="preserve">根据采购人需求，对</w:t>
      </w:r>
      <w:r>
        <w:rPr>
          <w:rFonts w:hint="eastAsia" w:ascii="宋体" w:hAnsi="宋体" w:eastAsia="宋体" w:cs="宋体"/>
          <w:color w:val="000000"/>
          <w:sz w:val="21"/>
          <w:szCs w:val="21"/>
          <w:highlight w:val="none"/>
        </w:rPr>
        <w:t xml:space="preserve">一个水站进行数智化升级服务。升级后的数智化水站，能够减少运维频次，提高解决问题的效率，进一步提升水站的运行质量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站点升级原则上以现有站点设备开展改造升级，升级改造参数覆盖水质常规九参数，根据实际情况增加的所有主要监测设备、辅助设备、采水设施、系统集成、站房（现有站房不满足升级要求），产权均归采购方所有。升级改造</w:t>
      </w:r>
      <w:r>
        <w:rPr>
          <w:rFonts w:hint="eastAsia" w:ascii="宋体" w:hAnsi="宋体" w:eastAsia="宋体" w:cs="宋体"/>
          <w:color w:val="000000"/>
          <w:sz w:val="21"/>
          <w:szCs w:val="21"/>
          <w:highlight w:val="none"/>
        </w:rPr>
        <w:t xml:space="preserve">实现的主要功能如下：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水站监控软件能够自动控制高锰酸盐指数、氨氮、总磷和总氮水质在线分析仪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开展</w:t>
      </w:r>
      <w:r>
        <w:rPr>
          <w:rFonts w:hint="eastAsia" w:ascii="宋体" w:hAnsi="宋体" w:eastAsia="宋体" w:cs="宋体"/>
          <w:color w:val="000000"/>
          <w:sz w:val="21"/>
          <w:szCs w:val="21"/>
          <w:highlight w:val="none"/>
        </w:rPr>
        <w:t xml:space="preserve">低浓度标样核查（零点核查）、高浓度标样核查（跨度核查）、多点线性核查、加标回收率测试、仪器校正、动态标样核查（量程范围内的任意浓度）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全自动化质控流程。</w:t>
      </w:r>
      <w:r>
        <w:rPr>
          <w:rFonts w:hint="eastAsia" w:ascii="宋体" w:hAnsi="宋体" w:eastAsia="宋体" w:cs="宋体"/>
          <w:color w:val="000000"/>
          <w:sz w:val="21"/>
          <w:szCs w:val="21"/>
          <w:highlight w:val="none"/>
          <w:lang w:val="en-US" w:eastAsia="zh-CN"/>
        </w:rPr>
        <w:t xml:space="preserve">以及</w:t>
      </w:r>
      <w:r>
        <w:rPr>
          <w:rFonts w:hint="eastAsia" w:ascii="宋体" w:hAnsi="宋体" w:eastAsia="宋体" w:cs="宋体"/>
          <w:color w:val="000000"/>
          <w:sz w:val="21"/>
          <w:szCs w:val="21"/>
          <w:highlight w:val="none"/>
        </w:rPr>
        <w:t xml:space="preserve">集成影响检查、盲样核查、消解率测试</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半自动化质控流程</w:t>
      </w:r>
      <w:r>
        <w:rPr>
          <w:rFonts w:hint="eastAsia" w:ascii="宋体" w:hAnsi="宋体" w:eastAsia="宋体" w:cs="宋体"/>
          <w:color w:val="000000"/>
          <w:sz w:val="21"/>
          <w:szCs w:val="21"/>
          <w:highlight w:val="none"/>
          <w:lang w:eastAsia="zh-CN"/>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水质在线分析仪支持远程桌面技术，用户可以远程对仪器操作界面进行查看，进行远程排障，必要时进行专家会诊，迅速确定故障原因和检修方案，</w:t>
      </w:r>
      <w:r>
        <w:rPr>
          <w:rFonts w:hint="eastAsia" w:ascii="宋体" w:hAnsi="宋体" w:eastAsia="宋体" w:cs="宋体"/>
          <w:color w:val="000000"/>
          <w:sz w:val="21"/>
          <w:szCs w:val="21"/>
          <w:highlight w:val="none"/>
          <w:lang w:val="en-US" w:eastAsia="zh-CN"/>
        </w:rPr>
        <w:t xml:space="preserve">有效降低故障影像</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）常规五参数水质自动在线监测仪，</w:t>
      </w:r>
      <w:r>
        <w:rPr>
          <w:rFonts w:hint="eastAsia" w:ascii="宋体" w:hAnsi="宋体" w:eastAsia="宋体" w:cs="宋体"/>
          <w:color w:val="000000"/>
          <w:sz w:val="21"/>
          <w:szCs w:val="21"/>
          <w:highlight w:val="none"/>
          <w:lang w:val="en-US" w:eastAsia="zh-CN"/>
        </w:rPr>
        <w:t xml:space="preserve">可以实现</w:t>
      </w:r>
      <w:r>
        <w:rPr>
          <w:rFonts w:hint="eastAsia" w:ascii="宋体" w:hAnsi="宋体" w:eastAsia="宋体" w:cs="宋体"/>
          <w:color w:val="000000"/>
          <w:sz w:val="21"/>
          <w:szCs w:val="21"/>
          <w:highlight w:val="none"/>
          <w:lang w:eastAsia="zh-CN"/>
        </w:rPr>
        <w:t xml:space="preserve">自动校正、自动标样核查等质控功能，实现五参数电极探头及本体的自清洗，确保数据的准确性和可靠性。</w:t>
      </w:r>
      <w:r/>
    </w:p>
    <w:p>
      <w:pPr>
        <w:contextualSpacing/>
        <w:ind w:firstLine="420"/>
        <w:keepLines w:val="0"/>
        <w:keepNext w:val="0"/>
        <w:pageBreakBefore w:val="0"/>
        <w:spacing w:line="400" w:lineRule="exact"/>
        <w:widowControl w:val="off"/>
        <w:tabs>
          <w:tab w:val="left" w:pos="2280" w:leader="none"/>
        </w:tabs>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在线监控</w:t>
      </w:r>
      <w:r>
        <w:rPr>
          <w:rFonts w:hint="eastAsia" w:ascii="宋体" w:hAnsi="宋体" w:eastAsia="宋体" w:cs="宋体"/>
          <w:color w:val="000000"/>
          <w:sz w:val="21"/>
          <w:szCs w:val="21"/>
          <w:highlight w:val="none"/>
          <w:lang w:eastAsia="zh-CN"/>
        </w:rPr>
        <w:t xml:space="preserve">系统可全面获取各项水站环境数据、系统状态，可对全过程、全要素的状态信息进行实时监测，具备故障自诊断分析功能。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）在遇到超标异常水质数据时，水站监控软件能自动下发指令使水质在线分析仪自动配制和超标异常水质数据值相同或相近浓度的标准溶液自动进行标液核查，根据核查结果验证仪器性能状态。</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水质在线分析仪关键参数实时上传及远程设置功能，能接受远程控制指令。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具有监测仪器及系统过程日志记录和环境参数记录功能，并能够上传至中心平台。</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能够对室外采水深度、水站用电量、站房温湿度、水浸报警、烟感报警信息进行采集和存储。</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具有异常信息记录和上传功能，如采水故障、部件故障、超量程报警、超标报警、缺试剂报警等信息。</w:t>
      </w:r>
      <w:bookmarkEnd w:id="23"/>
      <w:r/>
      <w:r/>
    </w:p>
    <w:p>
      <w:pPr>
        <w:pStyle w:val="864"/>
        <w:numPr>
          <w:ilvl w:val="0"/>
          <w:numId w:val="0"/>
        </w:numPr>
        <w:ind w:left="48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val="en-US" w:eastAsia="zh-CN"/>
        </w:rPr>
        <w:t xml:space="preserve">4  监测站房采购及监测设备搬迁服务</w:t>
      </w:r>
      <w:r/>
    </w:p>
    <w:p>
      <w:pPr>
        <w:pStyle w:val="864"/>
        <w:numPr>
          <w:ilvl w:val="0"/>
          <w:numId w:val="0"/>
        </w:numPr>
        <w:ind w:left="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本标段采购集成式监测站房1套，移动数据处理终端1台，站房包含四通一平、配套辅助设施、采配水设施（包含采水栈桥）、监控系统、文化建设及系统集成等，投标单位提供1个水质自动站监测设备的搬迁服务，安装地址为采购方指定地址，技术参数如下： </w:t>
      </w:r>
      <w:r/>
    </w:p>
    <w:p>
      <w:pPr>
        <w:pStyle w:val="816"/>
        <w:numPr>
          <w:ilvl w:val="3"/>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一</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监测站房</w:t>
      </w:r>
      <w:r>
        <w:rPr>
          <w:rFonts w:hint="eastAsia" w:ascii="宋体" w:hAnsi="宋体" w:cs="宋体"/>
          <w:b/>
          <w:color w:val="auto"/>
          <w:sz w:val="21"/>
          <w:szCs w:val="21"/>
          <w:lang w:val="en-US" w:eastAsia="zh-CN"/>
        </w:rPr>
        <w:t xml:space="preserve">及文化建设</w:t>
      </w:r>
      <w:r/>
    </w:p>
    <w:p>
      <w:pPr>
        <w:numPr>
          <w:ilvl w:val="0"/>
          <w:numId w:val="42"/>
        </w:num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水站站房全部采用一体化、可移动、可吊装式的监测站房。技术要求如下：</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（1）站房外型美观、与当地环境相协调，无需征地建房，占地面积小，站房面积</w:t>
      </w:r>
      <w:r>
        <w:rPr>
          <w:rFonts w:hint="eastAsia" w:ascii="宋体" w:hAnsi="宋体" w:cs="宋体"/>
          <w:color w:val="auto"/>
          <w:sz w:val="21"/>
          <w:szCs w:val="21"/>
          <w:lang w:val="en-US" w:eastAsia="zh-CN"/>
        </w:rPr>
        <w:t xml:space="preserve">不小于8</w:t>
      </w:r>
      <w:r>
        <w:rPr>
          <w:rFonts w:hint="eastAsia" w:ascii="宋体" w:hAnsi="宋体" w:eastAsia="宋体" w:cs="宋体"/>
          <w:color w:val="auto"/>
          <w:sz w:val="21"/>
          <w:szCs w:val="21"/>
        </w:rPr>
        <w:t xml:space="preserve">平方米，提供详细的设计方案和效果图。</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（2）站房主要采用厚度为1mm的高强度板材制作，采用组件嵌装式；</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（3）站房面积能够容纳所有的监测仪器设备，并预留人员操作区域。</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站房为无窗结构，墙体有较好的保温性能。有防水、防潮措施，安装排风扇，保证室内空气流通良好。站房的建筑结构能经受10级以上的风力。站房供电采用三相或单相供电；站房监测仪器供电线路独立走线。电源布设符合国家用电相关安全要求，并满足设计和规划中总用电功率的需要。</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（5）站房底座要求具有足够的强度，保证在拖动、起吊、荷载和空载时不变形，安装于混凝土基础上。</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（6）要配有试验台，供操作人员配置试剂或质控使用。</w:t>
      </w:r>
      <w:r/>
    </w:p>
    <w:p>
      <w:pPr>
        <w:numPr>
          <w:ilvl w:val="0"/>
          <w:numId w:val="0"/>
        </w:numPr>
        <w:ind w:firstLine="42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（7）站点</w:t>
      </w:r>
      <w:r>
        <w:rPr>
          <w:rFonts w:hint="eastAsia" w:ascii="宋体" w:hAnsi="宋体" w:eastAsia="宋体" w:cs="宋体"/>
          <w:color w:val="auto"/>
          <w:sz w:val="21"/>
          <w:szCs w:val="21"/>
          <w:lang w:val="en-US" w:eastAsia="zh-CN"/>
        </w:rPr>
        <w:t xml:space="preserve">四</w:t>
      </w:r>
      <w:r>
        <w:rPr>
          <w:rFonts w:hint="eastAsia" w:ascii="宋体" w:hAnsi="宋体" w:eastAsia="宋体" w:cs="宋体"/>
          <w:color w:val="auto"/>
          <w:sz w:val="21"/>
          <w:szCs w:val="21"/>
        </w:rPr>
        <w:t xml:space="preserve">通一平工作，由投标人负责实施，确保水站能够正常运行。</w:t>
      </w:r>
      <w:r>
        <w:rPr>
          <w:rFonts w:hint="eastAsia" w:ascii="宋体" w:hAnsi="宋体" w:eastAsia="宋体" w:cs="宋体"/>
          <w:color w:val="auto"/>
          <w:sz w:val="21"/>
          <w:szCs w:val="21"/>
          <w:lang w:val="en-US" w:eastAsia="zh-CN"/>
        </w:rPr>
        <w:t xml:space="preserve">土地平整，浇筑混凝土地基，地基厚度不小于20厘米。</w:t>
      </w:r>
      <w:r/>
    </w:p>
    <w:p>
      <w:pPr>
        <w:numPr>
          <w:ilvl w:val="0"/>
          <w:numId w:val="0"/>
        </w:numPr>
        <w:ind w:firstLine="420"/>
        <w:spacing w:line="400" w:lineRule="exact"/>
        <w:rPr>
          <w:sz w:val="21"/>
          <w:szCs w:val="21"/>
        </w:rPr>
      </w:pPr>
      <w:r>
        <w:rPr>
          <w:rFonts w:hint="eastAsia" w:ascii="宋体" w:hAnsi="宋体" w:cs="宋体"/>
          <w:color w:val="auto"/>
          <w:sz w:val="21"/>
          <w:szCs w:val="21"/>
          <w:lang w:val="en-US" w:eastAsia="zh-CN"/>
        </w:rPr>
        <w:t xml:space="preserve">2.</w:t>
      </w:r>
      <w:r>
        <w:rPr>
          <w:rFonts w:hint="eastAsia"/>
          <w:sz w:val="21"/>
          <w:szCs w:val="21"/>
        </w:rPr>
        <w:t xml:space="preserve">文化建设</w:t>
      </w:r>
      <w:r/>
    </w:p>
    <w:p>
      <w:pPr>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文化建设清单如下：</w:t>
      </w:r>
      <w:r/>
    </w:p>
    <w:tbl>
      <w:tblPr>
        <w:tblStyle w:val="823"/>
        <w:tblW w:w="921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715"/>
        <w:gridCol w:w="816"/>
        <w:gridCol w:w="816"/>
        <w:gridCol w:w="3049"/>
      </w:tblGrid>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W w:w="3049"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w:t>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水站标志牌</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restart"/>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相关内容根据国家水站文化建设要求进行制作，效果图用户方确认无误后再进行定制及安装（可根据站房大小变更尺寸）</w:t>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水站简介牌</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水站LOGO-标牌式或箱体式</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水站系统流程图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站点流域表征图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restart"/>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运维管理体系图-岗位责任制度图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运维管理体系图-安全责任制度图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运维管理体系图-应急管理制度图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运维管理体系图-维护保养制度图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numPr>
          <w:ilvl w:val="0"/>
          <w:numId w:val="0"/>
        </w:numPr>
        <w:ind w:firstLine="420"/>
        <w:spacing w:line="400" w:lineRule="exact"/>
        <w:tabs>
          <w:tab w:val="left" w:pos="567"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备注：根据站房实际情况，可适当修改尺寸。</w:t>
      </w:r>
      <w:r/>
    </w:p>
    <w:p>
      <w:pPr>
        <w:numPr>
          <w:ilvl w:val="0"/>
          <w:numId w:val="0"/>
        </w:numPr>
        <w:spacing w:line="400" w:lineRule="exact"/>
        <w:tabs>
          <w:tab w:val="left" w:pos="567"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w:t>
      </w:r>
      <w:r>
        <w:rPr>
          <w:rFonts w:hint="eastAsia" w:eastAsia="宋体" w:cs="宋体"/>
          <w:sz w:val="21"/>
          <w:szCs w:val="21"/>
          <w:lang w:val="en-US" w:eastAsia="zh-CN"/>
        </w:rPr>
        <w:t xml:space="preserve">移动</w:t>
      </w:r>
      <w:r>
        <w:rPr>
          <w:rFonts w:hint="eastAsia" w:ascii="宋体" w:hAnsi="宋体" w:eastAsia="宋体" w:cs="宋体"/>
          <w:b w:val="0"/>
          <w:bCs w:val="0"/>
          <w:color w:val="auto"/>
          <w:sz w:val="21"/>
          <w:szCs w:val="21"/>
          <w:lang w:val="en-US" w:eastAsia="zh-CN"/>
        </w:rPr>
        <w:t xml:space="preserve">数据处理终端</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704"/>
        <w:gridCol w:w="4008"/>
      </w:tblGrid>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序号</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参数名称</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参数指标</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w:t>
            </w:r>
            <w:r/>
          </w:p>
        </w:tc>
        <w:tc>
          <w:tcPr>
            <w:tcW w:w="47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屏幕尺寸</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不小于16英寸</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2</w:t>
            </w:r>
            <w:r/>
          </w:p>
        </w:tc>
        <w:tc>
          <w:tcPr>
            <w:tcW w:w="47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屏幕分辨率</w:t>
            </w:r>
            <w:r/>
          </w:p>
        </w:tc>
        <w:tc>
          <w:tcPr>
            <w:tcW w:w="400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不低于2560*1600</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3</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屏幕刷新率</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olor w:val="000000"/>
                <w:sz w:val="21"/>
                <w:szCs w:val="21"/>
                <w:u w:val="none"/>
                <w:lang w:val="en-US" w:eastAsia="zh-CN" w:bidi="ar"/>
              </w:rPr>
              <w:t xml:space="preserve">不低于120Hz</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4</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CPU</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酷睿Ultra1代</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5</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屏幕类型</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IPS</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6</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接口支持</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USB-C USB-A HDMI</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7</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系统</w:t>
            </w:r>
            <w:r/>
          </w:p>
        </w:tc>
        <w:tc>
          <w:tcPr>
            <w:tcW w:w="400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Windows 11带Office</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8</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硬盘容量</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不小于1TB</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9</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内存容量</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不小于16GB</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10</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显卡</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intel核显</w:t>
            </w:r>
            <w:r/>
          </w:p>
        </w:tc>
      </w:tr>
    </w:tbl>
    <w:p>
      <w:pPr>
        <w:numPr>
          <w:ilvl w:val="0"/>
          <w:numId w:val="0"/>
        </w:numPr>
        <w:spacing w:line="400" w:lineRule="exact"/>
        <w:tabs>
          <w:tab w:val="left" w:pos="567" w:leader="none"/>
        </w:tabs>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r>
      <w:r/>
    </w:p>
    <w:p>
      <w:pPr>
        <w:pStyle w:val="815"/>
        <w:numPr>
          <w:ilvl w:val="2"/>
          <w:numId w:val="0"/>
        </w:numPr>
        <w:keepLines/>
        <w:keepNext/>
        <w:pageBreakBefore w:val="0"/>
        <w:spacing w:line="400" w:lineRule="exact"/>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（二）系统集成技术要求</w:t>
      </w:r>
      <w:r/>
    </w:p>
    <w:p>
      <w:pPr>
        <w:pStyle w:val="816"/>
        <w:numPr>
          <w:ilvl w:val="3"/>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1、</w:t>
      </w:r>
      <w:r>
        <w:rPr>
          <w:rFonts w:hint="eastAsia" w:ascii="宋体" w:hAnsi="宋体" w:eastAsia="宋体" w:cs="宋体"/>
          <w:b/>
          <w:color w:val="auto"/>
          <w:sz w:val="21"/>
          <w:szCs w:val="21"/>
        </w:rPr>
        <w:t xml:space="preserve">采水单元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水单元建设在满足取水要求的前提下应尽量简洁，因地制宜，针对每个水站取水位置的不同情况采取最适用的方式。投标人中标后须经过与水站所在地方环保部门协商后，根据每个站点具体水文和地质情况给出合理的采水单元设计方案，保证采样的代表性和科学性。</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潜水泵或自吸泵采水，双泵双管路设计，所有取水管路必须配有管道自动清洗、防堵塞功能；双泵轮值工作，当一路出现故障时，能够自动切换到另一路进行工作，保证整个系统的正常运行；要对采水管道进行保温绝热处理，减少环境温度等因素对水样造成的影响，有必要的防冻措施，保证冬季低温（-15℃）时采样管路不被冻裂。采水管道采用排空设计，使管道内不存水，以防藻类孳生。</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采水管路采用优质管道、UPVC管等材质稳定的材料，具有极好的化学稳定性，避免对水样产生污染，采水管路采取可拆卸式。</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样泵的安装方式要便于人工的日常清洗和维护，应考虑能长期稳定安全运行，要注意不影响航运，又能够保护自身安全。保证采水口能够随水位变化，保证取水水管的进水孔位于水表面以下0.5m～1.0m的位置，并与河底保持一定距离，保证采集到具有代表性的符合监测需要的水样，采水量须满足所有监测仪器的需要。</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能自动判断采水系统故障，并发出报警信号。</w:t>
      </w:r>
      <w:r/>
    </w:p>
    <w:p>
      <w:pPr>
        <w:pStyle w:val="816"/>
        <w:numPr>
          <w:ilvl w:val="3"/>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配水单元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水单元含配水及预处理单元，由水样分配单元、预处理装置及管道等组成。预处理单元应根据国家标准分析方法要求为氨氮、高锰酸盐指数、总磷、总氮监测仪器配备相应的预处理装置，常规五参数分析仪使用原水直接分析。提供单独的五参数测量池和单独的沉淀池。</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投标人应提供针对性的配水和预处理方案，具体需满足以下要求：</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（1）配水管路设计合理，流向清晰，便于维护；保证仪器分析测试的水样应能代表断面水质情况并满足仪器测试需求；</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（2）配水单元具备自动反清（吹）洗功能，防止菌类和藻类等微生物对样品污染或对系统工作造成不良影响，设计中不使用对环境产生污染的清洗方法；</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（3）配水主管路采用串联方式，各仪器之间管路采用并联方式，每台仪器从各自的取样杯中取水，任何仪器的配水管路出现故障不能影响其他仪器的测试；</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（4）具备可扩展功能；</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（5）能配合系统实现水样自动分配、自动预处理、故障自动报警、关键部件工作状态的显示和反控等功能；</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（6）配水单元的所有操作均可通过控制单元实现，并接受平台端的远程控制；</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（7）所选管材机械强度及化学稳定性好、使用寿命长、便于安装维护，不会对水样水质造成影响；管路内径、压力、流量、流速满足仪器分析需要，并留有余量；</w:t>
      </w:r>
      <w:r/>
    </w:p>
    <w:p>
      <w:pPr>
        <w:pStyle w:val="816"/>
        <w:numPr>
          <w:ilvl w:val="3"/>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三</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rPr>
        <w:t xml:space="preserve">辅助单元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辅助单元应包含UPS、稳压电源、防雷单元、空压机等部分，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可使用原站点设施，原站点不具备的，需由投标单位负责补充）</w:t>
      </w:r>
      <w:r>
        <w:rPr>
          <w:rFonts w:hint="eastAsia" w:ascii="宋体" w:hAnsi="宋体" w:eastAsia="宋体" w:cs="宋体"/>
          <w:color w:val="auto"/>
          <w:sz w:val="21"/>
          <w:szCs w:val="21"/>
        </w:rPr>
        <w:t xml:space="preserve">具体要求如下：</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配备UPS（总功率≥3KVA，断电后至少能保证仪器完成一个测量周期和数据上传，且待机不少于1h）；配备三相稳压电源（功率≥9KW）。</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配备废液收集单元，满足两周以上废液量的收集。</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必须具有电源、信号等设施的三级防雷措施，保证系统稳定、可靠运行。</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配置的空压机须是无油型空压机，保证不对分析结果造成影响。</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监测站房内配置</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台品牌</w:t>
      </w:r>
      <w:r>
        <w:rPr>
          <w:rFonts w:hint="eastAsia" w:ascii="宋体" w:hAnsi="宋体" w:cs="宋体"/>
          <w:color w:val="auto"/>
          <w:sz w:val="21"/>
          <w:szCs w:val="21"/>
          <w:lang w:val="en-US" w:eastAsia="zh-CN"/>
        </w:rPr>
        <w:t xml:space="preserve">温控设备（一备一用）</w:t>
      </w:r>
      <w:r>
        <w:rPr>
          <w:rFonts w:hint="eastAsia" w:ascii="宋体" w:hAnsi="宋体" w:eastAsia="宋体" w:cs="宋体"/>
          <w:color w:val="auto"/>
          <w:sz w:val="21"/>
          <w:szCs w:val="21"/>
        </w:rPr>
        <w:t xml:space="preserve">，确保室内温度应控制在18～28℃，湿度应不大于85%，应具有设定参数贮存，断电自动保护与来电自动恢复功能。</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配备系统集成机柜或机架、维护专用成套工具。</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水站应配置1套视频监控系统，至少包含1台硬盘录像机（含显示器）和3台摄像机，分别监控站房仪表间，站房周边及采水口；视频信息应实现现场存储功能，存储周期应不低于</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0日，现场网络条件具备时，采用宽带实现视频信息的实时传输；视频监控系统具备断电自启功能。</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配备温湿度传感器，实时监测室内温度及湿度数据。</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配备自动灭火装置，采用悬挂式灭火器，灭火材料对人体和设备无害。</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配备感烟探测器，能够探测火灾时产生的烟雾，及时发出报警。</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配备门禁系统，并自动记录站房出入情况，能够接入水站监控软件。</w:t>
      </w:r>
      <w:r/>
    </w:p>
    <w:p>
      <w:pPr>
        <w:pStyle w:val="816"/>
        <w:numPr>
          <w:ilvl w:val="3"/>
          <w:numId w:val="0"/>
        </w:numPr>
        <w:keepLines/>
        <w:pageBreakBefore w:val="0"/>
        <w:spacing w:line="400" w:lineRule="exact"/>
        <w:tabs>
          <w:tab w:val="left" w:pos="0" w:leader="none"/>
        </w:tabs>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四</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站点搬迁服务</w:t>
      </w:r>
      <w:r/>
    </w:p>
    <w:p>
      <w:pPr>
        <w:pStyle w:val="864"/>
        <w:numPr>
          <w:ilvl w:val="0"/>
          <w:numId w:val="0"/>
        </w:numPr>
        <w:ind w:left="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对现有站点的仪器设备搬迁至新站点（站点根据采购人实际需求确定），搬迁满足以下规范：</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《国家地表水水质自动监测站运行管理办法》</w:t>
      </w:r>
      <w:r/>
    </w:p>
    <w:p>
      <w:pPr>
        <w:ind w:firstLine="420"/>
        <w:jc w:val="left"/>
        <w:spacing w:line="360" w:lineRule="auto"/>
        <w:rPr>
          <w:rFonts w:hAnsi="宋体" w:cs="宋体"/>
          <w:b w:val="0"/>
          <w:bCs/>
          <w:szCs w:val="24"/>
          <w:highlight w:val="none"/>
        </w:rPr>
      </w:pPr>
      <w:r>
        <w:rPr>
          <w:highlight w:val="none"/>
        </w:rPr>
        <w:fldChar w:fldCharType="begin"/>
      </w:r>
      <w:r>
        <w:rPr>
          <w:highlight w:val="none"/>
        </w:rPr>
        <w:instrText xml:space="preserve"> HYPERLINK "http://www.mee.gov.cn/ywgz/fgbz/bz/bzwb/jcffbz/202501/t20250126_1101551.shtml" </w:instrText>
      </w:r>
      <w:r>
        <w:rPr>
          <w:highlight w:val="none"/>
        </w:rPr>
        <w:fldChar w:fldCharType="separate"/>
      </w:r>
      <w:r>
        <w:rPr>
          <w:rFonts w:hint="eastAsia" w:hAnsi="宋体" w:cs="宋体"/>
          <w:b w:val="0"/>
          <w:bCs/>
          <w:szCs w:val="24"/>
          <w:highlight w:val="none"/>
        </w:rPr>
        <w:t xml:space="preserve">《地表水水质自动监测站选址与基础设施建设技术要求》（HJ 915.1-2024）</w:t>
      </w:r>
      <w:r>
        <w:rPr>
          <w:rFonts w:hint="eastAsia" w:hAnsi="宋体" w:cs="宋体"/>
          <w:b w:val="0"/>
          <w:bCs/>
          <w:szCs w:val="24"/>
          <w:highlight w:val="none"/>
        </w:rPr>
        <w:fldChar w:fldCharType="end"/>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《地表水水质自动监测站（常规五参数、CODMn、NH3-N、TP、TN）安装</w:t>
      </w:r>
      <w:r/>
    </w:p>
    <w:p>
      <w:pPr>
        <w:jc w:val="left"/>
        <w:spacing w:line="360" w:lineRule="auto"/>
        <w:rPr>
          <w:rFonts w:hAnsi="宋体" w:cs="宋体"/>
          <w:b w:val="0"/>
          <w:bCs/>
          <w:szCs w:val="24"/>
          <w:highlight w:val="none"/>
        </w:rPr>
      </w:pPr>
      <w:r>
        <w:rPr>
          <w:rFonts w:hint="eastAsia" w:hAnsi="宋体" w:cs="宋体"/>
          <w:b w:val="0"/>
          <w:bCs/>
          <w:szCs w:val="24"/>
          <w:highlight w:val="none"/>
        </w:rPr>
        <w:t xml:space="preserve">验收技术规范》（HJ 915.2-2024）</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《地表水水质自动监测站（常规五参数、CODMn、NH3-N、TP、TN）运行维护技术规范》（HJ 915.3-2024）</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《国家地表水水质自动监测站运行维护管理实施细则（试行）》</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《江苏省地表水水质自动监测站运行管理办法（试行）》</w:t>
      </w:r>
      <w:r/>
    </w:p>
    <w:p>
      <w:pPr>
        <w:ind w:firstLine="420"/>
        <w:jc w:val="left"/>
        <w:spacing w:line="360" w:lineRule="auto"/>
        <w:rPr>
          <w:rFonts w:hint="eastAsia" w:eastAsia="宋体"/>
          <w:lang w:eastAsia="zh-CN"/>
        </w:rPr>
      </w:pPr>
      <w:r>
        <w:rPr>
          <w:rFonts w:hint="eastAsia" w:hAnsi="宋体" w:cs="宋体"/>
          <w:b w:val="0"/>
          <w:bCs/>
          <w:szCs w:val="24"/>
          <w:highlight w:val="none"/>
        </w:rPr>
        <w:t xml:space="preserve">《环境水质(地表水)自动监测站运行维护技术规范》（DB32/T 4536-2023）</w:t>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3.2 机构、人员、车辆、设备配备要求</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中标</w:t>
      </w:r>
      <w:r>
        <w:rPr>
          <w:rFonts w:hint="eastAsia" w:ascii="宋体" w:hAnsi="宋体" w:eastAsia="宋体" w:cs="宋体"/>
          <w:b/>
          <w:bCs/>
          <w:sz w:val="21"/>
          <w:szCs w:val="21"/>
        </w:rPr>
        <w:t xml:space="preserve">后</w:t>
      </w:r>
      <w:r>
        <w:rPr>
          <w:rFonts w:hint="eastAsia" w:ascii="宋体" w:hAnsi="宋体" w:eastAsia="宋体" w:cs="宋体"/>
          <w:b/>
          <w:bCs/>
          <w:sz w:val="21"/>
          <w:szCs w:val="21"/>
          <w:lang w:val="en-US" w:eastAsia="zh-CN"/>
        </w:rPr>
        <w:t xml:space="preserve">须</w:t>
      </w:r>
      <w:r>
        <w:rPr>
          <w:rFonts w:hint="eastAsia" w:ascii="宋体" w:hAnsi="宋体" w:eastAsia="宋体" w:cs="宋体"/>
          <w:b/>
          <w:bCs/>
          <w:sz w:val="21"/>
          <w:szCs w:val="21"/>
        </w:rPr>
        <w:t xml:space="preserve">立即配置到位）</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3.2.1 ▲</w:t>
      </w:r>
      <w:r>
        <w:rPr>
          <w:rFonts w:hint="eastAsia" w:eastAsia="宋体" w:cs="宋体"/>
          <w:sz w:val="21"/>
          <w:szCs w:val="21"/>
          <w:lang w:val="en-US" w:eastAsia="zh-CN"/>
        </w:rPr>
        <w:t xml:space="preserve">中标后</w:t>
      </w:r>
      <w:r>
        <w:rPr>
          <w:rFonts w:hint="eastAsia" w:ascii="宋体" w:hAnsi="宋体" w:eastAsia="宋体" w:cs="宋体"/>
          <w:sz w:val="21"/>
          <w:szCs w:val="21"/>
        </w:rPr>
        <w:t xml:space="preserve">需提供本地化运维服务方案，具备本地化运维服务能力，应在项目地设立1个运维技术服务网点（需提供办事处购房或房屋租赁合同、房租、水电缴费发票和记录等材料）。</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3.2.2 ▲</w:t>
      </w:r>
      <w:r>
        <w:rPr>
          <w:rFonts w:hint="eastAsia" w:eastAsia="宋体" w:cs="宋体"/>
          <w:sz w:val="21"/>
          <w:szCs w:val="21"/>
          <w:lang w:val="en-US" w:eastAsia="zh-CN"/>
        </w:rPr>
        <w:t xml:space="preserve">中标后</w:t>
      </w:r>
      <w:r>
        <w:rPr>
          <w:rFonts w:hint="eastAsia" w:ascii="宋体" w:hAnsi="宋体" w:eastAsia="宋体" w:cs="宋体"/>
          <w:sz w:val="21"/>
          <w:szCs w:val="21"/>
        </w:rPr>
        <w:t xml:space="preserve">应配备经验丰富的运维人员，为本项目配置的运维人员应通过省级及以上水质自动站持证上岗考核或培训。</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highlight w:val="cyan"/>
        </w:rPr>
        <w:outlineLvl w:val="9"/>
      </w:pPr>
      <w:r>
        <w:rPr>
          <w:rFonts w:hint="eastAsia" w:ascii="宋体" w:hAnsi="宋体" w:eastAsia="宋体" w:cs="宋体"/>
          <w:sz w:val="21"/>
          <w:szCs w:val="21"/>
          <w:highlight w:val="cyan"/>
        </w:rPr>
        <w:t xml:space="preserve">3.2.3 ▲中标单位需在合同签订后一周内</w:t>
      </w:r>
      <w:r>
        <w:rPr>
          <w:rFonts w:hint="eastAsia" w:eastAsia="宋体" w:cs="宋体"/>
          <w:sz w:val="21"/>
          <w:szCs w:val="21"/>
          <w:highlight w:val="cyan"/>
          <w:lang w:val="en-US" w:eastAsia="zh-CN"/>
        </w:rPr>
        <w:t xml:space="preserve">提供</w:t>
      </w:r>
      <w:r>
        <w:rPr>
          <w:rFonts w:hint="eastAsia" w:ascii="宋体" w:hAnsi="宋体" w:eastAsia="宋体" w:cs="宋体"/>
          <w:sz w:val="21"/>
          <w:szCs w:val="21"/>
          <w:highlight w:val="cyan"/>
        </w:rPr>
        <w:t xml:space="preserve">采购人单位</w:t>
      </w: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人员，需具有1年以上水站数据监控工作经验。</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配备的专业技术人员数量、</w:t>
      </w:r>
      <w:r>
        <w:rPr>
          <w:rFonts w:hint="eastAsia" w:eastAsia="宋体" w:cs="宋体"/>
          <w:sz w:val="21"/>
          <w:szCs w:val="21"/>
          <w:lang w:eastAsia="zh-CN"/>
        </w:rPr>
        <w:t xml:space="preserve">固定技术人员</w:t>
      </w:r>
      <w:r>
        <w:rPr>
          <w:rFonts w:hint="eastAsia" w:ascii="宋体" w:hAnsi="宋体" w:eastAsia="宋体" w:cs="宋体"/>
          <w:sz w:val="21"/>
          <w:szCs w:val="21"/>
        </w:rPr>
        <w:t xml:space="preserve">以及运维专用车辆数量不少于下表的要求。</w:t>
      </w:r>
      <w:r/>
    </w:p>
    <w:p>
      <w:pPr>
        <w:jc w:val="center"/>
        <w:rPr>
          <w:rFonts w:hint="eastAsia" w:ascii="宋体" w:hAnsi="宋体" w:eastAsia="宋体" w:cs="宋体"/>
          <w:sz w:val="21"/>
          <w:szCs w:val="21"/>
        </w:rPr>
      </w:pPr>
      <w:r>
        <w:rPr>
          <w:rFonts w:hint="eastAsia" w:ascii="宋体" w:hAnsi="宋体" w:eastAsia="宋体" w:cs="宋体"/>
          <w:sz w:val="21"/>
          <w:szCs w:val="21"/>
        </w:rPr>
        <w:t xml:space="preserve">表：人员、车辆要求</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897"/>
        <w:gridCol w:w="1985"/>
        <w:gridCol w:w="2380"/>
        <w:gridCol w:w="1843"/>
      </w:tblGrid>
      <w:tr>
        <w:trPr>
          <w:jc w:val="center"/>
          <w:trHeight w:val="539"/>
        </w:trPr>
        <w:tc>
          <w:tcPr>
            <w:tcW w:w="7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站点数量（个）</w:t>
            </w:r>
            <w:r/>
          </w:p>
        </w:tc>
        <w:tc>
          <w:tcPr>
            <w:tcW w:w="19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运维人员（人）</w:t>
            </w:r>
            <w:r/>
          </w:p>
        </w:tc>
        <w:tc>
          <w:tcPr>
            <w:tcW w:w="2380" w:type="dxa"/>
            <w:vAlign w:val="center"/>
            <w:textDirection w:val="lrTb"/>
            <w:noWrap w:val="false"/>
          </w:tcPr>
          <w:p>
            <w:pPr>
              <w:jc w:val="center"/>
              <w:rPr>
                <w:rFonts w:hint="eastAsia" w:ascii="宋体" w:hAnsi="宋体" w:eastAsia="宋体" w:cs="宋体"/>
                <w:sz w:val="21"/>
                <w:szCs w:val="21"/>
                <w:highlight w:val="cyan"/>
              </w:rPr>
            </w:pP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人员（人）</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运维车辆（辆）</w:t>
            </w:r>
            <w:r/>
          </w:p>
        </w:tc>
      </w:tr>
      <w:tr>
        <w:trPr>
          <w:jc w:val="center"/>
          <w:trHeight w:val="539"/>
        </w:trPr>
        <w:tc>
          <w:tcPr>
            <w:tcW w:w="7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897" w:type="dxa"/>
            <w:vAlign w:val="center"/>
            <w:textDirection w:val="lrTb"/>
            <w:noWrap w:val="false"/>
          </w:tcPr>
          <w:p>
            <w:pPr>
              <w:jc w:val="center"/>
              <w:rPr>
                <w:rFonts w:hint="default" w:ascii="宋体" w:hAnsi="宋体" w:eastAsia="宋体" w:cs="宋体"/>
                <w:sz w:val="21"/>
                <w:szCs w:val="21"/>
                <w:lang w:val="en-US" w:eastAsia="zh-CN"/>
              </w:rPr>
            </w:pPr>
            <w:r>
              <w:rPr>
                <w:rFonts w:hint="eastAsia" w:eastAsia="宋体" w:cs="宋体"/>
                <w:sz w:val="21"/>
                <w:szCs w:val="21"/>
                <w:lang w:val="en-US" w:eastAsia="zh-CN"/>
              </w:rPr>
              <w:t xml:space="preserve">31</w:t>
            </w:r>
            <w:r/>
          </w:p>
        </w:tc>
        <w:tc>
          <w:tcPr>
            <w:tcW w:w="1985" w:type="dxa"/>
            <w:vAlign w:val="center"/>
            <w:textDirection w:val="lrTb"/>
            <w:noWrap w:val="false"/>
          </w:tcPr>
          <w:p>
            <w:pPr>
              <w:jc w:val="center"/>
              <w:rPr>
                <w:rFonts w:hint="eastAsia" w:ascii="宋体" w:hAnsi="宋体" w:eastAsia="宋体" w:cs="宋体"/>
                <w:sz w:val="21"/>
                <w:szCs w:val="21"/>
                <w:lang w:eastAsia="zh-CN"/>
              </w:rPr>
            </w:pPr>
            <w:r>
              <w:rPr>
                <w:rFonts w:hint="eastAsia" w:eastAsia="宋体" w:cs="宋体"/>
                <w:sz w:val="21"/>
                <w:szCs w:val="21"/>
                <w:lang w:val="en-US" w:eastAsia="zh-CN"/>
              </w:rPr>
              <w:t xml:space="preserve">5</w:t>
            </w:r>
            <w:r/>
          </w:p>
        </w:tc>
        <w:tc>
          <w:tcPr>
            <w:tcW w:w="2380" w:type="dxa"/>
            <w:vAlign w:val="center"/>
            <w:textDirection w:val="lrTb"/>
            <w:noWrap w:val="false"/>
          </w:tcPr>
          <w:p>
            <w:pPr>
              <w:jc w:val="center"/>
              <w:rPr>
                <w:rFonts w:hint="eastAsia" w:ascii="宋体" w:hAnsi="宋体" w:eastAsia="宋体" w:cs="宋体"/>
                <w:sz w:val="21"/>
                <w:szCs w:val="21"/>
                <w:highlight w:val="cyan"/>
              </w:rPr>
            </w:pPr>
            <w:r>
              <w:rPr>
                <w:rFonts w:hint="eastAsia" w:ascii="宋体" w:hAnsi="宋体" w:eastAsia="宋体" w:cs="宋体"/>
                <w:sz w:val="21"/>
                <w:szCs w:val="21"/>
                <w:highlight w:val="cyan"/>
              </w:rPr>
              <w:t xml:space="preserve">1</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r>
    </w:tbl>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3.2.4 ▲投标人须在省内自有（可以为控股）或委托用于质量控制的CMA或CNAS资质认定的质量保证实验室，或承诺在中标后3个月内建立通过资质认定的实验室，实验室认证项目参数需包括水温、pH、溶解氧、电导率、浊度、氨氮、高锰酸盐指数、总磷、总氮。</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针对上述内容，投标人须按要求提供证明材料或承诺函并加盖公章（格式自拟）。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3.2.5 ▲运维单位需要配备3套通过计量检定/校准的便携式五参数（水温、pH、溶解氧、电导率和浊度）监测设备，应满足原位监测要求，并在需要时用于水质自动监测站的质控及比对考核；需要配备1套走航式ADCP流量测量设备，</w:t>
      </w:r>
      <w:r>
        <w:rPr>
          <w:rFonts w:hint="eastAsia" w:ascii="宋体" w:hAnsi="宋体" w:eastAsia="宋体" w:cs="宋体"/>
          <w:sz w:val="21"/>
          <w:szCs w:val="21"/>
          <w:highlight w:val="yellow"/>
        </w:rPr>
        <w:t xml:space="preserve">应</w:t>
      </w:r>
      <w:r>
        <w:rPr>
          <w:rFonts w:hint="eastAsia" w:cs="宋体"/>
          <w:sz w:val="21"/>
          <w:szCs w:val="21"/>
          <w:highlight w:val="yellow"/>
          <w:lang w:val="en-US" w:eastAsia="zh-CN"/>
        </w:rPr>
        <w:t xml:space="preserve">用</w:t>
      </w:r>
      <w:r>
        <w:rPr>
          <w:rFonts w:hint="eastAsia" w:ascii="宋体" w:hAnsi="宋体" w:eastAsia="宋体" w:cs="宋体"/>
          <w:sz w:val="21"/>
          <w:szCs w:val="21"/>
        </w:rPr>
        <w:t xml:space="preserve">于率定工作。（已经购买的须提供购置发票或采购合同证明；未购买的须与生产厂家签订了供货协议或意向性供货协议，并提供协议证明）。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3.2.6 ▲运维单位须配备备机满足自动站运行需要。备机性能及功能应满足相关技术规范要求和管理需求。测量数据等参数按水站数据传输协议上传采购人指定的上层平台。未购买备机的须与生产厂家签订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3.2.7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3.2.8 ▲运维单位须在中标后一个月（30日历日）内，配齐全部投标所述的车辆，并向采购人提交已有、采购的证明材料（车辆接受租赁，如为租赁合同，则租赁合同周期需至少覆盖本项目运维服务期）。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3.2.9 运维单位应在</w:t>
      </w:r>
      <w:r>
        <w:rPr>
          <w:rFonts w:hint="eastAsia" w:ascii="宋体" w:hAnsi="宋体" w:eastAsia="宋体" w:cs="宋体"/>
          <w:sz w:val="21"/>
          <w:szCs w:val="21"/>
          <w:lang w:eastAsia="zh-CN"/>
        </w:rPr>
        <w:t xml:space="preserve">项目所在地</w:t>
      </w:r>
      <w:r>
        <w:rPr>
          <w:rFonts w:hint="eastAsia" w:ascii="宋体" w:hAnsi="宋体" w:eastAsia="宋体" w:cs="宋体"/>
          <w:sz w:val="21"/>
          <w:szCs w:val="21"/>
        </w:rPr>
        <w:t xml:space="preserve">配备专业人员，巡检人员必须配备专用工具，包括便携式电脑、万用表、远程数据查询系统等；同时，还须配备通讯调试工具，包括各种硬件接口线、改线工具、接口调试软件及常用零部件等。</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outlineLvl w:val="9"/>
      </w:pPr>
      <w:r/>
      <w:bookmarkStart w:id="24" w:name="_Toc86147043"/>
      <w:r>
        <w:rPr>
          <w:rFonts w:hint="eastAsia" w:ascii="宋体" w:hAnsi="宋体" w:eastAsia="宋体" w:cs="宋体"/>
          <w:b/>
          <w:bCs/>
          <w:sz w:val="21"/>
          <w:szCs w:val="21"/>
        </w:rPr>
        <w:t xml:space="preserve">3.3 </w:t>
      </w:r>
      <w:r>
        <w:rPr>
          <w:rFonts w:hint="eastAsia" w:ascii="宋体" w:hAnsi="宋体" w:eastAsia="宋体" w:cs="宋体"/>
          <w:b/>
          <w:bCs/>
          <w:sz w:val="21"/>
          <w:szCs w:val="21"/>
        </w:rPr>
        <w:t xml:space="preserve">运行</w:t>
      </w:r>
      <w:r>
        <w:rPr>
          <w:rFonts w:hint="eastAsia" w:ascii="宋体" w:hAnsi="宋体" w:eastAsia="宋体" w:cs="宋体"/>
          <w:b/>
          <w:bCs/>
          <w:sz w:val="21"/>
          <w:szCs w:val="21"/>
        </w:rPr>
        <w:t xml:space="preserve">维护要求</w:t>
      </w:r>
      <w:bookmarkEnd w:id="24"/>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3.3.1 ▲水站运维工作的开展须严格按照《地表水自动监测技术</w:t>
      </w:r>
      <w:r>
        <w:rPr>
          <w:rFonts w:hint="eastAsia" w:ascii="宋体" w:hAnsi="宋体" w:eastAsia="宋体" w:cs="宋体"/>
          <w:sz w:val="21"/>
          <w:szCs w:val="21"/>
        </w:rPr>
        <w:t xml:space="preserve">规范（试行）》（HJ 915-2017）、《关于印发&lt;国家地表水水质自动监测站运行维护管理实施细则（试行）&gt;等文件的通知》（总站水字〔2019〕649号）、《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如文件中有矛盾之处，以后发布的文件为准，采购人保留对文件的解释权。</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3.3.2 当采购人依据国家或省级有关规定和技术规范要求出台新的水站运维要求时，以新要求为准。</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3.3.3 签订合同后15天内，中标单位按照相关技术规范和运维合同要求，结合中标实际情况，有针对性的编制运维交接方案，方案内容包括但不限于时间及人员安排、职责分工、交接内容、交接流程。经采购人审核确认后，交接双方按照运维交接方案有序开展运维交接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3.3.4 中标单位应根据中标情况，有针对性的制定运维计划，根据每个水站现场实际情况，合理安排水站日常运维工作，对运维保障存在不确定性的水站，提前制定补测计划，按相关要求完成水样补充监测工作。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3.3.5 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3.3.6 中标单位应制定质控计划，根据水站运行情况，制定质控工作内容，对停运补测水站，合理调整质控计划。按相关技术规范要求完成水站各项质控工作。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3.3.7 中标单位编写质控报告并按时提交采购人，包含但不限于日质控、周核查、多点线性核查、集成干预检查、加标回收测试、实际水样比对等质控措施开展情况，以及采购人安排的其他质控措施完成情况。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3.3.8 中标单位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3.3.9 中标单位在中标后3个月内结合现场实际情况，制定并实施“一站一策”技术方案，选择合适的预处理条件，以及仪器、系统关键参数，确保监测数据的“准确性”和“代表性”。通过现场调查研究，不断完善水站运维档案。</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3.3.10 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源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sz w:val="21"/>
          <w:szCs w:val="21"/>
        </w:rPr>
        <w:t xml:space="preserve">3.3.11 中标单位须做好站点运维记录的规范上报。认真、及时做好水站运行维护记录，并上传至采购人指定的水站自动综合监管平台，进行仪器、系统各项关键信息备案</w:t>
      </w:r>
      <w:r>
        <w:rPr>
          <w:rFonts w:hint="eastAsia" w:ascii="宋体" w:hAnsi="宋体" w:eastAsia="宋体" w:cs="宋体"/>
          <w:color w:val="auto"/>
          <w:sz w:val="21"/>
          <w:szCs w:val="21"/>
        </w:rPr>
        <w:t xml:space="preserve">，以及运维过程中相关数据和佐证材料的上传，并根据数据审核有关要求按时完成水站数据审核、异常数据核实等工作。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3.3.12 ▲中标单位须做好站点日常安全管理，运营维护期间所需水电、通讯费用由中标单位负责，委托运营维护及管理的全部资产（包括全部产权和建筑物、设备、软件、配套设施、水质自动站和配套监控系统产生的各类数据信息及相关文档资料）属业主方所有。中标人不得以任何方式对各类财产</w:t>
      </w:r>
      <w:r>
        <w:rPr>
          <w:rFonts w:hint="eastAsia" w:ascii="宋体" w:hAnsi="宋体" w:eastAsia="宋体" w:cs="宋体"/>
          <w:sz w:val="21"/>
          <w:szCs w:val="21"/>
        </w:rPr>
        <w:t xml:space="preserve">进行出售、抵押或转移；同时，</w:t>
      </w:r>
      <w:r>
        <w:rPr>
          <w:rFonts w:hint="eastAsia" w:ascii="宋体" w:hAnsi="宋体" w:eastAsia="宋体" w:cs="宋体"/>
          <w:color w:val="auto"/>
          <w:sz w:val="21"/>
          <w:szCs w:val="21"/>
        </w:rPr>
        <w:t xml:space="preserve">在委托运营及管理期间，中标单位有责任保证上述全部资产的完整、安全并处于良好状态。未经业主允许，非水站运维人员不得擅自进入站房。</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rPr>
        <w:t xml:space="preserve">3.3.13 中标单位负责站房、栈桥及相关附属设施的维修、维护工作。每年对站房进行一次全面检查，对站房外围进行整修</w:t>
      </w:r>
      <w:r>
        <w:rPr>
          <w:rFonts w:hint="eastAsia" w:ascii="宋体" w:hAnsi="宋体" w:eastAsia="宋体" w:cs="宋体"/>
          <w:color w:val="0000ff"/>
          <w:sz w:val="21"/>
          <w:szCs w:val="21"/>
          <w:lang w:val="en-US" w:eastAsia="zh-CN"/>
        </w:rPr>
        <w:t xml:space="preserve">或</w:t>
      </w:r>
      <w:r>
        <w:rPr>
          <w:rFonts w:hint="eastAsia" w:ascii="宋体" w:hAnsi="宋体" w:eastAsia="宋体" w:cs="宋体"/>
          <w:color w:val="0000ff"/>
          <w:sz w:val="21"/>
          <w:szCs w:val="21"/>
        </w:rPr>
        <w:t xml:space="preserve">粉刷，保证墙面整洁、站房安全；每年对栈桥或取水设施进行一次修缮，确保水样取水的代表性；每年对防雷设施进行一次全面检测，并提供检测报告；对站房的门禁、灭火设施进行安装和维护；对站房门禁、灭火器、标志牌、LOGO等附属设施进行安装和维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3.3.14 当点位需要新增、撤销、变更时，由所在地城市生态环境部门按照点位管理程序向上级生态环境厅报批。涉及站点迁移的，运维单位应做好迁移前后监测仪器设备检查工作并做好相关记录。</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lang w:val="en-US" w:eastAsia="zh-CN"/>
        </w:rPr>
        <w:t xml:space="preserve">3.3.15</w:t>
      </w:r>
      <w:r>
        <w:rPr>
          <w:rFonts w:hint="eastAsia" w:ascii="宋体" w:hAnsi="宋体" w:eastAsia="宋体" w:cs="宋体"/>
          <w:color w:val="0000ff"/>
          <w:sz w:val="21"/>
          <w:szCs w:val="21"/>
        </w:rPr>
        <w:t xml:space="preserve"> ▲须在中标后1个月内</w:t>
      </w:r>
      <w:r>
        <w:rPr>
          <w:rFonts w:hint="eastAsia" w:ascii="宋体" w:hAnsi="宋体" w:eastAsia="宋体" w:cs="宋体"/>
          <w:color w:val="0000ff"/>
          <w:sz w:val="21"/>
          <w:szCs w:val="21"/>
          <w:lang w:val="en-US" w:eastAsia="zh-CN"/>
        </w:rPr>
        <w:t xml:space="preserve">完成</w:t>
      </w:r>
      <w:r>
        <w:rPr>
          <w:rFonts w:hint="eastAsia" w:ascii="宋体" w:hAnsi="宋体" w:eastAsia="宋体" w:cs="宋体"/>
          <w:color w:val="0000ff"/>
          <w:sz w:val="21"/>
          <w:szCs w:val="21"/>
        </w:rPr>
        <w:t xml:space="preserve">取水口、站房内外</w:t>
      </w:r>
      <w:r>
        <w:rPr>
          <w:rFonts w:hint="eastAsia" w:ascii="宋体" w:hAnsi="宋体" w:eastAsia="宋体" w:cs="宋体"/>
          <w:color w:val="0000ff"/>
          <w:sz w:val="21"/>
          <w:szCs w:val="21"/>
          <w:lang w:val="en-US" w:eastAsia="zh-CN"/>
        </w:rPr>
        <w:t xml:space="preserve">视频</w:t>
      </w:r>
      <w:r>
        <w:rPr>
          <w:rFonts w:hint="eastAsia" w:ascii="宋体" w:hAnsi="宋体" w:eastAsia="宋体" w:cs="宋体"/>
          <w:color w:val="0000ff"/>
          <w:sz w:val="21"/>
          <w:szCs w:val="21"/>
        </w:rPr>
        <w:t xml:space="preserve">监控</w:t>
      </w:r>
      <w:r>
        <w:rPr>
          <w:rFonts w:hint="eastAsia" w:ascii="宋体" w:hAnsi="宋体" w:eastAsia="宋体" w:cs="宋体"/>
          <w:color w:val="0000ff"/>
          <w:sz w:val="21"/>
          <w:szCs w:val="21"/>
          <w:lang w:val="en-US" w:eastAsia="zh-CN"/>
        </w:rPr>
        <w:t xml:space="preserve">检查及维修、维护</w:t>
      </w:r>
      <w:r>
        <w:rPr>
          <w:rFonts w:hint="eastAsia" w:ascii="宋体" w:hAnsi="宋体" w:eastAsia="宋体" w:cs="宋体"/>
          <w:color w:val="0000ff"/>
          <w:sz w:val="21"/>
          <w:szCs w:val="21"/>
        </w:rPr>
        <w:t xml:space="preserve">，确保对站房内外仪器、进出入人员、来往船只实现24小时不间断监控，实时获取监控区域内清晰的监控图像，支持前端存储和中心存储两种模式，存储周期不低于</w:t>
      </w:r>
      <w:r>
        <w:rPr>
          <w:rFonts w:hint="eastAsia" w:ascii="宋体" w:hAnsi="宋体" w:eastAsia="宋体" w:cs="宋体"/>
          <w:color w:val="0000ff"/>
          <w:sz w:val="21"/>
          <w:szCs w:val="21"/>
          <w:lang w:val="en-US" w:eastAsia="zh-CN"/>
        </w:rPr>
        <w:t xml:space="preserve">3个月</w:t>
      </w:r>
      <w:r>
        <w:rPr>
          <w:rFonts w:hint="eastAsia" w:ascii="宋体" w:hAnsi="宋体" w:eastAsia="宋体" w:cs="宋体"/>
          <w:color w:val="0000ff"/>
          <w:sz w:val="21"/>
          <w:szCs w:val="21"/>
        </w:rPr>
        <w:t xml:space="preserve">。高清摄像头不得低于200万像素，</w:t>
      </w:r>
      <w:r>
        <w:rPr>
          <w:rFonts w:hint="eastAsia" w:ascii="宋体" w:hAnsi="宋体" w:eastAsia="宋体" w:cs="宋体"/>
          <w:color w:val="0000ff"/>
          <w:sz w:val="21"/>
          <w:szCs w:val="21"/>
          <w:lang w:val="en-US" w:eastAsia="zh-CN"/>
        </w:rPr>
        <w:t xml:space="preserve">配合</w:t>
      </w:r>
      <w:r>
        <w:rPr>
          <w:rFonts w:hint="eastAsia" w:ascii="宋体" w:hAnsi="宋体" w:eastAsia="宋体" w:cs="宋体"/>
          <w:color w:val="0000ff"/>
          <w:sz w:val="21"/>
          <w:szCs w:val="21"/>
        </w:rPr>
        <w:t xml:space="preserve">统一接入</w:t>
      </w:r>
      <w:r>
        <w:rPr>
          <w:rFonts w:hint="eastAsia" w:ascii="宋体" w:hAnsi="宋体" w:eastAsia="宋体" w:cs="宋体"/>
          <w:color w:val="0000ff"/>
          <w:sz w:val="21"/>
          <w:szCs w:val="21"/>
          <w:lang w:val="en-US" w:eastAsia="zh-CN"/>
        </w:rPr>
        <w:t xml:space="preserve">吴中区视频监控</w:t>
      </w:r>
      <w:r>
        <w:rPr>
          <w:rFonts w:hint="eastAsia" w:ascii="宋体" w:hAnsi="宋体" w:eastAsia="宋体" w:cs="宋体"/>
          <w:color w:val="0000ff"/>
          <w:sz w:val="21"/>
          <w:szCs w:val="21"/>
        </w:rPr>
        <w:t xml:space="preserve">平台</w:t>
      </w:r>
      <w:r>
        <w:rPr>
          <w:rFonts w:hint="eastAsia" w:ascii="宋体" w:hAnsi="宋体" w:eastAsia="宋体" w:cs="宋体"/>
          <w:color w:val="0000ff"/>
          <w:sz w:val="21"/>
          <w:szCs w:val="21"/>
          <w:lang w:eastAsia="zh-CN"/>
        </w:rPr>
        <w:t xml:space="preserve">，</w:t>
      </w:r>
      <w:r>
        <w:rPr>
          <w:rFonts w:hint="eastAsia" w:ascii="宋体" w:hAnsi="宋体" w:eastAsia="宋体" w:cs="宋体"/>
          <w:color w:val="0000ff"/>
          <w:sz w:val="21"/>
          <w:szCs w:val="21"/>
          <w:lang w:val="en-US" w:eastAsia="zh-CN"/>
        </w:rPr>
        <w:t xml:space="preserve">现有视频监控设备</w:t>
      </w:r>
      <w:r>
        <w:rPr>
          <w:rFonts w:hint="eastAsia" w:ascii="宋体" w:hAnsi="宋体" w:eastAsia="宋体" w:cs="宋体"/>
          <w:color w:val="0000ff"/>
          <w:sz w:val="21"/>
          <w:szCs w:val="21"/>
        </w:rPr>
        <w:t xml:space="preserve">无法满足日常监控的需求，需要中标单位根据实际情况自行更新。</w:t>
      </w:r>
      <w:bookmarkStart w:id="25" w:name="_Hlk147995608"/>
      <w:r>
        <w:rPr>
          <w:rFonts w:hint="eastAsia" w:ascii="宋体" w:hAnsi="宋体" w:eastAsia="宋体" w:cs="宋体"/>
          <w:color w:val="0000ff"/>
          <w:sz w:val="21"/>
          <w:szCs w:val="21"/>
        </w:rPr>
        <w:t xml:space="preserve">如视频监控不符合采购人要求，需及时整改。</w:t>
      </w:r>
      <w:bookmarkEnd w:id="25"/>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bookmarkStart w:id="26" w:name="_Toc86147044"/>
      <w:r>
        <w:rPr>
          <w:rFonts w:hint="eastAsia" w:ascii="宋体" w:hAnsi="宋体" w:eastAsia="宋体" w:cs="宋体"/>
          <w:b/>
          <w:bCs/>
          <w:sz w:val="21"/>
          <w:szCs w:val="21"/>
        </w:rPr>
        <w:t xml:space="preserve">3.4 质量保证与质量控制</w:t>
      </w:r>
      <w:bookmarkEnd w:id="26"/>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3.4.1 中标单位需建立质量保证体系，制定并完善运维管理制度、运维作业指导书及质控程序文件等，指导和规范运维人员现场操作流程。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3.4.2 中标单位需建立备机和备品备件库。备机需通过验收并定期开展标准溶液核查；备品备件需达到或高于原厂备件的性能；更换备机或关键零部件后，需及时校准仪器，并完成多点线性核查。</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3.4.3 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3.4.4 监测仪器斜率k、截距b、消解温度、消解时间、显色时间、修正系数等关键参数信息需及时在平台备案，变更时需提交书面申请。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ff0000"/>
          <w:sz w:val="21"/>
          <w:szCs w:val="21"/>
        </w:rPr>
        <w:outlineLvl w:val="9"/>
      </w:pPr>
      <w:r>
        <w:rPr>
          <w:rFonts w:hint="eastAsia" w:ascii="宋体" w:hAnsi="宋体" w:eastAsia="宋体" w:cs="宋体"/>
          <w:sz w:val="21"/>
          <w:szCs w:val="21"/>
        </w:rPr>
        <w:t xml:space="preserve">3.4.5 水站常规五参数须完成周核查，氨氮、高锰酸盐指数、总磷、总氮须完成标准溶液核查、漂移测试、多点线性核查、集成干预检查、实际水样比对、加标回收试验、盲样考核等质控措施，总磷、总氮还须完成消解率测试，叶绿素a、蓝绿藻密度须完成多点线性核查、实际水样比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3.4.6质控措施频次和技术要求须满足下表要求。</w:t>
      </w:r>
      <w:r/>
    </w:p>
    <w:p>
      <w:pPr>
        <w:jc w:val="center"/>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常规五参数</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1134"/>
        <w:gridCol w:w="4326"/>
        <w:gridCol w:w="1843"/>
        <w:gridCol w:w="1324"/>
      </w:tblGrid>
      <w:tr>
        <w:trPr>
          <w:trHeight w:val="340"/>
        </w:trPr>
        <w:tc>
          <w:tcPr>
            <w:tcW w:w="163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监测项目</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2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r>
      <w:tr>
        <w:trPr>
          <w:trHeight w:val="340"/>
        </w:trPr>
        <w:tc>
          <w:tcPr>
            <w:tcW w:w="163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水温</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W w:w="132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每周</w:t>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pH值</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±0.15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±0.8mg/L</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电导率</w:t>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标准溶液值</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Cs/>
                <w:sz w:val="21"/>
                <w:szCs w:val="21"/>
                <w:lang w:val="zh-CN"/>
              </w:rPr>
              <w:t xml:space="preserve">±5%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标准溶液值≤100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±5</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浊度</w:t>
            </w:r>
            <w:r/>
          </w:p>
        </w:tc>
        <w:tc>
          <w:tcPr>
            <w:tcW w:w="4326"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浊度≤30 NTU    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 NTU＜浊度≤50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 ±10%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水温</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 </w:t>
            </w:r>
            <w:r>
              <w:rPr>
                <w:rFonts w:hint="eastAsia" w:ascii="宋体" w:hAnsi="宋体" w:eastAsia="宋体" w:cs="宋体"/>
                <w:sz w:val="21"/>
                <w:szCs w:val="21"/>
                <w:lang w:eastAsia="ja-JP"/>
              </w:rPr>
              <w:t xml:space="preserve">℃</w:t>
            </w:r>
            <w:r/>
          </w:p>
        </w:tc>
        <w:tc>
          <w:tcPr>
            <w:tcW w:w="132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pH值</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 mg/L</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溶解氧过饱和时不考核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电导率</w:t>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电导率</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 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电导率≤ 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浊度</w:t>
            </w:r>
            <w:r/>
          </w:p>
        </w:tc>
        <w:tc>
          <w:tcPr>
            <w:tcW w:w="4326"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≤30 NTU    </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 NTU＜</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≤50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±30%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±20%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高锰酸盐指数、氨氮、总磷、总氮</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42"/>
        <w:gridCol w:w="1815"/>
        <w:gridCol w:w="1153"/>
        <w:gridCol w:w="1115"/>
        <w:gridCol w:w="1389"/>
        <w:gridCol w:w="3138"/>
      </w:tblGrid>
      <w:tr>
        <w:trPr>
          <w:trHeight w:val="340"/>
        </w:trPr>
        <w:tc>
          <w:tcPr>
            <w:tcW w:w="1742"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3"/>
            <w:tcW w:w="4083"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零点核查</w:t>
            </w:r>
            <w:r/>
          </w:p>
        </w:tc>
        <w:tc>
          <w:tcPr>
            <w:tcW w:w="1153"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每日/每周</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跨度核查</w:t>
            </w:r>
            <w:r/>
          </w:p>
        </w:tc>
        <w:tc>
          <w:tcPr>
            <w:tcW w:w="1153"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每日/每周</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浮船站高锰酸盐指数为±15%</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861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注：具备自动质控功能的站点每日开展，其余站点每周开展。</w:t>
            </w:r>
            <w:r/>
          </w:p>
        </w:tc>
      </w:tr>
      <w:tr>
        <w:trPr>
          <w:trHeight w:val="340"/>
        </w:trPr>
        <w:tc>
          <w:tcPr>
            <w:tcW w:w="1742" w:type="dxa"/>
            <w:vAlign w:val="center"/>
            <w:vMerge w:val="restart"/>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t xml:space="preserve">漂移测试</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p>
        </w:tc>
        <w:tc>
          <w:tcPr>
            <w:tcW w:w="1153"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高锰酸盐指数为±10%</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跨度漂移</w:t>
            </w:r>
            <w:r/>
          </w:p>
        </w:tc>
        <w:tc>
          <w:tcPr>
            <w:tcW w:w="1153"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浮船站高锰酸盐指数为±15%</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861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注：仅具备自动质控功能的站点需开展。</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≥0.98</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多点线性中的零点示值误差参照零点核查要求</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集成干预检查</w:t>
            </w:r>
            <w:r/>
          </w:p>
        </w:tc>
        <w:tc>
          <w:tcPr>
            <w:tcW w:w="1815"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相对误差</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Ⅰ～Ⅱ类：两者结果均低于BⅡ时，判定结果合格。</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浮船站除外</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Ⅲ～劣Ⅴ类：±15%</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sz w:val="21"/>
                <w:szCs w:val="21"/>
                <w:shd w:val="clear" w:color="auto" w:fill="ffffff"/>
              </w:rPr>
              <w:t xml:space="preserve">相对误差</w:t>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3pt;height:11.2pt;mso-wrap-distance-left:0.0pt;mso-wrap-distance-top:0.0pt;mso-wrap-distance-right:0.0pt;mso-wrap-distance-bottom:0.0pt;" filled="f" stroked="f">
                  <v:path textboxrect="0,0,0,0"/>
                  <v:imagedata r:id="rId19" o:title=""/>
                </v:shape>
                <o:OLEObject DrawAspect="Content" r:id="rId20" ObjectID="_1525045" ProgID="Equation.DSMT4" ShapeID="_x0000_i5"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20%</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0pt;height:11.2pt;mso-wrap-distance-left:0.0pt;mso-wrap-distance-top:0.0pt;mso-wrap-distance-right:0.0pt;mso-wrap-distance-bottom:0.0pt;" filled="f" stroked="f">
                  <v:path textboxrect="0,0,0,0"/>
                  <v:imagedata r:id="rId21" o:title=""/>
                </v:shape>
                <o:OLEObject DrawAspect="Content" r:id="rId22" ObjectID="_1525046" ProgID="Equation.DSMT4" ShapeID="_x0000_i6"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30%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i/>
                <w:position w:val="-10"/>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8pt;height:15.0pt;mso-wrap-distance-left:0.0pt;mso-wrap-distance-top:0.0pt;mso-wrap-distance-right:0.0pt;mso-wrap-distance-bottom:0.0pt;" filled="f" stroked="f">
                  <v:path textboxrect="0,0,0,0"/>
                  <v:imagedata r:id="rId23" o:title=""/>
                </v:shape>
                <o:OLEObject DrawAspect="Content" r:id="rId24" ObjectID="_1525047" ProgID="Equation.3" ShapeID="_x0000_i7"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40%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W w:w="4083" w:type="dxa"/>
            <w:vAlign w:val="center"/>
            <w:textDirection w:val="lrTb"/>
            <w:noWrap w:val="false"/>
          </w:tcPr>
          <w:p>
            <w:pPr>
              <w:jc w:val="left"/>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当自动监测结果和实验室分析结果均低于</w:t>
            </w:r>
            <w:r>
              <w:rPr>
                <w:rFonts w:hint="eastAsia" w:ascii="宋体" w:hAnsi="宋体" w:eastAsia="宋体" w:cs="宋体"/>
                <w:i/>
                <w:iCs/>
                <w:sz w:val="21"/>
                <w:szCs w:val="21"/>
                <w:shd w:val="clear" w:color="auto" w:fill="ffffff"/>
              </w:rPr>
              <w:t xml:space="preserve">B</w:t>
            </w:r>
            <w:r>
              <w:rPr>
                <w:rFonts w:hint="eastAsia" w:ascii="宋体" w:hAnsi="宋体" w:eastAsia="宋体" w:cs="宋体"/>
                <w:i/>
                <w:iCs/>
                <w:sz w:val="21"/>
                <w:szCs w:val="21"/>
                <w:shd w:val="clear" w:color="auto" w:fill="ffffff"/>
                <w:vertAlign w:val="subscript"/>
              </w:rPr>
              <w:t xml:space="preserve">Ⅱ</w:t>
            </w:r>
            <w:r>
              <w:rPr>
                <w:rFonts w:hint="eastAsia" w:ascii="宋体" w:hAnsi="宋体" w:eastAsia="宋体" w:cs="宋体"/>
                <w:sz w:val="21"/>
                <w:szCs w:val="21"/>
                <w:shd w:val="clear" w:color="auto" w:fill="ffffff"/>
              </w:rPr>
              <w:t xml:space="preserve">时，认定比对实验结果合格。</w:t>
            </w:r>
            <w:r>
              <w:rPr>
                <w:rFonts w:hint="eastAsia" w:ascii="宋体" w:hAnsi="宋体" w:eastAsia="宋体" w:cs="宋体"/>
                <w:bCs/>
                <w:sz w:val="21"/>
                <w:szCs w:val="21"/>
                <w:shd w:val="clear" w:color="auto" w:fill="ffffff"/>
              </w:rPr>
              <w:t xml:space="preserve">注：①</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QUOTE </w:instrText>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instrText xml:space="preserve"> </w:instrText>
            </w:r>
            <w:r>
              <w:rPr>
                <w:rFonts w:hint="eastAsia" w:ascii="宋体" w:hAnsi="宋体" w:eastAsia="宋体" w:cs="宋体"/>
                <w:sz w:val="21"/>
                <w:szCs w:val="21"/>
              </w:rPr>
              <w:fldChar w:fldCharType="separate"/>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t xml:space="preserve">为实验室分析结果；</w:t>
            </w:r>
            <w:r>
              <w:rPr>
                <w:rFonts w:hint="eastAsia" w:ascii="宋体" w:hAnsi="宋体" w:eastAsia="宋体" w:cs="宋体"/>
                <w:bCs/>
                <w:sz w:val="21"/>
                <w:szCs w:val="21"/>
              </w:rPr>
              <w:t xml:space="preserve">②</w:t>
            </w:r>
            <w:r>
              <w:rPr>
                <w:rFonts w:hint="eastAsia" w:ascii="宋体" w:hAnsi="宋体" w:eastAsia="宋体" w:cs="宋体"/>
                <w:bCs/>
                <w:i/>
                <w:iCs/>
                <w:sz w:val="21"/>
                <w:szCs w:val="21"/>
              </w:rPr>
              <w:t xml:space="preserve">B</w:t>
            </w:r>
            <w:r>
              <w:rPr>
                <w:rFonts w:hint="eastAsia" w:ascii="宋体" w:hAnsi="宋体" w:eastAsia="宋体" w:cs="宋体"/>
                <w:bCs/>
                <w:sz w:val="21"/>
                <w:szCs w:val="21"/>
              </w:rPr>
              <w:t xml:space="preserve">为水质类别限值；③河流总氮可参考湖库标准。</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加标回收试验</w:t>
            </w:r>
            <w:r/>
          </w:p>
        </w:tc>
        <w:tc>
          <w:tcPr>
            <w:tcW w:w="18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加标回收率</w:t>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80.0%～120.0%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浮船站除外</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盲样考核</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相对误差</w:t>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氨氮</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高锰酸盐指数</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总磷</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总氮</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消解率测试</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消解率</w:t>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总磷</w:t>
            </w:r>
            <w:r/>
          </w:p>
        </w:tc>
        <w:tc>
          <w:tcPr>
            <w:tcW w:w="11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≥95%</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总氮</w:t>
            </w:r>
            <w:r/>
          </w:p>
        </w:tc>
        <w:tc>
          <w:tcPr>
            <w:tcW w:w="11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叶绿素a、蓝绿藻密度</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12"/>
        <w:gridCol w:w="1680"/>
        <w:gridCol w:w="3165"/>
        <w:gridCol w:w="1320"/>
        <w:gridCol w:w="2554"/>
      </w:tblGrid>
      <w:tr>
        <w:trPr>
          <w:trHeight w:val="340"/>
        </w:trPr>
        <w:tc>
          <w:tcPr>
            <w:tcW w:w="171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48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340"/>
        </w:trPr>
        <w:tc>
          <w:tcPr>
            <w:tcW w:w="171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rPr>
              <w:t xml:space="preserve">≥0.993</w:t>
            </w:r>
            <w:r/>
          </w:p>
        </w:tc>
        <w:tc>
          <w:tcPr>
            <w:tcW w:w="1320"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1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零点绝对误差应为≤3倍检出限，其他点相对误差≤±5%</w:t>
            </w:r>
            <w:r/>
          </w:p>
        </w:tc>
        <w:tc>
          <w:tcPr>
            <w:tcW w:w="132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多光源荧光法除外</w:t>
            </w:r>
            <w:r/>
          </w:p>
        </w:tc>
      </w:tr>
      <w:tr>
        <w:trPr>
          <w:trHeight w:val="340"/>
        </w:trPr>
        <w:tc>
          <w:tcPr>
            <w:shd w:val="clear" w:color="auto" w:fill="auto"/>
            <w:tcW w:w="171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shd w:val="clear" w:color="auto" w:fill="ffffff"/>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shd w:val="clear" w:color="auto" w:fill="ffffff"/>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shd w:val="clear" w:color="auto" w:fill="ffffff"/>
            <w:tcW w:w="13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c>
          <w:tcPr>
            <w:shd w:val="clear" w:color="auto" w:fill="ffffff"/>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采用经校准的便携式荧光法仪器比对</w:t>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挥发性有机物</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68"/>
        <w:gridCol w:w="1134"/>
        <w:gridCol w:w="2007"/>
        <w:gridCol w:w="5448"/>
      </w:tblGrid>
      <w:tr>
        <w:trPr>
          <w:trHeight w:val="465"/>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质控实施频次</w:t>
            </w:r>
            <w:r/>
          </w:p>
        </w:tc>
      </w:tr>
      <w:tr>
        <w:trPr>
          <w:trHeight w:val="403"/>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20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403"/>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0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r>
      <w:tr>
        <w:trPr>
          <w:trHeight w:val="417"/>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加标回收试验</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70%～130%</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r>
    </w:tbl>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bookmarkStart w:id="27" w:name="_Toc86147045"/>
      <w:r>
        <w:rPr>
          <w:rFonts w:hint="eastAsia" w:ascii="宋体" w:hAnsi="宋体" w:eastAsia="宋体" w:cs="宋体"/>
          <w:b/>
          <w:bCs/>
          <w:sz w:val="21"/>
          <w:szCs w:val="21"/>
        </w:rPr>
        <w:t xml:space="preserve">3.5 其他相关要求</w:t>
      </w:r>
      <w:bookmarkEnd w:id="27"/>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3.5.1▲中标单位须协助采购人在必要时做好水站周边水系情况调查及污染溯源排查工作。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3.5.2中标单位须协助采购人做好水站固定资产、备品备件的管理及登记等工作。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3.5.3中标单位应积极参加采购人主办的技术培训班，加强业务学习，不断提高业务能力和水平。</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3.5.4中标单位应根据国家与江苏省有关要求做好废液的处理工作。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3.5.5中标单位须保证满足生态环境部门对水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3.5.6当仪器损坏不能修复时，应在24小时之内使用备机开展监测，并同时报告采购人，采购人组织确认仪器损坏情况及原因，酌情处理。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3.5.7仪器报废后（包括使用超过8年导致，或因特别重大、重大水旱、气象、地震、地质等自然灾害、站房外部火灾、爆炸、恐怖袭击、武装冲突、蓄意破坏等不可抗力导致），运维单位须先行及时使用备机开展监测，同时报告采购人。</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3.5.8严禁擅自更改仪器参数设置。</w:t>
      </w:r>
      <w:r/>
    </w:p>
    <w:p>
      <w:pPr>
        <w:keepLines w:val="0"/>
        <w:keepNext w:val="0"/>
        <w:pageBreakBefore w:val="0"/>
        <w:spacing w:line="400" w:lineRule="exact"/>
        <w:rPr>
          <w:rFonts w:hint="eastAsia" w:ascii="宋体" w:hAnsi="宋体" w:eastAsia="宋体" w:cs="宋体"/>
          <w:b/>
          <w:bCs/>
          <w:sz w:val="21"/>
          <w:szCs w:val="21"/>
        </w:rPr>
        <w:outlineLvl w:val="9"/>
      </w:pPr>
      <w:r/>
      <w:bookmarkStart w:id="28" w:name="_Toc86147071"/>
      <w:r>
        <w:rPr>
          <w:rFonts w:hint="eastAsia" w:ascii="宋体" w:hAnsi="宋体" w:eastAsia="宋体" w:cs="宋体"/>
          <w:b/>
          <w:bCs/>
          <w:sz w:val="21"/>
          <w:szCs w:val="21"/>
        </w:rPr>
        <w:t xml:space="preserve">4、监督考核与惩罚办法</w:t>
      </w:r>
      <w:bookmarkEnd w:id="28"/>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bookmarkStart w:id="29" w:name="_Toc86147072"/>
      <w:r>
        <w:rPr>
          <w:rFonts w:hint="eastAsia" w:ascii="宋体" w:hAnsi="宋体" w:eastAsia="宋体" w:cs="宋体"/>
          <w:b/>
          <w:bCs/>
          <w:sz w:val="21"/>
          <w:szCs w:val="21"/>
        </w:rPr>
        <w:t xml:space="preserve">4.1 监督管理</w:t>
      </w:r>
      <w:bookmarkEnd w:id="29"/>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4.1.1投标人应承担监测数据的保密责任（签订保密协议），不得利用本项目的数据、档案或有关资料对外开展技术交流、业务联系、数据交换等。否则，采购人有权终止合同。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4.1.2 运维期间出现调整数据、修改参数、改动设备、质控结果与平台采集结果不一致、弄虚作假等违规行为的，一经查实采购人有权终止运维合同。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4.1.3 采购人组织开展运维管理和质控考核，对达不到运维要求或违规操作的，可以取消该公司在江苏区域内相关运维投标资格或扣减相应的运维经费，并有权终止运维合同。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4.1.4 违反相关水质自动站管理办法等违规行为的，一经查实采购人有权终止运维合同。</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bookmarkStart w:id="30" w:name="_Toc86147073"/>
      <w:r>
        <w:rPr>
          <w:rFonts w:hint="eastAsia" w:ascii="宋体" w:hAnsi="宋体" w:eastAsia="宋体" w:cs="宋体"/>
          <w:b/>
          <w:bCs/>
          <w:sz w:val="21"/>
          <w:szCs w:val="21"/>
        </w:rPr>
        <w:t xml:space="preserve">4.2 考核办法</w:t>
      </w:r>
      <w:bookmarkEnd w:id="30"/>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color w:val="auto"/>
          <w:sz w:val="21"/>
          <w:szCs w:val="21"/>
          <w:highlight w:val="cyan"/>
        </w:rPr>
        <w:t xml:space="preserve">甲方每</w:t>
      </w:r>
      <w:r>
        <w:rPr>
          <w:rFonts w:hint="eastAsia" w:ascii="宋体" w:hAnsi="宋体" w:eastAsia="宋体" w:cs="宋体"/>
          <w:color w:val="auto"/>
          <w:sz w:val="21"/>
          <w:szCs w:val="21"/>
          <w:highlight w:val="cyan"/>
          <w:lang w:val="en-US" w:eastAsia="zh-CN"/>
        </w:rPr>
        <w:t xml:space="preserve">半年</w:t>
      </w:r>
      <w:r>
        <w:rPr>
          <w:rFonts w:hint="eastAsia" w:ascii="宋体" w:hAnsi="宋体" w:eastAsia="宋体" w:cs="宋体"/>
          <w:color w:val="auto"/>
          <w:sz w:val="21"/>
          <w:szCs w:val="21"/>
          <w:highlight w:val="cyan"/>
        </w:rPr>
        <w:t xml:space="preserve">对乙方运维水站的运行情况进行考核</w:t>
      </w:r>
      <w:r>
        <w:rPr>
          <w:rFonts w:hint="eastAsia" w:ascii="宋体" w:hAnsi="宋体" w:eastAsia="宋体" w:cs="宋体"/>
          <w:color w:val="auto"/>
          <w:sz w:val="21"/>
          <w:szCs w:val="21"/>
          <w:highlight w:val="cyan"/>
          <w:lang w:val="en-US" w:eastAsia="zh-CN"/>
        </w:rPr>
        <w:t xml:space="preserve">汇总</w:t>
      </w:r>
      <w:r>
        <w:rPr>
          <w:rFonts w:hint="eastAsia" w:ascii="宋体" w:hAnsi="宋体" w:eastAsia="宋体" w:cs="宋体"/>
          <w:sz w:val="21"/>
          <w:szCs w:val="21"/>
        </w:rPr>
        <w:t xml:space="preserve">。采取单站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考核的方式，考核内容以站点数据有效率为主，兼顾盲样考核、</w:t>
      </w:r>
      <w:r>
        <w:rPr>
          <w:rFonts w:hint="eastAsia" w:ascii="宋体" w:hAnsi="宋体" w:eastAsia="宋体" w:cs="宋体"/>
          <w:sz w:val="21"/>
          <w:szCs w:val="21"/>
          <w:lang w:eastAsia="zh-CN"/>
        </w:rPr>
        <w:t xml:space="preserve">固定技术人员</w:t>
      </w:r>
      <w:r>
        <w:rPr>
          <w:rFonts w:hint="eastAsia" w:ascii="宋体" w:hAnsi="宋体" w:eastAsia="宋体" w:cs="宋体"/>
          <w:sz w:val="21"/>
          <w:szCs w:val="21"/>
        </w:rPr>
        <w:t xml:space="preserve">管理、固定资产管理以及运行维护规范性等。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4.2.1 数据有效率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正常运行期间数据有效率=（应获取数据-无效数据）/应获取数据*100%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）非正常运行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1）具备补充监测条件的，根据相关要求，乙方应对非正常运行水站开展补充监测。补测的数据应满足相关质控要求，并应在规定的时间内上传平台，否则按无效数据处理。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计算公式：</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非正常运行期间数据有效率=（实际补测数据-无效数据）/应补测数据*100%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2）不具备补充监测条件的，乙方有义务采取必要措施最大限度的减少国家财产的损失，包括仪器设备保管以及必要性维护工作。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）不具备补充监测条件</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 停运期间，乙方应保证仪器设备及环境设施设备的安全，并关注现场环境变化，具备条件后应及时恢复运行。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4.2.2 运维费支付</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（1）常规参数（水温、pH、溶解氧、电导率、浊度、氨氮、高锰酸盐指数、总磷、总氮、叶绿素、藻密度）</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4）上述1）-3）所列条款中，当存在单参数考核周期内监测数据有效率低于70%的情形时，增扣该付款周期运维费5%。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6）全年平均数据有效率低于60%，取消运维合同。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）特殊参数（VOCS、挥发酚、氟化物、流量计等）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3）单参数考</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5）特征参数设备经鉴定不具备使用条件时，乙方应向甲方申请报废，经甲方同意后终止该设备运行并终止运维费支付。</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.2.3 水质预警奖惩</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运维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4.2.4 盲样考核</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乙方应按照甲方相关要求配合开展盲样考核工作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每月/季度1次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，每出现1个盲样考核不合格的参数扣除</w:t>
      </w:r>
      <w:r>
        <w:rPr>
          <w:rFonts w:hint="eastAsia" w:ascii="宋体" w:hAnsi="宋体" w:eastAsia="宋体" w:cs="宋体"/>
          <w:sz w:val="21"/>
          <w:szCs w:val="21"/>
          <w:lang w:val="en-US" w:eastAsia="zh-CN"/>
        </w:rPr>
        <w:t xml:space="preserve">该站点</w:t>
      </w:r>
      <w:r>
        <w:rPr>
          <w:rFonts w:hint="eastAsia" w:ascii="宋体" w:hAnsi="宋体" w:eastAsia="宋体" w:cs="宋体"/>
          <w:sz w:val="21"/>
          <w:szCs w:val="21"/>
        </w:rPr>
        <w:t xml:space="preserve">当</w:t>
      </w:r>
      <w:r>
        <w:rPr>
          <w:rFonts w:hint="eastAsia" w:ascii="宋体" w:hAnsi="宋体" w:eastAsia="宋体" w:cs="宋体"/>
          <w:sz w:val="21"/>
          <w:szCs w:val="21"/>
          <w:lang w:val="en-US" w:eastAsia="zh-CN"/>
        </w:rPr>
        <w:t xml:space="preserve">月/季度</w:t>
      </w:r>
      <w:r>
        <w:rPr>
          <w:rFonts w:hint="eastAsia" w:ascii="宋体" w:hAnsi="宋体" w:eastAsia="宋体" w:cs="宋体"/>
          <w:sz w:val="21"/>
          <w:szCs w:val="21"/>
        </w:rPr>
        <w:t xml:space="preserve">运维费的</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4.2.5 </w:t>
      </w: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w:t>
      </w:r>
      <w:r>
        <w:rPr>
          <w:rFonts w:hint="eastAsia" w:ascii="宋体" w:hAnsi="宋体" w:eastAsia="宋体" w:cs="宋体"/>
          <w:sz w:val="21"/>
          <w:szCs w:val="21"/>
        </w:rPr>
        <w:t xml:space="preserve">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在项目实施过程中，乙方应根据合同安排符合甲方要求的</w:t>
      </w:r>
      <w:r>
        <w:rPr>
          <w:rFonts w:hint="eastAsia" w:eastAsia="宋体" w:cs="宋体"/>
          <w:sz w:val="21"/>
          <w:szCs w:val="21"/>
          <w:lang w:val="en-US" w:eastAsia="zh-CN"/>
        </w:rPr>
        <w:t xml:space="preserve">固定技术</w:t>
      </w:r>
      <w:r>
        <w:rPr>
          <w:rFonts w:hint="eastAsia" w:ascii="宋体" w:hAnsi="宋体" w:eastAsia="宋体" w:cs="宋体"/>
          <w:sz w:val="21"/>
          <w:szCs w:val="21"/>
        </w:rPr>
        <w:t xml:space="preserve">人员，服务期</w:t>
      </w:r>
      <w:r>
        <w:rPr>
          <w:rFonts w:hint="eastAsia" w:ascii="宋体" w:hAnsi="宋体" w:eastAsia="宋体" w:cs="宋体"/>
          <w:sz w:val="21"/>
          <w:szCs w:val="21"/>
          <w:highlight w:val="none"/>
        </w:rPr>
        <w:t xml:space="preserve">内 </w:t>
      </w:r>
      <w:r>
        <w:rPr>
          <w:rFonts w:hint="eastAsia" w:eastAsia="宋体" w:cs="宋体"/>
          <w:sz w:val="21"/>
          <w:szCs w:val="21"/>
          <w:highlight w:val="none"/>
          <w:lang w:val="en-US" w:eastAsia="zh-CN"/>
        </w:rPr>
        <w:t xml:space="preserve">固定技术</w:t>
      </w:r>
      <w:r>
        <w:rPr>
          <w:rFonts w:hint="eastAsia" w:ascii="宋体" w:hAnsi="宋体" w:eastAsia="宋体" w:cs="宋体"/>
          <w:sz w:val="21"/>
          <w:szCs w:val="21"/>
          <w:highlight w:val="none"/>
        </w:rPr>
        <w:t xml:space="preserve">人员应</w:t>
      </w:r>
      <w:r>
        <w:rPr>
          <w:rFonts w:hint="eastAsia" w:ascii="宋体" w:hAnsi="宋体" w:eastAsia="宋体" w:cs="宋体"/>
          <w:sz w:val="21"/>
          <w:szCs w:val="21"/>
        </w:rPr>
        <w:t xml:space="preserve">在甲方指定地点配合开展相关工作。乙方不得随意更换人员。甲方定期对人员进行考核，违反保密工作规定或出现重大工作失误的甲方有权要求更换，并根据情况扣减运维费。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4.2.6 固定资产管理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乙方及人员蓄意破坏水站固定资产，或私自外借、出租、抵押的，将交由相关机构处理；出现国有资产损失或流失的，相关责任人要按原价赔偿，并追究法律责任。</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4.2.7 运行维护规范性</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经甲方认定，乙方存在下列情形的，将根据相应规定进行扣款：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（1）每月3次存在以下情形时，一经查实，扣除该站点当月20%的运维费；每月6次存在以下情形时，一经查实，扣除该站点当月50%的运维费。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1）乙方应在每天12时前，完成前一日数据审核工作。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2）乙方发现非运维人员进入站房后有干扰正常监测行为，未及时制止并上报甲方的。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 分析仪器监测结果出现异常，但乙方未及时响应并未采取有效措施的。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4）乙方未按要求进行例行维护，定期完成试剂更换、仪器校准、核查等维护工作的。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5）乙方未定期进行站房、采水口及采水构筑物、采水管路、辅助设施等清洁维护工作的。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6）乙方未按要求在平台进行运维记录填写或填写不规范的。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7）乙方存在其他不符合相关管理技术规范等要求的情形。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）发现监测点位出现未经批准的变更，未及时上报的，扣除该站点考核周期内20%运维费。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）发现有人为干扰采样情形，未及时上报的，扣除该站点考核周期内20%运维费。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常规参数（水温、pH、溶解氧、电导率、浊度、氨氮、高锰酸盐指数、总磷、总氮、叶绿素、藻密度、流量计）设备故障，未在48h内修复或启用备机替换并将监测数据上传平台的，每出现1次超期未解决情况扣除当月运维费的10%，扣完为止。</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）经甲方认定，乙方使用虚假信息进行停运申请和操作的，扣除该站点当月全部运维费。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）存在其他严重违反合同约定或相关规范要求的情形，甲方根据实际情况酌情扣款。</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bookmarkStart w:id="31" w:name="_Toc86147074"/>
      <w:r>
        <w:rPr>
          <w:rFonts w:hint="eastAsia" w:ascii="宋体" w:hAnsi="宋体" w:eastAsia="宋体" w:cs="宋体"/>
          <w:b/>
          <w:bCs/>
          <w:sz w:val="21"/>
          <w:szCs w:val="21"/>
        </w:rPr>
        <w:t xml:space="preserve">4.3 其他规定</w:t>
      </w:r>
      <w:bookmarkEnd w:id="31"/>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4.3.1运维交接</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4.3.2弄虚作假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乙方及其人员实施或参与以下情形的，按弄虚作假处理，一经查实，扣除该站当月运维费，同时采取约谈、通报批评、解除合同等处罚，违反法律法规的，将交由相关部门依法处理。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（1）存在《环境监测数据弄虚作假行为判定及处理办法》中认定的篡改、伪造或者指使篡改、伪造监测数据行为的。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（2）存在关键参数虚假报备，或实际关键参数超出备案范围，对数据造成严重影响的。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（3）随意更改预处理装置，实际预处理方式及其启用/停用与报备方式不一致的。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（4）实施或参与干扰采水设施和自动监测设施、破坏水质自动监测系统的。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（5）其他造成水质自动监测数据严重失真的情形。</w:t>
      </w:r>
      <w:r/>
    </w:p>
    <w:p>
      <w:pPr>
        <w:contextualSpacing/>
        <w:ind w:firstLine="420"/>
        <w:keepLines w:val="0"/>
        <w:keepNext w:val="0"/>
        <w:pageBreakBefore w:val="0"/>
        <w:spacing w:line="400" w:lineRule="exact"/>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4.3.3站点及水质监测防人为干扰</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定期开展巡查，原则要求河流型水站应覆盖站点采水口上下游1公里范围，湖库型水站应覆盖站点采水口周边500米半径的湖区范围。重点内容包括站点周边有无人工喷泉、曝气等增氧装置，有无投放生物、化学药剂行为，有无干扰采水口正常采样行为等。</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(2)不得擅自或者协助他人篡改设备运行参数及干扰设备各个部件的正常运行。</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(3)非运维人员未经吴中生态环境局同意不得进入站房内部及采样区域，如确需进入，提前报备。</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(4)不得将站房门禁或钥匙交给非运维人员，如已有此情况，及时更换锁具或更改门禁密码。</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(5)运维方人为干扰情况不限于以上三项，其余按生态环境部或江苏省生态环境厅有关地表水水质自动站防人为干扰相关文件要求执行。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4.3.4惩罚办法</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甲方开展不定期运维检查，若发现乙方存在人为干扰监测站点正常运行的行为，第一次发现，扣除本合同金额的10%，并警告通报，第二次发现，扣除本合同金额的30%，第三次发现，甲方终止本合同。</w:t>
      </w:r>
      <w:r/>
    </w:p>
    <w:p>
      <w:pPr>
        <w:jc w:val="left"/>
        <w:keepLines w:val="0"/>
        <w:keepNext w:val="0"/>
        <w:pageBreakBefore w:val="0"/>
        <w:spacing w:line="400" w:lineRule="exact"/>
        <w:widowControl/>
        <w:rPr>
          <w:rFonts w:hint="eastAsia" w:ascii="宋体" w:hAnsi="宋体" w:eastAsia="宋体" w:cs="宋体"/>
          <w:b/>
          <w:bCs/>
          <w:sz w:val="21"/>
          <w:szCs w:val="21"/>
        </w:rPr>
        <w:outlineLvl w:val="9"/>
      </w:pPr>
      <w:r/>
      <w:bookmarkStart w:id="32" w:name="_Toc86147075"/>
      <w:r>
        <w:rPr>
          <w:rFonts w:hint="eastAsia" w:ascii="宋体" w:hAnsi="宋体" w:eastAsia="宋体" w:cs="宋体"/>
          <w:b/>
          <w:bCs/>
          <w:sz w:val="21"/>
          <w:szCs w:val="21"/>
        </w:rPr>
        <w:t xml:space="preserve">5、技术规范和标准</w:t>
      </w:r>
      <w:bookmarkEnd w:id="32"/>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5.1《地表水自动监测技术规范（试行）》（HJ 915-2017）</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5.2 《关于印发&lt;国家地表水水质自动监测站运行维护管理实施细则（试行）&gt;等文件的通知》（总站水字〔2019〕649）</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5.3《国家地表水水质自动监测站补充监测技术规定（试行）》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5.4《国家地表水水质自动监测站常规五参数现场比对技术要求（试行）》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5.5《国家地表水水质自动监测站盲样考核管理规定（试行）》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5.6《国家地表水水质自动监测数据审核技术细则（试行）》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5.7《国家地表水水质自动监测数据审核管理办法（试行）》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5.8《国家地表水自动监测系统通信协议技术要求》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5.9《国家地表水自动监测仪器通信协议技术要求》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5.10《省生态环境厅&lt;关于印发江苏省地表水自动监测站运行管理办法（试行）&gt;的通知》（苏环办〔2020〕174号）</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5.11《省生态环境厅&lt;关于印发江苏省地表水水质自动监测站建设技术要求——站房、采水及文化建设部分（试行）&gt;的通知》（苏环办〔2019〕114号）</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5.12《河流流量测验规范》（GB 50179-2015）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5.13《声学多普勒流量测验规范》（SL337-2006）</w:t>
      </w:r>
      <w:r>
        <w:rPr>
          <w:rFonts w:hint="eastAsia" w:ascii="宋体" w:hAnsi="宋体" w:eastAsia="宋体" w:cs="宋体"/>
          <w:sz w:val="21"/>
          <w:szCs w:val="21"/>
        </w:rPr>
        <w:t xml:space="preserve">。</w:t>
      </w:r>
      <w:r/>
    </w:p>
    <w:p>
      <w:pPr>
        <w:jc w:val="center"/>
        <w:keepLines w:val="0"/>
        <w:keepNext w:val="0"/>
        <w:pageBreakBefore w:val="0"/>
        <w:spacing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三标段：</w:t>
      </w:r>
      <w:r>
        <w:rPr>
          <w:rFonts w:hint="eastAsia" w:ascii="宋体" w:hAnsi="宋体" w:eastAsia="宋体" w:cs="宋体"/>
          <w:b/>
          <w:bCs/>
          <w:color w:val="000000"/>
          <w:sz w:val="21"/>
          <w:szCs w:val="21"/>
          <w:highlight w:val="none"/>
          <w:vertAlign w:val="baseline"/>
          <w:lang w:val="en-US" w:eastAsia="zh-CN"/>
        </w:rPr>
        <w:t xml:space="preserve">胥江、浒光运河等部分干支流13座水质自动站运维服务</w:t>
      </w:r>
      <w:r/>
    </w:p>
    <w:p>
      <w:pPr>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368"/>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1、项目概述</w:t>
      </w:r>
      <w:r/>
    </w:p>
    <w:p>
      <w:pPr>
        <w:pStyle w:val="1034"/>
        <w:ind w:firstLine="420"/>
        <w:keepLines w:val="0"/>
        <w:keepNext w:val="0"/>
        <w:pageBreakBefore w:val="0"/>
        <w:spacing w:line="400" w:lineRule="exact"/>
        <w:widowControl w:val="off"/>
        <w:rPr>
          <w:rFonts w:hint="eastAsia"/>
          <w:color w:val="000000"/>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为保障吴中区地表水环境质量监控系统正常安全运行，确保监测数据的有效性、准确性，强化自动监测监督管理工作，推进地表水环境质量监控系统社会化运营模式，拟委托第三方对胥江、浒光运河等部分干支流13座水质自动站提供运维服务。</w:t>
      </w:r>
      <w:r/>
    </w:p>
    <w:p>
      <w:pPr>
        <w:pStyle w:val="1368"/>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2、总体要求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 凡标有“▲”的内容均被视为重要的技术要求和性能指标。投标人要特别加以注意，必须</w:t>
      </w:r>
      <w:r>
        <w:rPr>
          <w:rFonts w:hint="eastAsia" w:eastAsia="宋体" w:cs="宋体"/>
          <w:color w:val="000000"/>
          <w:sz w:val="21"/>
          <w:szCs w:val="21"/>
          <w:highlight w:val="none"/>
          <w:lang w:val="en-US" w:eastAsia="zh-CN"/>
        </w:rPr>
        <w:t xml:space="preserve">予以承诺响应</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 投标人资金保证充足。</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2.3 投标人应列明水质自动监测系统运营及管理期间的各项费用预算开支。</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▲在水质自动监测系统运维及管理期间，在合同约束范围内中标单位拥有管理自主权；不能以任何形式外包合同规定的运行维护任务。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▲投标人应提供完整的水质自动监测系统运维实施方案。提出解决目前存在问题的措施，明确维护方法、周期、内容及技术保障。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 ▲投标人应提供完整的水质自动监测运维人员管理方案，提出解决稳定人员队伍的措施。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 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采购人的定期、不定期检查和考核。</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 投标人具备一定的监测数据分析能力，能配合采购人完成各类分析报告的编制工作，可为环境管理提供技术支撑。</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 本项目需要进行现场勘察，各位潜在投标人应提前深入了解原水站系统运行情况，以确保中标后与原运维单位对接并承担相应责任。应于开标日期10日前完成现场勘查。现场勘查联系人及联系方式：</w:t>
      </w:r>
      <w:r>
        <w:rPr>
          <w:rFonts w:hint="eastAsia" w:ascii="宋体" w:hAnsi="宋体" w:eastAsia="宋体" w:cs="宋体"/>
          <w:color w:val="000000"/>
          <w:sz w:val="21"/>
          <w:szCs w:val="21"/>
          <w:highlight w:val="none"/>
          <w:lang w:val="en-US" w:eastAsia="zh-CN"/>
        </w:rPr>
        <w:t xml:space="preserve">阮晓杰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7082875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叶文荣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7082862</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cyan"/>
        </w:rPr>
        <w:outlineLvl w:val="9"/>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cyan"/>
        </w:rPr>
        <w:t xml:space="preserve">投标人承诺为本项目在采购人单位提供</w:t>
      </w:r>
      <w:r>
        <w:rPr>
          <w:rFonts w:hint="eastAsia" w:cs="宋体"/>
          <w:color w:val="000000"/>
          <w:sz w:val="21"/>
          <w:szCs w:val="21"/>
          <w:highlight w:val="cyan"/>
          <w:lang w:val="en-US" w:eastAsia="zh-CN"/>
        </w:rPr>
        <w:t xml:space="preserve">相关</w:t>
      </w:r>
      <w:r>
        <w:rPr>
          <w:rFonts w:hint="eastAsia" w:eastAsia="宋体" w:cs="宋体"/>
          <w:color w:val="000000"/>
          <w:sz w:val="21"/>
          <w:szCs w:val="21"/>
          <w:highlight w:val="cyan"/>
          <w:lang w:val="en-US" w:eastAsia="zh-CN"/>
        </w:rPr>
        <w:t xml:space="preserve">技术</w:t>
      </w:r>
      <w:r>
        <w:rPr>
          <w:rFonts w:hint="eastAsia" w:ascii="宋体" w:hAnsi="宋体" w:eastAsia="宋体" w:cs="宋体"/>
          <w:color w:val="000000"/>
          <w:sz w:val="21"/>
          <w:szCs w:val="21"/>
          <w:highlight w:val="cyan"/>
        </w:rPr>
        <w:t xml:space="preserve">人员，</w:t>
      </w:r>
      <w:r>
        <w:rPr>
          <w:rFonts w:hint="eastAsia" w:cs="宋体"/>
          <w:color w:val="000000"/>
          <w:sz w:val="21"/>
          <w:szCs w:val="21"/>
          <w:highlight w:val="cyan"/>
          <w:lang w:val="en-US" w:eastAsia="zh-CN"/>
        </w:rPr>
        <w:t xml:space="preserve">具体人员数量须与本章3.2.3中人员表格要求一致，</w:t>
      </w:r>
      <w:r>
        <w:rPr>
          <w:rFonts w:hint="eastAsia"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确保服务响应的及时性，无条件服从采购人的日常工作安排，对采购人负责，未经采购人同意不得调整</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须提供书面盖章承诺。</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i w:val="0"/>
          <w:iCs w:val="0"/>
          <w:color w:val="000000"/>
          <w:sz w:val="21"/>
          <w:szCs w:val="21"/>
          <w:highlight w:val="none"/>
          <w:u w:val="single"/>
        </w:rPr>
      </w:pPr>
      <w:r>
        <w:rPr>
          <w:rFonts w:hint="eastAsia" w:ascii="宋体" w:hAnsi="宋体" w:eastAsia="宋体" w:cs="宋体"/>
          <w:b/>
          <w:bCs/>
          <w:i w:val="0"/>
          <w:iCs w:val="0"/>
          <w:color w:val="000000"/>
          <w:sz w:val="21"/>
          <w:szCs w:val="21"/>
          <w:highlight w:val="none"/>
          <w:u w:val="single"/>
        </w:rPr>
        <w:t xml:space="preserve">2.11 投标人自2020年1月1日至今在全国范围内的环境服务活动中出现投标人或其法定代表人、员工（包括但不限于高管人员、项目负责人员、实施人员及其他员工等，员工的认定以违法行为发生当时劳动合同、聘任合同存续为准）曾在本项目类似业务实施过程中，因行贿受贿、数据造假、人为干扰监测等与业务活动相关的行为受到刑事处罚或被区县级（含）以上生态环境部门通报、行政处罚的不能参与此次投标。投标人须承诺无上述行为，并提供承诺函。如招标人发现投标人虚假承诺，将视为虚假应标，并承担相关法律后果。</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3、水站运维管理采购内容和要求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需求及采购内容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 具体站点情况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本次采购的项目内容为吴中区</w:t>
      </w:r>
      <w:r>
        <w:rPr>
          <w:rFonts w:hint="eastAsia"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个水站的运行维护。要求投标人根据招标文件的要求负责水质自动监测系统的运行维护及管理工作。</w:t>
      </w:r>
      <w:r>
        <w:rPr>
          <w:rFonts w:hint="eastAsia" w:ascii="宋体" w:hAnsi="宋体" w:eastAsia="宋体" w:cs="宋体"/>
          <w:i w:val="0"/>
          <w:iCs w:val="0"/>
          <w:color w:val="000000"/>
          <w:sz w:val="21"/>
          <w:szCs w:val="21"/>
          <w:highlight w:val="none"/>
          <w:u w:val="none"/>
          <w:lang w:val="en-US" w:eastAsia="zh-CN" w:bidi="ar"/>
        </w:rPr>
        <w:t xml:space="preserve">在服务期限内免费提供</w:t>
      </w:r>
      <w:r>
        <w:rPr>
          <w:rFonts w:hint="eastAsia"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次简易站搬迁服务，包含地基建设、水电接入及吊装等费用。</w:t>
      </w:r>
      <w:r>
        <w:rPr>
          <w:rFonts w:hint="eastAsia" w:ascii="宋体" w:hAnsi="宋体" w:eastAsia="宋体" w:cs="宋体"/>
          <w:color w:val="000000"/>
          <w:sz w:val="21"/>
          <w:szCs w:val="21"/>
          <w:highlight w:val="none"/>
        </w:rPr>
        <w:t xml:space="preserve">具体情况见下表：</w:t>
      </w:r>
      <w:r/>
    </w:p>
    <w:tbl>
      <w:tblPr>
        <w:tblStyle w:val="848"/>
        <w:tblW w:w="105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656"/>
        <w:gridCol w:w="3684"/>
        <w:gridCol w:w="2220"/>
        <w:gridCol w:w="2220"/>
      </w:tblGrid>
      <w:tr>
        <w:trPr/>
        <w:tc>
          <w:tcPr>
            <w:tcW w:w="8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序号</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站点名称</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站点配置参数</w:t>
            </w:r>
            <w:r/>
          </w:p>
        </w:tc>
        <w:tc>
          <w:tcPr>
            <w:tcW w:w="222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服务周期</w:t>
            </w:r>
            <w:r/>
          </w:p>
        </w:tc>
        <w:tc>
          <w:tcPr>
            <w:tcW w:w="222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备注</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钱甲里桥</w:t>
            </w:r>
            <w:r/>
          </w:p>
        </w:tc>
        <w:tc>
          <w:tcPr>
            <w:tcW w:w="368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高锰酸盐指数使用备机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箭泾河桥</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left"/>
              <w:keepLines w:val="0"/>
              <w:keepNext w:val="0"/>
              <w:pageBreakBefore w:val="0"/>
              <w:spacing w:after="0" w:line="400" w:lineRule="exact"/>
              <w:widowControl w:val="off"/>
              <w:tabs>
                <w:tab w:val="left" w:pos="36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ab/>
            </w:r>
            <w:r>
              <w:rPr>
                <w:rFonts w:hint="eastAsia" w:eastAsia="宋体" w:cs="宋体"/>
                <w:sz w:val="21"/>
                <w:szCs w:val="21"/>
                <w:highlight w:val="none"/>
                <w:vertAlign w:val="baseline"/>
                <w:lang w:val="en-US" w:eastAsia="zh-CN"/>
              </w:rPr>
              <w:t xml:space="preserve">水质四参数和高锰酸盐指数使用备机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陈家社桥</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4</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新新桥</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高锰酸盐指数、氨氮、总磷、总氮、流量计</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5</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游湖</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6</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lang w:eastAsia="zh-CN"/>
              </w:rPr>
              <w:outlineLvl w:val="9"/>
            </w:pPr>
            <w:r>
              <w:rPr>
                <w:rFonts w:hint="eastAsia" w:eastAsia="宋体" w:cs="宋体"/>
                <w:sz w:val="21"/>
                <w:szCs w:val="21"/>
                <w:lang w:val="en-US" w:eastAsia="zh-CN" w:bidi="ar"/>
              </w:rPr>
              <w:t xml:space="preserve">下淹湖</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高锰酸盐指数使用备机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7</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独墅湖</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8</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西塘河</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9</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吴中东路桥</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10</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尧太河二号桥</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11</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张家浜桥</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12</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顺堤河</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高锰酸盐指数使用备机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13</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走马塘桥</w:t>
            </w:r>
            <w:r/>
          </w:p>
        </w:tc>
        <w:tc>
          <w:tcPr>
            <w:tcW w:w="3684"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bl>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val="0"/>
          <w:bCs w:val="0"/>
          <w:color w:val="000000"/>
          <w:sz w:val="21"/>
          <w:szCs w:val="21"/>
          <w:highlight w:val="none"/>
        </w:rPr>
        <w:outlineLvl w:val="9"/>
      </w:pPr>
      <w:r>
        <w:rPr>
          <w:rFonts w:hint="eastAsia" w:eastAsia="宋体" w:cs="宋体"/>
          <w:b/>
          <w:bCs/>
          <w:sz w:val="21"/>
          <w:szCs w:val="21"/>
          <w:lang w:val="en-US" w:eastAsia="zh-CN"/>
        </w:rPr>
        <w:t xml:space="preserve">备注：本标段存在设备无法正常运行，中标单位需提供备机，保障站点正常运行，提供的氨氮、高锰酸盐指数、总磷、总氮设备需具备自动质控功能。本标段主要设备品牌为绿洁。</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3.1.2设备和设施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维单位负责运维的设备主要包括监测仪器、控制系统和辅助设备设施等。其中，监测仪器主要包括：水温、pH、溶解氧、电导率、浊度、高锰酸盐指数、氨氮、总磷、总氮九项参数，部分站点含挥发性有机物、生物毒性、挥发酚、TOC、氟化物、流量计等。辅助设备设施主要包括UPS、供电系统、通讯系统、防雷系统、视频监控系统等。</w:t>
      </w:r>
      <w:r/>
    </w:p>
    <w:p>
      <w:pPr>
        <w:contextualSpacing/>
        <w:ind w:firstLine="420"/>
        <w:keepLines w:val="0"/>
        <w:keepNext w:val="0"/>
        <w:pageBreakBefore w:val="0"/>
        <w:spacing w:line="400" w:lineRule="exact"/>
        <w:widowControl w:val="off"/>
        <w:tabs>
          <w:tab w:val="left" w:pos="2280" w:leader="none"/>
        </w:tabs>
        <w:rPr>
          <w:rFonts w:hint="eastAsia" w:eastAsia="宋体" w:cs="宋体"/>
          <w:sz w:val="21"/>
          <w:szCs w:val="21"/>
          <w:lang w:val="en-US" w:eastAsia="zh-CN"/>
        </w:rPr>
        <w:outlineLvl w:val="9"/>
      </w:pPr>
      <w:r>
        <w:rPr>
          <w:rFonts w:hint="eastAsia" w:eastAsia="宋体" w:cs="宋体"/>
          <w:sz w:val="21"/>
          <w:szCs w:val="21"/>
          <w:lang w:val="en-US" w:eastAsia="zh-CN"/>
        </w:rPr>
        <w:t xml:space="preserve">3.1.3采购移动数据处理终端1台，技术参数如下：</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704"/>
        <w:gridCol w:w="4008"/>
      </w:tblGrid>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序号</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参数名称</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参数指标</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w:t>
            </w:r>
            <w:r/>
          </w:p>
        </w:tc>
        <w:tc>
          <w:tcPr>
            <w:tcW w:w="47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屏幕尺寸</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highlight w:val="yellow"/>
                <w:vertAlign w:val="baseline"/>
                <w:lang w:val="en-US" w:eastAsia="zh-CN"/>
              </w:rPr>
            </w:pPr>
            <w:r>
              <w:rPr>
                <w:rFonts w:hint="eastAsia" w:ascii="宋体" w:hAnsi="宋体" w:eastAsia="宋体" w:cs="宋体"/>
                <w:b w:val="0"/>
                <w:bCs w:val="0"/>
                <w:color w:val="auto"/>
                <w:sz w:val="21"/>
                <w:szCs w:val="21"/>
                <w:highlight w:val="yellow"/>
                <w:vertAlign w:val="baseline"/>
                <w:lang w:val="en-US" w:eastAsia="zh-CN"/>
              </w:rPr>
              <w:t xml:space="preserve">不小于1</w:t>
            </w:r>
            <w:r>
              <w:rPr>
                <w:rFonts w:hint="eastAsia" w:cs="宋体"/>
                <w:b w:val="0"/>
                <w:bCs w:val="0"/>
                <w:color w:val="auto"/>
                <w:sz w:val="21"/>
                <w:szCs w:val="21"/>
                <w:highlight w:val="yellow"/>
                <w:vertAlign w:val="baseline"/>
                <w:lang w:val="en-US" w:eastAsia="zh-CN"/>
              </w:rPr>
              <w:t xml:space="preserve">4</w:t>
            </w:r>
            <w:r>
              <w:rPr>
                <w:rFonts w:hint="eastAsia" w:ascii="宋体" w:hAnsi="宋体" w:eastAsia="宋体" w:cs="宋体"/>
                <w:b w:val="0"/>
                <w:bCs w:val="0"/>
                <w:color w:val="auto"/>
                <w:sz w:val="21"/>
                <w:szCs w:val="21"/>
                <w:highlight w:val="yellow"/>
                <w:vertAlign w:val="baseline"/>
                <w:lang w:val="en-US" w:eastAsia="zh-CN"/>
              </w:rPr>
              <w:t xml:space="preserve">英寸</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2</w:t>
            </w:r>
            <w:r/>
          </w:p>
        </w:tc>
        <w:tc>
          <w:tcPr>
            <w:tcW w:w="47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屏幕分辨率</w:t>
            </w:r>
            <w:r/>
          </w:p>
        </w:tc>
        <w:tc>
          <w:tcPr>
            <w:tcW w:w="400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highlight w:val="yellow"/>
                <w:u w:val="none"/>
                <w:lang w:val="en-US" w:eastAsia="zh-CN" w:bidi="ar-SA"/>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不低于2</w:t>
            </w:r>
            <w:r>
              <w:rPr>
                <w:rFonts w:hint="eastAsia" w:cs="宋体"/>
                <w:b w:val="0"/>
                <w:bCs w:val="0"/>
                <w:i w:val="0"/>
                <w:iCs w:val="0"/>
                <w:color w:val="000000"/>
                <w:sz w:val="21"/>
                <w:szCs w:val="21"/>
                <w:highlight w:val="yellow"/>
                <w:u w:val="none"/>
                <w:lang w:val="en-US" w:eastAsia="zh-CN" w:bidi="ar"/>
              </w:rPr>
              <w:t xml:space="preserve">88</w:t>
            </w:r>
            <w:r>
              <w:rPr>
                <w:rFonts w:hint="eastAsia" w:ascii="宋体" w:hAnsi="宋体" w:eastAsia="宋体" w:cs="宋体"/>
                <w:b w:val="0"/>
                <w:bCs w:val="0"/>
                <w:i w:val="0"/>
                <w:iCs w:val="0"/>
                <w:color w:val="000000"/>
                <w:sz w:val="21"/>
                <w:szCs w:val="21"/>
                <w:highlight w:val="yellow"/>
                <w:u w:val="none"/>
                <w:lang w:val="en-US" w:eastAsia="zh-CN" w:bidi="ar"/>
              </w:rPr>
              <w:t xml:space="preserve">0*1</w:t>
            </w:r>
            <w:r>
              <w:rPr>
                <w:rFonts w:hint="eastAsia" w:cs="宋体"/>
                <w:b w:val="0"/>
                <w:bCs w:val="0"/>
                <w:i w:val="0"/>
                <w:iCs w:val="0"/>
                <w:color w:val="000000"/>
                <w:sz w:val="21"/>
                <w:szCs w:val="21"/>
                <w:highlight w:val="yellow"/>
                <w:u w:val="none"/>
                <w:lang w:val="en-US" w:eastAsia="zh-CN" w:bidi="ar"/>
              </w:rPr>
              <w:t xml:space="preserve">8</w:t>
            </w:r>
            <w:r>
              <w:rPr>
                <w:rFonts w:hint="eastAsia" w:ascii="宋体" w:hAnsi="宋体" w:eastAsia="宋体" w:cs="宋体"/>
                <w:b w:val="0"/>
                <w:bCs w:val="0"/>
                <w:i w:val="0"/>
                <w:iCs w:val="0"/>
                <w:color w:val="000000"/>
                <w:sz w:val="21"/>
                <w:szCs w:val="21"/>
                <w:highlight w:val="yellow"/>
                <w:u w:val="none"/>
                <w:lang w:val="en-US" w:eastAsia="zh-CN" w:bidi="ar"/>
              </w:rPr>
              <w:t xml:space="preserve">00</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3</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屏幕刷新率</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olor w:val="000000"/>
                <w:sz w:val="21"/>
                <w:szCs w:val="21"/>
                <w:u w:val="none"/>
                <w:lang w:val="en-US" w:eastAsia="zh-CN" w:bidi="ar"/>
              </w:rPr>
              <w:t xml:space="preserve">不低于120Hz</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4</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CPU</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highlight w:val="yellow"/>
                <w:shd w:val="clear" w:color="auto" w:fill="ffffff"/>
              </w:rPr>
              <w:t xml:space="preserve">酷睿Ultra</w:t>
            </w:r>
            <w:r>
              <w:rPr>
                <w:rFonts w:hint="eastAsia" w:cs="宋体"/>
                <w:b w:val="0"/>
                <w:bCs w:val="0"/>
                <w:i w:val="0"/>
                <w:iCs w:val="0"/>
                <w:caps w:val="0"/>
                <w:color w:val="1a1a1a"/>
                <w:spacing w:val="0"/>
                <w:sz w:val="21"/>
                <w:szCs w:val="21"/>
                <w:highlight w:val="yellow"/>
                <w:shd w:val="clear" w:color="auto" w:fill="ffffff"/>
                <w:lang w:val="en-US" w:eastAsia="zh-CN"/>
              </w:rPr>
              <w:t xml:space="preserve">2</w:t>
            </w:r>
            <w:r>
              <w:rPr>
                <w:rFonts w:hint="eastAsia" w:ascii="宋体" w:hAnsi="宋体" w:eastAsia="宋体" w:cs="宋体"/>
                <w:b w:val="0"/>
                <w:bCs w:val="0"/>
                <w:i w:val="0"/>
                <w:iCs w:val="0"/>
                <w:caps w:val="0"/>
                <w:color w:val="1a1a1a"/>
                <w:spacing w:val="0"/>
                <w:sz w:val="21"/>
                <w:szCs w:val="21"/>
                <w:highlight w:val="yellow"/>
                <w:shd w:val="clear" w:color="auto" w:fill="ffffff"/>
              </w:rPr>
              <w:t xml:space="preserve">代</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5</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屏幕类型</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IPS</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6</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接口支持</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USB-C USB-A HDMI</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7</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系统</w:t>
            </w:r>
            <w:r/>
          </w:p>
        </w:tc>
        <w:tc>
          <w:tcPr>
            <w:tcW w:w="400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Windows 11带Office</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8</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硬盘容量</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不小于1TB</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9</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内存容量</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不小于16GB</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10</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显卡</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intel核显</w:t>
            </w:r>
            <w:r/>
          </w:p>
        </w:tc>
      </w:tr>
    </w:tbl>
    <w:p>
      <w:pPr>
        <w:contextualSpacing/>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3.2 机构、人员、车辆、设备配备要求</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中标</w:t>
      </w:r>
      <w:r>
        <w:rPr>
          <w:rFonts w:hint="eastAsia" w:ascii="宋体" w:hAnsi="宋体" w:eastAsia="宋体" w:cs="宋体"/>
          <w:b/>
          <w:bCs/>
          <w:sz w:val="21"/>
          <w:szCs w:val="21"/>
        </w:rPr>
        <w:t xml:space="preserve">后</w:t>
      </w:r>
      <w:r>
        <w:rPr>
          <w:rFonts w:hint="eastAsia" w:ascii="宋体" w:hAnsi="宋体" w:eastAsia="宋体" w:cs="宋体"/>
          <w:b/>
          <w:bCs/>
          <w:sz w:val="21"/>
          <w:szCs w:val="21"/>
          <w:lang w:val="en-US" w:eastAsia="zh-CN"/>
        </w:rPr>
        <w:t xml:space="preserve">须</w:t>
      </w:r>
      <w:r>
        <w:rPr>
          <w:rFonts w:hint="eastAsia" w:ascii="宋体" w:hAnsi="宋体" w:eastAsia="宋体" w:cs="宋体"/>
          <w:b/>
          <w:bCs/>
          <w:sz w:val="21"/>
          <w:szCs w:val="21"/>
        </w:rPr>
        <w:t xml:space="preserve">立即配置到位）</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3.2.1 ▲</w:t>
      </w:r>
      <w:r>
        <w:rPr>
          <w:rFonts w:hint="eastAsia" w:ascii="宋体" w:hAnsi="宋体" w:eastAsia="宋体" w:cs="宋体"/>
          <w:sz w:val="21"/>
          <w:szCs w:val="21"/>
          <w:lang w:val="en-US" w:eastAsia="zh-CN"/>
        </w:rPr>
        <w:t xml:space="preserve">中标后</w:t>
      </w:r>
      <w:r>
        <w:rPr>
          <w:rFonts w:hint="eastAsia" w:ascii="宋体" w:hAnsi="宋体" w:eastAsia="宋体" w:cs="宋体"/>
          <w:sz w:val="21"/>
          <w:szCs w:val="21"/>
        </w:rPr>
        <w:t xml:space="preserve">需提供本地化运维服务方案，具备本地化运维服务能力，应在项目地设立1个运维技术服务网点（需提供办事处购房或房屋租赁合同、房租、水电缴费发票和记录等材料）。</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3.2.2 ▲应配备经验丰富的运维人员，为本项目配置的运维人员应通过省级及以上水质自动站持证上岗考核或培训。</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配备的专业技术人员数量、</w:t>
      </w:r>
      <w:r>
        <w:rPr>
          <w:rFonts w:hint="eastAsia" w:ascii="宋体" w:hAnsi="宋体" w:eastAsia="宋体" w:cs="宋体"/>
          <w:sz w:val="21"/>
          <w:szCs w:val="21"/>
          <w:lang w:eastAsia="zh-CN"/>
        </w:rPr>
        <w:t xml:space="preserve">固定技术人员</w:t>
      </w:r>
      <w:r>
        <w:rPr>
          <w:rFonts w:hint="eastAsia" w:ascii="宋体" w:hAnsi="宋体" w:eastAsia="宋体" w:cs="宋体"/>
          <w:sz w:val="21"/>
          <w:szCs w:val="21"/>
        </w:rPr>
        <w:t xml:space="preserve">以及运维专用车辆数量不少于下表的要求。</w:t>
      </w:r>
      <w:r/>
    </w:p>
    <w:p>
      <w:pPr>
        <w:jc w:val="center"/>
        <w:rPr>
          <w:rFonts w:hint="eastAsia" w:ascii="宋体" w:hAnsi="宋体" w:eastAsia="宋体" w:cs="宋体"/>
          <w:sz w:val="21"/>
          <w:szCs w:val="21"/>
        </w:rPr>
      </w:pPr>
      <w:r>
        <w:rPr>
          <w:rFonts w:hint="eastAsia" w:ascii="宋体" w:hAnsi="宋体" w:eastAsia="宋体" w:cs="宋体"/>
          <w:sz w:val="21"/>
          <w:szCs w:val="21"/>
        </w:rPr>
        <w:t xml:space="preserve">表：人员、车辆要求</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897"/>
        <w:gridCol w:w="1985"/>
        <w:gridCol w:w="2221"/>
        <w:gridCol w:w="1843"/>
      </w:tblGrid>
      <w:tr>
        <w:trPr>
          <w:jc w:val="center"/>
          <w:trHeight w:val="539"/>
        </w:trPr>
        <w:tc>
          <w:tcPr>
            <w:tcW w:w="7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站点数量（个）</w:t>
            </w:r>
            <w:r/>
          </w:p>
        </w:tc>
        <w:tc>
          <w:tcPr>
            <w:tcW w:w="19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运维人员（人）</w:t>
            </w:r>
            <w:r/>
          </w:p>
        </w:tc>
        <w:tc>
          <w:tcPr>
            <w:tcW w:w="222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highlight w:val="none"/>
              </w:rPr>
              <w:t xml:space="preserve"> </w:t>
            </w:r>
            <w:r>
              <w:rPr>
                <w:rFonts w:hint="eastAsia" w:eastAsia="宋体" w:cs="宋体"/>
                <w:sz w:val="21"/>
                <w:szCs w:val="21"/>
                <w:highlight w:val="none"/>
                <w:lang w:val="en-US" w:eastAsia="zh-CN"/>
              </w:rPr>
              <w:t xml:space="preserve">固定技术</w:t>
            </w:r>
            <w:r>
              <w:rPr>
                <w:rFonts w:hint="eastAsia" w:ascii="宋体" w:hAnsi="宋体" w:eastAsia="宋体" w:cs="宋体"/>
                <w:sz w:val="21"/>
                <w:szCs w:val="21"/>
                <w:highlight w:val="none"/>
              </w:rPr>
              <w:t xml:space="preserve">人员</w:t>
            </w:r>
            <w:r>
              <w:rPr>
                <w:rFonts w:hint="eastAsia" w:ascii="宋体" w:hAnsi="宋体" w:eastAsia="宋体" w:cs="宋体"/>
                <w:sz w:val="21"/>
                <w:szCs w:val="21"/>
              </w:rPr>
              <w:t xml:space="preserve">（人）</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运维车辆（辆）</w:t>
            </w:r>
            <w:r/>
          </w:p>
        </w:tc>
      </w:tr>
      <w:tr>
        <w:trPr>
          <w:jc w:val="center"/>
          <w:trHeight w:val="539"/>
        </w:trPr>
        <w:tc>
          <w:tcPr>
            <w:tcW w:w="7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897" w:type="dxa"/>
            <w:vAlign w:val="center"/>
            <w:textDirection w:val="lrTb"/>
            <w:noWrap w:val="false"/>
          </w:tcPr>
          <w:p>
            <w:pPr>
              <w:jc w:val="center"/>
              <w:rPr>
                <w:rFonts w:hint="default" w:ascii="宋体" w:hAnsi="宋体" w:eastAsia="宋体" w:cs="宋体"/>
                <w:sz w:val="21"/>
                <w:szCs w:val="21"/>
                <w:lang w:val="en-US" w:eastAsia="zh-CN"/>
              </w:rPr>
            </w:pPr>
            <w:r>
              <w:rPr>
                <w:rFonts w:hint="eastAsia" w:eastAsia="宋体" w:cs="宋体"/>
                <w:sz w:val="21"/>
                <w:szCs w:val="21"/>
                <w:lang w:val="en-US" w:eastAsia="zh-CN"/>
              </w:rPr>
              <w:t xml:space="preserve">13</w:t>
            </w:r>
            <w:r/>
          </w:p>
        </w:tc>
        <w:tc>
          <w:tcPr>
            <w:tcW w:w="1985" w:type="dxa"/>
            <w:vAlign w:val="center"/>
            <w:textDirection w:val="lrTb"/>
            <w:noWrap w:val="false"/>
          </w:tcPr>
          <w:p>
            <w:pPr>
              <w:jc w:val="center"/>
              <w:rPr>
                <w:rFonts w:hint="eastAsia" w:ascii="宋体" w:hAnsi="宋体" w:eastAsia="宋体" w:cs="宋体"/>
                <w:sz w:val="21"/>
                <w:szCs w:val="21"/>
                <w:lang w:eastAsia="zh-CN"/>
              </w:rPr>
            </w:pPr>
            <w:r>
              <w:rPr>
                <w:rFonts w:hint="eastAsia" w:eastAsia="宋体" w:cs="宋体"/>
                <w:sz w:val="21"/>
                <w:szCs w:val="21"/>
                <w:lang w:val="en-US" w:eastAsia="zh-CN"/>
              </w:rPr>
              <w:t xml:space="preserve">3</w:t>
            </w:r>
            <w:r/>
          </w:p>
        </w:tc>
        <w:tc>
          <w:tcPr>
            <w:tcW w:w="2221" w:type="dxa"/>
            <w:vAlign w:val="center"/>
            <w:textDirection w:val="lrTb"/>
            <w:noWrap w:val="false"/>
          </w:tcPr>
          <w:p>
            <w:pPr>
              <w:jc w:val="center"/>
              <w:rPr>
                <w:rFonts w:hint="eastAsia" w:ascii="宋体" w:hAnsi="宋体" w:eastAsia="宋体" w:cs="宋体"/>
                <w:sz w:val="21"/>
                <w:szCs w:val="21"/>
                <w:lang w:eastAsia="zh-CN"/>
              </w:rPr>
            </w:pPr>
            <w:r>
              <w:rPr>
                <w:rFonts w:hint="eastAsia" w:eastAsia="宋体" w:cs="宋体"/>
                <w:sz w:val="21"/>
                <w:szCs w:val="21"/>
                <w:lang w:val="en-US" w:eastAsia="zh-CN"/>
              </w:rPr>
              <w:t xml:space="preserve">0</w:t>
            </w:r>
            <w:r/>
          </w:p>
        </w:tc>
        <w:tc>
          <w:tcPr>
            <w:tcW w:w="1843" w:type="dxa"/>
            <w:vAlign w:val="center"/>
            <w:textDirection w:val="lrTb"/>
            <w:noWrap w:val="false"/>
          </w:tcPr>
          <w:p>
            <w:pPr>
              <w:jc w:val="center"/>
              <w:rPr>
                <w:rFonts w:hint="eastAsia" w:ascii="宋体" w:hAnsi="宋体" w:eastAsia="宋体" w:cs="宋体"/>
                <w:sz w:val="21"/>
                <w:szCs w:val="21"/>
                <w:lang w:eastAsia="zh-CN"/>
              </w:rPr>
            </w:pPr>
            <w:r>
              <w:rPr>
                <w:rFonts w:hint="eastAsia" w:eastAsia="宋体" w:cs="宋体"/>
                <w:sz w:val="21"/>
                <w:szCs w:val="21"/>
                <w:lang w:val="en-US" w:eastAsia="zh-CN"/>
              </w:rPr>
              <w:t xml:space="preserve">2</w:t>
            </w:r>
            <w:r/>
          </w:p>
        </w:tc>
      </w:tr>
    </w:tbl>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3</w:t>
      </w:r>
      <w:r>
        <w:rPr>
          <w:rFonts w:hint="eastAsia" w:ascii="宋体" w:hAnsi="宋体" w:eastAsia="宋体" w:cs="宋体"/>
          <w:sz w:val="21"/>
          <w:szCs w:val="21"/>
        </w:rPr>
        <w:t xml:space="preserve"> ▲投标人须在省内自有（可以为控股）或委托用于质量控制的CMA或CNAS资质认定的质量保证实验室，或承诺在中标后3个月内建立通过资质认定的实验室，实验室认证项目参数需包括水温、pH、溶解氧、电导率、浊度、氨氮、高锰酸盐指数、总磷、总氮。</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针对上述内容，投标人须按要求提供证明材料或承诺函并加盖公章（格式自拟）。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4</w:t>
      </w:r>
      <w:r>
        <w:rPr>
          <w:rFonts w:hint="eastAsia" w:ascii="宋体" w:hAnsi="宋体" w:eastAsia="宋体" w:cs="宋体"/>
          <w:sz w:val="21"/>
          <w:szCs w:val="21"/>
        </w:rPr>
        <w:t xml:space="preserve">▲运维单位需要配备3套通过计量检定/校准的便携式五参数（水温、pH、溶解氧、电导率和浊度）监测设备，应满足原位监测要求，并在需要时用于水质自动监测站的质控及比对考核；需要配备1套走航式ADCP流量测量设备，</w:t>
      </w:r>
      <w:r>
        <w:rPr>
          <w:rFonts w:hint="eastAsia" w:ascii="宋体" w:hAnsi="宋体" w:eastAsia="宋体" w:cs="宋体"/>
          <w:sz w:val="21"/>
          <w:szCs w:val="21"/>
          <w:highlight w:val="yellow"/>
        </w:rPr>
        <w:t xml:space="preserve">应</w:t>
      </w:r>
      <w:r>
        <w:rPr>
          <w:rFonts w:hint="eastAsia" w:cs="宋体"/>
          <w:sz w:val="21"/>
          <w:szCs w:val="21"/>
          <w:highlight w:val="yellow"/>
          <w:lang w:val="en-US" w:eastAsia="zh-CN"/>
        </w:rPr>
        <w:t xml:space="preserve">用</w:t>
      </w:r>
      <w:r>
        <w:rPr>
          <w:rFonts w:hint="eastAsia" w:ascii="宋体" w:hAnsi="宋体" w:eastAsia="宋体" w:cs="宋体"/>
          <w:sz w:val="21"/>
          <w:szCs w:val="21"/>
        </w:rPr>
        <w:t xml:space="preserve">于率定工作。（已经购买的须提供购置发票或采购合同证明；未购买的须与生产厂家签订了供货协议或意向性供货协议，并提供协议证明）。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5</w:t>
      </w:r>
      <w:r>
        <w:rPr>
          <w:rFonts w:hint="eastAsia" w:ascii="宋体" w:hAnsi="宋体" w:eastAsia="宋体" w:cs="宋体"/>
          <w:sz w:val="21"/>
          <w:szCs w:val="21"/>
        </w:rPr>
        <w:t xml:space="preserve">▲运维单位须配备备机满足自动站运行需要。备机性能及功能应满足相关技术规范要求和管理需求。测量数据等参数按水站数据传输协议上传采购人指定的上层平台。未购买备机的须与生产厂家签订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6</w:t>
      </w:r>
      <w:r>
        <w:rPr>
          <w:rFonts w:hint="eastAsia" w:ascii="宋体" w:hAnsi="宋体" w:eastAsia="宋体" w:cs="宋体"/>
          <w:sz w:val="21"/>
          <w:szCs w:val="21"/>
        </w:rPr>
        <w:t xml:space="preserve">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7</w:t>
      </w:r>
      <w:r>
        <w:rPr>
          <w:rFonts w:hint="eastAsia" w:ascii="宋体" w:hAnsi="宋体" w:eastAsia="宋体" w:cs="宋体"/>
          <w:sz w:val="21"/>
          <w:szCs w:val="21"/>
        </w:rPr>
        <w:t xml:space="preserve"> ▲运维单位须在中标后一个月（30日历日）内，配齐全部投标所述的车辆，并向采购人提交已有、采购的证明材料（车辆接受租赁，如为租赁合同，则租赁合同周期需至少覆盖本项目运维服务期）。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8</w:t>
      </w:r>
      <w:r>
        <w:rPr>
          <w:rFonts w:hint="eastAsia" w:ascii="宋体" w:hAnsi="宋体" w:eastAsia="宋体" w:cs="宋体"/>
          <w:sz w:val="21"/>
          <w:szCs w:val="21"/>
        </w:rPr>
        <w:t xml:space="preserve">运维单位应在</w:t>
      </w:r>
      <w:r>
        <w:rPr>
          <w:rFonts w:hint="eastAsia" w:ascii="宋体" w:hAnsi="宋体" w:eastAsia="宋体" w:cs="宋体"/>
          <w:sz w:val="21"/>
          <w:szCs w:val="21"/>
          <w:lang w:eastAsia="zh-CN"/>
        </w:rPr>
        <w:t xml:space="preserve">项目所在地</w:t>
      </w:r>
      <w:r>
        <w:rPr>
          <w:rFonts w:hint="eastAsia" w:ascii="宋体" w:hAnsi="宋体" w:eastAsia="宋体" w:cs="宋体"/>
          <w:sz w:val="21"/>
          <w:szCs w:val="21"/>
        </w:rPr>
        <w:t xml:space="preserve">配备专业人员，巡检人员必须配备专用工具，包括便携式电脑、万用表、远程数据查询系统等；同时，还须配备通讯调试工具，包括各种硬件接口线、改线工具、接口调试软件及常用零部件等。</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3.3 </w:t>
      </w:r>
      <w:r>
        <w:rPr>
          <w:rFonts w:hint="eastAsia" w:ascii="宋体" w:hAnsi="宋体" w:eastAsia="宋体" w:cs="宋体"/>
          <w:b/>
          <w:bCs/>
          <w:sz w:val="21"/>
          <w:szCs w:val="21"/>
        </w:rPr>
        <w:t xml:space="preserve">运行</w:t>
      </w:r>
      <w:r>
        <w:rPr>
          <w:rFonts w:hint="eastAsia" w:ascii="宋体" w:hAnsi="宋体" w:eastAsia="宋体" w:cs="宋体"/>
          <w:b/>
          <w:bCs/>
          <w:sz w:val="21"/>
          <w:szCs w:val="21"/>
        </w:rPr>
        <w:t xml:space="preserve">维护要求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3.3.1 ▲水站运维工作的开展须严格按照《地表水自动监测技术</w:t>
      </w:r>
      <w:r>
        <w:rPr>
          <w:rFonts w:hint="eastAsia" w:ascii="宋体" w:hAnsi="宋体" w:eastAsia="宋体" w:cs="宋体"/>
          <w:sz w:val="21"/>
          <w:szCs w:val="21"/>
        </w:rPr>
        <w:t xml:space="preserve">规范（试行）》（HJ 915-2017）、《关于印发&lt;国家地表水水质自动监测站运行维护管理实施细则（试行）&gt;等文件的通知》（总站水字〔2019〕649号）、《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如文件中有矛盾之处，以后发布的文件为准，采购人保留对文件的解释权。</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3.3.2 当采购人依据国家或省级有关规定和技术规范要求出台新的水站运维要求时，以新要求为准。</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3.3.3 签订合同后15天内，中标单位按照相关技术规范和运维合同要求，结合中标实际情况，有针对性的编制运维交接方案，方案内容包括但不限于时间及人员安排、职责分工、交接内容、交接流程。经采购人审核确认后，交接双方按照运维交接方案有序开展运维交接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3.3.4 中标单位应根据中标情况，有针对性的制定运维计划，根据每个水站现场实际情况，合理安排水站日常运维工作，对运维保障存在不确定性的水站，提前制定补测计划，按相关要求完成水样补充监测工作。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3.3.5 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3.3.6 中标单位应制定质控计划，根据水站运行情况，制定质控工作内容，对停运补测水站，合理调整质控计划。按相关技术规范要求完成水站各项质控工作。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3.3.7 中标单位编写质控报告并按时提交采购人，包含但不限于日质控、周核查、多点线性核查、集成干预检查、加标回收测试、实际水样比对等质控措施开展情况，以及采购人安排的其他质控措施完成情况。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3.3.8 中标单位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3.3.9 中标单位在中标后3个月内结合现场实际情况，制定并实施“一站一策”技术方案，选择合适的预处理条件，以及仪器、系统关键参数，确保监测数据的“准确性”和“代表性”。通过现场调查研究，不断完善水站运维档案。</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3.3.10 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源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sz w:val="21"/>
          <w:szCs w:val="21"/>
        </w:rPr>
        <w:t xml:space="preserve">3.3.11 中标单位须做好站点运维记录的规范上报。认真、及时做好水站运行维护记录，并上传至采购人指定的水站自动综合监管平台，进行仪器、系统各项关键信息备案</w:t>
      </w:r>
      <w:r>
        <w:rPr>
          <w:rFonts w:hint="eastAsia" w:ascii="宋体" w:hAnsi="宋体" w:eastAsia="宋体" w:cs="宋体"/>
          <w:color w:val="auto"/>
          <w:sz w:val="21"/>
          <w:szCs w:val="21"/>
        </w:rPr>
        <w:t xml:space="preserve">，以及运维过程中相关数据和佐证材料的上传，并根据数据审核有关要求按时完成水站数据审核、异常数据核实等工作。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3.3.12 ▲中标单位须做好站点日常安全管理，运营维护期间所需水电、通讯费用由中标单位负责，委托运营维护及管理的全部资产（包括全部产权和建筑物、设备、软件、配套设施、水质自动站和配套监控系统产生的各类数据信息及相关文档资料）属业主方所有。中标人不得以任何方式对各类财产</w:t>
      </w:r>
      <w:r>
        <w:rPr>
          <w:rFonts w:hint="eastAsia" w:ascii="宋体" w:hAnsi="宋体" w:eastAsia="宋体" w:cs="宋体"/>
          <w:sz w:val="21"/>
          <w:szCs w:val="21"/>
        </w:rPr>
        <w:t xml:space="preserve">进行出售、抵押或转移；同时，</w:t>
      </w:r>
      <w:r>
        <w:rPr>
          <w:rFonts w:hint="eastAsia" w:ascii="宋体" w:hAnsi="宋体" w:eastAsia="宋体" w:cs="宋体"/>
          <w:color w:val="auto"/>
          <w:sz w:val="21"/>
          <w:szCs w:val="21"/>
        </w:rPr>
        <w:t xml:space="preserve">在委托运营及管理期间，中标单位有责任保证上述全部资产的完整、安全并处于良好状态。未经业主允许，非水站运维人员不得擅自进入站房。</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rPr>
        <w:t xml:space="preserve">3.3.13 中标单位负责站房、栈桥及相关附属设施的维修、维护工作。每年对站房进行一次全面检查，对站房外围进行整修</w:t>
      </w:r>
      <w:r>
        <w:rPr>
          <w:rFonts w:hint="eastAsia" w:ascii="宋体" w:hAnsi="宋体" w:eastAsia="宋体" w:cs="宋体"/>
          <w:color w:val="0000ff"/>
          <w:sz w:val="21"/>
          <w:szCs w:val="21"/>
          <w:lang w:val="en-US" w:eastAsia="zh-CN"/>
        </w:rPr>
        <w:t xml:space="preserve">或</w:t>
      </w:r>
      <w:r>
        <w:rPr>
          <w:rFonts w:hint="eastAsia" w:ascii="宋体" w:hAnsi="宋体" w:eastAsia="宋体" w:cs="宋体"/>
          <w:color w:val="0000ff"/>
          <w:sz w:val="21"/>
          <w:szCs w:val="21"/>
        </w:rPr>
        <w:t xml:space="preserve">粉刷，保证墙面整洁、站房安全；每年对栈桥或取水设施进行一次修缮，确保水样取水的代表性；每年对防雷设施进行一次全面检测，并提供检测报告；对站房的门禁、灭火设施进行安装和维护；对站房门禁、灭火器、标志牌、LOGO等附属设施进行安装和维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3.3.14 当点位需要新增、撤销、变更时，由所在地城市生态环境部门按照点位管理程序向上级生态环境厅报批。涉及站点迁移的，运维单位应做好迁移前后监测仪器设备检查工作并做好相关记录。</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lang w:val="en-US" w:eastAsia="zh-CN"/>
        </w:rPr>
        <w:t xml:space="preserve">3.3.15</w:t>
      </w:r>
      <w:r>
        <w:rPr>
          <w:rFonts w:hint="eastAsia" w:ascii="宋体" w:hAnsi="宋体" w:eastAsia="宋体" w:cs="宋体"/>
          <w:color w:val="0000ff"/>
          <w:sz w:val="21"/>
          <w:szCs w:val="21"/>
        </w:rPr>
        <w:t xml:space="preserve"> ▲须在中标后1个月内</w:t>
      </w:r>
      <w:r>
        <w:rPr>
          <w:rFonts w:hint="eastAsia" w:ascii="宋体" w:hAnsi="宋体" w:eastAsia="宋体" w:cs="宋体"/>
          <w:color w:val="0000ff"/>
          <w:sz w:val="21"/>
          <w:szCs w:val="21"/>
          <w:lang w:val="en-US" w:eastAsia="zh-CN"/>
        </w:rPr>
        <w:t xml:space="preserve">完成</w:t>
      </w:r>
      <w:r>
        <w:rPr>
          <w:rFonts w:hint="eastAsia" w:ascii="宋体" w:hAnsi="宋体" w:eastAsia="宋体" w:cs="宋体"/>
          <w:color w:val="0000ff"/>
          <w:sz w:val="21"/>
          <w:szCs w:val="21"/>
        </w:rPr>
        <w:t xml:space="preserve">取水口、站房内外</w:t>
      </w:r>
      <w:r>
        <w:rPr>
          <w:rFonts w:hint="eastAsia" w:ascii="宋体" w:hAnsi="宋体" w:eastAsia="宋体" w:cs="宋体"/>
          <w:color w:val="0000ff"/>
          <w:sz w:val="21"/>
          <w:szCs w:val="21"/>
          <w:lang w:val="en-US" w:eastAsia="zh-CN"/>
        </w:rPr>
        <w:t xml:space="preserve">视频</w:t>
      </w:r>
      <w:r>
        <w:rPr>
          <w:rFonts w:hint="eastAsia" w:ascii="宋体" w:hAnsi="宋体" w:eastAsia="宋体" w:cs="宋体"/>
          <w:color w:val="0000ff"/>
          <w:sz w:val="21"/>
          <w:szCs w:val="21"/>
        </w:rPr>
        <w:t xml:space="preserve">监控</w:t>
      </w:r>
      <w:r>
        <w:rPr>
          <w:rFonts w:hint="eastAsia" w:ascii="宋体" w:hAnsi="宋体" w:eastAsia="宋体" w:cs="宋体"/>
          <w:color w:val="0000ff"/>
          <w:sz w:val="21"/>
          <w:szCs w:val="21"/>
          <w:lang w:val="en-US" w:eastAsia="zh-CN"/>
        </w:rPr>
        <w:t xml:space="preserve">检查及维修、维护</w:t>
      </w:r>
      <w:r>
        <w:rPr>
          <w:rFonts w:hint="eastAsia" w:ascii="宋体" w:hAnsi="宋体" w:eastAsia="宋体" w:cs="宋体"/>
          <w:color w:val="0000ff"/>
          <w:sz w:val="21"/>
          <w:szCs w:val="21"/>
        </w:rPr>
        <w:t xml:space="preserve">，确保对站房内外仪器、进出入人员、来往船只实现24小时不间断监控，实时获取监控区域内清晰的监控图像，支持前端存储和中心存储两种模式，存储周期不低于</w:t>
      </w:r>
      <w:r>
        <w:rPr>
          <w:rFonts w:hint="eastAsia" w:ascii="宋体" w:hAnsi="宋体" w:eastAsia="宋体" w:cs="宋体"/>
          <w:color w:val="0000ff"/>
          <w:sz w:val="21"/>
          <w:szCs w:val="21"/>
          <w:lang w:val="en-US" w:eastAsia="zh-CN"/>
        </w:rPr>
        <w:t xml:space="preserve">3个月</w:t>
      </w:r>
      <w:r>
        <w:rPr>
          <w:rFonts w:hint="eastAsia" w:ascii="宋体" w:hAnsi="宋体" w:eastAsia="宋体" w:cs="宋体"/>
          <w:color w:val="0000ff"/>
          <w:sz w:val="21"/>
          <w:szCs w:val="21"/>
        </w:rPr>
        <w:t xml:space="preserve">。高清摄像头不得低于200万像素，</w:t>
      </w:r>
      <w:r>
        <w:rPr>
          <w:rFonts w:hint="eastAsia" w:ascii="宋体" w:hAnsi="宋体" w:eastAsia="宋体" w:cs="宋体"/>
          <w:color w:val="0000ff"/>
          <w:sz w:val="21"/>
          <w:szCs w:val="21"/>
          <w:lang w:val="en-US" w:eastAsia="zh-CN"/>
        </w:rPr>
        <w:t xml:space="preserve">配合</w:t>
      </w:r>
      <w:r>
        <w:rPr>
          <w:rFonts w:hint="eastAsia" w:ascii="宋体" w:hAnsi="宋体" w:eastAsia="宋体" w:cs="宋体"/>
          <w:color w:val="0000ff"/>
          <w:sz w:val="21"/>
          <w:szCs w:val="21"/>
        </w:rPr>
        <w:t xml:space="preserve">统一接入</w:t>
      </w:r>
      <w:r>
        <w:rPr>
          <w:rFonts w:hint="eastAsia" w:ascii="宋体" w:hAnsi="宋体" w:eastAsia="宋体" w:cs="宋体"/>
          <w:color w:val="0000ff"/>
          <w:sz w:val="21"/>
          <w:szCs w:val="21"/>
          <w:lang w:val="en-US" w:eastAsia="zh-CN"/>
        </w:rPr>
        <w:t xml:space="preserve">吴中区视频监控</w:t>
      </w:r>
      <w:r>
        <w:rPr>
          <w:rFonts w:hint="eastAsia" w:ascii="宋体" w:hAnsi="宋体" w:eastAsia="宋体" w:cs="宋体"/>
          <w:color w:val="0000ff"/>
          <w:sz w:val="21"/>
          <w:szCs w:val="21"/>
        </w:rPr>
        <w:t xml:space="preserve">平台</w:t>
      </w:r>
      <w:r>
        <w:rPr>
          <w:rFonts w:hint="eastAsia" w:ascii="宋体" w:hAnsi="宋体" w:eastAsia="宋体" w:cs="宋体"/>
          <w:color w:val="0000ff"/>
          <w:sz w:val="21"/>
          <w:szCs w:val="21"/>
          <w:lang w:eastAsia="zh-CN"/>
        </w:rPr>
        <w:t xml:space="preserve">，</w:t>
      </w:r>
      <w:r>
        <w:rPr>
          <w:rFonts w:hint="eastAsia" w:ascii="宋体" w:hAnsi="宋体" w:eastAsia="宋体" w:cs="宋体"/>
          <w:color w:val="0000ff"/>
          <w:sz w:val="21"/>
          <w:szCs w:val="21"/>
          <w:lang w:val="en-US" w:eastAsia="zh-CN"/>
        </w:rPr>
        <w:t xml:space="preserve">现有视频监控设备</w:t>
      </w:r>
      <w:r>
        <w:rPr>
          <w:rFonts w:hint="eastAsia" w:ascii="宋体" w:hAnsi="宋体" w:eastAsia="宋体" w:cs="宋体"/>
          <w:color w:val="0000ff"/>
          <w:sz w:val="21"/>
          <w:szCs w:val="21"/>
        </w:rPr>
        <w:t xml:space="preserve">无法满足日常监控的需求，需要中标单位根据实际情况自行更新。如视频监控不符合采购人要求，需及时整改。</w:t>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3.4 质量保证与质量控制</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3.4.1 中标单位需建立质量保证体系，制定并完善运维管理制度、运维作业指导书及质控程序文件等，指导和规范运维人员现场操作流程。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3.4.2 中标单位需建立备机和备品备件库。备机需通过验收并定期开展标准溶液核查；备品备件需达到或高于原厂备件的性能；更换备机或关键零部件后，需及时校准仪器，并完成多点线性核查。</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3.4.3 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3.4.4 监测仪器斜率k、截距b、消解温度、消解时间、显色时间、修正系数等关键参数信息需及时在平台备案，变更时需提交书面申请。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ff0000"/>
          <w:sz w:val="21"/>
          <w:szCs w:val="21"/>
        </w:rPr>
        <w:outlineLvl w:val="9"/>
      </w:pPr>
      <w:r>
        <w:rPr>
          <w:rFonts w:hint="eastAsia" w:ascii="宋体" w:hAnsi="宋体" w:eastAsia="宋体" w:cs="宋体"/>
          <w:sz w:val="21"/>
          <w:szCs w:val="21"/>
        </w:rPr>
        <w:t xml:space="preserve">3.4.5 水站常规五参数须完成周核查，氨氮、高锰酸盐指数、总磷、总氮须完成标准溶液核查、漂移测试、多点线性核查、集成干预检查、实际水样比对、加标回收试验、盲样考核等质控措施，总磷、总氮还须完成消解率测试，叶绿素a、蓝绿藻密度须完成多点线性核查、实际水样比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3.4.6质控措施频次和技术要求须满足下表要求。</w:t>
      </w:r>
      <w:r/>
    </w:p>
    <w:p>
      <w:pPr>
        <w:jc w:val="center"/>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常规五参数</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1134"/>
        <w:gridCol w:w="4326"/>
        <w:gridCol w:w="1843"/>
        <w:gridCol w:w="1324"/>
      </w:tblGrid>
      <w:tr>
        <w:trPr>
          <w:trHeight w:val="340"/>
        </w:trPr>
        <w:tc>
          <w:tcPr>
            <w:tcW w:w="163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监测项目</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2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r>
      <w:tr>
        <w:trPr>
          <w:trHeight w:val="340"/>
        </w:trPr>
        <w:tc>
          <w:tcPr>
            <w:tcW w:w="163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水温</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W w:w="132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每周</w:t>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pH值</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±0.15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±0.8mg/L</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电导率</w:t>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标准溶液值</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Cs/>
                <w:sz w:val="21"/>
                <w:szCs w:val="21"/>
                <w:lang w:val="zh-CN"/>
              </w:rPr>
              <w:t xml:space="preserve">±5%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标准溶液值≤100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±5</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浊度</w:t>
            </w:r>
            <w:r/>
          </w:p>
        </w:tc>
        <w:tc>
          <w:tcPr>
            <w:tcW w:w="4326"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浊度≤30 NTU    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 NTU＜浊度≤50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 ±10%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水温</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 </w:t>
            </w:r>
            <w:r>
              <w:rPr>
                <w:rFonts w:hint="eastAsia" w:ascii="宋体" w:hAnsi="宋体" w:eastAsia="宋体" w:cs="宋体"/>
                <w:sz w:val="21"/>
                <w:szCs w:val="21"/>
                <w:lang w:eastAsia="ja-JP"/>
              </w:rPr>
              <w:t xml:space="preserve">℃</w:t>
            </w:r>
            <w:r/>
          </w:p>
        </w:tc>
        <w:tc>
          <w:tcPr>
            <w:tcW w:w="132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pH值</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 mg/L</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溶解氧过饱和时不考核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电导率</w:t>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电导率</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 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电导率≤ 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浊度</w:t>
            </w:r>
            <w:r/>
          </w:p>
        </w:tc>
        <w:tc>
          <w:tcPr>
            <w:tcW w:w="4326"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≤30 NTU    </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 NTU＜</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≤50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±30%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±20%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高锰酸盐指数、氨氮、总磷、总氮</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42"/>
        <w:gridCol w:w="1815"/>
        <w:gridCol w:w="1153"/>
        <w:gridCol w:w="1115"/>
        <w:gridCol w:w="1389"/>
        <w:gridCol w:w="3138"/>
      </w:tblGrid>
      <w:tr>
        <w:trPr>
          <w:trHeight w:val="340"/>
        </w:trPr>
        <w:tc>
          <w:tcPr>
            <w:tcW w:w="1742"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3"/>
            <w:tcW w:w="4083"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零点核查</w:t>
            </w:r>
            <w:r/>
          </w:p>
        </w:tc>
        <w:tc>
          <w:tcPr>
            <w:tcW w:w="1153"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每日/每周</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跨度核查</w:t>
            </w:r>
            <w:r/>
          </w:p>
        </w:tc>
        <w:tc>
          <w:tcPr>
            <w:tcW w:w="1153"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每日/每周</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浮船站高锰酸盐指数为±15%</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861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注：具备自动质控功能的站点每日开展，其余站点每周开展。</w:t>
            </w:r>
            <w:r/>
          </w:p>
        </w:tc>
      </w:tr>
      <w:tr>
        <w:trPr>
          <w:trHeight w:val="340"/>
        </w:trPr>
        <w:tc>
          <w:tcPr>
            <w:tcW w:w="1742" w:type="dxa"/>
            <w:vAlign w:val="center"/>
            <w:vMerge w:val="restart"/>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t xml:space="preserve">漂移测试</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p>
        </w:tc>
        <w:tc>
          <w:tcPr>
            <w:tcW w:w="1153"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高锰酸盐指数为±10%</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跨度漂移</w:t>
            </w:r>
            <w:r/>
          </w:p>
        </w:tc>
        <w:tc>
          <w:tcPr>
            <w:tcW w:w="1153"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浮船站高锰酸盐指数为±15%</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861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注：仅具备自动质控功能的站点需开展。</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≥0.98</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多点线性中的零点示值误差参照零点核查要求</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集成干预检查</w:t>
            </w:r>
            <w:r/>
          </w:p>
        </w:tc>
        <w:tc>
          <w:tcPr>
            <w:tcW w:w="1815"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相对误差</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Ⅰ～Ⅱ类：两者结果均低于BⅡ时，判定结果合格。</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浮船站除外</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Ⅲ～劣Ⅴ类：±15%</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sz w:val="21"/>
                <w:szCs w:val="21"/>
                <w:shd w:val="clear" w:color="auto" w:fill="ffffff"/>
              </w:rPr>
              <w:t xml:space="preserve">相对误差</w:t>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3pt;height:11.2pt;mso-wrap-distance-left:0.0pt;mso-wrap-distance-top:0.0pt;mso-wrap-distance-right:0.0pt;mso-wrap-distance-bottom:0.0pt;" filled="f" stroked="f">
                  <v:path textboxrect="0,0,0,0"/>
                  <v:imagedata r:id="rId25" o:title=""/>
                </v:shape>
                <o:OLEObject DrawAspect="Content" r:id="rId26" ObjectID="_15250410" ProgID="Equation.DSMT4" ShapeID="_x0000_i10"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20%</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0pt;height:11.2pt;mso-wrap-distance-left:0.0pt;mso-wrap-distance-top:0.0pt;mso-wrap-distance-right:0.0pt;mso-wrap-distance-bottom:0.0pt;" filled="f" stroked="f">
                  <v:path textboxrect="0,0,0,0"/>
                  <v:imagedata r:id="rId27" o:title=""/>
                </v:shape>
                <o:OLEObject DrawAspect="Content" r:id="rId28" ObjectID="_15250411" ProgID="Equation.DSMT4" ShapeID="_x0000_i11"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30%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i/>
                <w:position w:val="-10"/>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3.8pt;height:15.0pt;mso-wrap-distance-left:0.0pt;mso-wrap-distance-top:0.0pt;mso-wrap-distance-right:0.0pt;mso-wrap-distance-bottom:0.0pt;" filled="f" stroked="f">
                  <v:path textboxrect="0,0,0,0"/>
                  <v:imagedata r:id="rId29" o:title=""/>
                </v:shape>
                <o:OLEObject DrawAspect="Content" r:id="rId30" ObjectID="_15250412" ProgID="Equation.3" ShapeID="_x0000_i12"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40%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W w:w="4083" w:type="dxa"/>
            <w:vAlign w:val="center"/>
            <w:textDirection w:val="lrTb"/>
            <w:noWrap w:val="false"/>
          </w:tcPr>
          <w:p>
            <w:pPr>
              <w:jc w:val="left"/>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当自动监测结果和实验室分析结果均低于</w:t>
            </w:r>
            <w:r>
              <w:rPr>
                <w:rFonts w:hint="eastAsia" w:ascii="宋体" w:hAnsi="宋体" w:eastAsia="宋体" w:cs="宋体"/>
                <w:i/>
                <w:iCs/>
                <w:sz w:val="21"/>
                <w:szCs w:val="21"/>
                <w:shd w:val="clear" w:color="auto" w:fill="ffffff"/>
              </w:rPr>
              <w:t xml:space="preserve">B</w:t>
            </w:r>
            <w:r>
              <w:rPr>
                <w:rFonts w:hint="eastAsia" w:ascii="宋体" w:hAnsi="宋体" w:eastAsia="宋体" w:cs="宋体"/>
                <w:i/>
                <w:iCs/>
                <w:sz w:val="21"/>
                <w:szCs w:val="21"/>
                <w:shd w:val="clear" w:color="auto" w:fill="ffffff"/>
                <w:vertAlign w:val="subscript"/>
              </w:rPr>
              <w:t xml:space="preserve">Ⅱ</w:t>
            </w:r>
            <w:r>
              <w:rPr>
                <w:rFonts w:hint="eastAsia" w:ascii="宋体" w:hAnsi="宋体" w:eastAsia="宋体" w:cs="宋体"/>
                <w:sz w:val="21"/>
                <w:szCs w:val="21"/>
                <w:shd w:val="clear" w:color="auto" w:fill="ffffff"/>
              </w:rPr>
              <w:t xml:space="preserve">时，认定比对实验结果合格。</w:t>
            </w:r>
            <w:r>
              <w:rPr>
                <w:rFonts w:hint="eastAsia" w:ascii="宋体" w:hAnsi="宋体" w:eastAsia="宋体" w:cs="宋体"/>
                <w:bCs/>
                <w:sz w:val="21"/>
                <w:szCs w:val="21"/>
                <w:shd w:val="clear" w:color="auto" w:fill="ffffff"/>
              </w:rPr>
              <w:t xml:space="preserve">注：①</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QUOTE </w:instrText>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instrText xml:space="preserve"> </w:instrText>
            </w:r>
            <w:r>
              <w:rPr>
                <w:rFonts w:hint="eastAsia" w:ascii="宋体" w:hAnsi="宋体" w:eastAsia="宋体" w:cs="宋体"/>
                <w:sz w:val="21"/>
                <w:szCs w:val="21"/>
              </w:rPr>
              <w:fldChar w:fldCharType="separate"/>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t xml:space="preserve">为实验室分析结果；</w:t>
            </w:r>
            <w:r>
              <w:rPr>
                <w:rFonts w:hint="eastAsia" w:ascii="宋体" w:hAnsi="宋体" w:eastAsia="宋体" w:cs="宋体"/>
                <w:bCs/>
                <w:sz w:val="21"/>
                <w:szCs w:val="21"/>
              </w:rPr>
              <w:t xml:space="preserve">②</w:t>
            </w:r>
            <w:r>
              <w:rPr>
                <w:rFonts w:hint="eastAsia" w:ascii="宋体" w:hAnsi="宋体" w:eastAsia="宋体" w:cs="宋体"/>
                <w:bCs/>
                <w:i/>
                <w:iCs/>
                <w:sz w:val="21"/>
                <w:szCs w:val="21"/>
              </w:rPr>
              <w:t xml:space="preserve">B</w:t>
            </w:r>
            <w:r>
              <w:rPr>
                <w:rFonts w:hint="eastAsia" w:ascii="宋体" w:hAnsi="宋体" w:eastAsia="宋体" w:cs="宋体"/>
                <w:bCs/>
                <w:sz w:val="21"/>
                <w:szCs w:val="21"/>
              </w:rPr>
              <w:t xml:space="preserve">为水质类别限值；③河流总氮可参考湖库标准。</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加标回收试验</w:t>
            </w:r>
            <w:r/>
          </w:p>
        </w:tc>
        <w:tc>
          <w:tcPr>
            <w:tcW w:w="18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加标回收率</w:t>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80.0%～120.0%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浮船站除外</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盲样考核</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相对误差</w:t>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氨氮</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高锰酸盐指数</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总磷</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总氮</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消解率测试</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消解率</w:t>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总磷</w:t>
            </w:r>
            <w:r/>
          </w:p>
        </w:tc>
        <w:tc>
          <w:tcPr>
            <w:tcW w:w="11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≥95%</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总氮</w:t>
            </w:r>
            <w:r/>
          </w:p>
        </w:tc>
        <w:tc>
          <w:tcPr>
            <w:tcW w:w="11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叶绿素a、蓝绿藻密度</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12"/>
        <w:gridCol w:w="1680"/>
        <w:gridCol w:w="3165"/>
        <w:gridCol w:w="1320"/>
        <w:gridCol w:w="2554"/>
      </w:tblGrid>
      <w:tr>
        <w:trPr>
          <w:trHeight w:val="340"/>
        </w:trPr>
        <w:tc>
          <w:tcPr>
            <w:tcW w:w="171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48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340"/>
        </w:trPr>
        <w:tc>
          <w:tcPr>
            <w:tcW w:w="171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rPr>
              <w:t xml:space="preserve">≥0.993</w:t>
            </w:r>
            <w:r/>
          </w:p>
        </w:tc>
        <w:tc>
          <w:tcPr>
            <w:tcW w:w="1320"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1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零点绝对误差应为≤3倍检出限，其他点相对误差≤±5%</w:t>
            </w:r>
            <w:r/>
          </w:p>
        </w:tc>
        <w:tc>
          <w:tcPr>
            <w:tcW w:w="132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多光源荧光法除外</w:t>
            </w:r>
            <w:r/>
          </w:p>
        </w:tc>
      </w:tr>
      <w:tr>
        <w:trPr>
          <w:trHeight w:val="340"/>
        </w:trPr>
        <w:tc>
          <w:tcPr>
            <w:shd w:val="clear" w:color="auto" w:fill="auto"/>
            <w:tcW w:w="171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shd w:val="clear" w:color="auto" w:fill="ffffff"/>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shd w:val="clear" w:color="auto" w:fill="ffffff"/>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shd w:val="clear" w:color="auto" w:fill="ffffff"/>
            <w:tcW w:w="13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c>
          <w:tcPr>
            <w:shd w:val="clear" w:color="auto" w:fill="ffffff"/>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采用经校准的便携式荧光法仪器比对</w:t>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挥发性有机物</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68"/>
        <w:gridCol w:w="1134"/>
        <w:gridCol w:w="2007"/>
        <w:gridCol w:w="5448"/>
      </w:tblGrid>
      <w:tr>
        <w:trPr>
          <w:trHeight w:val="465"/>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质控实施频次</w:t>
            </w:r>
            <w:r/>
          </w:p>
        </w:tc>
      </w:tr>
      <w:tr>
        <w:trPr>
          <w:trHeight w:val="403"/>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20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403"/>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0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r>
      <w:tr>
        <w:trPr>
          <w:trHeight w:val="417"/>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加标回收试验</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70%～130%</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r>
    </w:tbl>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3.5 其他相关要求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3.5.1▲中标单位须协助采购人在必要时做好水站周边水系情况调查及污染溯源排查工作。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3.5.2中标单位须协助采购人做好水站固定资产、备品备件的管理及登记等工作。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3.5.3中标单位应积极参加采购人主办的技术培训班，加强业务学习，不断提高业务能力和水平。</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3.5.4中标单位应根据国家与江苏省有关要求做好废液的处理工作。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3.5.5中标单位须保证满足生态环境部门对水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3.5.6当仪器损坏不能修复时，应在24小时之内使用备机开展监测，并同时报告采购人，采购人组织确认仪器损坏情况及原因，酌情处理。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3.5.7仪器报废后（包括使用超过8年导致，或因特别重大、重大水旱、气象、地震、地质等自然灾害、站房外部火灾、爆炸、恐怖袭击、武装冲突、蓄意破坏等不可抗力导致），运维单位须先行及时使用备机开展监测，同时报告采购人。</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3.5.8严禁擅自更改仪器参数设置。</w:t>
      </w:r>
      <w:r/>
    </w:p>
    <w:p>
      <w:pPr>
        <w:keepLines w:val="0"/>
        <w:keepNext w:val="0"/>
        <w:pageBreakBefore w:val="0"/>
        <w:spacing w:line="400" w:lineRule="exact"/>
        <w:rPr>
          <w:rFonts w:hint="eastAsia" w:ascii="宋体" w:hAnsi="宋体" w:eastAsia="宋体" w:cs="宋体"/>
          <w:b/>
          <w:bCs/>
          <w:sz w:val="21"/>
          <w:szCs w:val="21"/>
        </w:rPr>
        <w:outlineLvl w:val="9"/>
      </w:pPr>
      <w:r>
        <w:rPr>
          <w:rFonts w:hint="eastAsia" w:ascii="宋体" w:hAnsi="宋体" w:eastAsia="宋体" w:cs="宋体"/>
          <w:b/>
          <w:bCs/>
          <w:sz w:val="21"/>
          <w:szCs w:val="21"/>
        </w:rPr>
        <w:t xml:space="preserve">4、监督考核与惩罚办法</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4.1 监督管理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4.1.1投标人应承担监测数据的保密责任（签订保密协议），不得利用本项目的数据、档案或有关资料对外开展技术交流、业务联系、数据交换等。否则，采购人有权终止合同。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4.1.2 运维期间出现调整数据、修改参数、改动设备、质控结果与平台采集结果不一致、弄虚作假等违规行为的，一经查实采购人有权终止运维合同。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4.1.3 采购人组织开展运维管理和质控考核，对达不到运维要求或违规操作的，可以取消该公司在江苏区域内相关运维投标资格或扣减相应的运维经费，并有权终止运维合同。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4.1.4 违反相关水质自动站管理办法等违规行为的，一经查实采购人有权终止运维合同。</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4.2 考核办法</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color w:val="auto"/>
          <w:sz w:val="21"/>
          <w:szCs w:val="21"/>
          <w:highlight w:val="cyan"/>
        </w:rPr>
        <w:t xml:space="preserve">甲方每</w:t>
      </w:r>
      <w:r>
        <w:rPr>
          <w:rFonts w:hint="eastAsia" w:ascii="宋体" w:hAnsi="宋体" w:eastAsia="宋体" w:cs="宋体"/>
          <w:color w:val="auto"/>
          <w:sz w:val="21"/>
          <w:szCs w:val="21"/>
          <w:highlight w:val="cyan"/>
          <w:lang w:val="en-US" w:eastAsia="zh-CN"/>
        </w:rPr>
        <w:t xml:space="preserve">半年</w:t>
      </w:r>
      <w:r>
        <w:rPr>
          <w:rFonts w:hint="eastAsia" w:ascii="宋体" w:hAnsi="宋体" w:eastAsia="宋体" w:cs="宋体"/>
          <w:color w:val="auto"/>
          <w:sz w:val="21"/>
          <w:szCs w:val="21"/>
          <w:highlight w:val="cyan"/>
        </w:rPr>
        <w:t xml:space="preserve">对乙方运维水站的运行情况进行考核</w:t>
      </w:r>
      <w:r>
        <w:rPr>
          <w:rFonts w:hint="eastAsia" w:ascii="宋体" w:hAnsi="宋体" w:eastAsia="宋体" w:cs="宋体"/>
          <w:color w:val="auto"/>
          <w:sz w:val="21"/>
          <w:szCs w:val="21"/>
          <w:highlight w:val="cyan"/>
          <w:lang w:val="en-US" w:eastAsia="zh-CN"/>
        </w:rPr>
        <w:t xml:space="preserve">汇总</w:t>
      </w:r>
      <w:r>
        <w:rPr>
          <w:rFonts w:hint="eastAsia" w:ascii="宋体" w:hAnsi="宋体" w:eastAsia="宋体" w:cs="宋体"/>
          <w:sz w:val="21"/>
          <w:szCs w:val="21"/>
        </w:rPr>
        <w:t xml:space="preserve">。采取单站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考核的方式，考核内容以站点数据有效率为主，兼顾盲样考核、</w:t>
      </w:r>
      <w:r>
        <w:rPr>
          <w:rFonts w:hint="eastAsia" w:ascii="宋体" w:hAnsi="宋体" w:eastAsia="宋体" w:cs="宋体"/>
          <w:sz w:val="21"/>
          <w:szCs w:val="21"/>
          <w:lang w:eastAsia="zh-CN"/>
        </w:rPr>
        <w:t xml:space="preserve">固定技术人员</w:t>
      </w:r>
      <w:r>
        <w:rPr>
          <w:rFonts w:hint="eastAsia" w:ascii="宋体" w:hAnsi="宋体" w:eastAsia="宋体" w:cs="宋体"/>
          <w:sz w:val="21"/>
          <w:szCs w:val="21"/>
        </w:rPr>
        <w:t xml:space="preserve">管理、固定资产管理以及运行维护规范性等。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4.2.1 数据有效率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正常运行期间数据有效率=（应获取数据-无效数据）/应获取数据*100%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）非正常运行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1）具备补充监测条件的，根据相关要求，乙方应对非正常运行水站开展补充监测。补测的数据应满足相关质控要求，并应在规定的时间内上传平台，否则按无效数据处理。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计算公式：</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非正常运行期间数据有效率=（实际补测数据-无效数据）/应补测数据*100%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2）不具备补充监测条件的，乙方有义务采取必要措施最大限度的减少国家财产的损失，包括仪器设备保管以及必要性维护工作。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）不具备补充监测条件</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 停运期间，乙方应保证仪器设备及环境设施设备的安全，并关注现场环境变化，具备条件后应及时恢复运行。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4.2.2 运维费支付</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（1）常规参数（水温、pH、溶解氧、电导率、浊度、氨氮、高锰酸盐指数、总磷、总氮、叶绿素、藻密度）</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4）上述1）-3）所列条款中，当存在单参数考核周期内监测数据有效率低于70%的情形时，增扣该付款周期运维费5%。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6）全年平均数据有效率低于60%，取消运维合同。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）特殊参数（VOCS、挥发酚、氟化物、流量计等）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3）单参数考</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5）特征参数设备经鉴定不具备使用条件时，乙方应向甲方申请报废，经甲方同意后终止该设备运行并终止运维费支付。</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.2.3 水质预警奖惩</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运维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4.2.4 盲样考核</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乙方应按照甲方相关要求配合开展盲样考核工作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每月/季度1次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，每出现1个盲样考核不合格的参数扣除</w:t>
      </w:r>
      <w:r>
        <w:rPr>
          <w:rFonts w:hint="eastAsia" w:ascii="宋体" w:hAnsi="宋体" w:eastAsia="宋体" w:cs="宋体"/>
          <w:sz w:val="21"/>
          <w:szCs w:val="21"/>
          <w:lang w:val="en-US" w:eastAsia="zh-CN"/>
        </w:rPr>
        <w:t xml:space="preserve">该站点</w:t>
      </w:r>
      <w:r>
        <w:rPr>
          <w:rFonts w:hint="eastAsia" w:ascii="宋体" w:hAnsi="宋体" w:eastAsia="宋体" w:cs="宋体"/>
          <w:sz w:val="21"/>
          <w:szCs w:val="21"/>
        </w:rPr>
        <w:t xml:space="preserve">当</w:t>
      </w:r>
      <w:r>
        <w:rPr>
          <w:rFonts w:hint="eastAsia" w:ascii="宋体" w:hAnsi="宋体" w:eastAsia="宋体" w:cs="宋体"/>
          <w:sz w:val="21"/>
          <w:szCs w:val="21"/>
          <w:lang w:val="en-US" w:eastAsia="zh-CN"/>
        </w:rPr>
        <w:t xml:space="preserve">月/季度</w:t>
      </w:r>
      <w:r>
        <w:rPr>
          <w:rFonts w:hint="eastAsia" w:ascii="宋体" w:hAnsi="宋体" w:eastAsia="宋体" w:cs="宋体"/>
          <w:sz w:val="21"/>
          <w:szCs w:val="21"/>
        </w:rPr>
        <w:t xml:space="preserve">运维费的</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4.2.5 </w:t>
      </w: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w:t>
      </w:r>
      <w:r>
        <w:rPr>
          <w:rFonts w:hint="eastAsia" w:ascii="宋体" w:hAnsi="宋体" w:eastAsia="宋体" w:cs="宋体"/>
          <w:sz w:val="21"/>
          <w:szCs w:val="21"/>
        </w:rPr>
        <w:t xml:space="preserve">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在项目实施过程中，乙方应根据合同安排符合甲方要求的</w:t>
      </w:r>
      <w:r>
        <w:rPr>
          <w:rFonts w:hint="eastAsia" w:eastAsia="宋体" w:cs="宋体"/>
          <w:sz w:val="21"/>
          <w:szCs w:val="21"/>
          <w:lang w:val="en-US" w:eastAsia="zh-CN"/>
        </w:rPr>
        <w:t xml:space="preserve">固定技术</w:t>
      </w:r>
      <w:r>
        <w:rPr>
          <w:rFonts w:hint="eastAsia" w:ascii="宋体" w:hAnsi="宋体" w:eastAsia="宋体" w:cs="宋体"/>
          <w:sz w:val="21"/>
          <w:szCs w:val="21"/>
        </w:rPr>
        <w:t xml:space="preserve">人员，服务期</w:t>
      </w:r>
      <w:r>
        <w:rPr>
          <w:rFonts w:hint="eastAsia" w:ascii="宋体" w:hAnsi="宋体" w:eastAsia="宋体" w:cs="宋体"/>
          <w:sz w:val="21"/>
          <w:szCs w:val="21"/>
          <w:highlight w:val="none"/>
        </w:rPr>
        <w:t xml:space="preserve">内 </w:t>
      </w:r>
      <w:r>
        <w:rPr>
          <w:rFonts w:hint="eastAsia" w:eastAsia="宋体" w:cs="宋体"/>
          <w:sz w:val="21"/>
          <w:szCs w:val="21"/>
          <w:highlight w:val="none"/>
          <w:lang w:val="en-US" w:eastAsia="zh-CN"/>
        </w:rPr>
        <w:t xml:space="preserve">固定技术</w:t>
      </w:r>
      <w:r>
        <w:rPr>
          <w:rFonts w:hint="eastAsia" w:ascii="宋体" w:hAnsi="宋体" w:eastAsia="宋体" w:cs="宋体"/>
          <w:sz w:val="21"/>
          <w:szCs w:val="21"/>
          <w:highlight w:val="none"/>
        </w:rPr>
        <w:t xml:space="preserve">人员应</w:t>
      </w:r>
      <w:r>
        <w:rPr>
          <w:rFonts w:hint="eastAsia" w:ascii="宋体" w:hAnsi="宋体" w:eastAsia="宋体" w:cs="宋体"/>
          <w:sz w:val="21"/>
          <w:szCs w:val="21"/>
        </w:rPr>
        <w:t xml:space="preserve">在甲方指定地点配合开展相关工作。乙方不得随意更换人员。甲方定期对人员进行考核，违反保密工作规定或出现重大工作失误的甲方有权要求更换，并根据情况扣减运维费。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4.2.6 固定资产管理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乙方及人员蓄意破坏水站固定资产，或私自外借、出租、抵押的，将交由相关机构处理；出现国有资产损失或流失的，相关责任人要按原价赔偿，并追究法律责任。</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4.2.7 运行维护规范性</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经甲方认定，乙方存在下列情形的，将根据相应规定进行扣款：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（1）每月3次存在以下情形时，一经查实，扣除该站点当月20%的运维费；每月6次存在以下情形时，一经查实，扣除该站点当月50%的运维费。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1）乙方应在每天12时前，完成前一日数据审核工作。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2）乙方发现非运维人员进入站房后有干扰正常监测行为，未及时制止并上报甲方的。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 分析仪器监测结果出现异常，但乙方未及时响应并未采取有效措施的。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4）乙方未按要求进行例行维护，定期完成试剂更换、仪器校准、核查等维护工作的。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5）乙方未定期进行站房、采水口及采水构筑物、采水管路、辅助设施等清洁维护工作的。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6）乙方未按要求在平台进行运维记录填写或填写不规范的。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7）乙方存在其他不符合相关管理技术规范等要求的情形。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）发现监测点位出现未经批准的变更，未及时上报的，扣除该站点考核周期内20%运维费。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）发现有人为干扰采样情形，未及时上报的，扣除该站点考核周期内20%运维费。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常规参数（水温、pH、溶解氧、电导率、浊度、氨氮、高锰酸盐指数、总磷、总氮、叶绿素、藻密度、流量计）设备故障，未在48h内修复或启用备机替换并将监测数据上传平台的，每出现1次超期未解决情况扣除当月运维费的10%，扣完为止。</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）经甲方认定，乙方使用虚假信息进行停运申请和操作的，扣除该站点当月全部运维费。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）存在其他严重违反合同约定或相关规范要求的情形，甲方根据实际情况酌情扣款。</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4.3 其他规定</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4.3.1运维交接</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4.3.2弄虚作假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乙方及其人员实施或参与以下情形的，按弄虚作假处理，一经查实，扣除该站当月运维费，同时采取约谈、通报批评、解除合同等处罚，违反法律法规的，将交由相关部门依法处理。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（1）存在《环境监测数据弄虚作假行为判定及处理办法》中认定的篡改、伪造或者指使篡改、伪造监测数据行为的。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（2）存在关键参数虚假报备，或实际关键参数超出备案范围，对数据造成严重影响的。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（3）随意更改预处理装置，实际预处理方式及其启用/停用与报备方式不一致的。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（4）实施或参与干扰采水设施和自动监测设施、破坏水质自动监测系统的。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（5）其他造成水质自动监测数据严重失真的情形。</w:t>
      </w:r>
      <w:r/>
    </w:p>
    <w:p>
      <w:pPr>
        <w:contextualSpacing/>
        <w:ind w:firstLine="420"/>
        <w:keepLines w:val="0"/>
        <w:keepNext w:val="0"/>
        <w:pageBreakBefore w:val="0"/>
        <w:spacing w:line="400" w:lineRule="exact"/>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4.3.3站点及水质监测防人为干扰</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定期开展巡查，原则要求河流型水站应覆盖站点采水口上下游1公里范围，湖库型水站应覆盖站点采水口周边500米半径的湖区范围。重点内容包括站点周边有无人工喷泉、曝气等增氧装置，有无投放生物、化学药剂行为，有无干扰采水口正常采样行为等。</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(2)不得擅自或者协助他人篡改设备运行参数及干扰设备各个部件的正常运行。</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(3)非运维人员未经吴中生态环境局同意不得进入站房内部及采样区域，如确需进入，提前报备。</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(4)不得将站房门禁或钥匙交给非运维人员，如已有此情况，及时更换锁具或更改门禁密码。</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(5)运维方人为干扰情况不限于以上三项，其余按生态环境部或江苏省生态环境厅有关地表水水质自动站防人为干扰相关文件要求执行。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4.3.4惩罚办法</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甲方开展不定期运维检查，若发现乙方存在人为干扰监测站点正常运行的行为，第一次发现，扣除本合同金额的10%，并警告通报，第二次发现，扣除本合同金额的30%，第三次发现，甲方终止本合同。</w:t>
      </w:r>
      <w:r/>
    </w:p>
    <w:p>
      <w:pPr>
        <w:jc w:val="left"/>
        <w:keepLines w:val="0"/>
        <w:keepNext w:val="0"/>
        <w:pageBreakBefore w:val="0"/>
        <w:spacing w:line="400" w:lineRule="exact"/>
        <w:widowControl/>
        <w:rPr>
          <w:rFonts w:hint="eastAsia" w:ascii="宋体" w:hAnsi="宋体" w:eastAsia="宋体" w:cs="宋体"/>
          <w:b/>
          <w:bCs/>
          <w:sz w:val="21"/>
          <w:szCs w:val="21"/>
        </w:rPr>
        <w:outlineLvl w:val="9"/>
      </w:pPr>
      <w:r>
        <w:rPr>
          <w:rFonts w:hint="eastAsia" w:ascii="宋体" w:hAnsi="宋体" w:eastAsia="宋体" w:cs="宋体"/>
          <w:b/>
          <w:bCs/>
          <w:sz w:val="21"/>
          <w:szCs w:val="21"/>
        </w:rPr>
        <w:t xml:space="preserve">5、技术规范和标准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5.1《地表水自动监测技术规范（试行）》（HJ 915-2017）</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5.2 《关于印发&lt;国家地表水水质自动监测站运行维护管理实施细则（试行）&gt;等文件的通知》（总站水字〔2019〕649）</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5.3《国家地表水水质自动监测站补充监测技术规定（试行）》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5.4《国家地表水水质自动监测站常规五参数现场比对技术要求（试行）》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5.5《国家地表水水质自动监测站盲样考核管理规定（试行）》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5.6《国家地表水水质自动监测数据审核技术细则（试行）》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5.7《国家地表水水质自动监测数据审核管理办法（试行）》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5.8《国家地表水自动监测系统通信协议技术要求》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5.9《国家地表水自动监测仪器通信协议技术要求》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5.10《省生态环境厅&lt;关于印发江苏省地表水自动监测站运行管理办法（试行）&gt;的通知》（苏环办〔2020〕174号）</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5.11《省生态环境厅&lt;关于印发江苏省地表水水质自动监测站建设技术要求——站房、采水及文化建设部分（试行）&gt;的通知》（苏环办〔2019〕114号）</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5.12《河流流量测验规范》（GB 50179-2015）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5.13《声学多普勒流量测验规范》（SL337-2006）</w:t>
      </w:r>
      <w:r>
        <w:rPr>
          <w:rFonts w:hint="eastAsia" w:ascii="宋体" w:hAnsi="宋体" w:eastAsia="宋体" w:cs="宋体"/>
          <w:sz w:val="21"/>
          <w:szCs w:val="21"/>
        </w:rPr>
        <w:t xml:space="preserve">。</w:t>
      </w:r>
      <w:r/>
    </w:p>
    <w:p>
      <w:pPr>
        <w:numPr>
          <w:ilvl w:val="0"/>
          <w:numId w:val="38"/>
        </w:numPr>
        <w:ind w:left="567" w:hanging="567"/>
        <w:spacing w:line="400" w:lineRule="exact"/>
        <w:tabs>
          <w:tab w:val="left" w:pos="567" w:leader="none"/>
        </w:tabs>
        <w:rPr>
          <w:rFonts w:hint="eastAsia"/>
          <w:b/>
          <w:bCs/>
          <w:color w:val="000000"/>
          <w:highlight w:val="none"/>
        </w:rPr>
      </w:pPr>
      <w:r>
        <w:rPr>
          <w:rFonts w:hint="eastAsia"/>
          <w:b/>
          <w:bCs/>
          <w:color w:val="000000"/>
          <w:highlight w:val="none"/>
        </w:rPr>
        <w:t xml:space="preserve">综合说明</w:t>
      </w:r>
      <w:bookmarkEnd w:id="18"/>
      <w:r/>
      <w:r/>
    </w:p>
    <w:p>
      <w:pPr>
        <w:numPr>
          <w:ilvl w:val="0"/>
          <w:numId w:val="43"/>
        </w:numPr>
        <w:spacing w:line="400" w:lineRule="exact"/>
        <w:tabs>
          <w:tab w:val="left" w:pos="0" w:leader="none"/>
          <w:tab w:val="left" w:pos="960" w:leader="none"/>
        </w:tabs>
        <w:rPr>
          <w:rFonts w:hint="eastAsia" w:cs="宋体"/>
          <w:color w:val="auto"/>
          <w:highlight w:val="none"/>
        </w:rPr>
      </w:pPr>
      <w:r>
        <w:rPr>
          <w:rFonts w:hint="eastAsia" w:cs="宋体"/>
          <w:color w:val="auto"/>
          <w:highlight w:val="none"/>
          <w:lang w:val="en-US" w:eastAsia="zh-CN"/>
        </w:rPr>
        <w:t xml:space="preserve">项目履约期限：</w:t>
      </w:r>
      <w:r>
        <w:rPr>
          <w:rFonts w:hint="eastAsia" w:cs="宋体"/>
          <w:color w:val="auto"/>
          <w:highlight w:val="none"/>
        </w:rPr>
        <w:t xml:space="preserve">12个月</w:t>
      </w:r>
      <w:r>
        <w:rPr>
          <w:rFonts w:hint="eastAsia" w:cs="宋体"/>
          <w:color w:val="auto"/>
          <w:highlight w:val="none"/>
          <w:lang w:eastAsia="zh-CN"/>
        </w:rPr>
        <w:t xml:space="preserve">。</w:t>
      </w:r>
      <w:r>
        <w:rPr>
          <w:rFonts w:hint="eastAsia" w:cs="宋体"/>
          <w:color w:val="auto"/>
          <w:highlight w:val="none"/>
          <w:lang w:val="en-US" w:eastAsia="zh-CN"/>
        </w:rPr>
        <w:t xml:space="preserve">一、二标段部分站点因建设包含运维未到期</w:t>
      </w:r>
      <w:r>
        <w:rPr>
          <w:rFonts w:hint="eastAsia" w:cs="宋体"/>
          <w:color w:val="auto"/>
          <w:highlight w:val="none"/>
          <w:lang w:eastAsia="zh-CN"/>
        </w:rPr>
        <w:t xml:space="preserve">，</w:t>
      </w:r>
      <w:r>
        <w:rPr>
          <w:rFonts w:hint="eastAsia" w:cs="宋体"/>
          <w:color w:val="auto"/>
          <w:highlight w:val="none"/>
          <w:lang w:val="en-US" w:eastAsia="zh-CN"/>
        </w:rPr>
        <w:t xml:space="preserve">服务期限为2026年11月-2027年5月，这些站点待运维到期后中标单位须负责与原运维服务单位的工作交接及其他相关事宜的无缝衔接。</w:t>
      </w:r>
      <w:r/>
    </w:p>
    <w:p>
      <w:pPr>
        <w:numPr>
          <w:ilvl w:val="0"/>
          <w:numId w:val="43"/>
        </w:numPr>
        <w:spacing w:line="400" w:lineRule="exact"/>
        <w:tabs>
          <w:tab w:val="left" w:pos="0" w:leader="none"/>
          <w:tab w:val="left" w:pos="960" w:leader="none"/>
        </w:tabs>
        <w:rPr>
          <w:rFonts w:hint="eastAsia" w:cs="宋体"/>
        </w:rPr>
      </w:pPr>
      <w:r>
        <w:rPr>
          <w:rFonts w:hint="eastAsia" w:cs="宋体"/>
        </w:rPr>
        <w:t xml:space="preserve">投标人必须承诺招标文件中提出的全部要求，如果其中某些条款不响应时，应在文件中逐条列出，未列出的视同响应。</w:t>
      </w:r>
      <w:r/>
    </w:p>
    <w:p>
      <w:pPr>
        <w:numPr>
          <w:ilvl w:val="0"/>
          <w:numId w:val="43"/>
        </w:numPr>
        <w:spacing w:line="400" w:lineRule="exact"/>
        <w:tabs>
          <w:tab w:val="left" w:pos="0" w:leader="none"/>
          <w:tab w:val="left" w:pos="960" w:leader="none"/>
        </w:tabs>
        <w:rPr>
          <w:rFonts w:hint="eastAsia" w:cs="宋体"/>
        </w:rPr>
      </w:pPr>
      <w:r>
        <w:rPr>
          <w:rFonts w:hint="eastAsia" w:cs="宋体"/>
        </w:rPr>
        <w:t xml:space="preserve">投标人应按招标文件要求制定出具体的工作计划，达到的标准，提供的人力、物力。所提供的服务能够至少达到招标文件的要求，同时明确详细的服务方案。</w:t>
      </w:r>
      <w:r/>
    </w:p>
    <w:p>
      <w:pPr>
        <w:numPr>
          <w:ilvl w:val="0"/>
          <w:numId w:val="43"/>
        </w:numPr>
        <w:spacing w:line="400" w:lineRule="exact"/>
        <w:tabs>
          <w:tab w:val="left" w:pos="0" w:leader="none"/>
          <w:tab w:val="left" w:pos="960" w:leader="none"/>
        </w:tabs>
        <w:rPr>
          <w:rFonts w:hint="eastAsia" w:ascii="宋体" w:hAnsi="宋体" w:eastAsia="宋体" w:cs="宋体"/>
          <w:bCs/>
          <w:color w:val="auto"/>
          <w:sz w:val="21"/>
          <w:szCs w:val="21"/>
          <w:highlight w:val="none"/>
        </w:rPr>
      </w:pPr>
      <w:r>
        <w:rPr>
          <w:rFonts w:hint="eastAsia" w:ascii="宋体" w:hAnsi="宋体" w:cs="宋体"/>
          <w:lang w:eastAsia="zh-CN"/>
        </w:rPr>
        <w:t xml:space="preserve">中标</w:t>
      </w:r>
      <w:r>
        <w:rPr>
          <w:rFonts w:hint="eastAsia" w:ascii="宋体" w:hAnsi="宋体" w:eastAsia="宋体" w:cs="宋体"/>
          <w:bCs/>
          <w:color w:val="auto"/>
          <w:sz w:val="21"/>
          <w:szCs w:val="21"/>
          <w:highlight w:val="none"/>
          <w:lang w:eastAsia="zh-CN"/>
        </w:rPr>
        <w:t xml:space="preserve">单位</w:t>
      </w:r>
      <w:r>
        <w:rPr>
          <w:rFonts w:hint="eastAsia" w:ascii="宋体" w:hAnsi="宋体" w:eastAsia="宋体" w:cs="宋体"/>
          <w:bCs/>
          <w:color w:val="auto"/>
          <w:sz w:val="21"/>
          <w:szCs w:val="21"/>
          <w:highlight w:val="none"/>
        </w:rPr>
        <w:t xml:space="preserve">应对项目组成员做好安全培训，在项目实施过程中应注意人员和财产安全，如造成相关人员安全和财产损失问题的，一律由</w:t>
      </w:r>
      <w:r>
        <w:rPr>
          <w:rFonts w:hint="eastAsia" w:ascii="宋体" w:hAnsi="宋体" w:eastAsia="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全权承担负责，采购单位不承担任何责任。</w:t>
      </w:r>
      <w:r/>
    </w:p>
    <w:p>
      <w:pPr>
        <w:numPr>
          <w:ilvl w:val="0"/>
          <w:numId w:val="38"/>
        </w:numPr>
        <w:ind w:left="567" w:hanging="567"/>
        <w:spacing w:line="420" w:lineRule="exact"/>
        <w:tabs>
          <w:tab w:val="left" w:pos="567" w:leader="none"/>
        </w:tabs>
        <w:rPr>
          <w:rFonts w:hint="eastAsia"/>
          <w:b/>
          <w:bCs/>
          <w:color w:val="000000"/>
          <w:highlight w:val="none"/>
        </w:rPr>
      </w:pPr>
      <w:r>
        <w:rPr>
          <w:rFonts w:hint="eastAsia"/>
          <w:b/>
          <w:bCs/>
          <w:color w:val="000000"/>
          <w:highlight w:val="none"/>
        </w:rPr>
        <w:t xml:space="preserve">针对中小企业、监狱企业、残疾人企业的评审：</w:t>
      </w:r>
      <w:r/>
    </w:p>
    <w:p>
      <w:pPr>
        <w:numPr>
          <w:ilvl w:val="0"/>
          <w:numId w:val="44"/>
        </w:numPr>
        <w:spacing w:line="400" w:lineRule="exact"/>
        <w:tabs>
          <w:tab w:val="left" w:pos="640" w:leader="none"/>
        </w:tabs>
        <w:rPr>
          <w:rFonts w:hint="eastAsia" w:cs="宋体"/>
          <w:color w:val="000000"/>
          <w:highlight w:val="none"/>
        </w:rPr>
      </w:pPr>
      <w:r>
        <w:rPr>
          <w:rFonts w:hint="eastAsia" w:cs="宋体"/>
          <w:color w:val="000000"/>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（财库〔2022〕19号）等文件的精神，对属于小微企业、监狱企业、残疾人企业给予价格评审加分。</w:t>
      </w:r>
      <w:r/>
    </w:p>
    <w:p>
      <w:pPr>
        <w:numPr>
          <w:ilvl w:val="0"/>
          <w:numId w:val="44"/>
        </w:numPr>
        <w:spacing w:line="400" w:lineRule="exact"/>
        <w:tabs>
          <w:tab w:val="left" w:pos="640" w:leader="none"/>
        </w:tabs>
        <w:rPr>
          <w:rFonts w:hint="eastAsia" w:cs="宋体"/>
          <w:color w:val="000000"/>
          <w:highlight w:val="none"/>
        </w:rPr>
      </w:pPr>
      <w:r>
        <w:rPr>
          <w:rFonts w:hint="eastAsia" w:cs="宋体"/>
          <w:color w:val="000000"/>
          <w:highlight w:val="none"/>
        </w:rPr>
        <w:t xml:space="preserve">响应单位为小型或微型企业、残疾人企业或监狱企业的，其价格在评审时给予 20%的扣除，用扣除后的价格参</w:t>
      </w:r>
      <w:r>
        <w:rPr>
          <w:rFonts w:hint="eastAsia" w:cs="宋体"/>
          <w:color w:val="000000"/>
          <w:highlight w:val="none"/>
        </w:rPr>
        <w:t xml:space="preserve">与评审。如扣除后的价格为最低价的，则作为评审基准价，若最后中标，中标价格则以实际投标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numPr>
          <w:ilvl w:val="0"/>
          <w:numId w:val="44"/>
        </w:numPr>
        <w:spacing w:line="400" w:lineRule="exact"/>
        <w:tabs>
          <w:tab w:val="left" w:pos="640" w:leader="none"/>
        </w:tabs>
        <w:rPr>
          <w:rFonts w:hint="eastAsia" w:cs="宋体"/>
          <w:color w:val="000000"/>
          <w:highlight w:val="none"/>
        </w:rPr>
      </w:pPr>
      <w:r>
        <w:rPr>
          <w:rFonts w:hint="eastAsia"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38"/>
        </w:numPr>
        <w:ind w:left="567" w:hanging="567"/>
        <w:spacing w:line="420" w:lineRule="exact"/>
        <w:tabs>
          <w:tab w:val="left" w:pos="567" w:leader="none"/>
        </w:tabs>
        <w:rPr>
          <w:rFonts w:hint="eastAsia" w:cs="宋体"/>
          <w:b/>
          <w:color w:val="000000"/>
          <w:highlight w:val="none"/>
        </w:rPr>
      </w:pPr>
      <w:r>
        <w:rPr>
          <w:rFonts w:hint="eastAsia" w:cs="宋体"/>
          <w:b/>
          <w:color w:val="000000"/>
          <w:highlight w:val="none"/>
        </w:rPr>
        <w:t xml:space="preserve">关于对参与供应商信用记录的政府采购要求</w:t>
      </w:r>
      <w:r/>
    </w:p>
    <w:p>
      <w:pPr>
        <w:numPr>
          <w:ilvl w:val="0"/>
          <w:numId w:val="45"/>
        </w:numPr>
        <w:spacing w:line="400" w:lineRule="exact"/>
        <w:tabs>
          <w:tab w:val="left" w:pos="640" w:leader="none"/>
        </w:tabs>
        <w:rPr>
          <w:rFonts w:hint="eastAsia" w:cs="宋体"/>
          <w:color w:val="000000"/>
          <w:highlight w:val="none"/>
        </w:rPr>
      </w:pPr>
      <w:r>
        <w:rPr>
          <w:rFonts w:hint="eastAsia" w:cs="宋体"/>
          <w:color w:val="000000"/>
          <w:highlight w:val="none"/>
        </w:rPr>
        <w:t xml:space="preserve">采购代理机构会在接收投标文件截止时间后，在信用中国（www.creditchina.gov.cn）</w:t>
      </w:r>
      <w:r>
        <w:rPr>
          <w:rFonts w:hint="eastAsia" w:cs="宋体"/>
          <w:color w:val="000000"/>
          <w:highlight w:val="none"/>
          <w:lang w:val="en-US" w:eastAsia="zh-CN"/>
        </w:rPr>
        <w:t xml:space="preserve">等</w:t>
      </w:r>
      <w:r>
        <w:rPr>
          <w:rFonts w:hint="eastAsia" w:cs="宋体"/>
          <w:color w:val="000000"/>
          <w:highlight w:val="none"/>
        </w:rPr>
        <w:t xml:space="preserve">网站输入供应商全称或统一社会信用代码查询信用记录，并将查询结果递交评审小组。</w:t>
      </w:r>
      <w:r/>
    </w:p>
    <w:p>
      <w:pPr>
        <w:numPr>
          <w:ilvl w:val="0"/>
          <w:numId w:val="45"/>
        </w:numPr>
        <w:spacing w:line="400" w:lineRule="exact"/>
        <w:tabs>
          <w:tab w:val="left" w:pos="640" w:leader="none"/>
        </w:tabs>
        <w:rPr>
          <w:rFonts w:hint="eastAsia" w:cs="宋体"/>
          <w:color w:val="000000"/>
          <w:highlight w:val="none"/>
        </w:rPr>
      </w:pPr>
      <w:r>
        <w:rPr>
          <w:rFonts w:hint="eastAsia" w:cs="宋体"/>
          <w:color w:val="000000"/>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46"/>
        </w:numPr>
        <w:spacing w:line="400" w:lineRule="exact"/>
        <w:rPr>
          <w:rFonts w:hint="eastAsia" w:cs="宋体"/>
          <w:bCs/>
          <w:color w:val="000000"/>
          <w:highlight w:val="none"/>
        </w:rPr>
      </w:pPr>
      <w:r>
        <w:rPr>
          <w:rFonts w:hint="eastAsia" w:cs="宋体"/>
          <w:color w:val="000000"/>
          <w:highlight w:val="none"/>
        </w:rPr>
        <w:t xml:space="preserve">政府</w:t>
      </w:r>
      <w:r>
        <w:rPr>
          <w:rFonts w:hint="eastAsia" w:cs="宋体"/>
          <w:bCs/>
          <w:color w:val="000000"/>
          <w:highlight w:val="none"/>
        </w:rPr>
        <w:t xml:space="preserve">采购严重违法记录，即供应商被全国各级财政部门列入“政府采购严重违法失信行为记录名单”，且在处罚有效期内的。</w:t>
      </w:r>
      <w:r/>
    </w:p>
    <w:p>
      <w:pPr>
        <w:numPr>
          <w:ilvl w:val="0"/>
          <w:numId w:val="46"/>
        </w:numPr>
        <w:spacing w:line="400" w:lineRule="exact"/>
        <w:rPr>
          <w:rFonts w:hint="eastAsia" w:cs="宋体"/>
          <w:color w:val="000000"/>
          <w:highlight w:val="none"/>
        </w:rPr>
      </w:pPr>
      <w:r>
        <w:rPr>
          <w:rFonts w:hint="eastAsia" w:cs="宋体"/>
          <w:bCs/>
          <w:color w:val="000000"/>
          <w:highlight w:val="none"/>
        </w:rPr>
        <w:t xml:space="preserve">财政部门</w:t>
      </w:r>
      <w:r>
        <w:rPr>
          <w:rFonts w:hint="eastAsia" w:cs="宋体"/>
          <w:color w:val="000000"/>
          <w:highlight w:val="none"/>
        </w:rPr>
        <w:t xml:space="preserve">与法院、工商、税务等部门联合惩戒的失信信息，包括：</w:t>
      </w:r>
      <w:r/>
    </w:p>
    <w:p>
      <w:pPr>
        <w:numPr>
          <w:ilvl w:val="0"/>
          <w:numId w:val="47"/>
        </w:numPr>
        <w:ind w:left="851" w:hanging="284"/>
        <w:spacing w:line="420" w:lineRule="exact"/>
        <w:rPr>
          <w:rFonts w:hint="eastAsia" w:cs="宋体"/>
          <w:color w:val="000000"/>
          <w:highlight w:val="none"/>
        </w:rPr>
      </w:pPr>
      <w:r>
        <w:rPr>
          <w:rFonts w:hint="eastAsia" w:cs="宋体"/>
          <w:color w:val="000000"/>
          <w:highlight w:val="none"/>
        </w:rPr>
        <w:t xml:space="preserve">被列入失信被执行人名单；</w:t>
      </w:r>
      <w:r/>
    </w:p>
    <w:p>
      <w:pPr>
        <w:numPr>
          <w:ilvl w:val="0"/>
          <w:numId w:val="47"/>
        </w:numPr>
        <w:ind w:left="851" w:hanging="284"/>
        <w:spacing w:line="420" w:lineRule="exact"/>
        <w:rPr>
          <w:rFonts w:hint="eastAsia" w:cs="宋体"/>
          <w:color w:val="000000"/>
          <w:highlight w:val="none"/>
        </w:rPr>
      </w:pPr>
      <w:r>
        <w:rPr>
          <w:rFonts w:hint="eastAsia" w:cs="宋体"/>
          <w:color w:val="000000"/>
          <w:highlight w:val="none"/>
        </w:rPr>
        <w:t xml:space="preserve">被列入重大税收违法案件当事人名单；</w:t>
      </w:r>
      <w:r/>
    </w:p>
    <w:p>
      <w:pPr>
        <w:numPr>
          <w:ilvl w:val="0"/>
          <w:numId w:val="47"/>
        </w:numPr>
        <w:ind w:left="851" w:hanging="284"/>
        <w:spacing w:line="420" w:lineRule="exact"/>
        <w:rPr>
          <w:rFonts w:hint="eastAsia" w:cs="宋体"/>
          <w:color w:val="000000"/>
          <w:highlight w:val="none"/>
        </w:rPr>
      </w:pPr>
      <w:r>
        <w:rPr>
          <w:rFonts w:hint="eastAsia" w:cs="宋体"/>
          <w:color w:val="000000"/>
          <w:highlight w:val="none"/>
        </w:rPr>
        <w:t xml:space="preserve">企业经营异常名录中被责令停产停业、暂扣或者吊销许可证或者执照，或者对经营活动中的违法行为处以较大数额罚款的信用记录。处罚生效日至递交（响应）文件日未满三年的。</w:t>
      </w:r>
      <w:r/>
    </w:p>
    <w:p>
      <w:pPr>
        <w:numPr>
          <w:ilvl w:val="0"/>
          <w:numId w:val="45"/>
        </w:numPr>
        <w:spacing w:line="400" w:lineRule="exact"/>
        <w:tabs>
          <w:tab w:val="left" w:pos="640" w:leader="none"/>
        </w:tabs>
        <w:rPr>
          <w:rFonts w:hint="eastAsia" w:cs="宋体"/>
          <w:color w:val="000000"/>
          <w:highlight w:val="none"/>
        </w:rPr>
      </w:pPr>
      <w:r>
        <w:rPr>
          <w:rFonts w:hint="eastAsia" w:cs="宋体"/>
          <w:color w:val="000000"/>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38"/>
        </w:numPr>
        <w:ind w:left="567" w:hanging="567"/>
        <w:spacing w:line="420" w:lineRule="exact"/>
        <w:tabs>
          <w:tab w:val="left" w:pos="567" w:leader="none"/>
        </w:tabs>
        <w:rPr>
          <w:rFonts w:hint="eastAsia" w:cs="宋体"/>
          <w:color w:val="000000"/>
          <w:highlight w:val="none"/>
        </w:rPr>
      </w:pPr>
      <w:r>
        <w:rPr>
          <w:rFonts w:hint="eastAsia" w:cs="宋体"/>
          <w:b/>
          <w:color w:val="000000"/>
          <w:highlight w:val="none"/>
        </w:rPr>
        <w:t xml:space="preserve">凡涉及招标文件的补充说明和修改，均以网上发布的通知为准。</w:t>
      </w:r>
      <w:r/>
    </w:p>
    <w:p>
      <w:pPr>
        <w:pStyle w:val="1326"/>
        <w:jc w:val="center"/>
        <w:tabs>
          <w:tab w:val="left" w:pos="567" w:leader="none"/>
        </w:tabs>
        <w:rPr>
          <w:rFonts w:hint="eastAsia" w:hAnsi="宋体" w:eastAsia="宋体" w:cs="宋体"/>
          <w:color w:val="000000"/>
          <w:sz w:val="21"/>
          <w:szCs w:val="21"/>
          <w:highlight w:val="none"/>
        </w:rPr>
      </w:pPr>
      <w:r>
        <w:rPr>
          <w:rFonts w:hint="eastAsia" w:hAnsi="宋体" w:eastAsia="宋体" w:cs="宋体"/>
          <w:b/>
          <w:bCs/>
          <w:color w:val="000000"/>
          <w:sz w:val="44"/>
          <w:szCs w:val="44"/>
          <w:highlight w:val="none"/>
        </w:rPr>
        <w:br w:type="page" w:clear="all"/>
      </w:r>
      <w:r>
        <w:rPr>
          <w:rFonts w:hint="eastAsia" w:hAnsi="宋体" w:eastAsia="宋体" w:cs="宋体"/>
          <w:b/>
          <w:bCs/>
          <w:color w:val="000000"/>
          <w:sz w:val="44"/>
          <w:szCs w:val="44"/>
          <w:highlight w:val="none"/>
        </w:rPr>
        <w:t xml:space="preserve">第五章 </w:t>
      </w:r>
      <w:bookmarkStart w:id="33" w:name="合同的特殊条款"/>
      <w:r/>
      <w:bookmarkEnd w:id="33"/>
      <w:r>
        <w:rPr>
          <w:rFonts w:hint="eastAsia" w:hAnsi="宋体" w:eastAsia="宋体" w:cs="宋体"/>
          <w:b/>
          <w:bCs/>
          <w:color w:val="000000"/>
          <w:sz w:val="44"/>
          <w:szCs w:val="44"/>
          <w:highlight w:val="none"/>
        </w:rPr>
        <w:t xml:space="preserve">合同的主要条款</w:t>
      </w:r>
      <w:r/>
    </w:p>
    <w:tbl>
      <w:tblPr>
        <w:tblStyle w:val="823"/>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乙方（供应商）：</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签订日期：</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签订地点：</w:t>
            </w:r>
            <w:r/>
          </w:p>
        </w:tc>
      </w:tr>
    </w:tbl>
    <w:p>
      <w:pPr>
        <w:ind w:firstLine="420"/>
        <w:spacing w:line="400" w:lineRule="exact"/>
        <w:rPr>
          <w:rFonts w:hint="eastAsia" w:cs="宋体"/>
          <w:color w:val="000000"/>
          <w:highlight w:val="none"/>
        </w:rPr>
      </w:pPr>
      <w:r>
        <w:rPr>
          <w:rFonts w:hint="eastAsia" w:cs="宋体"/>
          <w:color w:val="000000"/>
          <w:highlight w:val="none"/>
        </w:rPr>
        <w:t xml:space="preserve">依据甲方委托</w:t>
      </w:r>
      <w:r>
        <w:rPr>
          <w:rFonts w:hint="eastAsia" w:cs="宋体"/>
          <w:color w:val="000000"/>
          <w:highlight w:val="none"/>
          <w:u w:val="single"/>
          <w:lang w:eastAsia="zh-CN"/>
        </w:rPr>
        <w:t xml:space="preserve">经纬工程咨询（苏州）有限公司</w:t>
      </w:r>
      <w:r>
        <w:rPr>
          <w:rFonts w:hint="eastAsia" w:cs="宋体"/>
          <w:color w:val="000000"/>
          <w:highlight w:val="none"/>
        </w:rPr>
        <w:t xml:space="preserve">进行本项目政府采购</w:t>
      </w:r>
      <w:r>
        <w:rPr>
          <w:rFonts w:hint="eastAsia" w:cs="宋体"/>
          <w:color w:val="000000"/>
          <w:highlight w:val="none"/>
          <w:u w:val="single"/>
          <w:lang w:eastAsia="zh-CN"/>
        </w:rPr>
        <w:t xml:space="preserve">2026年水质自动站运维</w:t>
      </w:r>
      <w:r>
        <w:rPr>
          <w:rFonts w:hint="eastAsia" w:cs="宋体"/>
          <w:color w:val="000000"/>
          <w:highlight w:val="none"/>
        </w:rPr>
        <w:t xml:space="preserve">（招标编号：</w:t>
      </w:r>
      <w:r>
        <w:rPr>
          <w:rFonts w:hint="eastAsia" w:cs="宋体"/>
          <w:color w:val="000000"/>
          <w:highlight w:val="none"/>
          <w:u w:val="single"/>
          <w:lang w:eastAsia="zh-CN"/>
        </w:rPr>
        <w:t xml:space="preserve">JSZC-320506-JWGC-G2026-0002</w:t>
      </w:r>
      <w:r>
        <w:rPr>
          <w:rFonts w:hint="eastAsia" w:cs="宋体"/>
          <w:color w:val="000000"/>
          <w:highlight w:val="none"/>
        </w:rPr>
        <w:t xml:space="preserve">）的招标结果，确定乙方为本次中标供应商，现依照招标文件、乙方的投标文件及相关文件的内容，签订本合同书。</w:t>
      </w:r>
      <w:r/>
    </w:p>
    <w:p>
      <w:pPr>
        <w:numPr>
          <w:ilvl w:val="0"/>
          <w:numId w:val="48"/>
        </w:numPr>
        <w:ind w:left="567" w:hanging="567"/>
        <w:spacing w:line="400" w:lineRule="exact"/>
        <w:tabs>
          <w:tab w:val="left" w:pos="567" w:leader="none"/>
        </w:tabs>
        <w:rPr>
          <w:rFonts w:hint="eastAsia" w:cs="仿宋_GB2312"/>
          <w:bCs/>
          <w:color w:val="000000"/>
          <w:highlight w:val="none"/>
        </w:rPr>
      </w:pPr>
      <w:r>
        <w:rPr>
          <w:rFonts w:hint="eastAsia" w:cs="仿宋_GB2312"/>
          <w:b/>
          <w:color w:val="000000"/>
          <w:highlight w:val="none"/>
        </w:rPr>
        <w:t xml:space="preserve">合同价格</w:t>
      </w:r>
      <w:r/>
    </w:p>
    <w:p>
      <w:pPr>
        <w:numPr>
          <w:ilvl w:val="1"/>
          <w:numId w:val="49"/>
        </w:numPr>
        <w:spacing w:line="400" w:lineRule="exact"/>
        <w:tabs>
          <w:tab w:val="left" w:pos="567" w:leader="none"/>
        </w:tabs>
        <w:rPr>
          <w:rFonts w:ascii="Calibri" w:hAnsi="Calibri"/>
          <w:color w:val="000000"/>
          <w:sz w:val="21"/>
          <w:highlight w:val="none"/>
        </w:rPr>
      </w:pPr>
      <w:r>
        <w:rPr>
          <w:rFonts w:hint="eastAsia" w:cs="仿宋_GB2312"/>
          <w:color w:val="000000"/>
          <w:sz w:val="21"/>
          <w:szCs w:val="21"/>
          <w:highlight w:val="none"/>
        </w:rPr>
        <w:t xml:space="preserve">合同价格（大写）人民币</w:t>
      </w:r>
      <w:r>
        <w:rPr>
          <w:rFonts w:hint="eastAsia" w:cs="仿宋_GB2312"/>
          <w:color w:val="000000"/>
          <w:sz w:val="21"/>
          <w:szCs w:val="21"/>
          <w:highlight w:val="none"/>
          <w:u w:val="single"/>
        </w:rPr>
        <w:t xml:space="preserve">        </w:t>
      </w:r>
      <w:r>
        <w:rPr>
          <w:rFonts w:hint="eastAsia" w:cs="仿宋_GB2312"/>
          <w:color w:val="000000"/>
          <w:sz w:val="21"/>
          <w:szCs w:val="21"/>
          <w:highlight w:val="none"/>
        </w:rPr>
        <w:t xml:space="preserve"> （￥</w:t>
      </w:r>
      <w:r>
        <w:rPr>
          <w:rFonts w:hint="eastAsia" w:cs="仿宋_GB2312"/>
          <w:color w:val="000000"/>
          <w:sz w:val="21"/>
          <w:szCs w:val="21"/>
          <w:highlight w:val="none"/>
          <w:u w:val="single"/>
        </w:rPr>
        <w:t xml:space="preserve">        </w:t>
      </w:r>
      <w:r>
        <w:rPr>
          <w:rFonts w:hint="eastAsia" w:cs="仿宋_GB2312"/>
          <w:color w:val="000000"/>
          <w:sz w:val="21"/>
          <w:szCs w:val="21"/>
          <w:highlight w:val="none"/>
        </w:rPr>
        <w:t xml:space="preserve">）。合同价格实际</w:t>
      </w:r>
      <w:r>
        <w:rPr>
          <w:rFonts w:hint="eastAsia" w:ascii="Calibri" w:hAnsi="Calibri"/>
          <w:bCs/>
          <w:color w:val="000000"/>
          <w:sz w:val="21"/>
          <w:highlight w:val="none"/>
        </w:rPr>
        <w:t xml:space="preserve">包括完成本项目服务工作期间所需的人工、运行维护、材料、交通、会务、评审、验收、差旅、保险、利润、税金、通讯、办公设备、政策性文件规定及合同包含的所有风险、责任等各项应有费用。</w:t>
      </w:r>
      <w:r/>
    </w:p>
    <w:p>
      <w:pPr>
        <w:numPr>
          <w:ilvl w:val="1"/>
          <w:numId w:val="49"/>
        </w:numPr>
        <w:spacing w:line="400" w:lineRule="exact"/>
        <w:tabs>
          <w:tab w:val="left" w:pos="567" w:leader="none"/>
        </w:tabs>
        <w:rPr>
          <w:rFonts w:hint="eastAsia" w:cs="仿宋_GB2312"/>
          <w:color w:val="000000"/>
          <w:sz w:val="21"/>
          <w:szCs w:val="21"/>
          <w:highlight w:val="none"/>
        </w:rPr>
      </w:pPr>
      <w:r>
        <w:rPr>
          <w:rFonts w:hint="eastAsia" w:cs="仿宋_GB2312"/>
          <w:color w:val="000000"/>
          <w:sz w:val="21"/>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4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服务范围</w:t>
      </w:r>
      <w:r/>
    </w:p>
    <w:p>
      <w:pPr>
        <w:numPr>
          <w:ilvl w:val="1"/>
          <w:numId w:val="48"/>
        </w:numPr>
        <w:spacing w:line="400" w:lineRule="exact"/>
        <w:tabs>
          <w:tab w:val="left" w:pos="567" w:leader="none"/>
        </w:tabs>
        <w:rPr>
          <w:rFonts w:hint="eastAsia" w:cs="仿宋_GB2312"/>
          <w:color w:val="000000"/>
          <w:highlight w:val="none"/>
        </w:rPr>
      </w:pPr>
      <w:r>
        <w:rPr>
          <w:rFonts w:hint="eastAsia" w:cs="仿宋_GB2312"/>
          <w:bCs/>
          <w:color w:val="000000"/>
          <w:highlight w:val="none"/>
        </w:rPr>
        <w:t xml:space="preserve">甲方</w:t>
      </w:r>
      <w:r>
        <w:rPr>
          <w:rFonts w:hint="eastAsia" w:cs="仿宋_GB2312"/>
          <w:color w:val="000000"/>
          <w:highlight w:val="none"/>
        </w:rPr>
        <w:t xml:space="preserve">聘请乙方提供以下服务：</w:t>
      </w:r>
      <w:r/>
    </w:p>
    <w:p>
      <w:pPr>
        <w:numPr>
          <w:ilvl w:val="0"/>
          <w:numId w:val="50"/>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本合同项下的服务指：</w:t>
      </w:r>
      <w:r>
        <w:rPr>
          <w:rFonts w:hint="eastAsia" w:cs="仿宋_GB2312"/>
          <w:iCs/>
          <w:color w:val="000000"/>
          <w:highlight w:val="none"/>
          <w:u w:val="single"/>
        </w:rPr>
        <w:t xml:space="preserve">（详见招标文件）</w:t>
      </w:r>
      <w:r>
        <w:rPr>
          <w:rFonts w:hint="eastAsia" w:cs="仿宋_GB2312"/>
          <w:color w:val="000000"/>
          <w:highlight w:val="none"/>
        </w:rPr>
        <w:t xml:space="preserve">。</w:t>
      </w:r>
      <w:r/>
    </w:p>
    <w:p>
      <w:pPr>
        <w:numPr>
          <w:ilvl w:val="0"/>
          <w:numId w:val="50"/>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服务内容：</w:t>
      </w:r>
      <w:r>
        <w:rPr>
          <w:rFonts w:hint="eastAsia" w:cs="仿宋_GB2312"/>
          <w:iCs/>
          <w:color w:val="000000"/>
          <w:highlight w:val="none"/>
          <w:u w:val="single"/>
        </w:rPr>
        <w:t xml:space="preserve">（详见招标文件）</w:t>
      </w:r>
      <w:r>
        <w:rPr>
          <w:rFonts w:hint="eastAsia" w:cs="仿宋_GB2312"/>
          <w:color w:val="000000"/>
          <w:highlight w:val="none"/>
        </w:rPr>
        <w:t xml:space="preserve">。</w:t>
      </w:r>
      <w:r/>
    </w:p>
    <w:p>
      <w:pPr>
        <w:numPr>
          <w:ilvl w:val="0"/>
          <w:numId w:val="50"/>
        </w:numPr>
        <w:ind w:left="993" w:hanging="426"/>
        <w:spacing w:line="400" w:lineRule="exact"/>
        <w:tabs>
          <w:tab w:val="left" w:pos="993" w:leader="none"/>
        </w:tabs>
        <w:rPr>
          <w:rFonts w:hint="eastAsia" w:cs="仿宋_GB2312"/>
          <w:color w:val="000000"/>
          <w:highlight w:val="none"/>
        </w:rPr>
      </w:pPr>
      <w:r>
        <w:rPr>
          <w:rFonts w:hint="eastAsia"/>
          <w:bCs/>
          <w:color w:val="000000"/>
          <w:highlight w:val="none"/>
          <w:lang w:val="en-US" w:eastAsia="zh-CN"/>
        </w:rPr>
        <w:t xml:space="preserve">合同履行</w:t>
      </w:r>
      <w:r>
        <w:rPr>
          <w:rFonts w:hint="eastAsia"/>
          <w:bCs/>
          <w:color w:val="000000"/>
          <w:highlight w:val="none"/>
        </w:rPr>
        <w:t xml:space="preserve">期限：</w:t>
      </w:r>
      <w:r>
        <w:rPr>
          <w:rFonts w:hint="eastAsia"/>
          <w:bCs/>
          <w:color w:val="000000"/>
          <w:highlight w:val="none"/>
          <w:lang w:val="en-US" w:eastAsia="zh-CN"/>
        </w:rPr>
        <w:t xml:space="preserve">具体详见各标段站点情况表，运维周期最终于2026年5月31日结束</w:t>
      </w:r>
      <w:r>
        <w:rPr>
          <w:rFonts w:hint="eastAsia"/>
          <w:color w:val="000000"/>
          <w:highlight w:val="none"/>
        </w:rPr>
        <w:t xml:space="preserve">。</w:t>
      </w:r>
      <w:r/>
    </w:p>
    <w:p>
      <w:pPr>
        <w:numPr>
          <w:ilvl w:val="0"/>
          <w:numId w:val="48"/>
        </w:numPr>
        <w:ind w:left="567" w:hanging="567"/>
        <w:keepLines w:val="0"/>
        <w:keepNext w:val="0"/>
        <w:pageBreakBefore w:val="0"/>
        <w:spacing w:line="400" w:lineRule="exact"/>
        <w:widowControl w:val="off"/>
        <w:tabs>
          <w:tab w:val="left" w:pos="567" w:leader="none"/>
        </w:tabs>
        <w:rPr>
          <w:rFonts w:hint="eastAsia" w:cs="仿宋_GB2312"/>
          <w:b/>
          <w:color w:val="000000"/>
          <w:highlight w:val="none"/>
        </w:rPr>
        <w:outlineLvl w:val="9"/>
      </w:pPr>
      <w:r>
        <w:rPr>
          <w:rFonts w:hint="eastAsia" w:cs="仿宋_GB2312"/>
          <w:b/>
          <w:color w:val="000000"/>
          <w:highlight w:val="none"/>
        </w:rPr>
        <w:t xml:space="preserve">合同价格支付</w:t>
      </w:r>
      <w:r/>
    </w:p>
    <w:p>
      <w:pPr>
        <w:numPr>
          <w:ilvl w:val="1"/>
          <w:numId w:val="48"/>
        </w:numPr>
        <w:keepLines w:val="0"/>
        <w:keepNext w:val="0"/>
        <w:pageBreakBefore w:val="0"/>
        <w:spacing w:line="400" w:lineRule="exact"/>
        <w:widowControl w:val="off"/>
        <w:tabs>
          <w:tab w:val="left" w:pos="567" w:leader="none"/>
        </w:tabs>
        <w:rPr>
          <w:sz w:val="21"/>
          <w:szCs w:val="21"/>
        </w:rPr>
        <w:outlineLvl w:val="9"/>
      </w:pPr>
      <w:r>
        <w:rPr>
          <w:rFonts w:hint="eastAsia" w:cs="仿宋_GB2312"/>
          <w:bCs/>
          <w:highlight w:val="cyan"/>
        </w:rPr>
        <w:t xml:space="preserve">支付步骤：</w:t>
      </w:r>
      <w:r>
        <w:rPr>
          <w:rFonts w:hint="eastAsia" w:cs="宋体"/>
          <w:color w:val="auto"/>
          <w:sz w:val="21"/>
          <w:szCs w:val="21"/>
          <w:highlight w:val="cyan"/>
        </w:rPr>
        <w:t xml:space="preserve">签订合同后，乙方按要求提供运维服务，甲方结合服务费用考核情况</w:t>
      </w:r>
      <w:r>
        <w:rPr>
          <w:rFonts w:hint="eastAsia" w:cs="宋体"/>
          <w:color w:val="ff0000"/>
          <w:sz w:val="21"/>
          <w:szCs w:val="21"/>
          <w:highlight w:val="cyan"/>
        </w:rPr>
        <w:t xml:space="preserve">每</w:t>
      </w:r>
      <w:r>
        <w:rPr>
          <w:rFonts w:hint="eastAsia" w:cs="宋体"/>
          <w:color w:val="ff0000"/>
          <w:sz w:val="21"/>
          <w:szCs w:val="21"/>
          <w:highlight w:val="cyan"/>
          <w:lang w:val="en-US" w:eastAsia="zh-CN"/>
        </w:rPr>
        <w:t xml:space="preserve">半年</w:t>
      </w:r>
      <w:r>
        <w:rPr>
          <w:rFonts w:hint="eastAsia" w:cs="宋体"/>
          <w:color w:val="auto"/>
          <w:sz w:val="21"/>
          <w:szCs w:val="21"/>
          <w:highlight w:val="cyan"/>
        </w:rPr>
        <w:t xml:space="preserve">结算一次。</w:t>
      </w:r>
      <w:r>
        <w:rPr>
          <w:rFonts w:hint="eastAsia" w:cs="宋体"/>
          <w:color w:val="auto"/>
          <w:sz w:val="21"/>
          <w:szCs w:val="21"/>
          <w:highlight w:val="cyan"/>
          <w:lang w:eastAsia="zh-CN"/>
        </w:rPr>
        <w:t xml:space="preserve">（</w:t>
      </w:r>
      <w:r>
        <w:rPr>
          <w:rFonts w:hint="eastAsia" w:cs="宋体"/>
          <w:color w:val="auto"/>
          <w:sz w:val="21"/>
          <w:szCs w:val="21"/>
          <w:highlight w:val="cyan"/>
          <w:lang w:val="en-US" w:eastAsia="zh-CN"/>
        </w:rPr>
        <w:t xml:space="preserve">实际根据财政资金下达情况支付</w:t>
      </w:r>
      <w:r>
        <w:rPr>
          <w:rFonts w:hint="eastAsia" w:cs="宋体"/>
          <w:color w:val="auto"/>
          <w:sz w:val="21"/>
          <w:szCs w:val="21"/>
          <w:highlight w:val="cyan"/>
          <w:lang w:eastAsia="zh-CN"/>
        </w:rPr>
        <w:t xml:space="preserve">）</w:t>
      </w:r>
      <w:r/>
    </w:p>
    <w:p>
      <w:pPr>
        <w:numPr>
          <w:ilvl w:val="1"/>
          <w:numId w:val="48"/>
        </w:numPr>
        <w:keepLines w:val="0"/>
        <w:keepNext w:val="0"/>
        <w:pageBreakBefore w:val="0"/>
        <w:spacing w:line="400" w:lineRule="exact"/>
        <w:widowControl w:val="off"/>
        <w:tabs>
          <w:tab w:val="left" w:pos="567" w:leader="none"/>
        </w:tabs>
        <w:rPr>
          <w:sz w:val="21"/>
          <w:szCs w:val="21"/>
        </w:rPr>
        <w:outlineLvl w:val="9"/>
      </w:pPr>
      <w:r>
        <w:rPr>
          <w:rFonts w:hint="eastAsia"/>
          <w:sz w:val="21"/>
          <w:szCs w:val="21"/>
          <w:lang w:val="en-US" w:eastAsia="zh-CN"/>
        </w:rPr>
        <w:t xml:space="preserve">质量考核标准：甲方</w:t>
      </w:r>
      <w:r>
        <w:rPr>
          <w:rFonts w:hint="eastAsia"/>
          <w:sz w:val="21"/>
          <w:szCs w:val="21"/>
        </w:rPr>
        <w:t xml:space="preserve">根据仪器的实际有效运行率按月核算运维款项，具体如下：</w:t>
      </w:r>
      <w:r/>
    </w:p>
    <w:p>
      <w:pPr>
        <w:numPr>
          <w:ilvl w:val="0"/>
          <w:numId w:val="51"/>
        </w:numPr>
        <w:ind w:left="567" w:hanging="567"/>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常规参数（水温、pH、溶解氧、电导率、浊度、氨氮、高锰酸盐指数、总磷、总氮、叶绿素、藻密度）</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单站考核周期内监测数据有效率高于90%，不扣款。</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单站考核周期内监测数据有效率在80%（不含）-90%（含），扣除该付款周期运维费10%，并责令整改。</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单站考核周期内监测数据有效率在70%（含）-80%（含），扣除该付款周期运维费20%，并责令整改。</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上述1）-3）所列条款中，当存在单参数考核周期内监测数据有效率低于70%的情形时，增扣该付款周期运维费5%。</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单站考核周期内监测数据有效率低于70%，扣除该付款周期全部运维费。</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全年平均数据有效率低于60%，取消运维合同。</w:t>
      </w:r>
      <w:r/>
    </w:p>
    <w:p>
      <w:pPr>
        <w:numPr>
          <w:ilvl w:val="0"/>
          <w:numId w:val="51"/>
        </w:numPr>
        <w:ind w:left="567" w:hanging="567"/>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特殊参数（VOCS、挥发酚、氟化物、流量计等）</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单参数考核周期内监测数据有效率高于90%，不扣款。</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单参数考核周期内监测数据有效率在80%（不含）-90%（含），扣除该付款周期运维费10%，并责令整改。</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单参数考核周期内监测数据有效率在70%（含）-80%（含），扣除该付款周期运维费20%，并责令整改。</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单参数考核周期内监测数据有效率低于70%，扣除该付款周期全部运维费。</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特征参数设备经鉴定不具备使用条件时，乙方应向甲方申请报废，经甲方同意后终止该设备运行并终止运维费支付。</w:t>
      </w:r>
      <w:r/>
    </w:p>
    <w:p>
      <w:pPr>
        <w:numPr>
          <w:ilvl w:val="1"/>
          <w:numId w:val="48"/>
        </w:numPr>
        <w:keepLines w:val="0"/>
        <w:keepNext w:val="0"/>
        <w:pageBreakBefore w:val="0"/>
        <w:spacing w:line="400" w:lineRule="exact"/>
        <w:widowControl w:val="off"/>
        <w:tabs>
          <w:tab w:val="left" w:pos="567" w:leader="none"/>
        </w:tabs>
        <w:rPr>
          <w:rFonts w:hint="eastAsia"/>
          <w:highlight w:val="cyan"/>
        </w:rPr>
        <w:outlineLvl w:val="9"/>
      </w:pPr>
      <w:r>
        <w:rPr>
          <w:rFonts w:hint="eastAsia" w:ascii="宋体" w:hAnsi="宋体" w:eastAsia="宋体" w:cs="宋体"/>
          <w:color w:val="auto"/>
          <w:sz w:val="21"/>
          <w:szCs w:val="21"/>
          <w:highlight w:val="cyan"/>
          <w:lang w:val="en-US" w:eastAsia="zh-CN"/>
        </w:rPr>
        <w:t xml:space="preserve">本项目实际运维服务期限为202</w:t>
      </w:r>
      <w:r>
        <w:rPr>
          <w:rFonts w:hint="eastAsia" w:eastAsia="宋体" w:cs="宋体"/>
          <w:color w:val="auto"/>
          <w:sz w:val="21"/>
          <w:szCs w:val="21"/>
          <w:highlight w:val="cyan"/>
          <w:lang w:val="en-US" w:eastAsia="zh-CN"/>
        </w:rPr>
        <w:t xml:space="preserve">6</w:t>
      </w:r>
      <w:r>
        <w:rPr>
          <w:rFonts w:hint="eastAsia" w:ascii="宋体" w:hAnsi="宋体" w:eastAsia="宋体" w:cs="宋体"/>
          <w:color w:val="auto"/>
          <w:sz w:val="21"/>
          <w:szCs w:val="21"/>
          <w:highlight w:val="cyan"/>
          <w:lang w:val="en-US" w:eastAsia="zh-CN"/>
        </w:rPr>
        <w:t xml:space="preserve">年6月1日至202</w:t>
      </w:r>
      <w:r>
        <w:rPr>
          <w:rFonts w:hint="eastAsia" w:eastAsia="宋体" w:cs="宋体"/>
          <w:color w:val="auto"/>
          <w:sz w:val="21"/>
          <w:szCs w:val="21"/>
          <w:highlight w:val="cyan"/>
          <w:lang w:val="en-US" w:eastAsia="zh-CN"/>
        </w:rPr>
        <w:t xml:space="preserve">7</w:t>
      </w:r>
      <w:r>
        <w:rPr>
          <w:rFonts w:hint="eastAsia" w:ascii="宋体" w:hAnsi="宋体" w:eastAsia="宋体" w:cs="宋体"/>
          <w:color w:val="auto"/>
          <w:sz w:val="21"/>
          <w:szCs w:val="21"/>
          <w:highlight w:val="cyan"/>
          <w:lang w:val="en-US" w:eastAsia="zh-CN"/>
        </w:rPr>
        <w:t xml:space="preserve">年5月31日，乙方须根据甲方要求，做好与原服务单位工作无缝交接，保证甲方项目的顺利进行、无缝衔接。</w:t>
      </w:r>
      <w:r/>
    </w:p>
    <w:p>
      <w:pPr>
        <w:numPr>
          <w:ilvl w:val="1"/>
          <w:numId w:val="48"/>
        </w:numPr>
        <w:spacing w:line="400" w:lineRule="exact"/>
        <w:tabs>
          <w:tab w:val="left" w:pos="567" w:leader="none"/>
        </w:tabs>
        <w:rPr>
          <w:rFonts w:hint="eastAsia" w:cs="宋体"/>
          <w:iCs/>
          <w:color w:val="auto"/>
          <w:sz w:val="21"/>
          <w:szCs w:val="21"/>
          <w:highlight w:val="none"/>
        </w:rPr>
      </w:pPr>
      <w:r>
        <w:rPr>
          <w:rFonts w:hint="eastAsia" w:cs="宋体"/>
          <w:color w:val="auto"/>
          <w:sz w:val="21"/>
          <w:szCs w:val="21"/>
          <w:highlight w:val="none"/>
        </w:rPr>
        <w:t xml:space="preserve">甲方</w:t>
      </w:r>
      <w:r>
        <w:rPr>
          <w:rFonts w:hint="eastAsia" w:cs="宋体"/>
          <w:iCs/>
          <w:color w:val="auto"/>
          <w:sz w:val="21"/>
          <w:szCs w:val="21"/>
          <w:highlight w:val="none"/>
        </w:rPr>
        <w:t xml:space="preserve">支付此项费用外不再承担其它任何费用（包括个人），服务人员的薪金、福利、休假日补贴等由乙方付给，与甲方无关。</w:t>
      </w:r>
      <w:r/>
    </w:p>
    <w:p>
      <w:pPr>
        <w:numPr>
          <w:ilvl w:val="1"/>
          <w:numId w:val="48"/>
        </w:numPr>
        <w:spacing w:line="400" w:lineRule="exact"/>
        <w:tabs>
          <w:tab w:val="left" w:pos="567" w:leader="none"/>
        </w:tabs>
        <w:rPr>
          <w:rFonts w:hint="eastAsia" w:cs="宋体"/>
          <w:color w:val="auto"/>
          <w:sz w:val="21"/>
          <w:szCs w:val="21"/>
          <w:highlight w:val="none"/>
        </w:rPr>
      </w:pPr>
      <w:r>
        <w:rPr>
          <w:rFonts w:hint="eastAsia" w:cs="宋体"/>
          <w:color w:val="auto"/>
          <w:sz w:val="21"/>
          <w:szCs w:val="21"/>
          <w:highlight w:val="none"/>
        </w:rPr>
        <w:t xml:space="preserve">乙方要求付款应提供以下资料：</w:t>
      </w:r>
      <w:r/>
    </w:p>
    <w:p>
      <w:pPr>
        <w:numPr>
          <w:ilvl w:val="0"/>
          <w:numId w:val="54"/>
        </w:numPr>
        <w:ind w:left="993" w:right="-153" w:hanging="426"/>
        <w:spacing w:line="400" w:lineRule="exact"/>
        <w:tabs>
          <w:tab w:val="left" w:pos="993" w:leader="none"/>
        </w:tabs>
        <w:rPr>
          <w:rFonts w:hint="eastAsia" w:cs="仿宋_GB2312"/>
          <w:color w:val="auto"/>
          <w:sz w:val="21"/>
          <w:szCs w:val="21"/>
          <w:highlight w:val="none"/>
        </w:rPr>
      </w:pPr>
      <w:r>
        <w:rPr>
          <w:rFonts w:hint="eastAsia" w:cs="仿宋_GB2312"/>
          <w:color w:val="auto"/>
          <w:sz w:val="21"/>
          <w:szCs w:val="21"/>
          <w:highlight w:val="none"/>
        </w:rPr>
        <w:t xml:space="preserve">合格的发票。</w:t>
      </w:r>
      <w:r/>
    </w:p>
    <w:p>
      <w:pPr>
        <w:numPr>
          <w:ilvl w:val="0"/>
          <w:numId w:val="54"/>
        </w:numPr>
        <w:ind w:left="993" w:right="-153" w:hanging="426"/>
        <w:spacing w:line="400" w:lineRule="exact"/>
        <w:tabs>
          <w:tab w:val="left" w:pos="993" w:leader="none"/>
        </w:tabs>
        <w:rPr>
          <w:rFonts w:hint="eastAsia" w:cs="仿宋_GB2312"/>
          <w:color w:val="auto"/>
          <w:sz w:val="21"/>
          <w:szCs w:val="21"/>
          <w:highlight w:val="none"/>
        </w:rPr>
      </w:pPr>
      <w:r>
        <w:rPr>
          <w:rFonts w:hint="eastAsia" w:cs="仿宋_GB2312"/>
          <w:color w:val="auto"/>
          <w:sz w:val="21"/>
          <w:szCs w:val="21"/>
          <w:highlight w:val="none"/>
        </w:rPr>
        <w:t xml:space="preserve">由甲乙双方及采购代理机构签章的《采购合同履行验收报告》</w:t>
      </w:r>
      <w:r>
        <w:rPr>
          <w:rFonts w:hint="eastAsia" w:cs="宋体"/>
          <w:color w:val="auto"/>
          <w:sz w:val="21"/>
          <w:szCs w:val="21"/>
          <w:highlight w:val="none"/>
        </w:rPr>
        <w:t xml:space="preserve">（最后一笔付款时提供）</w:t>
      </w:r>
      <w:r>
        <w:rPr>
          <w:rFonts w:hint="eastAsia" w:cs="仿宋_GB2312"/>
          <w:color w:val="auto"/>
          <w:sz w:val="21"/>
          <w:szCs w:val="21"/>
          <w:highlight w:val="none"/>
        </w:rPr>
        <w:t xml:space="preserve">。</w:t>
      </w:r>
      <w:r/>
    </w:p>
    <w:p>
      <w:pPr>
        <w:numPr>
          <w:ilvl w:val="1"/>
          <w:numId w:val="48"/>
        </w:numPr>
        <w:spacing w:line="400" w:lineRule="exact"/>
        <w:tabs>
          <w:tab w:val="left" w:pos="567" w:leader="none"/>
        </w:tabs>
        <w:rPr>
          <w:rFonts w:hint="eastAsia" w:cs="仿宋_GB2312"/>
          <w:color w:val="auto"/>
          <w:sz w:val="21"/>
          <w:szCs w:val="21"/>
          <w:highlight w:val="none"/>
        </w:rPr>
      </w:pPr>
      <w:r>
        <w:rPr>
          <w:rFonts w:hint="eastAsia" w:cs="仿宋_GB2312"/>
          <w:color w:val="auto"/>
          <w:sz w:val="21"/>
          <w:szCs w:val="21"/>
          <w:highlight w:val="none"/>
        </w:rPr>
        <w:t xml:space="preserve">支付方式：转账。</w:t>
      </w:r>
      <w:r/>
    </w:p>
    <w:p>
      <w:pPr>
        <w:numPr>
          <w:ilvl w:val="1"/>
          <w:numId w:val="48"/>
        </w:numPr>
        <w:spacing w:line="400" w:lineRule="exact"/>
        <w:tabs>
          <w:tab w:val="left" w:pos="567" w:leader="none"/>
        </w:tabs>
        <w:rPr>
          <w:rFonts w:hint="eastAsia" w:cs="宋体"/>
        </w:rPr>
      </w:pPr>
      <w:r>
        <w:rPr>
          <w:rFonts w:hint="eastAsia" w:cs="仿宋_GB2312"/>
        </w:rPr>
        <w:t xml:space="preserve">乙方</w:t>
      </w:r>
      <w:r>
        <w:rPr>
          <w:rFonts w:hint="eastAsia" w:cs="宋体"/>
        </w:rPr>
        <w:t xml:space="preserve">账户信息：</w:t>
      </w:r>
      <w:r/>
    </w:p>
    <w:p>
      <w:pPr>
        <w:ind w:left="540"/>
        <w:spacing w:line="400" w:lineRule="exact"/>
        <w:tabs>
          <w:tab w:val="left" w:pos="540" w:leader="none"/>
        </w:tabs>
        <w:rPr>
          <w:rFonts w:hint="eastAsia" w:cs="宋体"/>
        </w:rPr>
      </w:pPr>
      <w:r>
        <w:rPr>
          <w:rFonts w:hint="eastAsia" w:cs="宋体"/>
        </w:rPr>
        <w:t xml:space="preserve">户名：</w:t>
      </w:r>
      <w:r/>
    </w:p>
    <w:p>
      <w:pPr>
        <w:ind w:left="540"/>
        <w:spacing w:line="400" w:lineRule="exact"/>
        <w:tabs>
          <w:tab w:val="left" w:pos="540" w:leader="none"/>
        </w:tabs>
        <w:rPr>
          <w:rFonts w:hint="eastAsia" w:cs="宋体"/>
        </w:rPr>
      </w:pPr>
      <w:r>
        <w:rPr>
          <w:rFonts w:hint="eastAsia" w:cs="宋体"/>
        </w:rPr>
        <w:t xml:space="preserve">开户行：</w:t>
      </w:r>
      <w:r/>
    </w:p>
    <w:p>
      <w:pPr>
        <w:ind w:left="540"/>
        <w:spacing w:line="400" w:lineRule="exact"/>
        <w:tabs>
          <w:tab w:val="left" w:pos="540" w:leader="none"/>
        </w:tabs>
        <w:rPr>
          <w:rFonts w:hint="eastAsia" w:cs="宋体"/>
        </w:rPr>
      </w:pPr>
      <w:r>
        <w:rPr>
          <w:rFonts w:hint="eastAsia" w:cs="宋体"/>
        </w:rPr>
        <w:t xml:space="preserve">账号：</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考核</w:t>
      </w:r>
      <w:r/>
    </w:p>
    <w:p>
      <w:pPr>
        <w:numPr>
          <w:ilvl w:val="1"/>
          <w:numId w:val="48"/>
        </w:numPr>
        <w:spacing w:line="400" w:lineRule="exact"/>
        <w:tabs>
          <w:tab w:val="left" w:pos="567" w:leader="none"/>
        </w:tabs>
        <w:rPr>
          <w:rFonts w:hint="eastAsia" w:ascii="宋体" w:hAnsi="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乙方不得</w:t>
      </w:r>
      <w:r>
        <w:rPr>
          <w:rFonts w:hint="eastAsia" w:ascii="宋体" w:hAnsi="宋体" w:cs="宋体"/>
          <w:iCs/>
          <w:color w:val="auto"/>
          <w:sz w:val="21"/>
          <w:szCs w:val="21"/>
          <w:highlight w:val="none"/>
          <w:lang w:val="en-US" w:eastAsia="zh-CN" w:bidi="ar-SA"/>
        </w:rPr>
        <w:t xml:space="preserve">存在以下人为干扰监测站点正常运行的行为：</w:t>
      </w:r>
      <w:r/>
    </w:p>
    <w:p>
      <w:pPr>
        <w:numPr>
          <w:ilvl w:val="0"/>
          <w:numId w:val="55"/>
        </w:numPr>
        <w:ind w:left="993" w:right="-153" w:hanging="426"/>
        <w:spacing w:line="400" w:lineRule="exact"/>
        <w:tabs>
          <w:tab w:val="left" w:pos="993" w:leader="none"/>
        </w:tabs>
        <w:rPr>
          <w:rFonts w:hint="eastAsia" w:ascii="宋体" w:hAnsi="宋体" w:cs="仿宋_GB2312"/>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不得擅自或者协助他人篡改设备运行参数及干扰设备各个部件的正常运行。</w:t>
      </w:r>
      <w:r/>
    </w:p>
    <w:p>
      <w:pPr>
        <w:numPr>
          <w:ilvl w:val="0"/>
          <w:numId w:val="55"/>
        </w:numPr>
        <w:ind w:left="993" w:right="-153" w:hanging="426"/>
        <w:spacing w:line="400" w:lineRule="exact"/>
        <w:tabs>
          <w:tab w:val="left" w:pos="993" w:leader="none"/>
        </w:tabs>
        <w:rPr>
          <w:rFonts w:hint="default" w:ascii="宋体" w:hAnsi="宋体" w:cs="仿宋_GB2312"/>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非运维人员未经吴中生态环境局同意不得进入站房内部及采样区域，如确需进入，提前报备。</w:t>
      </w:r>
      <w:r/>
    </w:p>
    <w:p>
      <w:pPr>
        <w:numPr>
          <w:ilvl w:val="0"/>
          <w:numId w:val="55"/>
        </w:numPr>
        <w:ind w:left="993" w:right="-153" w:hanging="426"/>
        <w:spacing w:line="400" w:lineRule="exact"/>
        <w:tabs>
          <w:tab w:val="left" w:pos="993" w:leader="none"/>
        </w:tabs>
        <w:rPr>
          <w:rFonts w:hint="eastAsia" w:ascii="宋体" w:hAnsi="宋体" w:cs="仿宋_GB2312"/>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不得将站房门禁或钥匙交给非运维人员，如已有此情况，及时更换锁具或更改门禁密码。</w:t>
      </w:r>
      <w:r/>
    </w:p>
    <w:p>
      <w:pPr>
        <w:numPr>
          <w:ilvl w:val="0"/>
          <w:numId w:val="55"/>
        </w:numPr>
        <w:ind w:left="993" w:right="-153" w:hanging="426"/>
        <w:spacing w:line="400" w:lineRule="exact"/>
        <w:tabs>
          <w:tab w:val="left" w:pos="993" w:leader="none"/>
        </w:tabs>
        <w:rPr>
          <w:rFonts w:hint="default" w:ascii="宋体" w:hAnsi="宋体" w:cs="仿宋_GB2312"/>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乙方人为干扰情况不限于以上三项，其余按生态环境部或江苏省生态环境厅有关地表水水质自动站防人为干扰相关文件要求执行。</w:t>
      </w:r>
      <w:r/>
    </w:p>
    <w:p>
      <w:pPr>
        <w:numPr>
          <w:ilvl w:val="0"/>
          <w:numId w:val="48"/>
        </w:numPr>
        <w:ind w:left="567" w:hanging="567"/>
        <w:spacing w:line="400" w:lineRule="exact"/>
        <w:tabs>
          <w:tab w:val="left" w:pos="567" w:leader="none"/>
        </w:tabs>
        <w:rPr>
          <w:rFonts w:hint="eastAsia"/>
          <w:b/>
        </w:rPr>
      </w:pPr>
      <w:r>
        <w:rPr>
          <w:rFonts w:hint="eastAsia" w:ascii="宋体" w:hAnsi="宋体" w:cs="仿宋_GB2312"/>
          <w:b/>
        </w:rPr>
        <w:t xml:space="preserve">违约</w:t>
      </w:r>
      <w:r>
        <w:rPr>
          <w:rFonts w:hint="eastAsia"/>
          <w:b/>
        </w:rPr>
        <w:t xml:space="preserve">责任</w:t>
      </w:r>
      <w:r/>
    </w:p>
    <w:p>
      <w:pPr>
        <w:numPr>
          <w:ilvl w:val="1"/>
          <w:numId w:val="48"/>
        </w:numPr>
        <w:spacing w:line="400" w:lineRule="exact"/>
        <w:tabs>
          <w:tab w:val="left" w:pos="567" w:leader="none"/>
        </w:tabs>
        <w:rPr>
          <w:rFonts w:hint="eastAsia" w:ascii="宋体" w:hAnsi="宋体" w:cs="仿宋_GB2312"/>
          <w:lang w:val="en-US" w:eastAsia="zh-CN"/>
        </w:rPr>
      </w:pPr>
      <w:r>
        <w:rPr>
          <w:rFonts w:hint="eastAsia" w:ascii="宋体" w:hAnsi="宋体" w:cs="仿宋_GB2312"/>
          <w:lang w:val="en-US" w:eastAsia="zh-CN"/>
        </w:rPr>
        <w:t xml:space="preserve">乙方不能提供服务的，或服务不合格从而影响甲方按期正常使用的，应向甲方偿付合同总价款5%的违约金，违约金不足以补偿损失的甲方有权要求乙方补足；</w:t>
      </w:r>
      <w:r/>
    </w:p>
    <w:p>
      <w:pPr>
        <w:numPr>
          <w:ilvl w:val="1"/>
          <w:numId w:val="48"/>
        </w:numPr>
        <w:spacing w:line="400" w:lineRule="exact"/>
        <w:tabs>
          <w:tab w:val="left" w:pos="567" w:leader="none"/>
        </w:tabs>
        <w:rPr>
          <w:rFonts w:hint="eastAsia" w:ascii="宋体" w:hAnsi="宋体" w:cs="仿宋_GB2312"/>
          <w:lang w:val="en-US" w:eastAsia="zh-CN"/>
        </w:rPr>
      </w:pPr>
      <w:r>
        <w:rPr>
          <w:rFonts w:hint="eastAsia" w:ascii="宋体" w:hAnsi="宋体" w:cs="仿宋_GB2312"/>
          <w:lang w:val="en-US" w:eastAsia="zh-CN"/>
        </w:rPr>
        <w:t xml:space="preserve">乙方逾期提供服务的，应与甲方和政府采购管理部门协商，甲方仍有需求的，乙方应立即提供服务按照逾期服务的每天万分之四支付逾期违约金，同时承担甲方因此遭致的损失费用。</w:t>
      </w:r>
      <w:r/>
    </w:p>
    <w:p>
      <w:pPr>
        <w:numPr>
          <w:ilvl w:val="1"/>
          <w:numId w:val="48"/>
        </w:numPr>
        <w:spacing w:line="400" w:lineRule="exact"/>
        <w:tabs>
          <w:tab w:val="left" w:pos="567" w:leader="none"/>
        </w:tabs>
        <w:rPr>
          <w:rFonts w:hint="default" w:ascii="宋体" w:hAnsi="宋体" w:cs="仿宋_GB2312"/>
          <w:lang w:val="en-US" w:eastAsia="zh-CN"/>
        </w:rPr>
      </w:pPr>
      <w:r>
        <w:rPr>
          <w:rFonts w:hint="eastAsia" w:ascii="宋体" w:hAnsi="宋体" w:cs="仿宋_GB2312"/>
          <w:lang w:val="en-US" w:eastAsia="zh-CN"/>
        </w:rPr>
        <w:t xml:space="preserve">甲方开展不定期运维检查，若发现乙方存在人为干扰监测站点正常运行的行为，第一次发现，警告并通报，第二次发现，扣除本合同金额的10%，第三次发现，甲方终止本合同。</w:t>
      </w:r>
      <w:r/>
    </w:p>
    <w:p>
      <w:pPr>
        <w:numPr>
          <w:ilvl w:val="1"/>
          <w:numId w:val="48"/>
        </w:numPr>
        <w:spacing w:line="400" w:lineRule="exact"/>
        <w:tabs>
          <w:tab w:val="left" w:pos="567" w:leader="none"/>
        </w:tabs>
        <w:rPr>
          <w:rFonts w:cs="宋体-18030"/>
        </w:rPr>
      </w:pPr>
      <w:r>
        <w:rPr>
          <w:rFonts w:cs="宋体-18030"/>
        </w:rPr>
        <w:t xml:space="preserve">若乙方未遵守保密义务，出现泄漏甲方或第三方秘密的情形，甲方有权终止与乙方的合作，解除合同并向乙方主张合同总标的额百分之二十的违约金。情节严重涉及违法犯罪的，依法移交司法机关处理。</w:t>
      </w:r>
      <w:r/>
    </w:p>
    <w:p>
      <w:pPr>
        <w:numPr>
          <w:ilvl w:val="1"/>
          <w:numId w:val="48"/>
        </w:numPr>
        <w:spacing w:line="400" w:lineRule="exact"/>
        <w:tabs>
          <w:tab w:val="left" w:pos="567" w:leader="none"/>
        </w:tabs>
        <w:rPr>
          <w:rFonts w:cs="宋体-18030"/>
        </w:rPr>
      </w:pPr>
      <w:r>
        <w:rPr>
          <w:rFonts w:cs="宋体-18030"/>
        </w:rPr>
        <w:t xml:space="preserve">若因乙方侵犯第三方知识产权，发生第三方诉讼、社会舆论或甲方信誉受损等情形，甲方有权终止与乙方的合作，解除合同并向乙方主张合同总标的额百分之二十的违约金。</w:t>
      </w:r>
      <w:r/>
    </w:p>
    <w:p>
      <w:pPr>
        <w:numPr>
          <w:ilvl w:val="1"/>
          <w:numId w:val="48"/>
        </w:numPr>
        <w:spacing w:line="400" w:lineRule="exact"/>
        <w:tabs>
          <w:tab w:val="left" w:pos="567" w:leader="none"/>
        </w:tabs>
        <w:rPr>
          <w:rFonts w:hint="eastAsia" w:cs="仿宋_GB2312"/>
        </w:rPr>
      </w:pPr>
      <w:r>
        <w:rPr>
          <w:rFonts w:hint="eastAsia" w:cs="宋体-18030"/>
        </w:rPr>
        <w:t xml:space="preserve">在合同有效期内，若乙方被省内主管部门通报暂停经营资格或出现其他严重经营问题的，甲方有权要求乙方赔偿损失，并追究</w:t>
      </w:r>
      <w:r>
        <w:rPr>
          <w:rFonts w:hint="eastAsia" w:ascii="宋体" w:hAnsi="宋体" w:cs="仿宋_GB2312"/>
          <w:lang w:val="en-US" w:eastAsia="zh-CN"/>
        </w:rPr>
        <w:t xml:space="preserve">乙方</w:t>
      </w:r>
      <w:r>
        <w:rPr>
          <w:rFonts w:hint="eastAsia" w:cs="宋体-18030"/>
        </w:rPr>
        <w:t xml:space="preserve">合同总标的额百分之二十的违约金，且甲方有权解除合同。同时，对于乙方在此期间承担的服务工作，甲方有权不予支付相应服务费用。</w:t>
      </w:r>
      <w:r>
        <w:rPr>
          <w:rFonts w:hint="eastAsia" w:cs="仿宋_GB2312"/>
        </w:rPr>
        <w:t xml:space="preserve">                                       </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不可抗力</w:t>
      </w:r>
      <w:r/>
    </w:p>
    <w:p>
      <w:pPr>
        <w:numPr>
          <w:ilvl w:val="1"/>
          <w:numId w:val="48"/>
        </w:numPr>
        <w:spacing w:line="400" w:lineRule="exact"/>
        <w:tabs>
          <w:tab w:val="left" w:pos="567" w:leader="none"/>
        </w:tabs>
        <w:rPr>
          <w:rFonts w:hint="eastAsia" w:cs="仿宋_GB2312"/>
        </w:rPr>
      </w:pPr>
      <w:r>
        <w:rPr>
          <w:rFonts w:hint="eastAsia"/>
        </w:rPr>
        <w:t xml:space="preserve">因不</w:t>
      </w:r>
      <w:r>
        <w:rPr>
          <w:rFonts w:hint="eastAsia" w:cs="仿宋_GB2312"/>
        </w:rPr>
        <w:t xml:space="preserve">可抗力不能履行合同的，根据不可抗力的影响，部分或者全部免除责任。但合同一方延迟履行后发生不可抗力的，不能免除责任。</w:t>
      </w:r>
      <w:r/>
    </w:p>
    <w:p>
      <w:pPr>
        <w:numPr>
          <w:ilvl w:val="1"/>
          <w:numId w:val="48"/>
        </w:numPr>
        <w:spacing w:line="400" w:lineRule="exact"/>
        <w:tabs>
          <w:tab w:val="left" w:pos="567" w:leader="none"/>
        </w:tabs>
        <w:rPr>
          <w:rFonts w:hint="eastAsia" w:cs="仿宋_GB2312"/>
        </w:rPr>
      </w:pPr>
      <w:r>
        <w:rPr>
          <w:rFonts w:hint="eastAsia" w:cs="仿宋_GB2312"/>
        </w:rPr>
        <w:t xml:space="preserve">合同一方因不可抗力不能履行合同的，应当及时通知对方，以减轻可能给对方造成的损失，并应当在合理期限内</w:t>
      </w:r>
      <w:r>
        <w:rPr>
          <w:rFonts w:hint="eastAsia"/>
        </w:rPr>
        <w:t xml:space="preserve">提供证明。</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合同修改</w:t>
      </w:r>
      <w:r/>
    </w:p>
    <w:p>
      <w:pPr>
        <w:numPr>
          <w:ilvl w:val="1"/>
          <w:numId w:val="48"/>
        </w:numPr>
        <w:spacing w:line="400" w:lineRule="exact"/>
        <w:tabs>
          <w:tab w:val="left" w:pos="567" w:leader="none"/>
        </w:tabs>
        <w:rPr>
          <w:rFonts w:hint="eastAsia" w:cs="仿宋_GB2312"/>
        </w:rPr>
      </w:pPr>
      <w:r>
        <w:rPr>
          <w:rFonts w:hint="eastAsia" w:cs="仿宋_GB2312"/>
        </w:rPr>
        <w:t xml:space="preserve">甲方和乙方都不得擅自变更本合同，但合同继续履行将损害国家和社会公共利益的除外。</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转让和分包</w:t>
      </w:r>
      <w:r/>
    </w:p>
    <w:p>
      <w:pPr>
        <w:numPr>
          <w:ilvl w:val="1"/>
          <w:numId w:val="48"/>
        </w:numPr>
        <w:spacing w:line="400" w:lineRule="exact"/>
        <w:tabs>
          <w:tab w:val="left" w:pos="567" w:leader="none"/>
        </w:tabs>
        <w:rPr>
          <w:rFonts w:hint="eastAsia" w:cs="仿宋_GB2312"/>
        </w:rPr>
      </w:pPr>
      <w:r>
        <w:rPr>
          <w:rFonts w:hint="eastAsia"/>
        </w:rPr>
        <w:t xml:space="preserve">政府采购合同的部分和全部都不得转让、分包。</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合同的解除</w:t>
      </w:r>
      <w:r/>
    </w:p>
    <w:p>
      <w:pPr>
        <w:numPr>
          <w:ilvl w:val="1"/>
          <w:numId w:val="48"/>
        </w:numPr>
        <w:spacing w:line="400" w:lineRule="exact"/>
        <w:tabs>
          <w:tab w:val="left" w:pos="567" w:leader="none"/>
        </w:tabs>
        <w:rPr>
          <w:rFonts w:hint="eastAsia" w:cs="仿宋_GB2312"/>
        </w:rPr>
      </w:pPr>
      <w:r>
        <w:rPr>
          <w:rFonts w:hint="eastAsia" w:cs="仿宋_GB2312"/>
        </w:rPr>
        <w:t xml:space="preserve">有下列情形之一，合同一方可以解除合同：</w:t>
      </w:r>
      <w:r/>
    </w:p>
    <w:p>
      <w:pPr>
        <w:numPr>
          <w:ilvl w:val="0"/>
          <w:numId w:val="56"/>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因不可抗力致使不能实现合同目的，未受不可抗力影响的一方有权解除合同；</w:t>
      </w:r>
      <w:r/>
    </w:p>
    <w:p>
      <w:pPr>
        <w:numPr>
          <w:ilvl w:val="0"/>
          <w:numId w:val="56"/>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因合同一方违约导致合同不能履行，另一方有权解除合同；</w:t>
      </w:r>
      <w:r/>
    </w:p>
    <w:p>
      <w:pPr>
        <w:numPr>
          <w:ilvl w:val="0"/>
          <w:numId w:val="56"/>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招标文件中规定的其他可解除合同的情形。</w:t>
      </w:r>
      <w:r/>
    </w:p>
    <w:p>
      <w:pPr>
        <w:numPr>
          <w:ilvl w:val="1"/>
          <w:numId w:val="48"/>
        </w:numPr>
        <w:spacing w:line="400" w:lineRule="exact"/>
        <w:tabs>
          <w:tab w:val="left" w:pos="567" w:leader="none"/>
        </w:tabs>
        <w:rPr>
          <w:rFonts w:hint="eastAsia" w:cs="仿宋_GB2312"/>
        </w:rPr>
      </w:pPr>
      <w:r>
        <w:rPr>
          <w:rFonts w:hint="eastAsia" w:cs="仿宋_GB2312"/>
        </w:rPr>
        <w:t xml:space="preserve">有权解除合同的一方，应当在违约事实或不可抗力发生之后三十天内书面通知对方以主张解除合同，合同在书面通知到达对方时解除。</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争议解决办法</w:t>
      </w:r>
      <w:r/>
    </w:p>
    <w:p>
      <w:pPr>
        <w:ind w:firstLine="567"/>
        <w:spacing w:line="400" w:lineRule="exact"/>
        <w:rPr>
          <w:rFonts w:hint="eastAsia" w:cs="仿宋_GB2312"/>
        </w:rPr>
      </w:pPr>
      <w:r>
        <w:rPr>
          <w:rFonts w:hint="eastAsia" w:cs="仿宋_GB2312"/>
        </w:rPr>
        <w:t xml:space="preserve">因本合同或与本合同有关的一切事项发生争议，由双方友好协商解决。协商不成的，任何一方均可选择以下方式解决：</w:t>
      </w:r>
      <w:r/>
    </w:p>
    <w:p>
      <w:pPr>
        <w:ind w:firstLine="567"/>
        <w:spacing w:line="400" w:lineRule="exact"/>
        <w:rPr>
          <w:rFonts w:hint="eastAsia" w:cs="仿宋_GB2312"/>
        </w:rPr>
      </w:pPr>
      <w:r>
        <w:rPr>
          <w:rFonts w:hint="eastAsia" w:cs="仿宋_GB2312"/>
        </w:rPr>
        <w:t xml:space="preserve">向甲方所在地的人民法院起诉。</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合同生效及其他</w:t>
      </w:r>
      <w:r/>
    </w:p>
    <w:p>
      <w:pPr>
        <w:numPr>
          <w:ilvl w:val="1"/>
          <w:numId w:val="48"/>
        </w:numPr>
        <w:spacing w:line="400" w:lineRule="exact"/>
        <w:tabs>
          <w:tab w:val="left" w:pos="567" w:leader="none"/>
        </w:tabs>
        <w:rPr>
          <w:rFonts w:hint="eastAsia"/>
        </w:rPr>
      </w:pPr>
      <w:r>
        <w:rPr>
          <w:rFonts w:hint="eastAsia" w:cs="仿宋_GB2312"/>
        </w:rPr>
        <w:t xml:space="preserve">本合同经双方签字并盖公章后生效，并需进行政府采购合同网上公示。</w:t>
      </w:r>
      <w:r/>
    </w:p>
    <w:p>
      <w:pPr>
        <w:numPr>
          <w:ilvl w:val="1"/>
          <w:numId w:val="48"/>
        </w:numPr>
        <w:spacing w:line="400" w:lineRule="exact"/>
        <w:tabs>
          <w:tab w:val="left" w:pos="567" w:leader="none"/>
        </w:tabs>
        <w:rPr>
          <w:rFonts w:hint="eastAsia"/>
        </w:rPr>
      </w:pPr>
      <w:r>
        <w:rPr>
          <w:rFonts w:hint="eastAsia" w:cs="仿宋_GB2312"/>
        </w:rPr>
        <w:t xml:space="preserve">下列文件为本合同不可分割部分</w:t>
      </w:r>
      <w:r>
        <w:rPr>
          <w:rFonts w:hint="eastAsia"/>
        </w:rPr>
        <w:t xml:space="preserve">：</w:t>
      </w:r>
      <w:r/>
    </w:p>
    <w:p>
      <w:pPr>
        <w:numPr>
          <w:ilvl w:val="0"/>
          <w:numId w:val="57"/>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中标通知书；</w:t>
      </w:r>
      <w:r/>
    </w:p>
    <w:p>
      <w:pPr>
        <w:numPr>
          <w:ilvl w:val="0"/>
          <w:numId w:val="57"/>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乙方投标文件；</w:t>
      </w:r>
      <w:r/>
    </w:p>
    <w:p>
      <w:pPr>
        <w:numPr>
          <w:ilvl w:val="0"/>
          <w:numId w:val="57"/>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招标文件；</w:t>
      </w:r>
      <w:r/>
    </w:p>
    <w:p>
      <w:pPr>
        <w:numPr>
          <w:ilvl w:val="0"/>
          <w:numId w:val="57"/>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乙方在招投标过程</w:t>
      </w:r>
      <w:r>
        <w:rPr>
          <w:rFonts w:hint="eastAsia"/>
        </w:rPr>
        <w:t xml:space="preserve">中所作的其他承诺、声明、书面澄清等。</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未尽事宜</w:t>
      </w:r>
      <w:r/>
    </w:p>
    <w:p>
      <w:pPr>
        <w:numPr>
          <w:ilvl w:val="1"/>
          <w:numId w:val="48"/>
        </w:numPr>
        <w:spacing w:line="400" w:lineRule="exact"/>
        <w:tabs>
          <w:tab w:val="left" w:pos="567" w:leader="none"/>
        </w:tabs>
        <w:rPr>
          <w:rFonts w:hint="eastAsia" w:cs="仿宋_GB2312"/>
        </w:rPr>
      </w:pPr>
      <w:r>
        <w:rPr>
          <w:rFonts w:hint="eastAsia" w:cs="仿宋_GB2312"/>
        </w:rPr>
        <w:t xml:space="preserve">未尽事宜按照《中华人民共和国民法典》、《中华人民共和国政府采购法》等相关法律法规之规定解释。</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附则</w:t>
      </w:r>
      <w:r/>
    </w:p>
    <w:p>
      <w:pPr>
        <w:numPr>
          <w:ilvl w:val="1"/>
          <w:numId w:val="48"/>
        </w:numPr>
        <w:spacing w:line="400" w:lineRule="exact"/>
        <w:tabs>
          <w:tab w:val="left" w:pos="567" w:leader="none"/>
        </w:tabs>
        <w:rPr>
          <w:rFonts w:hint="eastAsia" w:cs="宋体"/>
          <w:bCs/>
        </w:rPr>
      </w:pPr>
      <w:r>
        <w:rPr>
          <w:rFonts w:hint="eastAsia" w:cs="宋体"/>
          <w:bCs/>
        </w:rPr>
        <w:t xml:space="preserve">本合同一式</w:t>
      </w:r>
      <w:r>
        <w:rPr>
          <w:rFonts w:hint="eastAsia" w:cs="宋体"/>
          <w:bCs/>
          <w:u w:val="single"/>
        </w:rPr>
        <w:t xml:space="preserve"> 六 </w:t>
      </w:r>
      <w:r>
        <w:rPr>
          <w:rFonts w:hint="eastAsia" w:cs="宋体"/>
          <w:bCs/>
        </w:rPr>
        <w:t xml:space="preserve">份，甲方执</w:t>
      </w:r>
      <w:r>
        <w:rPr>
          <w:rFonts w:hint="eastAsia" w:cs="宋体"/>
          <w:bCs/>
          <w:u w:val="single"/>
        </w:rPr>
        <w:t xml:space="preserve"> 两 </w:t>
      </w:r>
      <w:r>
        <w:rPr>
          <w:rFonts w:hint="eastAsia" w:cs="宋体"/>
          <w:bCs/>
        </w:rPr>
        <w:t xml:space="preserve">份，乙方执</w:t>
      </w:r>
      <w:r>
        <w:rPr>
          <w:rFonts w:hint="eastAsia" w:cs="宋体"/>
          <w:bCs/>
          <w:u w:val="single"/>
        </w:rPr>
        <w:t xml:space="preserve"> 两 </w:t>
      </w:r>
      <w:r>
        <w:rPr>
          <w:rFonts w:hint="eastAsia" w:cs="宋体"/>
          <w:bCs/>
        </w:rPr>
        <w:t xml:space="preserve">份，政府采购监督管理部门一份，采购代理机构一份。</w:t>
      </w:r>
      <w:r/>
    </w:p>
    <w:p>
      <w:pPr>
        <w:numPr>
          <w:ilvl w:val="0"/>
          <w:numId w:val="0"/>
        </w:numPr>
        <w:spacing w:line="400" w:lineRule="exact"/>
        <w:tabs>
          <w:tab w:val="left" w:pos="567" w:leader="none"/>
        </w:tabs>
        <w:rPr>
          <w:rFonts w:hint="eastAsia" w:cs="宋体"/>
          <w:bCs/>
          <w:color w:val="000000"/>
          <w:highlight w:val="none"/>
        </w:rPr>
      </w:pPr>
      <w:r>
        <w:rPr>
          <w:rFonts w:hint="eastAsia" w:cs="宋体"/>
          <w:bCs/>
          <w:color w:val="000000"/>
          <w:highlight w:val="none"/>
        </w:rPr>
      </w:r>
      <w:r/>
    </w:p>
    <w:p>
      <w:pPr>
        <w:rPr>
          <w:rFonts w:hint="eastAsia" w:cs="宋体"/>
          <w:color w:val="000000"/>
          <w:highlight w:val="none"/>
        </w:rPr>
      </w:pPr>
      <w:r>
        <w:rPr>
          <w:rFonts w:hint="eastAsia" w:cs="宋体"/>
          <w:color w:val="000000"/>
          <w:highlight w:val="none"/>
        </w:rPr>
      </w:r>
      <w:r/>
    </w:p>
    <w:p>
      <w:pPr>
        <w:jc w:val="center"/>
        <w:rPr>
          <w:rFonts w:hint="eastAsia" w:cs="宋体"/>
          <w:b/>
          <w:bCs/>
          <w:sz w:val="44"/>
          <w:szCs w:val="44"/>
        </w:rPr>
      </w:pPr>
      <w:r>
        <w:rPr>
          <w:rFonts w:hint="eastAsia" w:cs="宋体"/>
          <w:color w:val="000000"/>
          <w:highlight w:val="none"/>
        </w:rPr>
        <w:br w:type="page" w:clear="all"/>
      </w:r>
      <w:r>
        <w:rPr>
          <w:rFonts w:hint="eastAsia" w:cs="宋体"/>
          <w:b/>
          <w:bCs/>
          <w:sz w:val="44"/>
          <w:szCs w:val="44"/>
        </w:rPr>
        <w:t xml:space="preserve">第六章 </w:t>
      </w:r>
      <w:bookmarkStart w:id="34" w:name="评分要点"/>
      <w:r/>
      <w:bookmarkEnd w:id="34"/>
      <w:r>
        <w:rPr>
          <w:rFonts w:hint="eastAsia" w:cs="宋体"/>
          <w:b/>
          <w:bCs/>
          <w:sz w:val="44"/>
          <w:szCs w:val="44"/>
        </w:rPr>
        <w:t xml:space="preserve">评标办法和评分标准</w:t>
      </w:r>
      <w:r/>
    </w:p>
    <w:p>
      <w:pPr>
        <w:jc w:val="center"/>
        <w:spacing w:line="380" w:lineRule="exact"/>
        <w:rPr>
          <w:rFonts w:hint="eastAsia" w:cs="宋体"/>
          <w:b/>
        </w:rPr>
      </w:pPr>
      <w:r>
        <w:rPr>
          <w:rFonts w:hint="eastAsia" w:cs="宋体"/>
          <w:b/>
        </w:rPr>
        <w:t xml:space="preserve">评标办法</w:t>
      </w:r>
      <w:r/>
    </w:p>
    <w:p>
      <w:pPr>
        <w:numPr>
          <w:ilvl w:val="0"/>
          <w:numId w:val="58"/>
        </w:numPr>
        <w:ind w:left="567" w:hanging="567"/>
        <w:spacing w:line="420" w:lineRule="exact"/>
        <w:tabs>
          <w:tab w:val="clear" w:pos="420" w:leader="none"/>
          <w:tab w:val="left" w:pos="567" w:leader="none"/>
        </w:tabs>
        <w:rPr>
          <w:rFonts w:hint="eastAsia"/>
        </w:rPr>
      </w:pPr>
      <w:r>
        <w:rPr>
          <w:rFonts w:hint="eastAsia"/>
        </w:rPr>
        <w:t xml:space="preserve">本次招标评标采用综合评分法，以投标文件满足招标文件全部实质性要求，且按照评审因素的量化指标进行综合评审，各标段综合得分最高的投标供应商成为相应标段的中标供应商。本项目按照一至二标段的顺序依次开标。本项目的投标供应商不得兼中两个标段。如供应商在一标段中标，则不再具有二标段的得标权。</w:t>
      </w:r>
      <w:r/>
    </w:p>
    <w:p>
      <w:pPr>
        <w:numPr>
          <w:ilvl w:val="0"/>
          <w:numId w:val="58"/>
        </w:numPr>
        <w:ind w:left="567" w:hanging="567"/>
        <w:spacing w:line="420" w:lineRule="exact"/>
        <w:tabs>
          <w:tab w:val="clear" w:pos="420" w:leader="none"/>
          <w:tab w:val="left" w:pos="567" w:leader="none"/>
        </w:tabs>
      </w:pPr>
      <w:r>
        <w:rPr>
          <w:rFonts w:hint="eastAsia"/>
        </w:rPr>
        <w:t xml:space="preserve">如各标段出现评标总得分最高的投标人有两个或两个以上的，以实际投标报价较低者优先作为中标人，如果投标报价也相同的，则由采购人或采购代理机构组织以抽签方式确定中标人。</w:t>
      </w:r>
      <w:r/>
    </w:p>
    <w:p>
      <w:pPr>
        <w:numPr>
          <w:ilvl w:val="0"/>
          <w:numId w:val="58"/>
        </w:numPr>
        <w:ind w:left="567" w:hanging="567"/>
        <w:spacing w:line="420" w:lineRule="exact"/>
        <w:tabs>
          <w:tab w:val="clear" w:pos="420" w:leader="none"/>
          <w:tab w:val="left" w:pos="567" w:leader="none"/>
        </w:tabs>
        <w:rPr>
          <w:rFonts w:hint="eastAsia"/>
          <w:b/>
        </w:rPr>
      </w:pPr>
      <w:r>
        <w:rPr>
          <w:rFonts w:hint="eastAsia"/>
        </w:rPr>
        <w:t xml:space="preserve">评标时，评标委员会各成员应当独立对每个投标人的投标文件进行评价，并汇总每个投标人的得分。采购代理机构将评委的评价得分统计汇总，按算术平均方法计算出每个投标人的得分（保留小数点后两位）。</w:t>
      </w:r>
      <w:r/>
    </w:p>
    <w:p>
      <w:pPr>
        <w:jc w:val="center"/>
        <w:spacing w:line="380" w:lineRule="exact"/>
        <w:rPr>
          <w:rFonts w:hint="eastAsia" w:cs="宋体"/>
          <w:b/>
        </w:rPr>
      </w:pPr>
      <w:r>
        <w:rPr>
          <w:rFonts w:hint="eastAsia" w:cs="宋体"/>
          <w:b/>
        </w:rPr>
      </w:r>
      <w:r/>
    </w:p>
    <w:p>
      <w:pPr>
        <w:pStyle w:val="1633"/>
        <w:ind w:left="0" w:firstLine="0"/>
        <w:jc w:val="center"/>
        <w:rPr>
          <w:rFonts w:hint="eastAsia" w:eastAsia="宋体" w:cs="宋体"/>
          <w:b/>
          <w:bCs/>
          <w:color w:val="auto"/>
          <w:sz w:val="21"/>
          <w:szCs w:val="21"/>
          <w:lang w:eastAsia="zh-CN"/>
        </w:rPr>
      </w:pPr>
      <w:r>
        <w:rPr>
          <w:rFonts w:hint="eastAsia" w:cs="宋体"/>
          <w:b/>
          <w:bCs/>
          <w:color w:val="auto"/>
          <w:sz w:val="21"/>
          <w:szCs w:val="21"/>
        </w:rPr>
        <w:t xml:space="preserve">评分标准</w:t>
      </w:r>
      <w:r>
        <w:rPr>
          <w:rFonts w:hint="eastAsia" w:cs="宋体"/>
          <w:b/>
          <w:bCs/>
          <w:color w:val="auto"/>
          <w:sz w:val="21"/>
          <w:szCs w:val="21"/>
          <w:lang w:eastAsia="zh-CN"/>
        </w:rPr>
        <w:t xml:space="preserve">（一、二标段）</w:t>
      </w:r>
      <w:r/>
    </w:p>
    <w:p>
      <w:pPr>
        <w:numPr>
          <w:ilvl w:val="0"/>
          <w:numId w:val="59"/>
        </w:numPr>
        <w:ind w:left="427" w:hanging="427"/>
        <w:keepLines w:val="0"/>
        <w:keepNext w:val="0"/>
        <w:pageBreakBefore w:val="0"/>
        <w:spacing w:line="400" w:lineRule="exact"/>
        <w:widowControl w:val="off"/>
        <w:tabs>
          <w:tab w:val="left" w:pos="420" w:leader="none"/>
        </w:tabs>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val="en-US" w:eastAsia="zh-CN"/>
        </w:rPr>
        <w:t xml:space="preserve">价格</w:t>
      </w:r>
      <w:r>
        <w:rPr>
          <w:rFonts w:hint="eastAsia" w:ascii="宋体" w:hAnsi="宋体" w:eastAsia="宋体" w:cs="宋体"/>
          <w:b/>
          <w:color w:val="auto"/>
          <w:sz w:val="21"/>
          <w:szCs w:val="21"/>
          <w:highlight w:val="none"/>
        </w:rPr>
        <w:t xml:space="preserve">分（</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投标报价不超过采购预算价格的，为有效投标报价。超出此范围的投标报价为无效投标报价。无效投标报价的投标文件不进行评审，也不得标。</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得分计算方法：根据各投标人通过符合性审查的有效投标报价中的最低价作为评标基准价（如属于小微企业、残疾人企业和监狱企业的，则用扣除后的价格参与评审，如扣除后的价格为最低价的，则作为评标基准价，中标金额则以实际投标报价为准），其价格分为最高分。</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w:t>
      </w:r>
      <w:r/>
    </w:p>
    <w:p>
      <w:pPr>
        <w:pStyle w:val="854"/>
        <w:ind w:left="420"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投标报价得分=(评标基准价／投标报价)×价格权值×100，小数点后保留两位。</w:t>
      </w:r>
      <w:r/>
    </w:p>
    <w:p>
      <w:pPr>
        <w:numPr>
          <w:ilvl w:val="0"/>
          <w:numId w:val="59"/>
        </w:numPr>
        <w:ind w:left="427" w:hanging="427"/>
        <w:keepLines w:val="0"/>
        <w:keepNext w:val="0"/>
        <w:pageBreakBefore w:val="0"/>
        <w:spacing w:line="400" w:lineRule="exact"/>
        <w:widowControl w:val="off"/>
        <w:tabs>
          <w:tab w:val="left" w:pos="420"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color w:val="auto"/>
          <w:sz w:val="21"/>
          <w:szCs w:val="21"/>
          <w:highlight w:val="none"/>
        </w:rPr>
        <w:t xml:space="preserve">技术服务</w:t>
      </w:r>
      <w:r>
        <w:rPr>
          <w:rFonts w:hint="eastAsia" w:ascii="宋体" w:hAnsi="宋体" w:eastAsia="宋体" w:cs="宋体"/>
          <w:b/>
          <w:bCs/>
          <w:color w:val="auto"/>
          <w:sz w:val="21"/>
          <w:szCs w:val="21"/>
          <w:highlight w:val="none"/>
        </w:rPr>
        <w:t xml:space="preserve">方案情况</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6</w:t>
      </w:r>
      <w:r>
        <w:rPr>
          <w:rFonts w:hint="eastAsia"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项目理解</w:t>
      </w:r>
      <w:r>
        <w:rPr>
          <w:rFonts w:hint="eastAsia" w:eastAsia="宋体" w:cs="宋体"/>
          <w:color w:val="auto"/>
          <w:sz w:val="21"/>
          <w:szCs w:val="21"/>
          <w:highlight w:val="none"/>
          <w:lang w:val="en-US" w:eastAsia="zh-CN"/>
        </w:rPr>
        <w:t xml:space="preserve">、分析</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根据投标人对水站现场</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运行</w:t>
      </w:r>
      <w:r>
        <w:rPr>
          <w:rFonts w:hint="eastAsia" w:ascii="宋体" w:hAnsi="宋体" w:eastAsia="宋体" w:cs="宋体"/>
          <w:color w:val="auto"/>
          <w:sz w:val="21"/>
          <w:szCs w:val="21"/>
          <w:highlight w:val="none"/>
          <w:lang w:val="en-US" w:eastAsia="zh-CN"/>
        </w:rPr>
        <w:t xml:space="preserve">现状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常见问题等的了解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rPr>
        <w:t xml:space="preserve">对项目现场了解、熟悉，阐述分析到位得</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较了解、较熟悉，分析基本到位得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基本熟悉、分析不太到位得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不太熟悉得1分；</w:t>
      </w:r>
      <w:r>
        <w:rPr>
          <w:rFonts w:hint="eastAsia" w:ascii="宋体" w:hAnsi="宋体" w:eastAsia="宋体" w:cs="宋体"/>
          <w:color w:val="auto"/>
          <w:sz w:val="21"/>
          <w:szCs w:val="21"/>
          <w:highlight w:val="none"/>
        </w:rPr>
        <w:t xml:space="preserve">否则不得分。   </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实施方案</w:t>
      </w:r>
      <w:r>
        <w:rPr>
          <w:rFonts w:hint="eastAsia" w:eastAsia="宋体" w:cs="宋体"/>
          <w:color w:val="auto"/>
          <w:sz w:val="21"/>
          <w:szCs w:val="21"/>
          <w:highlight w:val="none"/>
          <w:lang w:val="en-US" w:eastAsia="zh-CN"/>
        </w:rPr>
        <w:t xml:space="preserve">及设备技术参数</w:t>
      </w:r>
      <w:r>
        <w:rPr>
          <w:rFonts w:hint="eastAsia"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62"/>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运维方案：</w:t>
      </w:r>
      <w:r>
        <w:rPr>
          <w:rFonts w:hint="eastAsia" w:ascii="宋体" w:hAnsi="宋体" w:eastAsia="宋体" w:cs="宋体"/>
          <w:color w:val="auto"/>
          <w:sz w:val="21"/>
          <w:szCs w:val="21"/>
          <w:highlight w:val="none"/>
        </w:rPr>
        <w:t xml:space="preserve">方案完整、合理、可行、有针对性得</w:t>
      </w:r>
      <w:r>
        <w:rPr>
          <w:rFonts w:hint="eastAsia"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方案较合理、较可行、基本有针对性得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w:t>
      </w:r>
      <w:r/>
    </w:p>
    <w:p>
      <w:pPr>
        <w:numPr>
          <w:ilvl w:val="0"/>
          <w:numId w:val="62"/>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数智化改造方案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提供切实有效的数智化升级方案的得</w:t>
      </w:r>
      <w:r>
        <w:rPr>
          <w:rFonts w:hint="eastAsia"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分，未提供或方案不可行的不得分</w:t>
      </w:r>
      <w:r>
        <w:rPr>
          <w:rFonts w:hint="eastAsia" w:eastAsia="宋体" w:cs="宋体"/>
          <w:color w:val="auto"/>
          <w:sz w:val="21"/>
          <w:szCs w:val="21"/>
          <w:highlight w:val="none"/>
          <w:lang w:eastAsia="zh-CN"/>
        </w:rPr>
        <w:t xml:space="preserve">。</w:t>
      </w:r>
      <w:r/>
    </w:p>
    <w:p>
      <w:pPr>
        <w:numPr>
          <w:ilvl w:val="0"/>
          <w:numId w:val="62"/>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投标人提供的站房和设备搬迁服务完全满足招标文件的，得4分，有一项不满足扣1分，扣完为止。</w:t>
      </w:r>
      <w:r/>
    </w:p>
    <w:p>
      <w:pPr>
        <w:numPr>
          <w:ilvl w:val="0"/>
          <w:numId w:val="61"/>
        </w:numPr>
        <w:ind w:left="427" w:hanging="427"/>
        <w:spacing w:line="400" w:lineRule="exact"/>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集成系统和仪器的操作规程</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对系统及仪器熟悉，</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完整、合理、</w:t>
      </w:r>
      <w:r>
        <w:rPr>
          <w:rFonts w:hint="eastAsia" w:ascii="宋体" w:hAnsi="宋体" w:eastAsia="宋体" w:cs="宋体"/>
          <w:color w:val="auto"/>
          <w:sz w:val="21"/>
          <w:szCs w:val="21"/>
          <w:highlight w:val="none"/>
          <w:lang w:val="en-US" w:eastAsia="zh-CN"/>
        </w:rPr>
        <w:t xml:space="preserve">实用、</w:t>
      </w:r>
      <w:r>
        <w:rPr>
          <w:rFonts w:hint="eastAsia" w:ascii="宋体" w:hAnsi="宋体" w:eastAsia="宋体" w:cs="宋体"/>
          <w:color w:val="auto"/>
          <w:sz w:val="21"/>
          <w:szCs w:val="21"/>
          <w:highlight w:val="none"/>
        </w:rPr>
        <w:t xml:space="preserve">可行、有针对性得</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对系统及仪器基本熟悉，</w:t>
      </w:r>
      <w:r>
        <w:rPr>
          <w:rFonts w:hint="eastAsia" w:ascii="宋体" w:hAnsi="宋体" w:eastAsia="宋体" w:cs="宋体"/>
          <w:color w:val="auto"/>
          <w:sz w:val="21"/>
          <w:szCs w:val="21"/>
          <w:highlight w:val="none"/>
        </w:rPr>
        <w:t xml:space="preserve">方案较合理、较可行、基本有针对性得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不太可行得1分；</w:t>
      </w:r>
      <w:r>
        <w:rPr>
          <w:rFonts w:hint="eastAsia" w:ascii="宋体" w:hAnsi="宋体" w:eastAsia="宋体" w:cs="宋体"/>
          <w:color w:val="auto"/>
          <w:sz w:val="21"/>
          <w:szCs w:val="21"/>
          <w:highlight w:val="none"/>
        </w:rPr>
        <w:t xml:space="preserve">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质量控制</w:t>
      </w:r>
      <w:r>
        <w:rPr>
          <w:rFonts w:hint="eastAsia" w:ascii="宋体" w:hAnsi="宋体" w:eastAsia="宋体" w:cs="宋体"/>
          <w:color w:val="auto"/>
          <w:sz w:val="21"/>
          <w:szCs w:val="21"/>
          <w:highlight w:val="none"/>
        </w:rPr>
        <w:t xml:space="preserve">方案</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投标人承诺按照计划开展质控工作，并提供质控方案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质控方案合理，能够对开展工作提供实质性帮助的得5分；质控方案较合理、有一定的参考价值的得3分；质控方案</w:t>
      </w:r>
      <w:r>
        <w:rPr>
          <w:rFonts w:hint="eastAsia"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简略的得1分，否则不得分。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配件及备机情况</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根据投标人提供备机及配件渠道的完善性情况综合打分，渠道完善、可行得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渠道较完善、较可行</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渠道基本可行得</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否则不得分。提供相关证明材料复印件。                       </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交接方案</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根据投标人提供的运维交接方案科学性及可行性等内容综合评价，方案完整、可行性好的得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分；方案较完整、较可行的得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分，方案基本可行的得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安全保障措施</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提供确保水站仪器设备安全的有效措施，</w:t>
      </w:r>
      <w:r>
        <w:rPr>
          <w:rFonts w:hint="eastAsia" w:ascii="宋体" w:hAnsi="宋体" w:eastAsia="宋体" w:cs="宋体"/>
          <w:color w:val="auto"/>
          <w:sz w:val="21"/>
          <w:szCs w:val="21"/>
          <w:highlight w:val="none"/>
        </w:rPr>
        <w:t xml:space="preserve">软件更新</w:t>
      </w:r>
      <w:r>
        <w:rPr>
          <w:rFonts w:hint="eastAsia" w:ascii="宋体" w:hAnsi="宋体" w:eastAsia="宋体" w:cs="宋体"/>
          <w:color w:val="auto"/>
          <w:sz w:val="21"/>
          <w:szCs w:val="21"/>
          <w:highlight w:val="none"/>
        </w:rPr>
        <w:t xml:space="preserve">情况</w:t>
      </w:r>
      <w:r>
        <w:rPr>
          <w:rFonts w:hint="eastAsia" w:ascii="宋体" w:hAnsi="宋体" w:eastAsia="宋体" w:cs="宋体"/>
          <w:bCs/>
          <w:color w:val="auto"/>
          <w:sz w:val="21"/>
          <w:szCs w:val="21"/>
          <w:highlight w:val="none"/>
        </w:rPr>
        <w:t xml:space="preserve">，方案合理、有效的</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方案较合理、较可行得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方案基本合理、基本可行得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否则不得分</w:t>
      </w:r>
      <w:r>
        <w:rPr>
          <w:rFonts w:hint="eastAsia" w:ascii="宋体" w:hAnsi="宋体" w:eastAsia="宋体" w:cs="宋体"/>
          <w:bCs/>
          <w:color w:val="auto"/>
          <w:sz w:val="21"/>
          <w:szCs w:val="21"/>
          <w:highlight w:val="none"/>
        </w:rPr>
        <w:t xml:space="preserve">。  </w:t>
      </w:r>
      <w:r/>
    </w:p>
    <w:p>
      <w:pPr>
        <w:numPr>
          <w:ilvl w:val="0"/>
          <w:numId w:val="61"/>
        </w:numPr>
        <w:ind w:left="427" w:hanging="427"/>
        <w:spacing w:line="400" w:lineRule="exact"/>
        <w:tabs>
          <w:tab w:val="left" w:pos="420" w:leader="none"/>
        </w:tabs>
        <w:rPr>
          <w:rFonts w:hint="eastAsia"/>
          <w:color w:val="auto"/>
          <w:highlight w:val="none"/>
        </w:rPr>
      </w:pPr>
      <w:r>
        <w:rPr>
          <w:rFonts w:hint="eastAsia" w:ascii="宋体" w:hAnsi="宋体" w:eastAsia="宋体" w:cs="宋体"/>
          <w:color w:val="auto"/>
          <w:sz w:val="21"/>
          <w:szCs w:val="21"/>
          <w:highlight w:val="none"/>
          <w:lang w:val="en-US" w:eastAsia="zh-CN"/>
        </w:rPr>
        <w:t xml:space="preserve">服务</w:t>
      </w:r>
      <w:r>
        <w:rPr>
          <w:rFonts w:hint="eastAsia"/>
          <w:color w:val="auto"/>
          <w:sz w:val="21"/>
          <w:szCs w:val="21"/>
          <w:highlight w:val="none"/>
          <w:lang w:val="en-US" w:eastAsia="zh-CN"/>
        </w:rPr>
        <w:t xml:space="preserve">响应</w:t>
      </w:r>
      <w:r>
        <w:rPr>
          <w:color w:val="auto"/>
          <w:sz w:val="21"/>
          <w:szCs w:val="21"/>
          <w:highlight w:val="none"/>
        </w:rPr>
        <w:t xml:space="preserve">方案</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color w:val="auto"/>
          <w:sz w:val="21"/>
          <w:szCs w:val="21"/>
          <w:highlight w:val="none"/>
        </w:rPr>
        <w:t xml:space="preserve">根据投标人提供的</w:t>
      </w:r>
      <w:r>
        <w:rPr>
          <w:rFonts w:hint="eastAsia"/>
          <w:color w:val="auto"/>
          <w:sz w:val="21"/>
          <w:szCs w:val="21"/>
          <w:highlight w:val="none"/>
          <w:lang w:val="en-US" w:eastAsia="zh-CN"/>
        </w:rPr>
        <w:t xml:space="preserve">服务响应</w:t>
      </w:r>
      <w:r>
        <w:rPr>
          <w:rFonts w:hint="eastAsia"/>
          <w:color w:val="auto"/>
          <w:sz w:val="21"/>
          <w:szCs w:val="21"/>
          <w:highlight w:val="none"/>
        </w:rPr>
        <w:t xml:space="preserve">方案综合打分，</w:t>
      </w:r>
      <w:r>
        <w:rPr>
          <w:rFonts w:hint="eastAsia"/>
          <w:color w:val="auto"/>
          <w:sz w:val="21"/>
          <w:szCs w:val="21"/>
          <w:highlight w:val="none"/>
          <w:lang w:val="en-US" w:eastAsia="zh-CN"/>
        </w:rPr>
        <w:t xml:space="preserve">服务响应迅速、及时、便捷，</w:t>
      </w:r>
      <w:r>
        <w:rPr>
          <w:rFonts w:hint="eastAsia"/>
          <w:color w:val="auto"/>
          <w:sz w:val="21"/>
          <w:szCs w:val="21"/>
          <w:highlight w:val="none"/>
        </w:rPr>
        <w:t xml:space="preserve">服务能够高效开展</w:t>
      </w:r>
      <w:r>
        <w:rPr>
          <w:rFonts w:hint="eastAsia"/>
          <w:color w:val="auto"/>
          <w:sz w:val="21"/>
          <w:szCs w:val="21"/>
          <w:highlight w:val="none"/>
          <w:lang w:val="en-US" w:eastAsia="zh-CN"/>
        </w:rPr>
        <w:t xml:space="preserve">且有保障</w:t>
      </w:r>
      <w:r>
        <w:rPr>
          <w:rFonts w:hint="eastAsia"/>
          <w:color w:val="auto"/>
          <w:sz w:val="21"/>
          <w:szCs w:val="21"/>
          <w:highlight w:val="none"/>
        </w:rPr>
        <w:t xml:space="preserve">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服务</w:t>
      </w:r>
      <w:r>
        <w:rPr>
          <w:rFonts w:hint="eastAsia"/>
          <w:color w:val="auto"/>
          <w:sz w:val="21"/>
          <w:szCs w:val="21"/>
          <w:highlight w:val="none"/>
          <w:lang w:val="en-US" w:eastAsia="zh-CN"/>
        </w:rPr>
        <w:t xml:space="preserve">响应较及时、较便捷</w:t>
      </w:r>
      <w:r>
        <w:rPr>
          <w:rFonts w:hint="eastAsia"/>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服务响应基本及时</w:t>
      </w:r>
      <w:r>
        <w:rPr>
          <w:rFonts w:hint="eastAsia" w:ascii="宋体" w:hAnsi="宋体" w:eastAsia="宋体" w:cs="宋体"/>
          <w:color w:val="auto"/>
          <w:sz w:val="21"/>
          <w:szCs w:val="21"/>
          <w:highlight w:val="none"/>
        </w:rPr>
        <w:t xml:space="preserve">得1分。提供相关支撑材料。</w:t>
      </w:r>
      <w:r/>
    </w:p>
    <w:p>
      <w:pPr>
        <w:numPr>
          <w:ilvl w:val="0"/>
          <w:numId w:val="59"/>
        </w:numPr>
        <w:ind w:left="427" w:hanging="427"/>
        <w:keepLines w:val="0"/>
        <w:keepNext w:val="0"/>
        <w:pageBreakBefore w:val="0"/>
        <w:spacing w:line="400" w:lineRule="exact"/>
        <w:widowControl w:val="off"/>
        <w:tabs>
          <w:tab w:val="left" w:pos="420" w:leader="none"/>
        </w:tabs>
        <w:rPr>
          <w:rFonts w:hint="eastAsia" w:ascii="宋体" w:hAnsi="宋体" w:eastAsia="宋体" w:cs="宋体"/>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针对本项目的人员、车辆</w:t>
      </w:r>
      <w:r>
        <w:rPr>
          <w:rFonts w:hint="eastAsia" w:ascii="宋体" w:hAnsi="宋体" w:eastAsia="宋体" w:cs="宋体"/>
          <w:b/>
          <w:bCs/>
          <w:color w:val="auto"/>
          <w:sz w:val="21"/>
          <w:szCs w:val="21"/>
          <w:highlight w:val="none"/>
        </w:rPr>
        <w:t xml:space="preserve">（</w:t>
      </w:r>
      <w:r>
        <w:rPr>
          <w:rFonts w:hint="eastAsia"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numPr>
          <w:ilvl w:val="0"/>
          <w:numId w:val="63"/>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b w:val="0"/>
          <w:bCs/>
          <w:color w:val="auto"/>
          <w:sz w:val="21"/>
          <w:szCs w:val="21"/>
          <w:highlight w:val="none"/>
          <w:lang w:val="en-US" w:eastAsia="zh-CN"/>
        </w:rPr>
        <w:t xml:space="preserve">目负责人（</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具备环境类</w:t>
      </w:r>
      <w:r>
        <w:rPr>
          <w:rFonts w:hint="eastAsia" w:cs="宋体"/>
          <w:b w:val="0"/>
          <w:bCs/>
          <w:color w:val="auto"/>
          <w:sz w:val="21"/>
          <w:szCs w:val="21"/>
          <w:highlight w:val="none"/>
          <w:lang w:val="en-US" w:eastAsia="zh-CN"/>
        </w:rPr>
        <w:t xml:space="preserve">中</w:t>
      </w:r>
      <w:r>
        <w:rPr>
          <w:rFonts w:hint="eastAsia" w:ascii="宋体" w:hAnsi="宋体" w:eastAsia="宋体" w:cs="宋体"/>
          <w:b w:val="0"/>
          <w:bCs/>
          <w:color w:val="auto"/>
          <w:sz w:val="21"/>
          <w:szCs w:val="21"/>
          <w:highlight w:val="none"/>
          <w:lang w:val="en-US" w:eastAsia="zh-CN"/>
        </w:rPr>
        <w:t xml:space="preserve">级及以上职称的得</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分；提供相应证书及投标人为其缴纳的最近一期的社保证明复印件，否则不得分。</w:t>
      </w:r>
      <w:r/>
    </w:p>
    <w:p>
      <w:pPr>
        <w:numPr>
          <w:ilvl w:val="0"/>
          <w:numId w:val="63"/>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运维人员（</w:t>
      </w:r>
      <w:r>
        <w:rPr>
          <w:rFonts w:hint="eastAsia"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具备省级及以上环保部门颁发的全国环境监测人员培训合格证书或运维上岗证书的每个得1分，最高</w:t>
      </w:r>
      <w:r>
        <w:rPr>
          <w:rFonts w:hint="eastAsia"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分；提供相应证书及投标人为其缴纳的最近一期的社保证明复印件，否则不得分。 </w:t>
      </w:r>
      <w:r/>
    </w:p>
    <w:p>
      <w:pPr>
        <w:numPr>
          <w:ilvl w:val="0"/>
          <w:numId w:val="63"/>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应急监测车</w:t>
      </w:r>
      <w:r>
        <w:rPr>
          <w:rFonts w:hint="eastAsia" w:ascii="宋体" w:hAnsi="宋体" w:eastAsia="宋体" w:cs="宋体"/>
          <w:b w:val="0"/>
          <w:bCs/>
          <w:color w:val="auto"/>
          <w:sz w:val="21"/>
          <w:szCs w:val="21"/>
          <w:highlight w:val="none"/>
          <w:lang w:val="en-US" w:eastAsia="zh-CN"/>
        </w:rPr>
        <w:t xml:space="preserve">（</w:t>
      </w:r>
      <w:r>
        <w:rPr>
          <w:rFonts w:hint="eastAsia"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为本项目</w:t>
      </w:r>
      <w:r>
        <w:rPr>
          <w:rFonts w:hint="eastAsia" w:ascii="宋体" w:hAnsi="宋体" w:eastAsia="宋体" w:cs="宋体"/>
          <w:color w:val="auto"/>
          <w:sz w:val="21"/>
          <w:szCs w:val="21"/>
          <w:highlight w:val="none"/>
        </w:rPr>
        <w:t xml:space="preserve">配备的应急监测车，</w:t>
      </w:r>
      <w:r>
        <w:rPr>
          <w:rFonts w:hint="eastAsia" w:ascii="宋体" w:hAnsi="宋体" w:eastAsia="宋体" w:cs="宋体"/>
          <w:color w:val="auto"/>
          <w:sz w:val="21"/>
          <w:szCs w:val="21"/>
          <w:highlight w:val="none"/>
          <w:lang w:val="en-US" w:eastAsia="zh-CN"/>
        </w:rPr>
        <w:t xml:space="preserve">能够快速到达开展应急监测的最高得</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val="0"/>
          <w:bCs/>
          <w:color w:val="auto"/>
          <w:sz w:val="21"/>
          <w:szCs w:val="21"/>
          <w:lang w:val="en-US" w:eastAsia="zh-CN"/>
        </w:rPr>
        <w:t xml:space="preserve">投标人需在主要机械设备情况表中注明自有或租赁，或提供承诺中标后购买或中标后租赁相应机械设备的承诺书（承诺书格式自拟）；如自有或租赁的须</w:t>
      </w:r>
      <w:r>
        <w:rPr>
          <w:rFonts w:hint="eastAsia" w:ascii="宋体" w:hAnsi="宋体" w:eastAsia="宋体" w:cs="宋体"/>
          <w:color w:val="auto"/>
          <w:sz w:val="21"/>
          <w:szCs w:val="21"/>
          <w:highlight w:val="none"/>
        </w:rPr>
        <w:t xml:space="preserve">提供所有权证明</w:t>
      </w:r>
      <w:r>
        <w:rPr>
          <w:rFonts w:hint="eastAsia" w:eastAsia="宋体" w:cs="宋体"/>
          <w:color w:val="auto"/>
          <w:sz w:val="21"/>
          <w:szCs w:val="21"/>
          <w:highlight w:val="none"/>
          <w:lang w:val="en-US" w:eastAsia="zh-CN"/>
        </w:rPr>
        <w:t xml:space="preserve">或租用服务合同</w:t>
      </w:r>
      <w:r>
        <w:rPr>
          <w:rFonts w:hint="eastAsia" w:ascii="宋体" w:hAnsi="宋体" w:eastAsia="宋体" w:cs="宋体"/>
          <w:color w:val="auto"/>
          <w:sz w:val="21"/>
          <w:szCs w:val="21"/>
          <w:highlight w:val="none"/>
        </w:rPr>
        <w:t xml:space="preserve">材料</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租用期限需覆盖整个运维周期，否则不得分</w:t>
      </w:r>
      <w:r/>
    </w:p>
    <w:p>
      <w:pPr>
        <w:numPr>
          <w:ilvl w:val="0"/>
          <w:numId w:val="59"/>
        </w:numPr>
        <w:ind w:left="427" w:hanging="427"/>
        <w:keepLines w:val="0"/>
        <w:keepNext w:val="0"/>
        <w:pageBreakBefore w:val="0"/>
        <w:spacing w:line="400" w:lineRule="exact"/>
        <w:widowControl w:val="off"/>
        <w:tabs>
          <w:tab w:val="left" w:pos="420"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投标人综合能力</w:t>
      </w:r>
      <w:r>
        <w:rPr>
          <w:rFonts w:hint="eastAsia" w:ascii="宋体" w:hAnsi="宋体" w:eastAsia="宋体" w:cs="宋体"/>
          <w:b/>
          <w:bCs/>
          <w:color w:val="auto"/>
          <w:sz w:val="21"/>
          <w:szCs w:val="21"/>
          <w:highlight w:val="none"/>
        </w:rPr>
        <w:t xml:space="preserve">（</w:t>
      </w:r>
      <w:r>
        <w:rPr>
          <w:rFonts w:hint="eastAsia"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rPr>
          <w:rFonts w:hint="eastAsia" w:ascii="宋体" w:hAnsi="宋体" w:eastAsia="宋体" w:cs="宋体"/>
          <w:b/>
          <w:color w:val="auto"/>
          <w:sz w:val="21"/>
          <w:szCs w:val="21"/>
          <w:highlight w:val="none"/>
        </w:rPr>
        <w:t xml:space="preserve"> </w:t>
      </w:r>
      <w:r/>
    </w:p>
    <w:p>
      <w:pPr>
        <w:numPr>
          <w:ilvl w:val="0"/>
          <w:numId w:val="64"/>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管理体系认证（</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具有质量</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环境</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职业健康安全管理体系认证证书，每</w:t>
      </w:r>
      <w:r>
        <w:rPr>
          <w:rFonts w:hint="eastAsia" w:ascii="宋体" w:hAnsi="宋体" w:eastAsia="宋体" w:cs="宋体"/>
          <w:b w:val="0"/>
          <w:bCs/>
          <w:color w:val="auto"/>
          <w:sz w:val="21"/>
          <w:szCs w:val="21"/>
          <w:highlight w:val="none"/>
          <w:lang w:val="en-US" w:eastAsia="zh-CN"/>
        </w:rPr>
        <w:t xml:space="preserve">份</w:t>
      </w:r>
      <w:r>
        <w:rPr>
          <w:rFonts w:hint="eastAsia" w:ascii="宋体" w:hAnsi="宋体" w:eastAsia="宋体" w:cs="宋体"/>
          <w:b w:val="0"/>
          <w:bCs/>
          <w:color w:val="auto"/>
          <w:sz w:val="21"/>
          <w:szCs w:val="21"/>
          <w:highlight w:val="none"/>
        </w:rPr>
        <w:t xml:space="preserve">证书得</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分，最高</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提供证书复印件及国家认监委网站查询证书有效的截图，否则不得分。</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numPr>
          <w:ilvl w:val="0"/>
          <w:numId w:val="64"/>
        </w:numPr>
        <w:ind w:left="427" w:hanging="427"/>
        <w:spacing w:line="400" w:lineRule="exact"/>
        <w:tabs>
          <w:tab w:val="left" w:pos="420" w:leader="none"/>
        </w:tabs>
        <w:rPr>
          <w:rFonts w:hint="eastAsia" w:ascii="宋体" w:hAnsi="宋体" w:eastAsia="宋体" w:cs="宋体"/>
          <w:color w:val="auto"/>
          <w:highlight w:val="none"/>
          <w:lang w:val="en-US" w:eastAsia="zh-CN"/>
        </w:rPr>
      </w:pPr>
      <w:r>
        <w:rPr>
          <w:rFonts w:hint="eastAsia" w:eastAsia="宋体" w:cs="宋体"/>
          <w:color w:val="auto"/>
          <w:highlight w:val="none"/>
          <w:lang w:val="en-US" w:eastAsia="zh-CN"/>
        </w:rPr>
        <w:t xml:space="preserve">服务满意度评价</w:t>
      </w:r>
      <w:r>
        <w:rPr>
          <w:rFonts w:hint="eastAsia" w:ascii="宋体" w:hAnsi="宋体" w:eastAsia="宋体" w:cs="宋体"/>
          <w:color w:val="auto"/>
          <w:sz w:val="21"/>
          <w:szCs w:val="21"/>
          <w:highlight w:val="none"/>
          <w:lang w:val="en-US" w:eastAsia="zh-CN"/>
        </w:rPr>
        <w:t xml:space="preserve">（</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20</w:t>
      </w:r>
      <w:r>
        <w:rPr>
          <w:rFonts w:hint="eastAsia"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val="en-US" w:eastAsia="zh-CN"/>
        </w:rPr>
        <w:t xml:space="preserve">年至今在生态环境部门的生态</w:t>
      </w:r>
      <w:r>
        <w:rPr>
          <w:rFonts w:hint="eastAsia" w:ascii="宋体" w:hAnsi="宋体" w:eastAsia="宋体" w:cs="宋体"/>
          <w:color w:val="auto"/>
          <w:sz w:val="21"/>
          <w:szCs w:val="21"/>
          <w:highlight w:val="none"/>
          <w:lang w:val="en-US" w:eastAsia="zh-CN" w:bidi="ar-SA"/>
        </w:rPr>
        <w:t xml:space="preserve">环境</w:t>
      </w:r>
      <w:r>
        <w:rPr>
          <w:rFonts w:hint="eastAsia" w:ascii="宋体" w:hAnsi="宋体" w:eastAsia="宋体" w:cs="宋体"/>
          <w:color w:val="auto"/>
          <w:sz w:val="21"/>
          <w:szCs w:val="21"/>
          <w:highlight w:val="none"/>
          <w:lang w:val="en-US" w:eastAsia="zh-CN"/>
        </w:rPr>
        <w:t xml:space="preserve">监测、运维服务质量评价中获得过正面评价证明的得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分，提供有效证明材料。</w:t>
      </w:r>
      <w:r/>
    </w:p>
    <w:p>
      <w:pPr>
        <w:numPr>
          <w:ilvl w:val="0"/>
          <w:numId w:val="64"/>
        </w:numPr>
        <w:ind w:left="425" w:hanging="425"/>
        <w:keepLines w:val="0"/>
        <w:keepNext w:val="0"/>
        <w:pageBreakBefore w:val="0"/>
        <w:spacing w:line="400" w:lineRule="exact"/>
        <w:widowControl w:val="off"/>
        <w:tabs>
          <w:tab w:val="left" w:pos="420" w:leader="none"/>
        </w:tabs>
        <w:rPr>
          <w:rFonts w:hint="eastAsia" w:ascii="宋体" w:hAnsi="宋体" w:eastAsia="宋体" w:cs="Times New Roman"/>
          <w:color w:val="auto"/>
          <w:sz w:val="21"/>
          <w:szCs w:val="21"/>
          <w:highlight w:val="none"/>
          <w:lang w:val="en-US" w:eastAsia="zh-CN" w:bidi="ar"/>
        </w:rPr>
      </w:pPr>
      <w:r>
        <w:rPr>
          <w:color w:val="auto"/>
          <w:sz w:val="21"/>
          <w:szCs w:val="21"/>
          <w:highlight w:val="none"/>
          <w:lang w:bidi="ar"/>
        </w:rPr>
        <w:t xml:space="preserve">质控能力</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pStyle w:val="1171"/>
        <w:ind w:left="432" w:hanging="12"/>
        <w:jc w:val="both"/>
        <w:keepLines w:val="0"/>
        <w:keepNext w:val="0"/>
        <w:pageBreakBefore w:val="0"/>
        <w:spacing w:line="400" w:lineRule="exact"/>
        <w:rPr>
          <w:rFonts w:hint="eastAsia" w:eastAsia="宋体"/>
          <w:color w:val="auto"/>
          <w:sz w:val="21"/>
          <w:szCs w:val="21"/>
          <w:highlight w:val="none"/>
          <w:lang w:eastAsia="zh-CN" w:bidi="ar"/>
        </w:rPr>
      </w:pPr>
      <w:r>
        <w:rPr>
          <w:rFonts w:ascii="宋体" w:hAnsi="宋体" w:eastAsia="宋体" w:cs="Times New Roman"/>
          <w:color w:val="auto"/>
          <w:sz w:val="21"/>
          <w:szCs w:val="21"/>
          <w:highlight w:val="none"/>
          <w:lang w:val="en-US" w:eastAsia="zh-CN" w:bidi="ar"/>
        </w:rPr>
        <w:t xml:space="preserve">投标人本身自有（可以为控股）</w:t>
      </w:r>
      <w:r>
        <w:rPr>
          <w:rFonts w:hint="eastAsia" w:eastAsia="宋体" w:cs="Times New Roman"/>
          <w:color w:val="auto"/>
          <w:sz w:val="21"/>
          <w:szCs w:val="21"/>
          <w:highlight w:val="none"/>
          <w:lang w:val="en-US" w:eastAsia="zh-CN" w:bidi="ar"/>
        </w:rPr>
        <w:t xml:space="preserve">或</w:t>
      </w:r>
      <w:r>
        <w:rPr>
          <w:color w:val="auto"/>
          <w:sz w:val="21"/>
          <w:szCs w:val="21"/>
          <w:highlight w:val="none"/>
          <w:lang w:bidi="ar"/>
        </w:rPr>
        <w:t xml:space="preserve">有委托的</w:t>
      </w:r>
      <w:r>
        <w:rPr>
          <w:rFonts w:ascii="宋体" w:hAnsi="宋体" w:eastAsia="宋体" w:cs="Times New Roman"/>
          <w:color w:val="auto"/>
          <w:sz w:val="21"/>
          <w:szCs w:val="21"/>
          <w:highlight w:val="none"/>
          <w:lang w:val="en-US" w:eastAsia="zh-CN" w:bidi="ar"/>
        </w:rPr>
        <w:t xml:space="preserve">用于质量控制的CMA或CNAS资质认定的实验室（认证范围需</w:t>
      </w:r>
      <w:r>
        <w:rPr>
          <w:rFonts w:hint="eastAsia" w:ascii="宋体" w:hAnsi="宋体" w:eastAsia="宋体" w:cs="Times New Roman"/>
          <w:color w:val="auto"/>
          <w:sz w:val="21"/>
          <w:szCs w:val="21"/>
          <w:highlight w:val="none"/>
          <w:lang w:val="en-US" w:eastAsia="zh-CN" w:bidi="ar"/>
        </w:rPr>
        <w:t xml:space="preserve">包含水质五参数、氨氮、高锰酸盐指数、氟化物、总磷、总氮</w:t>
      </w:r>
      <w:r>
        <w:rPr>
          <w:rFonts w:ascii="宋体" w:hAnsi="宋体" w:eastAsia="宋体" w:cs="Times New Roman"/>
          <w:color w:val="auto"/>
          <w:sz w:val="21"/>
          <w:szCs w:val="21"/>
          <w:highlight w:val="none"/>
          <w:lang w:val="en-US" w:eastAsia="zh-CN" w:bidi="ar"/>
        </w:rPr>
        <w:t xml:space="preserve">）</w:t>
      </w:r>
      <w:r>
        <w:rPr>
          <w:color w:val="auto"/>
          <w:sz w:val="21"/>
          <w:szCs w:val="21"/>
          <w:highlight w:val="none"/>
          <w:lang w:bidi="ar"/>
        </w:rPr>
        <w:t xml:space="preserve">得</w:t>
      </w:r>
      <w:r>
        <w:rPr>
          <w:rFonts w:hint="eastAsia"/>
          <w:color w:val="auto"/>
          <w:sz w:val="21"/>
          <w:szCs w:val="21"/>
          <w:highlight w:val="none"/>
          <w:lang w:val="en-US" w:eastAsia="zh-CN" w:bidi="ar"/>
        </w:rPr>
        <w:t xml:space="preserve">4</w:t>
      </w:r>
      <w:r>
        <w:rPr>
          <w:color w:val="auto"/>
          <w:sz w:val="21"/>
          <w:szCs w:val="21"/>
          <w:highlight w:val="none"/>
          <w:lang w:bidi="ar"/>
        </w:rPr>
        <w:t xml:space="preserve">分（须提供实验室资质证书及涵盖本项目指标的计量认证证明，现场提供</w:t>
      </w:r>
      <w:r>
        <w:rPr>
          <w:rFonts w:hint="eastAsia"/>
          <w:color w:val="auto"/>
          <w:sz w:val="21"/>
          <w:szCs w:val="21"/>
          <w:highlight w:val="none"/>
          <w:lang w:val="en-US" w:eastAsia="zh-CN" w:bidi="ar"/>
        </w:rPr>
        <w:t xml:space="preserve">原件或盖章复印件</w:t>
      </w:r>
      <w:r>
        <w:rPr>
          <w:color w:val="auto"/>
          <w:sz w:val="21"/>
          <w:szCs w:val="21"/>
          <w:highlight w:val="none"/>
          <w:lang w:bidi="ar"/>
        </w:rPr>
        <w:t xml:space="preserve">，否则不予计分</w:t>
      </w:r>
      <w:r>
        <w:rPr>
          <w:rFonts w:hint="eastAsia"/>
          <w:color w:val="auto"/>
          <w:sz w:val="21"/>
          <w:szCs w:val="21"/>
          <w:highlight w:val="none"/>
          <w:lang w:eastAsia="zh-CN" w:bidi="ar"/>
        </w:rPr>
        <w:t xml:space="preserve">，</w:t>
      </w:r>
      <w:r>
        <w:rPr>
          <w:color w:val="auto"/>
          <w:sz w:val="21"/>
          <w:szCs w:val="21"/>
          <w:highlight w:val="none"/>
          <w:lang w:bidi="ar"/>
        </w:rPr>
        <w:t xml:space="preserve">委托协议须覆盖本次招标运维周期，须提供合同等相关证明材料）</w:t>
      </w:r>
      <w:r>
        <w:rPr>
          <w:rFonts w:hint="eastAsia"/>
          <w:color w:val="auto"/>
          <w:sz w:val="21"/>
          <w:szCs w:val="21"/>
          <w:highlight w:val="none"/>
          <w:lang w:eastAsia="zh-CN" w:bidi="ar"/>
        </w:rPr>
        <w:t xml:space="preserve">；</w:t>
      </w:r>
      <w:r/>
    </w:p>
    <w:p>
      <w:pPr>
        <w:numPr>
          <w:ilvl w:val="0"/>
          <w:numId w:val="64"/>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类似项目业绩</w:t>
      </w:r>
      <w:r>
        <w:rPr>
          <w:rFonts w:hint="eastAsia" w:ascii="宋体" w:hAnsi="宋体" w:eastAsia="宋体" w:cs="宋体"/>
          <w:color w:val="auto"/>
          <w:sz w:val="21"/>
          <w:szCs w:val="21"/>
          <w:highlight w:val="none"/>
          <w:lang w:val="en-US" w:eastAsia="zh-CN"/>
        </w:rPr>
        <w:t xml:space="preserve">（</w:t>
      </w:r>
      <w:r>
        <w:rPr>
          <w:rFonts w:hint="eastAsia"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color w:val="auto"/>
        </w:rPr>
      </w:pPr>
      <w:r>
        <w:rPr>
          <w:rFonts w:hint="eastAsia" w:ascii="宋体" w:hAnsi="宋体" w:eastAsia="宋体" w:cs="宋体"/>
          <w:color w:val="auto"/>
          <w:sz w:val="21"/>
          <w:szCs w:val="21"/>
          <w:highlight w:val="none"/>
        </w:rPr>
        <w:t xml:space="preserve">20</w:t>
      </w:r>
      <w:r>
        <w:rPr>
          <w:rFonts w:hint="eastAsia"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年以来</w:t>
      </w:r>
      <w:r>
        <w:rPr>
          <w:rFonts w:hint="eastAsia" w:ascii="宋体" w:hAnsi="宋体" w:eastAsia="宋体" w:cs="宋体"/>
          <w:color w:val="auto"/>
          <w:sz w:val="21"/>
          <w:szCs w:val="21"/>
          <w:highlight w:val="none"/>
        </w:rPr>
        <w:t xml:space="preserve">（以合同签署日期为准）具有类似地表水水质自动监测站运维</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每份得</w:t>
      </w:r>
      <w:r>
        <w:rPr>
          <w:rFonts w:hint="eastAsia"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分，最高得</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与用户签订的合同证明，否则不得分。</w:t>
      </w:r>
      <w:r/>
    </w:p>
    <w:p>
      <w:pPr>
        <w:pStyle w:val="830"/>
        <w:ind w:left="0" w:firstLine="0"/>
        <w:rPr>
          <w:rFonts w:hint="eastAsia"/>
          <w:color w:val="auto"/>
        </w:rPr>
      </w:pPr>
      <w:r>
        <w:rPr>
          <w:rFonts w:hint="eastAsia"/>
          <w:color w:val="auto"/>
        </w:rPr>
      </w:r>
      <w:r/>
    </w:p>
    <w:p>
      <w:pPr>
        <w:pStyle w:val="1633"/>
        <w:ind w:left="0" w:firstLine="0"/>
        <w:jc w:val="center"/>
        <w:rPr>
          <w:rFonts w:hint="eastAsia" w:eastAsia="宋体" w:cs="宋体"/>
          <w:b/>
          <w:bCs/>
          <w:color w:val="auto"/>
          <w:sz w:val="21"/>
          <w:szCs w:val="21"/>
          <w:lang w:eastAsia="zh-CN"/>
        </w:rPr>
      </w:pPr>
      <w:r>
        <w:rPr>
          <w:rFonts w:hint="eastAsia" w:cs="宋体"/>
          <w:b/>
          <w:bCs/>
          <w:color w:val="auto"/>
          <w:sz w:val="21"/>
          <w:szCs w:val="21"/>
        </w:rPr>
        <w:t xml:space="preserve">评分标准</w:t>
      </w:r>
      <w:r>
        <w:rPr>
          <w:rFonts w:hint="eastAsia" w:cs="宋体"/>
          <w:b/>
          <w:bCs/>
          <w:color w:val="auto"/>
          <w:sz w:val="21"/>
          <w:szCs w:val="21"/>
          <w:lang w:eastAsia="zh-CN"/>
        </w:rPr>
        <w:t xml:space="preserve">（</w:t>
      </w:r>
      <w:r>
        <w:rPr>
          <w:rFonts w:hint="eastAsia" w:cs="宋体"/>
          <w:b/>
          <w:bCs/>
          <w:color w:val="auto"/>
          <w:sz w:val="21"/>
          <w:szCs w:val="21"/>
          <w:lang w:val="en-US" w:eastAsia="zh-CN"/>
        </w:rPr>
        <w:t xml:space="preserve">三</w:t>
      </w:r>
      <w:r>
        <w:rPr>
          <w:rFonts w:hint="eastAsia" w:cs="宋体"/>
          <w:b/>
          <w:bCs/>
          <w:color w:val="auto"/>
          <w:sz w:val="21"/>
          <w:szCs w:val="21"/>
          <w:lang w:eastAsia="zh-CN"/>
        </w:rPr>
        <w:t xml:space="preserve">标段）</w:t>
      </w:r>
      <w:r/>
    </w:p>
    <w:p>
      <w:pPr>
        <w:numPr>
          <w:ilvl w:val="0"/>
          <w:numId w:val="65"/>
        </w:numPr>
        <w:ind w:left="427" w:hanging="427"/>
        <w:keepLines w:val="0"/>
        <w:keepNext w:val="0"/>
        <w:pageBreakBefore w:val="0"/>
        <w:spacing w:line="400" w:lineRule="exact"/>
        <w:widowControl w:val="off"/>
        <w:tabs>
          <w:tab w:val="left" w:pos="420" w:leader="none"/>
        </w:tabs>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val="en-US" w:eastAsia="zh-CN"/>
        </w:rPr>
        <w:t xml:space="preserve">价格</w:t>
      </w:r>
      <w:r>
        <w:rPr>
          <w:rFonts w:hint="eastAsia" w:ascii="宋体" w:hAnsi="宋体" w:eastAsia="宋体" w:cs="宋体"/>
          <w:b/>
          <w:color w:val="auto"/>
          <w:sz w:val="21"/>
          <w:szCs w:val="21"/>
          <w:highlight w:val="none"/>
        </w:rPr>
        <w:t xml:space="preserve">分（</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投标报价不超过采购预算价格的，为有效投标报价。超出此范围的投标报价为无效投标报价。无效投标报价的投标文件不进行评审，也不得标。</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得分计算方法：根据各投标人通过符合性审查的有效投标报价中的最低价作为评标基准价（如属于小微企业、残疾人企业和监狱企业的，则用扣除后的价格参与评审，如扣除后的价格为最低价的，则作为评标基准价，中标金额则以实际投标报价为准），其价格分为最高分。</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w:t>
      </w:r>
      <w:r/>
    </w:p>
    <w:p>
      <w:pPr>
        <w:pStyle w:val="854"/>
        <w:ind w:left="420"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投标报价得分=(评标基准价／投标报价)×价格权值×100，小数点后保留两位。</w:t>
      </w:r>
      <w:r/>
    </w:p>
    <w:p>
      <w:pPr>
        <w:numPr>
          <w:ilvl w:val="0"/>
          <w:numId w:val="65"/>
        </w:numPr>
        <w:ind w:left="427" w:hanging="427"/>
        <w:keepLines w:val="0"/>
        <w:keepNext w:val="0"/>
        <w:pageBreakBefore w:val="0"/>
        <w:spacing w:line="400" w:lineRule="exact"/>
        <w:widowControl w:val="off"/>
        <w:tabs>
          <w:tab w:val="left" w:pos="420"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color w:val="auto"/>
          <w:sz w:val="21"/>
          <w:szCs w:val="21"/>
          <w:highlight w:val="none"/>
        </w:rPr>
        <w:t xml:space="preserve">技术服务</w:t>
      </w:r>
      <w:r>
        <w:rPr>
          <w:rFonts w:hint="eastAsia" w:ascii="宋体" w:hAnsi="宋体" w:eastAsia="宋体" w:cs="宋体"/>
          <w:b/>
          <w:bCs/>
          <w:color w:val="auto"/>
          <w:sz w:val="21"/>
          <w:szCs w:val="21"/>
          <w:highlight w:val="none"/>
        </w:rPr>
        <w:t xml:space="preserve">方案情况</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6</w:t>
      </w:r>
      <w:r>
        <w:rPr>
          <w:rFonts w:hint="eastAsia"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项目理解</w:t>
      </w:r>
      <w:r>
        <w:rPr>
          <w:rFonts w:hint="eastAsia" w:eastAsia="宋体" w:cs="宋体"/>
          <w:color w:val="auto"/>
          <w:sz w:val="21"/>
          <w:szCs w:val="21"/>
          <w:highlight w:val="none"/>
          <w:lang w:val="en-US" w:eastAsia="zh-CN"/>
        </w:rPr>
        <w:t xml:space="preserve">、分析</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根据投标人对水站现场</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运行</w:t>
      </w:r>
      <w:r>
        <w:rPr>
          <w:rFonts w:hint="eastAsia" w:ascii="宋体" w:hAnsi="宋体" w:eastAsia="宋体" w:cs="宋体"/>
          <w:color w:val="auto"/>
          <w:sz w:val="21"/>
          <w:szCs w:val="21"/>
          <w:highlight w:val="none"/>
          <w:lang w:val="en-US" w:eastAsia="zh-CN"/>
        </w:rPr>
        <w:t xml:space="preserve">现状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常见问题等的了解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rPr>
        <w:t xml:space="preserve">对项目现场了解、熟悉，阐述分析到位得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较了解、较熟悉，分析基本到位得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基本熟悉、分析不太到位得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不太熟悉得1分；</w:t>
      </w:r>
      <w:r>
        <w:rPr>
          <w:rFonts w:hint="eastAsia" w:ascii="宋体" w:hAnsi="宋体" w:eastAsia="宋体" w:cs="宋体"/>
          <w:color w:val="auto"/>
          <w:sz w:val="21"/>
          <w:szCs w:val="21"/>
          <w:highlight w:val="none"/>
        </w:rPr>
        <w:t xml:space="preserve">否则不得分。   </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实施方案</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方案完整、合理、可行、有针对性得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方案较合理、较可行、基本有针对性得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w:t>
      </w:r>
      <w:r/>
    </w:p>
    <w:p>
      <w:pPr>
        <w:numPr>
          <w:ilvl w:val="0"/>
          <w:numId w:val="61"/>
        </w:numPr>
        <w:ind w:left="427" w:hanging="427"/>
        <w:spacing w:line="400" w:lineRule="exact"/>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集成系统和仪器的操作规程</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对系统及仪器熟悉，</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完整、合理、</w:t>
      </w:r>
      <w:r>
        <w:rPr>
          <w:rFonts w:hint="eastAsia" w:ascii="宋体" w:hAnsi="宋体" w:eastAsia="宋体" w:cs="宋体"/>
          <w:color w:val="auto"/>
          <w:sz w:val="21"/>
          <w:szCs w:val="21"/>
          <w:highlight w:val="none"/>
          <w:lang w:val="en-US" w:eastAsia="zh-CN"/>
        </w:rPr>
        <w:t xml:space="preserve">实用、</w:t>
      </w:r>
      <w:r>
        <w:rPr>
          <w:rFonts w:hint="eastAsia" w:ascii="宋体" w:hAnsi="宋体" w:eastAsia="宋体" w:cs="宋体"/>
          <w:color w:val="auto"/>
          <w:sz w:val="21"/>
          <w:szCs w:val="21"/>
          <w:highlight w:val="none"/>
        </w:rPr>
        <w:t xml:space="preserve">可行、有针对性得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对系统及仪器基本熟悉，</w:t>
      </w:r>
      <w:r>
        <w:rPr>
          <w:rFonts w:hint="eastAsia" w:ascii="宋体" w:hAnsi="宋体" w:eastAsia="宋体" w:cs="宋体"/>
          <w:color w:val="auto"/>
          <w:sz w:val="21"/>
          <w:szCs w:val="21"/>
          <w:highlight w:val="none"/>
        </w:rPr>
        <w:t xml:space="preserve">方案较合理、较可行、基本有针对性得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不太可行得1分；</w:t>
      </w:r>
      <w:r>
        <w:rPr>
          <w:rFonts w:hint="eastAsia" w:ascii="宋体" w:hAnsi="宋体" w:eastAsia="宋体" w:cs="宋体"/>
          <w:color w:val="auto"/>
          <w:sz w:val="21"/>
          <w:szCs w:val="21"/>
          <w:highlight w:val="none"/>
        </w:rPr>
        <w:t xml:space="preserve">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质量控制</w:t>
      </w:r>
      <w:r>
        <w:rPr>
          <w:rFonts w:hint="eastAsia" w:ascii="宋体" w:hAnsi="宋体" w:eastAsia="宋体" w:cs="宋体"/>
          <w:color w:val="auto"/>
          <w:sz w:val="21"/>
          <w:szCs w:val="21"/>
          <w:highlight w:val="none"/>
        </w:rPr>
        <w:t xml:space="preserve">方案</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投标人承诺按照计划开展质控工作，并提供质控方案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质控方案合理，能够对开展工作提供实质性帮助的得5分；质控方案较合理、有一定的参考价值的得3分；质控方案</w:t>
      </w:r>
      <w:r>
        <w:rPr>
          <w:rFonts w:hint="eastAsia"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简略的得1分，否则不得分。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配件及备机情况</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根据投标人提供备机及配件渠道的完善性情况综合打分，渠道完善、可行得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渠道较完善、较可行</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渠道基本可行得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否则不得分。提供相关证明材料复印件。                       </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交接方案</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根据投标人提供的运维交接方案科学性及可行性等内容综合评价，方案完整、可行性好的得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分；方案较完整、较可行的得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分，方案基本可行的得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安全保障措施</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提供确保水站仪器设备安全的有效措施，</w:t>
      </w:r>
      <w:r>
        <w:rPr>
          <w:rFonts w:hint="eastAsia" w:ascii="宋体" w:hAnsi="宋体" w:eastAsia="宋体" w:cs="宋体"/>
          <w:color w:val="auto"/>
          <w:sz w:val="21"/>
          <w:szCs w:val="21"/>
          <w:highlight w:val="none"/>
        </w:rPr>
        <w:t xml:space="preserve">软件更新</w:t>
      </w:r>
      <w:r>
        <w:rPr>
          <w:rFonts w:hint="eastAsia" w:ascii="宋体" w:hAnsi="宋体" w:eastAsia="宋体" w:cs="宋体"/>
          <w:color w:val="auto"/>
          <w:sz w:val="21"/>
          <w:szCs w:val="21"/>
          <w:highlight w:val="none"/>
        </w:rPr>
        <w:t xml:space="preserve">情况</w:t>
      </w:r>
      <w:r>
        <w:rPr>
          <w:rFonts w:hint="eastAsia" w:ascii="宋体" w:hAnsi="宋体" w:eastAsia="宋体" w:cs="宋体"/>
          <w:bCs/>
          <w:color w:val="auto"/>
          <w:sz w:val="21"/>
          <w:szCs w:val="21"/>
          <w:highlight w:val="none"/>
        </w:rPr>
        <w:t xml:space="preserve">，方案合理、有效的</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方案较合理、较可行得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方案基本合理、基本可行得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否则不得分</w:t>
      </w:r>
      <w:r>
        <w:rPr>
          <w:rFonts w:hint="eastAsia" w:ascii="宋体" w:hAnsi="宋体" w:eastAsia="宋体" w:cs="宋体"/>
          <w:bCs/>
          <w:color w:val="auto"/>
          <w:sz w:val="21"/>
          <w:szCs w:val="21"/>
          <w:highlight w:val="none"/>
        </w:rPr>
        <w:t xml:space="preserve">。  </w:t>
      </w:r>
      <w:r/>
    </w:p>
    <w:p>
      <w:pPr>
        <w:numPr>
          <w:ilvl w:val="0"/>
          <w:numId w:val="61"/>
        </w:numPr>
        <w:ind w:left="427" w:hanging="427"/>
        <w:spacing w:line="400" w:lineRule="exact"/>
        <w:tabs>
          <w:tab w:val="left" w:pos="420" w:leader="none"/>
        </w:tabs>
        <w:rPr>
          <w:rFonts w:hint="eastAsia"/>
          <w:color w:val="auto"/>
          <w:highlight w:val="none"/>
        </w:rPr>
      </w:pPr>
      <w:r>
        <w:rPr>
          <w:rFonts w:hint="eastAsia" w:ascii="宋体" w:hAnsi="宋体" w:eastAsia="宋体" w:cs="宋体"/>
          <w:color w:val="auto"/>
          <w:sz w:val="21"/>
          <w:szCs w:val="21"/>
          <w:highlight w:val="none"/>
          <w:lang w:val="en-US" w:eastAsia="zh-CN"/>
        </w:rPr>
        <w:t xml:space="preserve">服务</w:t>
      </w:r>
      <w:r>
        <w:rPr>
          <w:rFonts w:hint="eastAsia"/>
          <w:color w:val="auto"/>
          <w:sz w:val="21"/>
          <w:szCs w:val="21"/>
          <w:highlight w:val="none"/>
          <w:lang w:val="en-US" w:eastAsia="zh-CN"/>
        </w:rPr>
        <w:t xml:space="preserve">响应</w:t>
      </w:r>
      <w:r>
        <w:rPr>
          <w:color w:val="auto"/>
          <w:sz w:val="21"/>
          <w:szCs w:val="21"/>
          <w:highlight w:val="none"/>
        </w:rPr>
        <w:t xml:space="preserve">方案</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color w:val="auto"/>
          <w:sz w:val="21"/>
          <w:szCs w:val="21"/>
          <w:highlight w:val="none"/>
        </w:rPr>
        <w:t xml:space="preserve">根据投标人提供的</w:t>
      </w:r>
      <w:r>
        <w:rPr>
          <w:rFonts w:hint="eastAsia"/>
          <w:color w:val="auto"/>
          <w:sz w:val="21"/>
          <w:szCs w:val="21"/>
          <w:highlight w:val="none"/>
          <w:lang w:val="en-US" w:eastAsia="zh-CN"/>
        </w:rPr>
        <w:t xml:space="preserve">服务响应</w:t>
      </w:r>
      <w:r>
        <w:rPr>
          <w:rFonts w:hint="eastAsia"/>
          <w:color w:val="auto"/>
          <w:sz w:val="21"/>
          <w:szCs w:val="21"/>
          <w:highlight w:val="none"/>
        </w:rPr>
        <w:t xml:space="preserve">方案综合打分，</w:t>
      </w:r>
      <w:r>
        <w:rPr>
          <w:rFonts w:hint="eastAsia"/>
          <w:color w:val="auto"/>
          <w:sz w:val="21"/>
          <w:szCs w:val="21"/>
          <w:highlight w:val="none"/>
          <w:lang w:val="en-US" w:eastAsia="zh-CN"/>
        </w:rPr>
        <w:t xml:space="preserve">服务响应迅速、及时、便捷，</w:t>
      </w:r>
      <w:r>
        <w:rPr>
          <w:rFonts w:hint="eastAsia"/>
          <w:color w:val="auto"/>
          <w:sz w:val="21"/>
          <w:szCs w:val="21"/>
          <w:highlight w:val="none"/>
        </w:rPr>
        <w:t xml:space="preserve">服务能够高效开展</w:t>
      </w:r>
      <w:r>
        <w:rPr>
          <w:rFonts w:hint="eastAsia"/>
          <w:color w:val="auto"/>
          <w:sz w:val="21"/>
          <w:szCs w:val="21"/>
          <w:highlight w:val="none"/>
          <w:lang w:val="en-US" w:eastAsia="zh-CN"/>
        </w:rPr>
        <w:t xml:space="preserve">且有保障</w:t>
      </w:r>
      <w:r>
        <w:rPr>
          <w:rFonts w:hint="eastAsia"/>
          <w:color w:val="auto"/>
          <w:sz w:val="21"/>
          <w:szCs w:val="21"/>
          <w:highlight w:val="none"/>
        </w:rPr>
        <w:t xml:space="preserve">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服务</w:t>
      </w:r>
      <w:r>
        <w:rPr>
          <w:rFonts w:hint="eastAsia"/>
          <w:color w:val="auto"/>
          <w:sz w:val="21"/>
          <w:szCs w:val="21"/>
          <w:highlight w:val="none"/>
          <w:lang w:val="en-US" w:eastAsia="zh-CN"/>
        </w:rPr>
        <w:t xml:space="preserve">响应较及时、较便捷</w:t>
      </w:r>
      <w:r>
        <w:rPr>
          <w:rFonts w:hint="eastAsia"/>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服务响应基本及时</w:t>
      </w:r>
      <w:r>
        <w:rPr>
          <w:rFonts w:hint="eastAsia" w:ascii="宋体" w:hAnsi="宋体" w:eastAsia="宋体" w:cs="宋体"/>
          <w:color w:val="auto"/>
          <w:sz w:val="21"/>
          <w:szCs w:val="21"/>
          <w:highlight w:val="none"/>
        </w:rPr>
        <w:t xml:space="preserve">得1分。提供相关支撑材料。</w:t>
      </w:r>
      <w:r/>
    </w:p>
    <w:p>
      <w:pPr>
        <w:numPr>
          <w:ilvl w:val="0"/>
          <w:numId w:val="65"/>
        </w:numPr>
        <w:ind w:left="427" w:hanging="427"/>
        <w:keepLines w:val="0"/>
        <w:keepNext w:val="0"/>
        <w:pageBreakBefore w:val="0"/>
        <w:spacing w:line="400" w:lineRule="exact"/>
        <w:widowControl w:val="off"/>
        <w:tabs>
          <w:tab w:val="left" w:pos="420" w:leader="none"/>
        </w:tabs>
        <w:rPr>
          <w:rFonts w:hint="eastAsia" w:ascii="宋体" w:hAnsi="宋体" w:eastAsia="宋体" w:cs="宋体"/>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针对本项目的人员、车辆</w:t>
      </w:r>
      <w:r>
        <w:rPr>
          <w:rFonts w:hint="eastAsia" w:ascii="宋体" w:hAnsi="宋体" w:eastAsia="宋体" w:cs="宋体"/>
          <w:b/>
          <w:bCs/>
          <w:color w:val="auto"/>
          <w:sz w:val="21"/>
          <w:szCs w:val="21"/>
          <w:highlight w:val="none"/>
        </w:rPr>
        <w:t xml:space="preserve">（</w:t>
      </w:r>
      <w:r>
        <w:rPr>
          <w:rFonts w:hint="eastAsia"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numPr>
          <w:ilvl w:val="0"/>
          <w:numId w:val="63"/>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b w:val="0"/>
          <w:bCs/>
          <w:color w:val="auto"/>
          <w:sz w:val="21"/>
          <w:szCs w:val="21"/>
          <w:highlight w:val="none"/>
          <w:lang w:val="en-US" w:eastAsia="zh-CN"/>
        </w:rPr>
        <w:t xml:space="preserve">目负责人（</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具备环境类</w:t>
      </w:r>
      <w:r>
        <w:rPr>
          <w:rFonts w:hint="eastAsia" w:eastAsia="宋体" w:cs="宋体"/>
          <w:b w:val="0"/>
          <w:bCs/>
          <w:color w:val="auto"/>
          <w:sz w:val="21"/>
          <w:szCs w:val="21"/>
          <w:highlight w:val="none"/>
          <w:lang w:val="en-US" w:eastAsia="zh-CN"/>
        </w:rPr>
        <w:t xml:space="preserve">中级</w:t>
      </w:r>
      <w:r>
        <w:rPr>
          <w:rFonts w:hint="eastAsia" w:ascii="宋体" w:hAnsi="宋体" w:eastAsia="宋体" w:cs="宋体"/>
          <w:b w:val="0"/>
          <w:bCs/>
          <w:color w:val="auto"/>
          <w:sz w:val="21"/>
          <w:szCs w:val="21"/>
          <w:highlight w:val="none"/>
          <w:lang w:val="en-US" w:eastAsia="zh-CN"/>
        </w:rPr>
        <w:t xml:space="preserve">及以上职称的得</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分；提供相应证书及投标人为其缴纳的最近一期的社保证明复印件，否则不得分。</w:t>
      </w:r>
      <w:r/>
    </w:p>
    <w:p>
      <w:pPr>
        <w:numPr>
          <w:ilvl w:val="0"/>
          <w:numId w:val="63"/>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运维人员（</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具备省级及以上环保部门颁发的全国环境监测人员培训合格证书或运维上岗证书的每个得1分，最高</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分；提供相应证书及投标人为其缴纳的最近一期的社保证明复印件，否则不得分。 </w:t>
      </w:r>
      <w:r/>
    </w:p>
    <w:p>
      <w:pPr>
        <w:numPr>
          <w:ilvl w:val="0"/>
          <w:numId w:val="63"/>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应急监测车</w:t>
      </w:r>
      <w:r>
        <w:rPr>
          <w:rFonts w:hint="eastAsia" w:ascii="宋体" w:hAnsi="宋体" w:eastAsia="宋体" w:cs="宋体"/>
          <w:b w:val="0"/>
          <w:bCs/>
          <w:color w:val="auto"/>
          <w:sz w:val="21"/>
          <w:szCs w:val="21"/>
          <w:highlight w:val="none"/>
          <w:lang w:val="en-US" w:eastAsia="zh-CN"/>
        </w:rPr>
        <w:t xml:space="preserve">（</w:t>
      </w:r>
      <w:r>
        <w:rPr>
          <w:rFonts w:hint="eastAsia"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为本项目</w:t>
      </w:r>
      <w:r>
        <w:rPr>
          <w:rFonts w:hint="eastAsia" w:ascii="宋体" w:hAnsi="宋体" w:eastAsia="宋体" w:cs="宋体"/>
          <w:color w:val="auto"/>
          <w:sz w:val="21"/>
          <w:szCs w:val="21"/>
          <w:highlight w:val="none"/>
        </w:rPr>
        <w:t xml:space="preserve">配备的应急监测车，</w:t>
      </w:r>
      <w:r>
        <w:rPr>
          <w:rFonts w:hint="eastAsia" w:ascii="宋体" w:hAnsi="宋体" w:eastAsia="宋体" w:cs="宋体"/>
          <w:color w:val="auto"/>
          <w:sz w:val="21"/>
          <w:szCs w:val="21"/>
          <w:highlight w:val="none"/>
          <w:lang w:val="en-US" w:eastAsia="zh-CN"/>
        </w:rPr>
        <w:t xml:space="preserve">能够快速到达开展应急监测的最高得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val="0"/>
          <w:bCs/>
          <w:color w:val="auto"/>
          <w:sz w:val="21"/>
          <w:szCs w:val="21"/>
          <w:lang w:val="en-US" w:eastAsia="zh-CN"/>
        </w:rPr>
        <w:t xml:space="preserve">投标人需在主要机械设备情况表中注明自有或租赁，或提供承诺中标后购买或中标后租赁相应机械设备的承诺书（承诺书格式自拟）；如自有或租赁的须</w:t>
      </w:r>
      <w:r>
        <w:rPr>
          <w:rFonts w:hint="eastAsia" w:ascii="宋体" w:hAnsi="宋体" w:eastAsia="宋体" w:cs="宋体"/>
          <w:color w:val="auto"/>
          <w:sz w:val="21"/>
          <w:szCs w:val="21"/>
          <w:highlight w:val="none"/>
        </w:rPr>
        <w:t xml:space="preserve">提供所有权证明</w:t>
      </w:r>
      <w:r>
        <w:rPr>
          <w:rFonts w:hint="eastAsia" w:eastAsia="宋体" w:cs="宋体"/>
          <w:color w:val="auto"/>
          <w:sz w:val="21"/>
          <w:szCs w:val="21"/>
          <w:highlight w:val="none"/>
          <w:lang w:val="en-US" w:eastAsia="zh-CN"/>
        </w:rPr>
        <w:t xml:space="preserve">或租用服务合同</w:t>
      </w:r>
      <w:r>
        <w:rPr>
          <w:rFonts w:hint="eastAsia" w:ascii="宋体" w:hAnsi="宋体" w:eastAsia="宋体" w:cs="宋体"/>
          <w:color w:val="auto"/>
          <w:sz w:val="21"/>
          <w:szCs w:val="21"/>
          <w:highlight w:val="none"/>
        </w:rPr>
        <w:t xml:space="preserve">材料</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租用期限需覆盖整个运维周期，否则不得分</w:t>
      </w:r>
      <w:r>
        <w:rPr>
          <w:rFonts w:hint="eastAsia" w:ascii="宋体" w:hAnsi="宋体" w:eastAsia="宋体" w:cs="宋体"/>
          <w:color w:val="auto"/>
          <w:sz w:val="21"/>
          <w:szCs w:val="21"/>
          <w:highlight w:val="none"/>
          <w:lang w:eastAsia="zh-CN"/>
        </w:rPr>
        <w:t xml:space="preserve">。</w:t>
      </w:r>
      <w:r/>
    </w:p>
    <w:p>
      <w:pPr>
        <w:numPr>
          <w:ilvl w:val="0"/>
          <w:numId w:val="65"/>
        </w:numPr>
        <w:ind w:left="427" w:hanging="427"/>
        <w:keepLines w:val="0"/>
        <w:keepNext w:val="0"/>
        <w:pageBreakBefore w:val="0"/>
        <w:spacing w:line="400" w:lineRule="exact"/>
        <w:widowControl w:val="off"/>
        <w:tabs>
          <w:tab w:val="left" w:pos="420"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投标人综合能力</w:t>
      </w:r>
      <w:r>
        <w:rPr>
          <w:rFonts w:hint="eastAsia" w:ascii="宋体" w:hAnsi="宋体" w:eastAsia="宋体" w:cs="宋体"/>
          <w:b/>
          <w:bCs/>
          <w:color w:val="auto"/>
          <w:sz w:val="21"/>
          <w:szCs w:val="21"/>
          <w:highlight w:val="none"/>
        </w:rPr>
        <w:t xml:space="preserve">（</w:t>
      </w:r>
      <w:r>
        <w:rPr>
          <w:rFonts w:hint="eastAsia"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rPr>
          <w:rFonts w:hint="eastAsia" w:ascii="宋体" w:hAnsi="宋体" w:eastAsia="宋体" w:cs="宋体"/>
          <w:b/>
          <w:color w:val="auto"/>
          <w:sz w:val="21"/>
          <w:szCs w:val="21"/>
          <w:highlight w:val="none"/>
        </w:rPr>
        <w:t xml:space="preserve"> </w:t>
      </w:r>
      <w:r/>
    </w:p>
    <w:p>
      <w:pPr>
        <w:numPr>
          <w:ilvl w:val="0"/>
          <w:numId w:val="64"/>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管理体系认证（</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具有质量</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环境</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职业健康安全管理体系认证证书，每</w:t>
      </w:r>
      <w:r>
        <w:rPr>
          <w:rFonts w:hint="eastAsia" w:ascii="宋体" w:hAnsi="宋体" w:eastAsia="宋体" w:cs="宋体"/>
          <w:b w:val="0"/>
          <w:bCs/>
          <w:color w:val="auto"/>
          <w:sz w:val="21"/>
          <w:szCs w:val="21"/>
          <w:highlight w:val="none"/>
          <w:lang w:val="en-US" w:eastAsia="zh-CN"/>
        </w:rPr>
        <w:t xml:space="preserve">份</w:t>
      </w:r>
      <w:r>
        <w:rPr>
          <w:rFonts w:hint="eastAsia" w:ascii="宋体" w:hAnsi="宋体" w:eastAsia="宋体" w:cs="宋体"/>
          <w:b w:val="0"/>
          <w:bCs/>
          <w:color w:val="auto"/>
          <w:sz w:val="21"/>
          <w:szCs w:val="21"/>
          <w:highlight w:val="none"/>
        </w:rPr>
        <w:t xml:space="preserve">证书得</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分，最高</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提供证书复印件及国家认监委网站查询证书有效的截图，否则不得分。</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numPr>
          <w:ilvl w:val="0"/>
          <w:numId w:val="64"/>
        </w:numPr>
        <w:ind w:left="427" w:hanging="427"/>
        <w:spacing w:line="400" w:lineRule="exact"/>
        <w:tabs>
          <w:tab w:val="left" w:pos="420" w:leader="none"/>
        </w:tabs>
        <w:rPr>
          <w:rFonts w:hint="eastAsia" w:ascii="宋体" w:hAnsi="宋体" w:eastAsia="宋体" w:cs="宋体"/>
          <w:color w:val="auto"/>
          <w:highlight w:val="none"/>
          <w:lang w:val="en-US" w:eastAsia="zh-CN"/>
        </w:rPr>
      </w:pPr>
      <w:r>
        <w:rPr>
          <w:rFonts w:hint="eastAsia" w:eastAsia="宋体" w:cs="宋体"/>
          <w:color w:val="auto"/>
          <w:highlight w:val="none"/>
          <w:lang w:val="en-US" w:eastAsia="zh-CN"/>
        </w:rPr>
        <w:t xml:space="preserve">服务满意度评价</w:t>
      </w:r>
      <w:r>
        <w:rPr>
          <w:rFonts w:hint="eastAsia" w:ascii="宋体" w:hAnsi="宋体" w:eastAsia="宋体" w:cs="宋体"/>
          <w:color w:val="auto"/>
          <w:sz w:val="21"/>
          <w:szCs w:val="21"/>
          <w:highlight w:val="none"/>
          <w:lang w:val="en-US" w:eastAsia="zh-CN"/>
        </w:rPr>
        <w:t xml:space="preserve">（</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20</w:t>
      </w:r>
      <w:r>
        <w:rPr>
          <w:rFonts w:hint="eastAsia"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val="en-US" w:eastAsia="zh-CN"/>
        </w:rPr>
        <w:t xml:space="preserve">年至今在生态环境部门的生态</w:t>
      </w:r>
      <w:r>
        <w:rPr>
          <w:rFonts w:hint="eastAsia" w:ascii="宋体" w:hAnsi="宋体" w:eastAsia="宋体" w:cs="宋体"/>
          <w:color w:val="auto"/>
          <w:sz w:val="21"/>
          <w:szCs w:val="21"/>
          <w:highlight w:val="none"/>
          <w:lang w:val="en-US" w:eastAsia="zh-CN" w:bidi="ar-SA"/>
        </w:rPr>
        <w:t xml:space="preserve">环境</w:t>
      </w:r>
      <w:r>
        <w:rPr>
          <w:rFonts w:hint="eastAsia" w:ascii="宋体" w:hAnsi="宋体" w:eastAsia="宋体" w:cs="宋体"/>
          <w:color w:val="auto"/>
          <w:sz w:val="21"/>
          <w:szCs w:val="21"/>
          <w:highlight w:val="none"/>
          <w:lang w:val="en-US" w:eastAsia="zh-CN"/>
        </w:rPr>
        <w:t xml:space="preserve">监测、运维服务质量评价中获得过正面评价证明的得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分，提供有效证明材料。</w:t>
      </w:r>
      <w:r/>
    </w:p>
    <w:p>
      <w:pPr>
        <w:numPr>
          <w:ilvl w:val="0"/>
          <w:numId w:val="64"/>
        </w:numPr>
        <w:ind w:left="425" w:hanging="425"/>
        <w:keepLines w:val="0"/>
        <w:keepNext w:val="0"/>
        <w:pageBreakBefore w:val="0"/>
        <w:spacing w:line="400" w:lineRule="exact"/>
        <w:widowControl w:val="off"/>
        <w:tabs>
          <w:tab w:val="left" w:pos="420" w:leader="none"/>
        </w:tabs>
        <w:rPr>
          <w:rFonts w:hint="eastAsia" w:ascii="宋体" w:hAnsi="宋体" w:eastAsia="宋体" w:cs="Times New Roman"/>
          <w:color w:val="auto"/>
          <w:sz w:val="21"/>
          <w:szCs w:val="21"/>
          <w:highlight w:val="none"/>
          <w:lang w:val="en-US" w:eastAsia="zh-CN" w:bidi="ar"/>
        </w:rPr>
      </w:pPr>
      <w:r>
        <w:rPr>
          <w:color w:val="auto"/>
          <w:sz w:val="21"/>
          <w:szCs w:val="21"/>
          <w:highlight w:val="none"/>
          <w:lang w:bidi="ar"/>
        </w:rPr>
        <w:t xml:space="preserve">质控能力</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pStyle w:val="1171"/>
        <w:ind w:left="432" w:hanging="12"/>
        <w:jc w:val="both"/>
        <w:keepLines w:val="0"/>
        <w:keepNext w:val="0"/>
        <w:pageBreakBefore w:val="0"/>
        <w:spacing w:line="400" w:lineRule="exact"/>
        <w:rPr>
          <w:rFonts w:hint="eastAsia" w:eastAsia="宋体"/>
          <w:color w:val="auto"/>
          <w:sz w:val="21"/>
          <w:szCs w:val="21"/>
          <w:highlight w:val="none"/>
          <w:lang w:eastAsia="zh-CN" w:bidi="ar"/>
        </w:rPr>
      </w:pPr>
      <w:r>
        <w:rPr>
          <w:rFonts w:ascii="宋体" w:hAnsi="宋体" w:eastAsia="宋体" w:cs="Times New Roman"/>
          <w:color w:val="auto"/>
          <w:sz w:val="21"/>
          <w:szCs w:val="21"/>
          <w:highlight w:val="none"/>
          <w:lang w:val="en-US" w:eastAsia="zh-CN" w:bidi="ar"/>
        </w:rPr>
        <w:t xml:space="preserve">投标人本身自有（可以为控股）</w:t>
      </w:r>
      <w:r>
        <w:rPr>
          <w:rFonts w:hint="eastAsia" w:eastAsia="宋体" w:cs="Times New Roman"/>
          <w:color w:val="auto"/>
          <w:sz w:val="21"/>
          <w:szCs w:val="21"/>
          <w:highlight w:val="none"/>
          <w:lang w:val="en-US" w:eastAsia="zh-CN" w:bidi="ar"/>
        </w:rPr>
        <w:t xml:space="preserve">或</w:t>
      </w:r>
      <w:r>
        <w:rPr>
          <w:color w:val="auto"/>
          <w:sz w:val="21"/>
          <w:szCs w:val="21"/>
          <w:highlight w:val="none"/>
          <w:lang w:bidi="ar"/>
        </w:rPr>
        <w:t xml:space="preserve">有委托的</w:t>
      </w:r>
      <w:r>
        <w:rPr>
          <w:rFonts w:ascii="宋体" w:hAnsi="宋体" w:eastAsia="宋体" w:cs="Times New Roman"/>
          <w:color w:val="auto"/>
          <w:sz w:val="21"/>
          <w:szCs w:val="21"/>
          <w:highlight w:val="none"/>
          <w:lang w:val="en-US" w:eastAsia="zh-CN" w:bidi="ar"/>
        </w:rPr>
        <w:t xml:space="preserve">用于质量控制的CMA或CNAS资质认定的实验室（认证范围需</w:t>
      </w:r>
      <w:r>
        <w:rPr>
          <w:rFonts w:hint="eastAsia" w:ascii="宋体" w:hAnsi="宋体" w:eastAsia="宋体" w:cs="Times New Roman"/>
          <w:color w:val="auto"/>
          <w:sz w:val="21"/>
          <w:szCs w:val="21"/>
          <w:highlight w:val="none"/>
          <w:lang w:val="en-US" w:eastAsia="zh-CN" w:bidi="ar"/>
        </w:rPr>
        <w:t xml:space="preserve">包含水质五参数、氨氮、高锰酸盐指数、氟化物、总磷、总氮</w:t>
      </w:r>
      <w:r>
        <w:rPr>
          <w:rFonts w:ascii="宋体" w:hAnsi="宋体" w:eastAsia="宋体" w:cs="Times New Roman"/>
          <w:color w:val="auto"/>
          <w:sz w:val="21"/>
          <w:szCs w:val="21"/>
          <w:highlight w:val="none"/>
          <w:lang w:val="en-US" w:eastAsia="zh-CN" w:bidi="ar"/>
        </w:rPr>
        <w:t xml:space="preserve">）</w:t>
      </w:r>
      <w:r>
        <w:rPr>
          <w:color w:val="auto"/>
          <w:sz w:val="21"/>
          <w:szCs w:val="21"/>
          <w:highlight w:val="none"/>
          <w:lang w:bidi="ar"/>
        </w:rPr>
        <w:t xml:space="preserve">得</w:t>
      </w:r>
      <w:r>
        <w:rPr>
          <w:rFonts w:hint="eastAsia"/>
          <w:color w:val="auto"/>
          <w:sz w:val="21"/>
          <w:szCs w:val="21"/>
          <w:highlight w:val="none"/>
          <w:lang w:val="en-US" w:eastAsia="zh-CN" w:bidi="ar"/>
        </w:rPr>
        <w:t xml:space="preserve">4</w:t>
      </w:r>
      <w:r>
        <w:rPr>
          <w:color w:val="auto"/>
          <w:sz w:val="21"/>
          <w:szCs w:val="21"/>
          <w:highlight w:val="none"/>
          <w:lang w:bidi="ar"/>
        </w:rPr>
        <w:t xml:space="preserve">分（须提供实验室资质证书及涵盖本项目指标的计量认证证明，现场提供</w:t>
      </w:r>
      <w:r>
        <w:rPr>
          <w:rFonts w:hint="eastAsia"/>
          <w:color w:val="auto"/>
          <w:sz w:val="21"/>
          <w:szCs w:val="21"/>
          <w:highlight w:val="none"/>
          <w:lang w:val="en-US" w:eastAsia="zh-CN" w:bidi="ar"/>
        </w:rPr>
        <w:t xml:space="preserve">原件或盖章复印件</w:t>
      </w:r>
      <w:r>
        <w:rPr>
          <w:color w:val="auto"/>
          <w:sz w:val="21"/>
          <w:szCs w:val="21"/>
          <w:highlight w:val="none"/>
          <w:lang w:bidi="ar"/>
        </w:rPr>
        <w:t xml:space="preserve">，否则不予计分</w:t>
      </w:r>
      <w:r>
        <w:rPr>
          <w:rFonts w:hint="eastAsia"/>
          <w:color w:val="auto"/>
          <w:sz w:val="21"/>
          <w:szCs w:val="21"/>
          <w:highlight w:val="none"/>
          <w:lang w:eastAsia="zh-CN" w:bidi="ar"/>
        </w:rPr>
        <w:t xml:space="preserve">，</w:t>
      </w:r>
      <w:r>
        <w:rPr>
          <w:color w:val="auto"/>
          <w:sz w:val="21"/>
          <w:szCs w:val="21"/>
          <w:highlight w:val="none"/>
          <w:lang w:bidi="ar"/>
        </w:rPr>
        <w:t xml:space="preserve">委托协议须覆盖本次招标运维周期，须提供合同等相关证明材料）</w:t>
      </w:r>
      <w:r>
        <w:rPr>
          <w:rFonts w:hint="eastAsia"/>
          <w:color w:val="auto"/>
          <w:sz w:val="21"/>
          <w:szCs w:val="21"/>
          <w:highlight w:val="none"/>
          <w:lang w:eastAsia="zh-CN" w:bidi="ar"/>
        </w:rPr>
        <w:t xml:space="preserve">；</w:t>
      </w:r>
      <w:r/>
    </w:p>
    <w:p>
      <w:pPr>
        <w:numPr>
          <w:ilvl w:val="0"/>
          <w:numId w:val="64"/>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类似项目业绩</w:t>
      </w:r>
      <w:r>
        <w:rPr>
          <w:rFonts w:hint="eastAsia" w:ascii="宋体" w:hAnsi="宋体" w:eastAsia="宋体" w:cs="宋体"/>
          <w:color w:val="auto"/>
          <w:sz w:val="21"/>
          <w:szCs w:val="21"/>
          <w:highlight w:val="none"/>
          <w:lang w:val="en-US" w:eastAsia="zh-CN"/>
        </w:rPr>
        <w:t xml:space="preserve">（</w:t>
      </w:r>
      <w:r>
        <w:rPr>
          <w:rFonts w:hint="eastAsia"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color w:val="auto"/>
        </w:rPr>
      </w:pPr>
      <w:r>
        <w:rPr>
          <w:rFonts w:hint="eastAsia" w:ascii="宋体" w:hAnsi="宋体" w:eastAsia="宋体" w:cs="宋体"/>
          <w:color w:val="auto"/>
          <w:sz w:val="21"/>
          <w:szCs w:val="21"/>
          <w:highlight w:val="none"/>
        </w:rPr>
        <w:t xml:space="preserve">20</w:t>
      </w:r>
      <w:r>
        <w:rPr>
          <w:rFonts w:hint="eastAsia"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年以来</w:t>
      </w:r>
      <w:r>
        <w:rPr>
          <w:rFonts w:hint="eastAsia" w:ascii="宋体" w:hAnsi="宋体" w:eastAsia="宋体" w:cs="宋体"/>
          <w:color w:val="auto"/>
          <w:sz w:val="21"/>
          <w:szCs w:val="21"/>
          <w:highlight w:val="none"/>
        </w:rPr>
        <w:t xml:space="preserve">（以合同签署日期为准）具有类似地表水水质自动监测站运维</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每份得</w:t>
      </w:r>
      <w:r>
        <w:rPr>
          <w:rFonts w:hint="eastAsia"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分，最高得</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与用户签订的合同证明，否则不得分。</w:t>
      </w:r>
      <w:r/>
    </w:p>
    <w:p>
      <w:pPr>
        <w:ind w:firstLine="420"/>
        <w:spacing w:line="400" w:lineRule="exact"/>
        <w:tabs>
          <w:tab w:val="left" w:pos="1050" w:leader="none"/>
        </w:tabs>
        <w:rPr>
          <w:rFonts w:hint="eastAsia"/>
          <w:b/>
          <w:color w:val="auto"/>
        </w:rPr>
      </w:pPr>
      <w:r>
        <w:rPr>
          <w:rFonts w:hint="eastAsia"/>
          <w:color w:val="auto"/>
        </w:rPr>
        <w:t xml:space="preserve">注：针对评分标准中评分的每一条，投标人均应提供相关资料并作相应说明供评委评判，不提供相关资料的视为不具备该项得分的条件。</w:t>
      </w:r>
      <w:r/>
    </w:p>
    <w:p>
      <w:pPr>
        <w:ind w:right="-161"/>
        <w:jc w:val="right"/>
        <w:spacing w:line="400" w:lineRule="exact"/>
        <w:rPr>
          <w:rFonts w:hint="eastAsia" w:cs="宋体"/>
          <w:color w:val="auto"/>
        </w:rPr>
      </w:pPr>
      <w:r>
        <w:rPr>
          <w:rFonts w:hint="eastAsia" w:cs="宋体"/>
          <w:color w:val="auto"/>
        </w:rPr>
        <w:t xml:space="preserve">  （全文完）</w:t>
      </w:r>
      <w:r/>
    </w:p>
    <w:p>
      <w:pPr>
        <w:ind w:right="-161"/>
        <w:jc w:val="right"/>
        <w:spacing w:line="400" w:lineRule="exact"/>
        <w:rPr>
          <w:rFonts w:hint="eastAsia" w:cs="宋体"/>
          <w:color w:val="000000"/>
          <w:highlight w:val="none"/>
        </w:rPr>
      </w:pPr>
      <w:r>
        <w:rPr>
          <w:rFonts w:hint="eastAsia" w:cs="宋体"/>
          <w:color w:val="000000"/>
          <w:highlight w:val="none"/>
        </w:rPr>
      </w:r>
      <w:r/>
    </w:p>
    <w:sectPr>
      <w:headerReference w:type="default" r:id="rId9"/>
      <w:footerReference w:type="default" r:id="rId10"/>
      <w:footerReference w:type="first" r:id="rId11"/>
      <w:footnotePr/>
      <w:endnotePr/>
      <w:type w:val="nextPage"/>
      <w:pgSz w:w="11906" w:h="16838" w:orient="portrait"/>
      <w:pgMar w:top="851" w:right="907" w:bottom="709" w:left="907" w:header="567" w:footer="23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小标宋简体">
    <w:panose1 w:val="020B0503020202020204"/>
  </w:font>
  <w:font w:name="Wingdings">
    <w:panose1 w:val="05000000000000000000"/>
  </w:font>
  <w:font w:name="HPFutura Light">
    <w:panose1 w:val="020B0503020202020204"/>
  </w:font>
  <w:font w:name="Helvetica">
    <w:panose1 w:val="020B0604020202020204"/>
  </w:font>
  <w:font w:name="方正黑体简体">
    <w:panose1 w:val="020B0503020202020204"/>
  </w:font>
  <w:font w:name="方正小标宋_GBK">
    <w:panose1 w:val="020B0503020202020204"/>
  </w:font>
  <w:font w:name="Symbol">
    <w:panose1 w:val="05050102010706020507"/>
  </w:font>
  <w:font w:name="新宋体">
    <w:panose1 w:val="02010609030101010101"/>
  </w:font>
  <w:font w:name="CMKAI G+ Futura">
    <w:panose1 w:val="020B0503020202020204"/>
  </w:font>
  <w:font w:name="方正大标宋简体">
    <w:panose1 w:val="020B0503020202020204"/>
  </w:font>
  <w:font w:name="方正仿宋_GBK">
    <w:panose1 w:val="020B0503020202020204"/>
  </w:font>
  <w:font w:name="方正黑体_GBK">
    <w:panose1 w:val="020B0503020202020204"/>
  </w:font>
  <w:font w:name="Tahoma">
    <w:panose1 w:val="020B0604030504040204"/>
  </w:font>
  <w:font w:name="方正仿宋简体">
    <w:panose1 w:val="020B0503020202020204"/>
  </w:font>
  <w:font w:name="Book Antiqua">
    <w:panose1 w:val="02040602050305030304"/>
  </w:font>
  <w:font w:name="文鼎CS中宋">
    <w:panose1 w:val="020B0503020202020204"/>
  </w:font>
  <w:font w:name="Cambria">
    <w:panose1 w:val="02040503050406030204"/>
  </w:font>
  <w:font w:name="等线 Light">
    <w:panose1 w:val="02010600030101010101"/>
  </w:font>
  <w:font w:name="仿宋">
    <w:panose1 w:val="02010609060101010101"/>
  </w:font>
  <w:font w:name="等线">
    <w:panose1 w:val="02010600030101010101"/>
  </w:font>
  <w:font w:name="仿宋_GB2312">
    <w:panose1 w:val="02010609060101010101"/>
  </w:font>
  <w:font w:name="文鼎CS大隶书">
    <w:panose1 w:val="020B0503020202020204"/>
  </w:font>
  <w:font w:name="Verdana">
    <w:panose1 w:val="020B0604030504040204"/>
  </w:font>
  <w:font w:name="黑体">
    <w:panose1 w:val="02010609060101010101"/>
  </w:font>
  <w:font w:name="幼圆">
    <w:panose1 w:val="02010509060101010101"/>
  </w:font>
  <w:font w:name="Arial Rounded MT Bold">
    <w:panose1 w:val="020F0704030504030204"/>
  </w:font>
  <w:font w:name="Courier New">
    <w:panose1 w:val="02070309020205020404"/>
  </w:font>
  <w:font w:name="ˎ̥">
    <w:panose1 w:val="020B0503020202020204"/>
  </w:font>
  <w:font w:name="楷体_GB2312">
    <w:panose1 w:val="02010609060101010101"/>
  </w:font>
  <w:font w:name="ヒラギノ角ゴ Pro W3">
    <w:panose1 w:val="020B0503020202020204"/>
  </w:font>
  <w:font w:name="Calibri">
    <w:panose1 w:val="020F0502020204030204"/>
  </w:font>
  <w:font w:name="长城仿宋">
    <w:panose1 w:val="020B0503020202020204"/>
  </w:font>
  <w:font w:name="Arial Unicode MS">
    <w:panose1 w:val="020B0604020202020204"/>
  </w:font>
  <w:font w:name="Arial">
    <w:panose1 w:val="020B0604020202020204"/>
  </w:font>
  <w:font w:name="宋体">
    <w:panose1 w:val="02010600030101010101"/>
  </w:font>
  <w:font w:name="文鼎CS细等线">
    <w:panose1 w:val="020B0503020202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both"/>
    </w:pPr>
    <w:r/>
    <w:r/>
  </w:p>
  <w:p>
    <w:pPr>
      <w:rPr>
        <w:sz w:val="15"/>
        <w:szCs w:val="15"/>
      </w:rPr>
      <w:framePr w:wrap="around" w:vAnchor="text" w:hAnchor="margin" w:xAlign="center" w:y="5"/>
    </w:pPr>
    <w:r>
      <w:rPr>
        <w:sz w:val="15"/>
        <w:szCs w:val="15"/>
      </w:rPr>
      <w:fldChar w:fldCharType="begin"/>
    </w:r>
    <w:r>
      <w:rPr>
        <w:rStyle w:val="1142"/>
        <w:sz w:val="15"/>
        <w:szCs w:val="15"/>
      </w:rPr>
      <w:instrText xml:space="preserve"> PAGE  </w:instrText>
    </w:r>
    <w:r>
      <w:rPr>
        <w:sz w:val="15"/>
        <w:szCs w:val="15"/>
      </w:rPr>
      <w:fldChar w:fldCharType="separate"/>
    </w:r>
    <w:r>
      <w:rPr>
        <w:rStyle w:val="1142"/>
        <w:sz w:val="15"/>
        <w:szCs w:val="15"/>
      </w:rPr>
      <w:t xml:space="preserve">- 21 -</w:t>
    </w:r>
    <w:r>
      <w:rPr>
        <w:sz w:val="15"/>
        <w:szCs w:val="15"/>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rFonts w:hint="eastAsia"/>
      </w:rPr>
    </w:pPr>
    <w:r>
      <w:rPr>
        <w:rFonts w:hint="eastAsia"/>
      </w:rPr>
    </w:r>
    <w:r/>
  </w:p>
  <w:p>
    <w:pPr>
      <w:pStyle w:val="10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rPr>
        <w:rFonts w:ascii="宋体" w:hAnsi="宋体" w:eastAsia="宋体"/>
        <w:lang w:val="en-US" w:eastAsia="zh-CN"/>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upperLetter"/>
      <w:isLgl w:val="false"/>
      <w:suff w:val="tab"/>
      <w:lvlText w:val="%1."/>
      <w:lvlJc w:val="left"/>
      <w:pPr>
        <w:ind w:left="840" w:hanging="480"/>
      </w:p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4">
    <w:multiLevelType w:val="hybridMultilevel"/>
    <w:lvl w:ilvl="0">
      <w:start w:val="1"/>
      <w:numFmt w:val="japaneseCounting"/>
      <w:isLgl w:val="false"/>
      <w:suff w:val="tab"/>
      <w:lvlText w:val="%1、"/>
      <w:lvlJc w:val="left"/>
      <w:pPr>
        <w:ind w:left="420" w:hanging="420"/>
        <w:tabs>
          <w:tab w:val="left" w:pos="420" w:leader="none"/>
        </w:tabs>
      </w:pPr>
      <w:rPr>
        <w:rFonts w:hint="eastAsia"/>
        <w:b/>
        <w:color w:val="000000"/>
        <w:lang w:val="en-U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japaneseCounting"/>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30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6">
    <w:multiLevelType w:val="hybridMultilevel"/>
    <w:lvl w:ilvl="0">
      <w:start w:val="1"/>
      <w:numFmt w:val="decimal"/>
      <w:pStyle w:val="1698"/>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563"/>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661"/>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upperLetter"/>
      <w:pStyle w:val="1603"/>
      <w:isLgl w:val="false"/>
      <w:suff w:val="nothing"/>
      <w:lvlText w:val="附　录　%1"/>
      <w:lvlJc w:val="left"/>
      <w:pPr>
        <w:ind w:left="0" w:firstLine="0"/>
      </w:pPr>
      <w:rPr>
        <w:rFonts w:cs="Times New Roman"/>
        <w:b w:val="0"/>
        <w:bCs w:val="0"/>
        <w:i w:val="0"/>
        <w:iCs w:val="0"/>
        <w:caps w:val="0"/>
        <w:smallCaps w:val="0"/>
        <w:strike w:val="0"/>
        <w:vanish w:val="0"/>
        <w:spacing w:val="0"/>
        <w:position w:val="0"/>
        <w:u w:val="none"/>
        <w:vertAlign w:val="baseline"/>
        <w:lang w:val="en-US"/>
      </w:rPr>
    </w:lvl>
    <w:lvl w:ilvl="1">
      <w:start w:val="1"/>
      <w:numFmt w:val="decimal"/>
      <w:pStyle w:val="1676"/>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pStyle w:val="1694"/>
      <w:isLgl w:val="false"/>
      <w:suff w:val="nothing"/>
      <w:lvlText w:val="%1.%2.%3　"/>
      <w:lvlJc w:val="left"/>
      <w:pPr>
        <w:ind w:left="0" w:firstLine="0"/>
      </w:pPr>
      <w:rPr>
        <w:rFonts w:hint="eastAsia" w:ascii="黑体" w:hAnsi="Times New Roman" w:eastAsia="黑体"/>
        <w:b w:val="0"/>
        <w:i w:val="0"/>
        <w:sz w:val="21"/>
      </w:rPr>
    </w:lvl>
    <w:lvl w:ilvl="3">
      <w:start w:val="1"/>
      <w:numFmt w:val="decimal"/>
      <w:pStyle w:val="1496"/>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495"/>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666"/>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665"/>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2666" w:hanging="555"/>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15">
    <w:multiLevelType w:val="hybridMultilevel"/>
    <w:lvl w:ilvl="0">
      <w:start w:val="1"/>
      <w:numFmt w:val="bullet"/>
      <w:pStyle w:val="1669"/>
      <w:isLgl w:val="false"/>
      <w:suff w:val="tab"/>
      <w:lvlText w:val=""/>
      <w:lvlJc w:val="left"/>
      <w:pPr>
        <w:ind w:left="840" w:hanging="420"/>
      </w:pPr>
      <w:rPr>
        <w:rFonts w:ascii="Wingdings" w:hAnsi="Wingdings"/>
      </w:rPr>
    </w:lvl>
    <w:lvl w:ilvl="1">
      <w:start w:val="1"/>
      <w:numFmt w:val="bullet"/>
      <w:isLgl w:val="false"/>
      <w:suff w:val="tab"/>
      <w:lvlText w:val=""/>
      <w:lvlJc w:val="left"/>
      <w:pPr>
        <w:ind w:left="1260" w:hanging="420"/>
      </w:pPr>
      <w:rPr>
        <w:rFonts w:ascii="Wingdings" w:hAnsi="Wingdings"/>
      </w:rPr>
    </w:lvl>
    <w:lvl w:ilvl="2">
      <w:start w:val="1"/>
      <w:numFmt w:val="bullet"/>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16">
    <w:multiLevelType w:val="hybridMultilevel"/>
    <w:lvl w:ilvl="0">
      <w:start w:val="1"/>
      <w:numFmt w:val="decimal"/>
      <w:pStyle w:val="1412"/>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chineseCountingThousand"/>
      <w:isLgl w:val="false"/>
      <w:suff w:val="tab"/>
      <w:lvlText w:val="(%1)"/>
      <w:lvlJc w:val="left"/>
      <w:pPr>
        <w:ind w:left="420" w:hanging="420"/>
      </w:pPr>
      <w:rPr>
        <w:rFonts w:hint="eastAsia" w:ascii="宋体" w:hAnsi="宋体" w:eastAsia="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47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376"/>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571" w:leader="none"/>
        </w:tabs>
      </w:pPr>
    </w:lvl>
    <w:lvl w:ilvl="3">
      <w:start w:val="1"/>
      <w:numFmt w:val="decimal"/>
      <w:isLgl w:val="false"/>
      <w:suff w:val="tab"/>
      <w:lvlText w:val="%1.%2.%3.%4"/>
      <w:lvlJc w:val="left"/>
      <w:pPr>
        <w:ind w:left="1984" w:hanging="708"/>
        <w:tabs>
          <w:tab w:val="left" w:pos="2356" w:leader="none"/>
        </w:tabs>
      </w:pPr>
    </w:lvl>
    <w:lvl w:ilvl="4">
      <w:start w:val="1"/>
      <w:numFmt w:val="decimal"/>
      <w:isLgl w:val="false"/>
      <w:suff w:val="tab"/>
      <w:lvlText w:val="%1.%2.%3.%4.%5"/>
      <w:lvlJc w:val="left"/>
      <w:pPr>
        <w:ind w:left="2551" w:hanging="850"/>
        <w:tabs>
          <w:tab w:val="left" w:pos="2781" w:leader="none"/>
        </w:tabs>
      </w:pPr>
    </w:lvl>
    <w:lvl w:ilvl="5">
      <w:start w:val="1"/>
      <w:numFmt w:val="decimal"/>
      <w:isLgl w:val="false"/>
      <w:suff w:val="tab"/>
      <w:lvlText w:val="%1.%2.%3.%4.%5.%6"/>
      <w:lvlJc w:val="left"/>
      <w:pPr>
        <w:ind w:left="3260" w:hanging="1134"/>
        <w:tabs>
          <w:tab w:val="left" w:pos="356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4776" w:leader="none"/>
        </w:tabs>
      </w:pPr>
    </w:lvl>
    <w:lvl w:ilvl="8">
      <w:start w:val="1"/>
      <w:numFmt w:val="decimal"/>
      <w:isLgl w:val="false"/>
      <w:suff w:val="tab"/>
      <w:lvlText w:val="%1.%2.%3.%4.%5.%6.%7.%8.%9"/>
      <w:lvlJc w:val="left"/>
      <w:pPr>
        <w:ind w:left="5102" w:hanging="1700"/>
        <w:tabs>
          <w:tab w:val="left" w:pos="5562" w:leader="none"/>
        </w:tabs>
      </w:pPr>
    </w:lvl>
  </w:abstractNum>
  <w:abstractNum w:abstractNumId="20">
    <w:multiLevelType w:val="hybridMultilevel"/>
    <w:lvl w:ilvl="0">
      <w:start w:val="1"/>
      <w:numFmt w:val="bullet"/>
      <w:pStyle w:val="1561"/>
      <w:isLgl w:val="false"/>
      <w:suff w:val="tab"/>
      <w:lvlText w:val=""/>
      <w:lvlJc w:val="left"/>
      <w:pPr>
        <w:ind w:left="988" w:hanging="420"/>
      </w:pPr>
      <w:rPr>
        <w:rFonts w:ascii="Wingdings" w:hAnsi="Wingdings"/>
      </w:rPr>
    </w:lvl>
    <w:lvl w:ilvl="1">
      <w:start w:val="1"/>
      <w:numFmt w:val="bullet"/>
      <w:isLgl w:val="false"/>
      <w:suff w:val="tab"/>
      <w:lvlText w:val=""/>
      <w:lvlJc w:val="left"/>
      <w:pPr>
        <w:ind w:left="1408" w:hanging="420"/>
      </w:pPr>
      <w:rPr>
        <w:rFonts w:ascii="Wingdings" w:hAnsi="Wingdings"/>
      </w:rPr>
    </w:lvl>
    <w:lvl w:ilvl="2">
      <w:start w:val="1"/>
      <w:numFmt w:val="bullet"/>
      <w:isLgl w:val="false"/>
      <w:suff w:val="tab"/>
      <w:lvlText w:val=""/>
      <w:lvlJc w:val="left"/>
      <w:pPr>
        <w:ind w:left="1828" w:hanging="420"/>
      </w:pPr>
      <w:rPr>
        <w:rFonts w:ascii="Wingdings" w:hAnsi="Wingdings"/>
      </w:rPr>
    </w:lvl>
    <w:lvl w:ilvl="3">
      <w:start w:val="1"/>
      <w:numFmt w:val="bullet"/>
      <w:isLgl w:val="false"/>
      <w:suff w:val="tab"/>
      <w:lvlText w:val=""/>
      <w:lvlJc w:val="left"/>
      <w:pPr>
        <w:ind w:left="2248" w:hanging="420"/>
      </w:pPr>
      <w:rPr>
        <w:rFonts w:ascii="Wingdings" w:hAnsi="Wingdings"/>
      </w:rPr>
    </w:lvl>
    <w:lvl w:ilvl="4">
      <w:start w:val="1"/>
      <w:numFmt w:val="bullet"/>
      <w:isLgl w:val="false"/>
      <w:suff w:val="tab"/>
      <w:lvlText w:val=""/>
      <w:lvlJc w:val="left"/>
      <w:pPr>
        <w:ind w:left="2668" w:hanging="420"/>
      </w:pPr>
      <w:rPr>
        <w:rFonts w:ascii="Wingdings" w:hAnsi="Wingdings"/>
      </w:rPr>
    </w:lvl>
    <w:lvl w:ilvl="5">
      <w:start w:val="1"/>
      <w:numFmt w:val="bullet"/>
      <w:isLgl w:val="false"/>
      <w:suff w:val="tab"/>
      <w:lvlText w:val=""/>
      <w:lvlJc w:val="left"/>
      <w:pPr>
        <w:ind w:left="3088" w:hanging="420"/>
      </w:pPr>
      <w:rPr>
        <w:rFonts w:ascii="Wingdings" w:hAnsi="Wingdings"/>
      </w:rPr>
    </w:lvl>
    <w:lvl w:ilvl="6">
      <w:start w:val="1"/>
      <w:numFmt w:val="bullet"/>
      <w:isLgl w:val="false"/>
      <w:suff w:val="tab"/>
      <w:lvlText w:val=""/>
      <w:lvlJc w:val="left"/>
      <w:pPr>
        <w:ind w:left="3508" w:hanging="420"/>
      </w:pPr>
      <w:rPr>
        <w:rFonts w:ascii="Wingdings" w:hAnsi="Wingdings"/>
      </w:rPr>
    </w:lvl>
    <w:lvl w:ilvl="7">
      <w:start w:val="1"/>
      <w:numFmt w:val="bullet"/>
      <w:isLgl w:val="false"/>
      <w:suff w:val="tab"/>
      <w:lvlText w:val=""/>
      <w:lvlJc w:val="left"/>
      <w:pPr>
        <w:ind w:left="3928" w:hanging="420"/>
      </w:pPr>
      <w:rPr>
        <w:rFonts w:ascii="Wingdings" w:hAnsi="Wingdings"/>
      </w:rPr>
    </w:lvl>
    <w:lvl w:ilvl="8">
      <w:start w:val="1"/>
      <w:numFmt w:val="bullet"/>
      <w:isLgl w:val="false"/>
      <w:suff w:val="tab"/>
      <w:lvlText w:val=""/>
      <w:lvlJc w:val="left"/>
      <w:pPr>
        <w:ind w:left="4348" w:hanging="420"/>
      </w:pPr>
      <w:rPr>
        <w:rFonts w:ascii="Wingdings" w:hAnsi="Wingdings"/>
      </w:rPr>
    </w:lvl>
  </w:abstractNum>
  <w:abstractNum w:abstractNumId="21">
    <w:multiLevelType w:val="hybridMultilevel"/>
    <w:lvl w:ilvl="0">
      <w:start w:val="1"/>
      <w:numFmt w:val="bullet"/>
      <w:pStyle w:val="1550"/>
      <w:isLgl w:val="false"/>
      <w:suff w:val="tab"/>
      <w:lvlText w:val=""/>
      <w:lvlJc w:val="left"/>
      <w:pPr>
        <w:ind w:left="1696" w:hanging="420"/>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3">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pStyle w:val="1511"/>
      <w:isLgl w:val="false"/>
      <w:suff w:val="tab"/>
      <w:lvlText w:val="（%1）"/>
      <w:lvlJc w:val="left"/>
      <w:pPr>
        <w:ind w:left="900" w:hanging="720"/>
        <w:tabs>
          <w:tab w:val="left" w:pos="900" w:leader="none"/>
        </w:tabs>
      </w:p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5">
    <w:multiLevelType w:val="hybridMultilevel"/>
    <w:lvl w:ilvl="0">
      <w:start w:val="1"/>
      <w:numFmt w:val="japaneseCounting"/>
      <w:isLgl w:val="false"/>
      <w:suff w:val="tab"/>
      <w:lvlText w:val="%1、"/>
      <w:lvlJc w:val="left"/>
      <w:pPr>
        <w:ind w:left="600" w:hanging="420"/>
        <w:tabs>
          <w:tab w:val="left" w:pos="60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6">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8">
    <w:multiLevelType w:val="hybridMultilevel"/>
    <w:lvl w:ilvl="0">
      <w:start w:val="1"/>
      <w:numFmt w:val="decimal"/>
      <w:isLgl w:val="false"/>
      <w:suff w:val="tab"/>
      <w:lvlText w:val="%1."/>
      <w:lvlJc w:val="left"/>
      <w:pPr>
        <w:ind w:left="420" w:hanging="420"/>
        <w:tabs>
          <w:tab w:val="left" w:pos="420" w:leader="none"/>
        </w:tabs>
      </w:pPr>
      <w:rPr>
        <w:rFonts w:hint="eastAsia"/>
        <w:b w:val="0"/>
      </w:rPr>
    </w:lvl>
    <w:lvl w:ilvl="1">
      <w:start w:val="1"/>
      <w:numFmt w:val="chineseCountingThousand"/>
      <w:isLgl w:val="false"/>
      <w:suff w:val="tab"/>
      <w:lvlText w:val="%2、"/>
      <w:lvlJc w:val="left"/>
      <w:pPr>
        <w:ind w:left="840" w:hanging="420"/>
        <w:tabs>
          <w:tab w:val="left" w:pos="840" w:leader="none"/>
        </w:tabs>
      </w:pPr>
      <w:rPr>
        <w:rFonts w:hint="eastAsia"/>
        <w:b/>
      </w:rPr>
    </w:lvl>
    <w:lvl w:ilvl="2">
      <w:start w:val="1"/>
      <w:numFmt w:val="japaneseCounting"/>
      <w:isLgl w:val="false"/>
      <w:suff w:val="tab"/>
      <w:lvlText w:val="%3、"/>
      <w:lvlJc w:val="left"/>
      <w:pPr>
        <w:ind w:left="1260" w:hanging="420"/>
        <w:tabs>
          <w:tab w:val="left" w:pos="1260" w:leader="none"/>
        </w:tabs>
      </w:pPr>
      <w:rPr>
        <w:rFonts w:hint="default"/>
        <w:color w:val="ff000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pStyle w:val="1003"/>
      <w:isLgl w:val="false"/>
      <w:suff w:val="tab"/>
      <w:lvlText w:val="%1"/>
      <w:lvlJc w:val="left"/>
      <w:pPr>
        <w:ind w:left="432" w:hanging="432"/>
        <w:tabs>
          <w:tab w:val="left" w:pos="432" w:leader="none"/>
        </w:tabs>
      </w:pPr>
      <w:rPr>
        <w:rFonts w:hint="eastAsia"/>
      </w:rPr>
    </w:lvl>
    <w:lvl w:ilvl="1">
      <w:start w:val="1"/>
      <w:numFmt w:val="decimal"/>
      <w:pStyle w:val="1004"/>
      <w:isLgl w:val="false"/>
      <w:suff w:val="tab"/>
      <w:lvlText w:val="%1."/>
      <w:lvlJc w:val="left"/>
      <w:pPr>
        <w:ind w:left="576" w:hanging="576"/>
        <w:tabs>
          <w:tab w:val="left" w:pos="576" w:leader="none"/>
        </w:tabs>
      </w:pPr>
      <w:rPr>
        <w:rFonts w:hint="eastAsia"/>
      </w:rPr>
    </w:lvl>
    <w:lvl w:ilvl="2">
      <w:start w:val="1"/>
      <w:numFmt w:val="decimal"/>
      <w:pStyle w:val="1005"/>
      <w:isLgl w:val="false"/>
      <w:suff w:val="tab"/>
      <w:lvlText w:val="%1.%2.%3"/>
      <w:lvlJc w:val="left"/>
      <w:pPr>
        <w:ind w:left="720" w:hanging="720"/>
        <w:tabs>
          <w:tab w:val="left" w:pos="1080" w:leader="none"/>
        </w:tabs>
      </w:pPr>
      <w:rPr>
        <w:rFonts w:hint="eastAsia"/>
      </w:rPr>
    </w:lvl>
    <w:lvl w:ilvl="3">
      <w:start w:val="1"/>
      <w:numFmt w:val="decimal"/>
      <w:pStyle w:val="1007"/>
      <w:isLgl w:val="false"/>
      <w:suff w:val="tab"/>
      <w:lvlText w:val="%1.%2.%3.%4"/>
      <w:lvlJc w:val="left"/>
      <w:pPr>
        <w:ind w:left="864" w:hanging="864"/>
        <w:tabs>
          <w:tab w:val="left" w:pos="1440" w:leader="none"/>
        </w:tabs>
      </w:pPr>
      <w:rPr>
        <w:rFonts w:hint="eastAsia"/>
      </w:rPr>
    </w:lvl>
    <w:lvl w:ilvl="4">
      <w:start w:val="1"/>
      <w:numFmt w:val="decimal"/>
      <w:pStyle w:val="1008"/>
      <w:isLgl w:val="false"/>
      <w:suff w:val="tab"/>
      <w:lvlText w:val="%1.%2.%3.%4.%5"/>
      <w:lvlJc w:val="left"/>
      <w:pPr>
        <w:ind w:left="1008" w:hanging="1008"/>
        <w:tabs>
          <w:tab w:val="left" w:pos="1800" w:leader="none"/>
        </w:tabs>
      </w:pPr>
      <w:rPr>
        <w:rFonts w:hint="eastAsia"/>
      </w:rPr>
    </w:lvl>
    <w:lvl w:ilvl="5">
      <w:start w:val="1"/>
      <w:numFmt w:val="decimal"/>
      <w:pStyle w:val="1009"/>
      <w:isLgl w:val="false"/>
      <w:suff w:val="tab"/>
      <w:lvlText w:val="%1.%2.%3.%4.%5.%6"/>
      <w:lvlJc w:val="left"/>
      <w:pPr>
        <w:ind w:left="1152" w:hanging="1152"/>
        <w:tabs>
          <w:tab w:val="left" w:pos="1152" w:leader="none"/>
        </w:tabs>
      </w:pPr>
      <w:rPr>
        <w:rFonts w:hint="eastAsia"/>
      </w:rPr>
    </w:lvl>
    <w:lvl w:ilvl="6">
      <w:start w:val="1"/>
      <w:numFmt w:val="decimal"/>
      <w:pStyle w:val="1010"/>
      <w:isLgl w:val="false"/>
      <w:suff w:val="tab"/>
      <w:lvlText w:val="%1.%2.%3.%4.%5.%6.%7"/>
      <w:lvlJc w:val="left"/>
      <w:pPr>
        <w:ind w:left="1296" w:hanging="1296"/>
        <w:tabs>
          <w:tab w:val="left" w:pos="1296" w:leader="none"/>
        </w:tabs>
      </w:pPr>
      <w:rPr>
        <w:rFonts w:hint="eastAsia"/>
      </w:rPr>
    </w:lvl>
    <w:lvl w:ilvl="7">
      <w:start w:val="1"/>
      <w:numFmt w:val="decimal"/>
      <w:pStyle w:val="1011"/>
      <w:isLgl w:val="false"/>
      <w:suff w:val="tab"/>
      <w:lvlText w:val="%1.%2.%3.%4.%5.%6.%7.%8"/>
      <w:lvlJc w:val="left"/>
      <w:pPr>
        <w:ind w:left="1440" w:hanging="1440"/>
        <w:tabs>
          <w:tab w:val="left" w:pos="1440" w:leader="none"/>
        </w:tabs>
      </w:pPr>
      <w:rPr>
        <w:rFonts w:hint="eastAsia"/>
      </w:rPr>
    </w:lvl>
    <w:lvl w:ilvl="8">
      <w:start w:val="1"/>
      <w:numFmt w:val="decimal"/>
      <w:pStyle w:val="1012"/>
      <w:isLgl w:val="false"/>
      <w:suff w:val="tab"/>
      <w:lvlText w:val="%1.%2.%3.%4.%5.%6.%7.%8.%9"/>
      <w:lvlJc w:val="left"/>
      <w:pPr>
        <w:ind w:left="1584" w:hanging="1584"/>
        <w:tabs>
          <w:tab w:val="left" w:pos="1584" w:leader="none"/>
        </w:tabs>
      </w:pPr>
      <w:rPr>
        <w:rFonts w:hint="eastAsia"/>
      </w:rPr>
    </w:lvl>
  </w:abstractNum>
  <w:abstractNum w:abstractNumId="30">
    <w:multiLevelType w:val="hybridMultilevel"/>
    <w:lvl w:ilvl="0">
      <w:start w:val="1"/>
      <w:numFmt w:val="bullet"/>
      <w:pStyle w:val="1189"/>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31">
    <w:multiLevelType w:val="hybridMultilevel"/>
    <w:lvl w:ilvl="0">
      <w:start w:val="1"/>
      <w:numFmt w:val="decimal"/>
      <w:isLgl w:val="false"/>
      <w:suff w:val="tab"/>
      <w:lvlText w:val="%1"/>
      <w:lvlJc w:val="left"/>
      <w:pPr>
        <w:ind w:left="0" w:firstLine="0"/>
      </w:pPr>
    </w:lvl>
    <w:lvl w:ilvl="1">
      <w:start w:val="1"/>
      <w:numFmt w:val="decimal"/>
      <w:pStyle w:val="1045"/>
      <w:isLgl w:val="false"/>
      <w:suff w:val="space"/>
      <w:lvlText w:val="%1.%2"/>
      <w:lvlJc w:val="left"/>
      <w:pPr>
        <w:ind w:left="0" w:firstLine="0"/>
      </w:pPr>
      <w:rPr>
        <w:rFonts w:hint="eastAsia" w:ascii="Times New Roman" w:hAnsi="Times New Roman"/>
        <w:b w:val="0"/>
        <w:bCs w:val="0"/>
        <w:i w:val="0"/>
        <w:iCs w:val="0"/>
        <w:caps w:val="0"/>
        <w:smallCaps w:val="0"/>
        <w:strike w:val="0"/>
        <w:vanish w:val="0"/>
        <w:spacing w:val="0"/>
        <w:position w:val="0"/>
        <w:u w:val="none"/>
        <w:vertAlign w:val="baseline"/>
      </w:rPr>
    </w:lvl>
    <w:lvl w:ilvl="2">
      <w:start w:val="1"/>
      <w:numFmt w:val="decimal"/>
      <w:pStyle w:val="1761"/>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32">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eastAsia"/>
        <w:b w:val="0"/>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35">
    <w:multiLevelType w:val="hybridMultilevel"/>
    <w:lvl w:ilvl="0">
      <w:start w:val="1"/>
      <w:numFmt w:val="decimal"/>
      <w:isLgl w:val="false"/>
      <w:suff w:val="tab"/>
      <w:lvlText w:val="（%1）"/>
      <w:lvlJc w:val="left"/>
      <w:pPr>
        <w:ind w:left="1280" w:hanging="720"/>
      </w:pPr>
      <w:rPr>
        <w:rFonts w:hint="default"/>
        <w:lang w:val="en-US"/>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36">
    <w:multiLevelType w:val="hybridMultilevel"/>
    <w:lvl w:ilvl="0">
      <w:start w:val="1"/>
      <w:numFmt w:val="bullet"/>
      <w:pStyle w:val="1746"/>
      <w:isLgl w:val="false"/>
      <w:suff w:val="tab"/>
      <w:lvlText w:val=""/>
      <w:lvlJc w:val="left"/>
      <w:pPr>
        <w:ind w:left="360" w:hanging="360"/>
        <w:tabs>
          <w:tab w:val="left" w:pos="360" w:leader="none"/>
        </w:tabs>
      </w:pPr>
      <w:rPr>
        <w:rFonts w:ascii="Symbol" w:hAnsi="Symbol"/>
        <w:lang w:val="en-US"/>
      </w:rPr>
    </w:lvl>
    <w:lvl w:ilvl="1">
      <w:start w:val="1"/>
      <w:numFmt w:val="bullet"/>
      <w:isLgl w:val="false"/>
      <w:suff w:val="tab"/>
      <w:lvlText w:val=""/>
      <w:lvlJc w:val="left"/>
      <w:pPr>
        <w:ind w:left="1140" w:hanging="420"/>
        <w:tabs>
          <w:tab w:val="left" w:pos="1140" w:leader="none"/>
        </w:tabs>
      </w:pPr>
      <w:rPr>
        <w:rFonts w:ascii="Wingdings" w:hAnsi="Wingdings"/>
        <w:lang w:val="en-US"/>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37">
    <w:multiLevelType w:val="hybridMultilevel"/>
    <w:lvl w:ilvl="0">
      <w:start w:val="1"/>
      <w:numFmt w:val="upperLetter"/>
      <w:pStyle w:val="15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Thousand"/>
      <w:pStyle w:val="1756"/>
      <w:isLgl w:val="false"/>
      <w:suff w:val="tab"/>
      <w:lvlText w:val="%1、"/>
      <w:lvlJc w:val="left"/>
      <w:pPr>
        <w:ind w:left="0" w:firstLine="0"/>
      </w:pPr>
      <w:rPr>
        <w:rFonts w:hint="eastAsia"/>
      </w:rPr>
    </w:lvl>
    <w:lvl w:ilvl="1">
      <w:start w:val="1"/>
      <w:numFmt w:val="decimal"/>
      <w:pStyle w:val="1546"/>
      <w:isLgl w:val="false"/>
      <w:suff w:val="tab"/>
      <w:lvlText w:val="%1.%2"/>
      <w:lvlJc w:val="left"/>
      <w:pPr>
        <w:ind w:left="0" w:firstLine="0"/>
      </w:pPr>
      <w:rPr>
        <w:rFonts w:hint="eastAsia"/>
      </w:rPr>
    </w:lvl>
    <w:lvl w:ilvl="2">
      <w:start w:val="1"/>
      <w:numFmt w:val="decimal"/>
      <w:pStyle w:val="1710"/>
      <w:isLgl w:val="false"/>
      <w:suff w:val="tab"/>
      <w:lvlText w:val="%1.%2.%3"/>
      <w:lvlJc w:val="left"/>
      <w:pPr>
        <w:ind w:left="0" w:firstLine="0"/>
      </w:pPr>
      <w:rPr>
        <w:rFonts w:hint="eastAsia"/>
      </w:rPr>
    </w:lvl>
    <w:lvl w:ilvl="3">
      <w:start w:val="1"/>
      <w:numFmt w:val="decimal"/>
      <w:pStyle w:val="1515"/>
      <w:isLgl w:val="false"/>
      <w:suff w:val="tab"/>
      <w:lvlText w:val="%1.%2.%3.%4"/>
      <w:lvlJc w:val="left"/>
      <w:pPr>
        <w:ind w:left="0" w:firstLine="0"/>
      </w:pPr>
      <w:rPr>
        <w:rFonts w:hint="eastAsia"/>
      </w:rPr>
    </w:lvl>
    <w:lvl w:ilvl="4">
      <w:start w:val="1"/>
      <w:numFmt w:val="decimal"/>
      <w:pStyle w:val="1451"/>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9">
    <w:multiLevelType w:val="hybridMultilevel"/>
    <w:lvl w:ilvl="0">
      <w:start w:val="1"/>
      <w:numFmt w:val="decimal"/>
      <w:pStyle w:val="1135"/>
      <w:isLgl w:val="false"/>
      <w:suff w:val="tab"/>
      <w:lvlText w:val="%1."/>
      <w:lvlJc w:val="left"/>
      <w:pPr>
        <w:ind w:left="425" w:hanging="425"/>
      </w:pPr>
      <w:rPr>
        <w:sz w:val="44"/>
        <w:szCs w:val="44"/>
      </w:rPr>
    </w:lvl>
    <w:lvl w:ilvl="1">
      <w:start w:val="1"/>
      <w:numFmt w:val="decimal"/>
      <w:pStyle w:val="1210"/>
      <w:isLgl w:val="false"/>
      <w:suff w:val="tab"/>
      <w:lvlText w:val="%1.%2."/>
      <w:lvlJc w:val="left"/>
      <w:pPr>
        <w:ind w:left="567" w:hanging="567"/>
      </w:pPr>
      <w:rPr>
        <w:rFonts w:hint="eastAsia"/>
        <w:lang w:val="en-US"/>
      </w:rPr>
    </w:lvl>
    <w:lvl w:ilvl="2">
      <w:start w:val="1"/>
      <w:numFmt w:val="decimal"/>
      <w:pStyle w:val="1234"/>
      <w:isLgl w:val="false"/>
      <w:suff w:val="tab"/>
      <w:lvlText w:val="%1.%2.%3."/>
      <w:lvlJc w:val="left"/>
      <w:pPr>
        <w:ind w:left="709" w:hanging="709"/>
      </w:pPr>
      <w:rPr>
        <w:rFonts w:hint="eastAsia"/>
        <w:lang w:val="en-US"/>
      </w:rPr>
    </w:lvl>
    <w:lvl w:ilvl="3">
      <w:start w:val="1"/>
      <w:numFmt w:val="decimal"/>
      <w:pStyle w:val="1253"/>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4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chineseCountingThousand"/>
      <w:isLgl w:val="false"/>
      <w:suff w:val="tab"/>
      <w:lvlText w:val="(%1)"/>
      <w:lvlJc w:val="left"/>
      <w:pPr>
        <w:ind w:left="420" w:hanging="420"/>
      </w:pPr>
      <w:rPr>
        <w:rFonts w:hint="eastAsia" w:ascii="宋体" w:hAnsi="宋体" w:eastAsia="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pStyle w:val="1705"/>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5">
    <w:multiLevelType w:val="hybridMultilevel"/>
    <w:lvl w:ilvl="0">
      <w:start w:val="1"/>
      <w:numFmt w:val="lowerLetter"/>
      <w:pStyle w:val="1615"/>
      <w:isLgl w:val="false"/>
      <w:suff w:val="tab"/>
      <w:lvlText w:val="%1."/>
      <w:lvlJc w:val="left"/>
      <w:pPr>
        <w:ind w:left="840" w:hanging="670"/>
        <w:tabs>
          <w:tab w:val="left" w:pos="84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pStyle w:val="158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9">
    <w:multiLevelType w:val="hybridMultilevel"/>
    <w:lvl w:ilvl="0">
      <w:start w:val="1"/>
      <w:numFmt w:val="decimal"/>
      <w:pStyle w:val="1503"/>
      <w:isLgl w:val="false"/>
      <w:suff w:val="tab"/>
      <w:lvlText w:val="%1."/>
      <w:lvlJc w:val="left"/>
      <w:pPr>
        <w:ind w:left="425" w:hanging="425"/>
      </w:pPr>
      <w:rPr>
        <w:sz w:val="44"/>
        <w:szCs w:val="44"/>
      </w:rPr>
    </w:lvl>
    <w:lvl w:ilvl="1">
      <w:start w:val="1"/>
      <w:numFmt w:val="decimal"/>
      <w:isLgl w:val="false"/>
      <w:suff w:val="tab"/>
      <w:lvlText w:val="%1.%2."/>
      <w:lvlJc w:val="left"/>
      <w:pPr>
        <w:ind w:left="567" w:hanging="567"/>
      </w:pPr>
      <w:rPr>
        <w:rFonts w:hint="eastAsia"/>
        <w:lang w:val="en-US"/>
      </w:rPr>
    </w:lvl>
    <w:lvl w:ilvl="2">
      <w:start w:val="1"/>
      <w:numFmt w:val="decimal"/>
      <w:pStyle w:val="1652"/>
      <w:isLgl w:val="false"/>
      <w:suff w:val="tab"/>
      <w:lvlText w:val="%1.%2.%3."/>
      <w:lvlJc w:val="left"/>
      <w:pPr>
        <w:ind w:left="709" w:hanging="709"/>
      </w:pPr>
      <w:rPr>
        <w:rFonts w:hint="eastAsia"/>
        <w:lang w:val="en-US"/>
      </w:rPr>
    </w:lvl>
    <w:lvl w:ilvl="3">
      <w:start w:val="1"/>
      <w:numFmt w:val="decimal"/>
      <w:pStyle w:val="1674"/>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0">
    <w:multiLevelType w:val="hybridMultilevel"/>
    <w:lvl w:ilvl="0">
      <w:start w:val="1"/>
      <w:numFmt w:val="decimal"/>
      <w:isLgl w:val="false"/>
      <w:suff w:val="tab"/>
      <w:lvlText w:val="%1)"/>
      <w:lvlJc w:val="left"/>
      <w:pPr>
        <w:ind w:left="420" w:hanging="420"/>
        <w:tabs>
          <w:tab w:val="left" w:pos="420" w:leader="none"/>
        </w:tabs>
      </w:pPr>
    </w:lvl>
    <w:lvl w:ilvl="1">
      <w:start w:val="1"/>
      <w:numFmt w:val="chineseCountingThousand"/>
      <w:isLgl w:val="false"/>
      <w:suff w:val="tab"/>
      <w:lvlText w:val="%2、"/>
      <w:lvlJc w:val="left"/>
      <w:pPr>
        <w:ind w:left="840" w:hanging="420"/>
        <w:tabs>
          <w:tab w:val="left" w:pos="840" w:leader="none"/>
        </w:tabs>
      </w:pPr>
      <w:rPr>
        <w:rFonts w:hint="eastAsia"/>
        <w:b w:val="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1">
    <w:multiLevelType w:val="hybridMultilevel"/>
    <w:lvl w:ilvl="0">
      <w:start w:val="1"/>
      <w:numFmt w:val="bullet"/>
      <w:pStyle w:val="1356"/>
      <w:isLgl w:val="false"/>
      <w:suff w:val="tab"/>
      <w:lvlText w:val=""/>
      <w:lvlJc w:val="left"/>
      <w:pPr>
        <w:ind w:left="480" w:firstLine="0"/>
        <w:tabs>
          <w:tab w:val="left" w:pos="480" w:leader="none"/>
        </w:tabs>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52">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399"/>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3">
    <w:multiLevelType w:val="hybridMultilevel"/>
    <w:lvl w:ilvl="0">
      <w:start w:val="1"/>
      <w:numFmt w:val="decimal"/>
      <w:pStyle w:val="1465"/>
      <w:isLgl w:val="false"/>
      <w:suff w:val="tab"/>
      <w:lvlText w:val="%1."/>
      <w:lvlJc w:val="left"/>
      <w:pPr>
        <w:ind w:left="2270" w:hanging="360"/>
        <w:tabs>
          <w:tab w:val="left" w:pos="22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425" w:hanging="425"/>
      </w:pPr>
      <w:rPr>
        <w:b/>
      </w:rPr>
    </w:lvl>
    <w:lvl w:ilvl="1">
      <w:start w:val="1"/>
      <w:numFmt w:val="decimal"/>
      <w:isLgl w:val="false"/>
      <w:suff w:val="tab"/>
      <w:lvlText w:val="%1.%2."/>
      <w:lvlJc w:val="left"/>
      <w:pPr>
        <w:ind w:left="567" w:hanging="567"/>
      </w:pPr>
      <w:rPr>
        <w:i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6">
    <w:multiLevelType w:val="hybridMultilevel"/>
    <w:lvl w:ilvl="0">
      <w:start w:val="1"/>
      <w:numFmt w:val="decimal"/>
      <w:pStyle w:val="1591"/>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8">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9">
    <w:multiLevelType w:val="hybridMultilevel"/>
    <w:lvl w:ilvl="0">
      <w:start w:val="1"/>
      <w:numFmt w:val="bullet"/>
      <w:pStyle w:val="1192"/>
      <w:isLgl w:val="false"/>
      <w:suff w:val="tab"/>
      <w:lvlText w:val=""/>
      <w:lvlJc w:val="left"/>
      <w:pPr>
        <w:ind w:left="987" w:hanging="420"/>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0">
    <w:multiLevelType w:val="hybridMultilevel"/>
    <w:lvl w:ilvl="0">
      <w:start w:val="1"/>
      <w:numFmt w:val="bullet"/>
      <w:pStyle w:val="1459"/>
      <w:isLgl w:val="false"/>
      <w:suff w:val="tab"/>
      <w:lvlText w:val=""/>
      <w:lvlJc w:val="left"/>
      <w:pPr>
        <w:ind w:left="980" w:hanging="420"/>
        <w:tabs>
          <w:tab w:val="left" w:pos="980" w:leader="none"/>
        </w:tabs>
      </w:pPr>
      <w:rPr>
        <w:rFonts w:ascii="Wingdings" w:hAnsi="Wingdings"/>
        <w:sz w:val="24"/>
      </w:rPr>
    </w:lvl>
    <w:lvl w:ilvl="1">
      <w:start w:val="1"/>
      <w:numFmt w:val="bullet"/>
      <w:isLgl w:val="false"/>
      <w:suff w:val="tab"/>
      <w:lvlText w:val=""/>
      <w:lvlJc w:val="left"/>
      <w:pPr>
        <w:ind w:left="1400" w:hanging="420"/>
        <w:tabs>
          <w:tab w:val="left" w:pos="1400" w:leader="none"/>
        </w:tabs>
      </w:pPr>
      <w:rPr>
        <w:rFonts w:ascii="Wingdings" w:hAnsi="Wingdings"/>
        <w:sz w:val="28"/>
        <w:szCs w:val="28"/>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6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ascii="宋体" w:hAnsi="宋体" w:eastAsia="宋体"/>
        <w:i w:val="0"/>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62">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bullet"/>
      <w:pStyle w:val="1664"/>
      <w:isLgl w:val="false"/>
      <w:suff w:val="tab"/>
      <w:lvlText w:val=""/>
      <w:lvlJc w:val="left"/>
      <w:pPr>
        <w:ind w:left="170" w:hanging="170"/>
        <w:tabs>
          <w:tab w:val="left" w:pos="170" w:leader="none"/>
        </w:tabs>
      </w:pPr>
      <w:rPr>
        <w:rFonts w:ascii="Wingdings" w:hAnsi="Wingdings" w:eastAsia="宋体"/>
        <w:b w:val="0"/>
        <w:i w:val="0"/>
        <w:color w:val="000000"/>
        <w:position w:val="3"/>
        <w:sz w:val="13"/>
        <w:szCs w:val="13"/>
      </w:rPr>
    </w:lvl>
    <w:lvl w:ilvl="1">
      <w:start w:val="1"/>
      <w:numFmt w:val="lowerLetter"/>
      <w:isLgl w:val="false"/>
      <w:suff w:val="tab"/>
      <w:lvlText w:val="%2."/>
      <w:lvlJc w:val="left"/>
      <w:pPr>
        <w:ind w:left="568" w:hanging="284"/>
        <w:tabs>
          <w:tab w:val="left" w:pos="284" w:leader="none"/>
        </w:tabs>
      </w:pPr>
      <w:rPr>
        <w:rFonts w:ascii="Times New Roman" w:hAnsi="Times New Roman" w:cs="Book Antiqua"/>
        <w:b w:val="0"/>
        <w:bCs/>
        <w:i w:val="0"/>
        <w:iCs w:val="0"/>
        <w:strike w:val="0"/>
        <w:sz w:val="21"/>
        <w:szCs w:val="21"/>
        <w:u w:val="none"/>
      </w:rPr>
    </w:lvl>
    <w:lvl w:ilvl="2">
      <w:start w:val="1"/>
      <w:numFmt w:val="bullet"/>
      <w:isLgl w:val="false"/>
      <w:suff w:val="tab"/>
      <w:lvlText w:val="−"/>
      <w:lvlJc w:val="left"/>
      <w:pPr>
        <w:ind w:left="568" w:hanging="284"/>
        <w:tabs>
          <w:tab w:val="left" w:pos="568" w:leader="none"/>
        </w:tabs>
      </w:pPr>
      <w:rPr>
        <w:rFonts w:ascii="Times New Roman" w:hAnsi="Times New Roman" w:cs="Times New Roman"/>
        <w:sz w:val="16"/>
        <w:szCs w:val="16"/>
      </w:rPr>
    </w:lvl>
    <w:lvl w:ilvl="3">
      <w:start w:val="1"/>
      <w:numFmt w:val="decimal"/>
      <w:isLgl w:val="false"/>
      <w:suff w:val="tab"/>
      <w:lvlText w:val="%4."/>
      <w:lvlJc w:val="left"/>
      <w:pPr>
        <w:ind w:left="568" w:hanging="284"/>
        <w:tabs>
          <w:tab w:val="left" w:pos="284" w:leader="none"/>
        </w:tabs>
      </w:pPr>
      <w:rPr>
        <w:rFonts w:ascii="Times New Roman" w:hAnsi="Times New Roman" w:cs="Book Antiqua"/>
        <w:b w:val="0"/>
        <w:bCs/>
        <w:i w:val="0"/>
        <w:iCs w:val="0"/>
        <w:strike w:val="0"/>
        <w:sz w:val="21"/>
        <w:szCs w:val="21"/>
        <w:u w:val="none"/>
      </w:rPr>
    </w:lvl>
    <w:lvl w:ilvl="4">
      <w:start w:val="1"/>
      <w:numFmt w:val="bullet"/>
      <w:isLgl w:val="false"/>
      <w:suff w:val="tab"/>
      <w:lvlText w:val=""/>
      <w:lvlJc w:val="left"/>
      <w:pPr>
        <w:ind w:left="568" w:hanging="284"/>
        <w:tabs>
          <w:tab w:val="left" w:pos="568" w:leader="none"/>
        </w:tabs>
      </w:pPr>
      <w:rPr>
        <w:rFonts w:ascii="Wingdings" w:hAnsi="Wingdings" w:eastAsia="宋体"/>
        <w:b w:val="0"/>
        <w:i w:val="0"/>
        <w:color w:val="000000"/>
        <w:position w:val="3"/>
        <w:sz w:val="13"/>
        <w:szCs w:val="13"/>
      </w:rPr>
    </w:lvl>
    <w:lvl w:ilvl="5">
      <w:start w:val="1"/>
      <w:numFmt w:val="decimal"/>
      <w:isLgl w:val="false"/>
      <w:suff w:val="tab"/>
      <w:lvlText w:val="%6."/>
      <w:lvlJc w:val="left"/>
      <w:pPr>
        <w:ind w:left="1985" w:hanging="284"/>
        <w:tabs>
          <w:tab w:val="left" w:pos="1985" w:leader="none"/>
        </w:tabs>
      </w:pPr>
      <w:rPr>
        <w:rFonts w:ascii="Times New Roman" w:hAnsi="Times New Roman" w:cs="Book Antiqua"/>
        <w:color w:val="000000"/>
        <w:spacing w:val="0"/>
        <w:position w:val="1"/>
        <w:sz w:val="21"/>
        <w:szCs w:val="21"/>
      </w:rPr>
    </w:lvl>
    <w:lvl w:ilvl="6">
      <w:start w:val="1"/>
      <w:numFmt w:val="decimal"/>
      <w:isLgl w:val="false"/>
      <w:suff w:val="tab"/>
      <w:lvlText w:val="%7."/>
      <w:lvlJc w:val="left"/>
      <w:pPr>
        <w:ind w:left="2359" w:hanging="284"/>
        <w:tabs>
          <w:tab w:val="left" w:pos="2359" w:leader="none"/>
        </w:tabs>
      </w:pPr>
      <w:rPr>
        <w:rFonts w:ascii="Times New Roman" w:hAnsi="Times New Roman" w:cs="Book Antiqua"/>
        <w:color w:val="000000"/>
        <w:spacing w:val="0"/>
        <w:position w:val="1"/>
        <w:sz w:val="18"/>
        <w:szCs w:val="18"/>
      </w:rPr>
    </w:lvl>
    <w:lvl w:ilvl="7">
      <w:start w:val="1"/>
      <w:numFmt w:val="decimal"/>
      <w:isLgl w:val="false"/>
      <w:suff w:val="tab"/>
      <w:lvlText w:val="%8."/>
      <w:lvlJc w:val="left"/>
      <w:pPr>
        <w:ind w:left="454" w:hanging="284"/>
        <w:tabs>
          <w:tab w:val="left" w:pos="454" w:leader="none"/>
        </w:tabs>
      </w:pPr>
      <w:rPr>
        <w:rFonts w:ascii="Times New Roman" w:hAnsi="Times New Roman" w:cs="Book Antiqua"/>
        <w:color w:val="000000"/>
        <w:spacing w:val="0"/>
        <w:position w:val="1"/>
        <w:sz w:val="18"/>
        <w:szCs w:val="18"/>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4">
    <w:multiLevelType w:val="hybridMultilevel"/>
    <w:lvl w:ilvl="0">
      <w:start w:val="1"/>
      <w:numFmt w:val="decimal"/>
      <w:pStyle w:val="1163"/>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9"/>
  </w:num>
  <w:num w:numId="2">
    <w:abstractNumId w:val="31"/>
  </w:num>
  <w:num w:numId="3">
    <w:abstractNumId w:val="39"/>
  </w:num>
  <w:num w:numId="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59"/>
  </w:num>
  <w:num w:numId="7">
    <w:abstractNumId w:val="5"/>
  </w:num>
  <w:num w:numId="8">
    <w:abstractNumId w:val="51"/>
  </w:num>
  <w:num w:numId="9">
    <w:abstractNumId w:val="19"/>
  </w:num>
  <w:num w:numId="10">
    <w:abstractNumId w:val="52"/>
  </w:num>
  <w:num w:numId="11">
    <w:abstractNumId w:val="16"/>
  </w:num>
  <w:num w:numId="12">
    <w:abstractNumId w:val="12"/>
  </w:num>
  <w:num w:numId="13">
    <w:abstractNumId w:val="38"/>
  </w:num>
  <w:num w:numId="14">
    <w:abstractNumId w:val="60"/>
  </w:num>
  <w:num w:numId="15">
    <w:abstractNumId w:val="53"/>
  </w:num>
  <w:num w:numId="16">
    <w:abstractNumId w:val="18"/>
  </w:num>
  <w:num w:numId="17">
    <w:abstractNumId w:val="49"/>
  </w:num>
  <w:num w:numId="18">
    <w:abstractNumId w:val="24"/>
  </w:num>
  <w:num w:numId="19">
    <w:abstractNumId w:val="37"/>
  </w:num>
  <w:num w:numId="20">
    <w:abstractNumId w:val="21"/>
  </w:num>
  <w:num w:numId="21">
    <w:abstractNumId w:val="20"/>
  </w:num>
  <w:num w:numId="22">
    <w:abstractNumId w:val="8"/>
  </w:num>
  <w:num w:numId="23">
    <w:abstractNumId w:val="47"/>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num>
  <w:num w:numId="26">
    <w:abstractNumId w:val="10"/>
  </w:num>
  <w:num w:numId="27">
    <w:abstractNumId w:val="63"/>
    <w:lvlOverride w:ilvl="0">
      <w:startOverride w:val="0"/>
    </w:lvlOverride>
    <w:lvlOverride w:ilvl="1">
      <w:startOverride w:val="1"/>
    </w:lvlOverride>
    <w:lvlOverride w:ilvl="2">
      <w:startOverride w:val="0"/>
    </w:lvlOverride>
    <w:lvlOverride w:ilvl="3">
      <w:startOverride w:val="1"/>
    </w:lvlOverride>
    <w:lvlOverride w:ilvl="4">
      <w:startOverride w:val="0"/>
    </w:lvlOverride>
    <w:lvlOverride w:ilvl="5">
      <w:startOverride w:val="1"/>
    </w:lvlOverride>
    <w:lvlOverride w:ilvl="6">
      <w:startOverride w:val="1"/>
    </w:lvlOverride>
    <w:lvlOverride w:ilvl="7">
      <w:startOverride w:val="1"/>
    </w:lvlOverride>
    <w:lvlOverride w:ilvl="8">
      <w:startOverride w:val="0"/>
    </w:lvlOverride>
  </w:num>
  <w:num w:numId="28">
    <w:abstractNumId w:val="15"/>
  </w:num>
  <w:num w:numId="29">
    <w:abstractNumId w:val="6"/>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num>
  <w:num w:numId="32">
    <w:abstractNumId w:val="50"/>
  </w:num>
  <w:num w:numId="33">
    <w:abstractNumId w:val="25"/>
  </w:num>
  <w:num w:numId="34">
    <w:abstractNumId w:val="22"/>
  </w:num>
  <w:num w:numId="35">
    <w:abstractNumId w:val="41"/>
  </w:num>
  <w:num w:numId="36">
    <w:abstractNumId w:val="62"/>
  </w:num>
  <w:num w:numId="37">
    <w:abstractNumId w:val="14"/>
  </w:num>
  <w:num w:numId="38">
    <w:abstractNumId w:val="4"/>
  </w:num>
  <w:num w:numId="39">
    <w:abstractNumId w:val="9"/>
  </w:num>
  <w:num w:numId="40">
    <w:abstractNumId w:val="33"/>
  </w:num>
  <w:num w:numId="41">
    <w:abstractNumId w:val="35"/>
  </w:num>
  <w:num w:numId="42">
    <w:abstractNumId w:val="0"/>
  </w:num>
  <w:num w:numId="43">
    <w:abstractNumId w:val="46"/>
  </w:num>
  <w:num w:numId="44">
    <w:abstractNumId w:val="54"/>
  </w:num>
  <w:num w:numId="45">
    <w:abstractNumId w:val="1"/>
  </w:num>
  <w:num w:numId="46">
    <w:abstractNumId w:val="34"/>
  </w:num>
  <w:num w:numId="47">
    <w:abstractNumId w:val="3"/>
  </w:num>
  <w:num w:numId="48">
    <w:abstractNumId w:val="55"/>
  </w:num>
  <w:num w:numId="49">
    <w:abstractNumId w:val="61"/>
  </w:num>
  <w:num w:numId="50">
    <w:abstractNumId w:val="48"/>
  </w:num>
  <w:num w:numId="51">
    <w:abstractNumId w:val="2"/>
  </w:num>
  <w:num w:numId="52">
    <w:abstractNumId w:val="32"/>
  </w:num>
  <w:num w:numId="53">
    <w:abstractNumId w:val="23"/>
  </w:num>
  <w:num w:numId="54">
    <w:abstractNumId w:val="58"/>
  </w:num>
  <w:num w:numId="55">
    <w:abstractNumId w:val="57"/>
  </w:num>
  <w:num w:numId="56">
    <w:abstractNumId w:val="27"/>
  </w:num>
  <w:num w:numId="57">
    <w:abstractNumId w:val="26"/>
  </w:num>
  <w:num w:numId="58">
    <w:abstractNumId w:val="28"/>
  </w:num>
  <w:num w:numId="59">
    <w:abstractNumId w:val="43"/>
  </w:num>
  <w:num w:numId="60">
    <w:abstractNumId w:val="40"/>
  </w:num>
  <w:num w:numId="61">
    <w:abstractNumId w:val="42"/>
  </w:num>
  <w:num w:numId="62">
    <w:abstractNumId w:val="13"/>
  </w:num>
  <w:num w:numId="63">
    <w:abstractNumId w:val="11"/>
  </w:num>
  <w:num w:numId="64">
    <w:abstractNumId w:val="7"/>
  </w:num>
  <w:num w:numId="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7"/>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link w:val="1362"/>
    <w:uiPriority w:val="0"/>
    <w:qFormat/>
    <w:pPr>
      <w:jc w:val="both"/>
      <w:widowControl w:val="off"/>
    </w:pPr>
    <w:rPr>
      <w:rFonts w:hint="default" w:ascii="宋体" w:hAnsi="宋体" w:eastAsia="宋体" w:cs="Times New Roman"/>
      <w:sz w:val="21"/>
      <w:szCs w:val="21"/>
      <w:lang w:val="en-US" w:eastAsia="zh-CN" w:bidi="ar-SA"/>
    </w:rPr>
  </w:style>
  <w:style w:type="paragraph" w:styleId="813">
    <w:name w:val="Heading 1"/>
    <w:basedOn w:val="812"/>
    <w:next w:val="812"/>
    <w:link w:val="855"/>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56"/>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24"/>
    <w:link w:val="857"/>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24"/>
    <w:link w:val="858"/>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59"/>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60"/>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62"/>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63"/>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Normal Indent"/>
    <w:basedOn w:val="812"/>
    <w:uiPriority w:val="0"/>
    <w:qFormat/>
    <w:pPr>
      <w:ind w:firstLine="420"/>
      <w:jc w:val="left"/>
    </w:pPr>
    <w:rPr>
      <w:rFonts w:ascii="Calibri" w:hAnsi="Calibri" w:eastAsia="楷体_GB2312"/>
      <w:sz w:val="24"/>
      <w:szCs w:val="20"/>
    </w:rPr>
  </w:style>
  <w:style w:type="paragraph" w:styleId="825">
    <w:name w:val="toc 7"/>
    <w:basedOn w:val="812"/>
    <w:next w:val="812"/>
    <w:uiPriority w:val="39"/>
    <w:unhideWhenUsed/>
    <w:pPr>
      <w:ind w:left="1701" w:right="0" w:firstLine="0"/>
      <w:spacing w:after="57"/>
    </w:pPr>
  </w:style>
  <w:style w:type="paragraph" w:styleId="826">
    <w:name w:val="Caption"/>
    <w:basedOn w:val="812"/>
    <w:next w:val="812"/>
    <w:uiPriority w:val="35"/>
    <w:semiHidden/>
    <w:unhideWhenUsed/>
    <w:qFormat/>
    <w:pPr>
      <w:spacing w:line="276" w:lineRule="auto"/>
    </w:pPr>
    <w:rPr>
      <w:b/>
      <w:bCs/>
      <w:color w:val="4f81bd" w:themeColor="accent1"/>
      <w:sz w:val="18"/>
      <w:szCs w:val="18"/>
    </w:rPr>
  </w:style>
  <w:style w:type="paragraph" w:styleId="827">
    <w:name w:val="annotation text"/>
    <w:basedOn w:val="812"/>
    <w:uiPriority w:val="99"/>
    <w:semiHidden/>
    <w:unhideWhenUsed/>
    <w:qFormat/>
    <w:pPr>
      <w:jc w:val="left"/>
    </w:pPr>
  </w:style>
  <w:style w:type="paragraph" w:styleId="828">
    <w:name w:val="Body Text"/>
    <w:basedOn w:val="812"/>
    <w:next w:val="829"/>
    <w:uiPriority w:val="0"/>
    <w:qFormat/>
    <w:rPr>
      <w:rFonts w:ascii="Calibri" w:hAnsi="Calibri"/>
      <w:sz w:val="24"/>
      <w:szCs w:val="24"/>
    </w:rPr>
  </w:style>
  <w:style w:type="paragraph" w:styleId="829">
    <w:name w:val="toc 8"/>
    <w:basedOn w:val="812"/>
    <w:next w:val="812"/>
    <w:uiPriority w:val="39"/>
    <w:unhideWhenUsed/>
    <w:qFormat/>
    <w:pPr>
      <w:ind w:left="1984" w:right="0" w:firstLine="0"/>
      <w:spacing w:after="57"/>
    </w:pPr>
  </w:style>
  <w:style w:type="paragraph" w:styleId="830">
    <w:name w:val="Body Text Indent"/>
    <w:basedOn w:val="812"/>
    <w:next w:val="831"/>
    <w:uiPriority w:val="0"/>
    <w:qFormat/>
    <w:pPr>
      <w:ind w:firstLine="420"/>
      <w:spacing w:line="360" w:lineRule="exact"/>
    </w:pPr>
    <w:rPr>
      <w:sz w:val="24"/>
    </w:rPr>
  </w:style>
  <w:style w:type="paragraph" w:styleId="831">
    <w:name w:val="envelope return"/>
    <w:basedOn w:val="812"/>
    <w:uiPriority w:val="0"/>
    <w:qFormat/>
    <w:rPr>
      <w:rFonts w:ascii="Arial" w:hAnsi="Arial" w:cs="Arial"/>
      <w:sz w:val="21"/>
    </w:rPr>
  </w:style>
  <w:style w:type="paragraph" w:styleId="832">
    <w:name w:val="toc 5"/>
    <w:basedOn w:val="812"/>
    <w:next w:val="812"/>
    <w:uiPriority w:val="39"/>
    <w:unhideWhenUsed/>
    <w:qFormat/>
    <w:pPr>
      <w:ind w:left="1134" w:right="0" w:firstLine="0"/>
      <w:spacing w:after="57"/>
    </w:pPr>
  </w:style>
  <w:style w:type="paragraph" w:styleId="833">
    <w:name w:val="toc 3"/>
    <w:basedOn w:val="812"/>
    <w:next w:val="812"/>
    <w:uiPriority w:val="39"/>
    <w:unhideWhenUsed/>
    <w:qFormat/>
    <w:pPr>
      <w:ind w:left="567" w:right="0" w:firstLine="0"/>
      <w:spacing w:after="57"/>
    </w:pPr>
  </w:style>
  <w:style w:type="paragraph" w:styleId="834">
    <w:name w:val="Plain Text"/>
    <w:basedOn w:val="812"/>
    <w:link w:val="1331"/>
    <w:uiPriority w:val="0"/>
    <w:qFormat/>
    <w:pPr>
      <w:jc w:val="left"/>
      <w:widowControl/>
    </w:pPr>
    <w:rPr>
      <w:rFonts w:hAnsi="Courier New" w:eastAsia="楷体_GB2312"/>
      <w:sz w:val="26"/>
      <w:szCs w:val="20"/>
    </w:rPr>
  </w:style>
  <w:style w:type="paragraph" w:styleId="835">
    <w:name w:val="endnote text"/>
    <w:basedOn w:val="812"/>
    <w:link w:val="1001"/>
    <w:uiPriority w:val="99"/>
    <w:semiHidden/>
    <w:unhideWhenUsed/>
    <w:qFormat/>
    <w:pPr>
      <w:spacing w:after="0" w:line="240" w:lineRule="auto"/>
    </w:pPr>
    <w:rPr>
      <w:sz w:val="20"/>
    </w:rPr>
  </w:style>
  <w:style w:type="paragraph" w:styleId="836">
    <w:name w:val="Footer"/>
    <w:basedOn w:val="812"/>
    <w:link w:val="874"/>
    <w:uiPriority w:val="99"/>
    <w:unhideWhenUsed/>
    <w:qFormat/>
    <w:pPr>
      <w:spacing w:after="0" w:line="240" w:lineRule="auto"/>
      <w:tabs>
        <w:tab w:val="center" w:pos="7143" w:leader="none"/>
        <w:tab w:val="right" w:pos="14287" w:leader="none"/>
      </w:tabs>
    </w:pPr>
  </w:style>
  <w:style w:type="paragraph" w:styleId="837">
    <w:name w:val="Header"/>
    <w:basedOn w:val="812"/>
    <w:link w:val="872"/>
    <w:uiPriority w:val="99"/>
    <w:unhideWhenUsed/>
    <w:qFormat/>
    <w:pPr>
      <w:spacing w:after="0" w:line="240" w:lineRule="auto"/>
      <w:tabs>
        <w:tab w:val="center" w:pos="7143" w:leader="none"/>
        <w:tab w:val="right" w:pos="14287" w:leader="none"/>
      </w:tabs>
    </w:pPr>
  </w:style>
  <w:style w:type="paragraph" w:styleId="838">
    <w:name w:val="toc 1"/>
    <w:basedOn w:val="812"/>
    <w:next w:val="812"/>
    <w:uiPriority w:val="39"/>
    <w:unhideWhenUsed/>
    <w:qFormat/>
    <w:pPr>
      <w:ind w:left="0" w:right="0" w:firstLine="0"/>
      <w:spacing w:after="57"/>
    </w:pPr>
  </w:style>
  <w:style w:type="paragraph" w:styleId="839">
    <w:name w:val="toc 4"/>
    <w:basedOn w:val="812"/>
    <w:next w:val="812"/>
    <w:uiPriority w:val="39"/>
    <w:unhideWhenUsed/>
    <w:qFormat/>
    <w:pPr>
      <w:ind w:left="850" w:right="0" w:firstLine="0"/>
      <w:spacing w:after="57"/>
    </w:pPr>
  </w:style>
  <w:style w:type="paragraph" w:styleId="840">
    <w:name w:val="Subtitle"/>
    <w:basedOn w:val="812"/>
    <w:next w:val="812"/>
    <w:link w:val="867"/>
    <w:uiPriority w:val="11"/>
    <w:qFormat/>
    <w:pPr>
      <w:spacing w:before="200" w:after="200"/>
    </w:pPr>
    <w:rPr>
      <w:sz w:val="24"/>
      <w:szCs w:val="24"/>
    </w:rPr>
  </w:style>
  <w:style w:type="paragraph" w:styleId="841">
    <w:name w:val="footnote text"/>
    <w:basedOn w:val="812"/>
    <w:link w:val="1000"/>
    <w:uiPriority w:val="99"/>
    <w:semiHidden/>
    <w:unhideWhenUsed/>
    <w:qFormat/>
    <w:pPr>
      <w:spacing w:after="40" w:line="240" w:lineRule="auto"/>
    </w:pPr>
    <w:rPr>
      <w:sz w:val="18"/>
    </w:rPr>
  </w:style>
  <w:style w:type="paragraph" w:styleId="842">
    <w:name w:val="toc 6"/>
    <w:basedOn w:val="812"/>
    <w:next w:val="812"/>
    <w:uiPriority w:val="39"/>
    <w:unhideWhenUsed/>
    <w:qFormat/>
    <w:pPr>
      <w:ind w:left="1417" w:right="0" w:firstLine="0"/>
      <w:spacing w:after="57"/>
    </w:pPr>
  </w:style>
  <w:style w:type="paragraph" w:styleId="843">
    <w:name w:val="table of figures"/>
    <w:basedOn w:val="812"/>
    <w:next w:val="812"/>
    <w:uiPriority w:val="99"/>
    <w:unhideWhenUsed/>
    <w:qFormat/>
    <w:pPr>
      <w:spacing w:after="0" w:afterAutospacing="0"/>
    </w:pPr>
  </w:style>
  <w:style w:type="paragraph" w:styleId="844">
    <w:name w:val="toc 2"/>
    <w:basedOn w:val="812"/>
    <w:next w:val="812"/>
    <w:uiPriority w:val="39"/>
    <w:unhideWhenUsed/>
    <w:qFormat/>
    <w:pPr>
      <w:ind w:left="283" w:right="0" w:firstLine="0"/>
      <w:spacing w:after="57"/>
    </w:pPr>
  </w:style>
  <w:style w:type="paragraph" w:styleId="845">
    <w:name w:val="toc 9"/>
    <w:basedOn w:val="812"/>
    <w:next w:val="812"/>
    <w:uiPriority w:val="39"/>
    <w:unhideWhenUsed/>
    <w:qFormat/>
    <w:pPr>
      <w:ind w:left="2268" w:right="0" w:firstLine="0"/>
      <w:spacing w:after="57"/>
    </w:pPr>
  </w:style>
  <w:style w:type="paragraph" w:styleId="846">
    <w:name w:val="Normal (Web)"/>
    <w:basedOn w:val="812"/>
    <w:uiPriority w:val="99"/>
    <w:semiHidden/>
    <w:unhideWhenUsed/>
    <w:qFormat/>
    <w:pPr>
      <w:ind w:left="0" w:right="0"/>
      <w:jc w:val="left"/>
      <w:spacing w:before="0" w:beforeAutospacing="1" w:after="0" w:afterAutospacing="1"/>
    </w:pPr>
    <w:rPr>
      <w:sz w:val="24"/>
      <w:lang w:val="en-US" w:eastAsia="zh-CN" w:bidi="ar"/>
    </w:rPr>
  </w:style>
  <w:style w:type="paragraph" w:styleId="847">
    <w:name w:val="Title"/>
    <w:basedOn w:val="812"/>
    <w:next w:val="812"/>
    <w:link w:val="866"/>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22"/>
    <w:uiPriority w:val="22"/>
    <w:qFormat/>
    <w:rPr>
      <w:b/>
    </w:rPr>
  </w:style>
  <w:style w:type="character" w:styleId="850">
    <w:name w:val="endnote reference"/>
    <w:uiPriority w:val="99"/>
    <w:semiHidden/>
    <w:unhideWhenUsed/>
    <w:qFormat/>
    <w:rPr>
      <w:vertAlign w:val="superscript"/>
    </w:rPr>
  </w:style>
  <w:style w:type="character" w:styleId="851">
    <w:name w:val="page number"/>
    <w:uiPriority w:val="0"/>
    <w:qFormat/>
  </w:style>
  <w:style w:type="character" w:styleId="852">
    <w:name w:val="Hyperlink"/>
    <w:uiPriority w:val="99"/>
    <w:unhideWhenUsed/>
    <w:qFormat/>
    <w:rPr>
      <w:color w:val="0000ff" w:themeColor="hyperlink"/>
      <w:u w:val="single"/>
    </w:rPr>
  </w:style>
  <w:style w:type="character" w:styleId="853">
    <w:name w:val="footnote reference"/>
    <w:uiPriority w:val="99"/>
    <w:unhideWhenUsed/>
    <w:qFormat/>
    <w:rPr>
      <w:vertAlign w:val="superscript"/>
    </w:rPr>
  </w:style>
  <w:style w:type="paragraph" w:styleId="854" w:customStyle="1">
    <w:name w:val="段"/>
    <w:next w:val="812"/>
    <w:uiPriority w:val="0"/>
    <w:qFormat/>
    <w:pPr>
      <w:ind w:firstLine="200"/>
      <w:jc w:val="both"/>
    </w:pPr>
    <w:rPr>
      <w:rFonts w:hint="default" w:ascii="宋体" w:hAnsi="Times New Roman" w:eastAsia="宋体" w:cs="Times New Roman"/>
      <w:sz w:val="21"/>
      <w:lang w:val="en-US" w:eastAsia="zh-CN" w:bidi="ar-SA"/>
    </w:rPr>
  </w:style>
  <w:style w:type="character" w:styleId="855" w:customStyle="1">
    <w:name w:val="Heading 1 Char"/>
    <w:link w:val="813"/>
    <w:uiPriority w:val="9"/>
    <w:qFormat/>
    <w:rPr>
      <w:rFonts w:ascii="Arial" w:hAnsi="Arial" w:eastAsia="Arial" w:cs="Arial"/>
      <w:sz w:val="40"/>
      <w:szCs w:val="40"/>
    </w:rPr>
  </w:style>
  <w:style w:type="character" w:styleId="856" w:customStyle="1">
    <w:name w:val="Heading 2 Char"/>
    <w:link w:val="814"/>
    <w:uiPriority w:val="9"/>
    <w:qFormat/>
    <w:rPr>
      <w:rFonts w:ascii="Arial" w:hAnsi="Arial" w:eastAsia="Arial" w:cs="Arial"/>
      <w:sz w:val="34"/>
    </w:rPr>
  </w:style>
  <w:style w:type="character" w:styleId="857" w:customStyle="1">
    <w:name w:val="Heading 3 Char"/>
    <w:link w:val="815"/>
    <w:uiPriority w:val="9"/>
    <w:qFormat/>
    <w:rPr>
      <w:rFonts w:ascii="Arial" w:hAnsi="Arial" w:eastAsia="Arial" w:cs="Arial"/>
      <w:sz w:val="30"/>
      <w:szCs w:val="30"/>
    </w:rPr>
  </w:style>
  <w:style w:type="character" w:styleId="858" w:customStyle="1">
    <w:name w:val="Heading 4 Char"/>
    <w:link w:val="816"/>
    <w:uiPriority w:val="9"/>
    <w:qFormat/>
    <w:rPr>
      <w:rFonts w:ascii="Arial" w:hAnsi="Arial" w:eastAsia="Arial" w:cs="Arial"/>
      <w:b/>
      <w:bCs/>
      <w:sz w:val="26"/>
      <w:szCs w:val="26"/>
    </w:rPr>
  </w:style>
  <w:style w:type="character" w:styleId="859" w:customStyle="1">
    <w:name w:val="Heading 5 Char"/>
    <w:link w:val="817"/>
    <w:uiPriority w:val="9"/>
    <w:qFormat/>
    <w:rPr>
      <w:rFonts w:ascii="Arial" w:hAnsi="Arial" w:eastAsia="Arial" w:cs="Arial"/>
      <w:b/>
      <w:bCs/>
      <w:sz w:val="24"/>
      <w:szCs w:val="24"/>
    </w:rPr>
  </w:style>
  <w:style w:type="character" w:styleId="860" w:customStyle="1">
    <w:name w:val="Heading 6 Char"/>
    <w:link w:val="818"/>
    <w:uiPriority w:val="9"/>
    <w:qFormat/>
    <w:rPr>
      <w:rFonts w:ascii="Arial" w:hAnsi="Arial" w:eastAsia="Arial" w:cs="Arial"/>
      <w:b/>
      <w:bCs/>
      <w:sz w:val="22"/>
      <w:szCs w:val="22"/>
    </w:rPr>
  </w:style>
  <w:style w:type="character" w:styleId="861" w:customStyle="1">
    <w:name w:val="Heading 7 Char"/>
    <w:link w:val="819"/>
    <w:uiPriority w:val="9"/>
    <w:qFormat/>
    <w:rPr>
      <w:rFonts w:ascii="Arial" w:hAnsi="Arial" w:eastAsia="Arial" w:cs="Arial"/>
      <w:b/>
      <w:bCs/>
      <w:i/>
      <w:iCs/>
      <w:sz w:val="22"/>
      <w:szCs w:val="22"/>
    </w:rPr>
  </w:style>
  <w:style w:type="character" w:styleId="862" w:customStyle="1">
    <w:name w:val="Heading 8 Char"/>
    <w:link w:val="820"/>
    <w:uiPriority w:val="9"/>
    <w:qFormat/>
    <w:rPr>
      <w:rFonts w:ascii="Arial" w:hAnsi="Arial" w:eastAsia="Arial" w:cs="Arial"/>
      <w:i/>
      <w:iCs/>
      <w:sz w:val="22"/>
      <w:szCs w:val="22"/>
    </w:rPr>
  </w:style>
  <w:style w:type="character" w:styleId="863" w:customStyle="1">
    <w:name w:val="Heading 9 Char"/>
    <w:link w:val="821"/>
    <w:uiPriority w:val="9"/>
    <w:qFormat/>
    <w:rPr>
      <w:rFonts w:ascii="Arial" w:hAnsi="Arial" w:eastAsia="Arial" w:cs="Arial"/>
      <w:i/>
      <w:iCs/>
      <w:sz w:val="21"/>
      <w:szCs w:val="21"/>
    </w:rPr>
  </w:style>
  <w:style w:type="paragraph" w:styleId="864">
    <w:name w:val="List Paragraph"/>
    <w:basedOn w:val="812"/>
    <w:uiPriority w:val="34"/>
    <w:qFormat/>
    <w:pPr>
      <w:contextualSpacing/>
      <w:ind w:left="720"/>
    </w:p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link w:val="847"/>
    <w:uiPriority w:val="10"/>
    <w:qFormat/>
    <w:rPr>
      <w:sz w:val="48"/>
      <w:szCs w:val="48"/>
    </w:rPr>
  </w:style>
  <w:style w:type="character" w:styleId="867" w:customStyle="1">
    <w:name w:val="Subtitle Char"/>
    <w:link w:val="840"/>
    <w:uiPriority w:val="11"/>
    <w:qFormat/>
    <w:rPr>
      <w:sz w:val="24"/>
      <w:szCs w:val="24"/>
    </w:rPr>
  </w:style>
  <w:style w:type="paragraph" w:styleId="868">
    <w:name w:val="Quote"/>
    <w:basedOn w:val="812"/>
    <w:next w:val="812"/>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12"/>
    <w:next w:val="812"/>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link w:val="837"/>
    <w:uiPriority w:val="99"/>
    <w:qFormat/>
  </w:style>
  <w:style w:type="character" w:styleId="873" w:customStyle="1">
    <w:name w:val="Footer Char"/>
    <w:link w:val="836"/>
    <w:uiPriority w:val="99"/>
    <w:qFormat/>
  </w:style>
  <w:style w:type="character" w:styleId="874" w:customStyle="1">
    <w:name w:val="Caption Char"/>
    <w:link w:val="836"/>
    <w:uiPriority w:val="99"/>
    <w:qFormat/>
  </w:style>
  <w:style w:type="table" w:styleId="8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41"/>
    <w:uiPriority w:val="99"/>
    <w:rPr>
      <w:sz w:val="18"/>
    </w:rPr>
  </w:style>
  <w:style w:type="character" w:styleId="1001" w:customStyle="1">
    <w:name w:val="Endnote Text Char"/>
    <w:link w:val="835"/>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标题 11"/>
    <w:basedOn w:val="812"/>
    <w:next w:val="812"/>
    <w:link w:val="1287"/>
    <w:uiPriority w:val="9"/>
    <w:qFormat/>
    <w:pPr>
      <w:numPr>
        <w:ilvl w:val="0"/>
        <w:numId w:val="1"/>
      </w:numPr>
      <w:keepLines/>
      <w:keepNext/>
      <w:spacing w:before="340" w:after="330" w:line="578" w:lineRule="auto"/>
      <w:outlineLvl w:val="0"/>
    </w:pPr>
    <w:rPr>
      <w:rFonts w:ascii="Times New Roman" w:hAnsi="Times New Roman"/>
      <w:b/>
      <w:sz w:val="44"/>
      <w:szCs w:val="20"/>
    </w:rPr>
  </w:style>
  <w:style w:type="paragraph" w:styleId="1004" w:customStyle="1">
    <w:name w:val="标题 21"/>
    <w:basedOn w:val="812"/>
    <w:next w:val="812"/>
    <w:link w:val="1288"/>
    <w:uiPriority w:val="0"/>
    <w:qFormat/>
    <w:pPr>
      <w:numPr>
        <w:ilvl w:val="1"/>
        <w:numId w:val="1"/>
      </w:numPr>
      <w:keepLines/>
      <w:keepNext/>
      <w:spacing w:before="260" w:after="260" w:line="416" w:lineRule="auto"/>
      <w:outlineLvl w:val="1"/>
    </w:pPr>
    <w:rPr>
      <w:rFonts w:ascii="Arial" w:hAnsi="Arial" w:eastAsia="黑体"/>
      <w:b/>
      <w:sz w:val="32"/>
      <w:szCs w:val="20"/>
    </w:rPr>
  </w:style>
  <w:style w:type="paragraph" w:styleId="1005" w:customStyle="1">
    <w:name w:val="标题 311"/>
    <w:basedOn w:val="812"/>
    <w:next w:val="1006"/>
    <w:link w:val="1286"/>
    <w:uiPriority w:val="0"/>
    <w:qFormat/>
    <w:pPr>
      <w:numPr>
        <w:ilvl w:val="2"/>
        <w:numId w:val="1"/>
      </w:numPr>
      <w:keepLines/>
      <w:keepNext/>
      <w:spacing w:before="260" w:after="260" w:line="416" w:lineRule="auto"/>
      <w:outlineLvl w:val="2"/>
    </w:pPr>
    <w:rPr>
      <w:rFonts w:ascii="Times New Roman" w:hAnsi="Times New Roman"/>
      <w:b/>
      <w:szCs w:val="20"/>
    </w:rPr>
  </w:style>
  <w:style w:type="paragraph" w:styleId="1006" w:customStyle="1">
    <w:name w:val="正文缩进11"/>
    <w:basedOn w:val="812"/>
    <w:next w:val="812"/>
    <w:link w:val="1289"/>
    <w:uiPriority w:val="0"/>
    <w:qFormat/>
    <w:pPr>
      <w:ind w:firstLine="420"/>
      <w:jc w:val="left"/>
    </w:pPr>
    <w:rPr>
      <w:rFonts w:ascii="Calibri" w:hAnsi="Calibri" w:eastAsia="楷体_GB2312"/>
      <w:sz w:val="24"/>
      <w:szCs w:val="20"/>
    </w:rPr>
  </w:style>
  <w:style w:type="paragraph" w:styleId="1007" w:customStyle="1">
    <w:name w:val="标题 41"/>
    <w:basedOn w:val="812"/>
    <w:next w:val="1006"/>
    <w:link w:val="1095"/>
    <w:uiPriority w:val="0"/>
    <w:qFormat/>
    <w:pPr>
      <w:numPr>
        <w:ilvl w:val="3"/>
        <w:numId w:val="1"/>
      </w:numPr>
      <w:keepLines/>
      <w:keepNext/>
      <w:spacing w:before="280" w:after="290" w:line="376" w:lineRule="auto"/>
      <w:outlineLvl w:val="3"/>
    </w:pPr>
    <w:rPr>
      <w:rFonts w:ascii="Arial" w:hAnsi="Arial"/>
      <w:b/>
      <w:szCs w:val="20"/>
    </w:rPr>
  </w:style>
  <w:style w:type="paragraph" w:styleId="1008" w:customStyle="1">
    <w:name w:val="标题 51"/>
    <w:basedOn w:val="812"/>
    <w:next w:val="1006"/>
    <w:link w:val="1290"/>
    <w:uiPriority w:val="0"/>
    <w:qFormat/>
    <w:pPr>
      <w:numPr>
        <w:ilvl w:val="4"/>
        <w:numId w:val="1"/>
      </w:numPr>
      <w:keepLines/>
      <w:keepNext/>
      <w:spacing w:before="280" w:after="290" w:line="376" w:lineRule="auto"/>
      <w:outlineLvl w:val="4"/>
    </w:pPr>
    <w:rPr>
      <w:rFonts w:ascii="Times New Roman" w:hAnsi="Times New Roman"/>
      <w:b/>
      <w:sz w:val="28"/>
      <w:szCs w:val="20"/>
    </w:rPr>
  </w:style>
  <w:style w:type="paragraph" w:styleId="1009" w:customStyle="1">
    <w:name w:val="标题 61"/>
    <w:basedOn w:val="812"/>
    <w:next w:val="1006"/>
    <w:link w:val="1218"/>
    <w:uiPriority w:val="9"/>
    <w:qFormat/>
    <w:pPr>
      <w:numPr>
        <w:ilvl w:val="5"/>
        <w:numId w:val="1"/>
      </w:numPr>
      <w:keepLines/>
      <w:keepNext/>
      <w:spacing w:before="240" w:after="64" w:line="320" w:lineRule="auto"/>
      <w:outlineLvl w:val="5"/>
    </w:pPr>
    <w:rPr>
      <w:rFonts w:ascii="Arial" w:hAnsi="Arial" w:eastAsia="黑体"/>
      <w:b/>
      <w:sz w:val="24"/>
      <w:szCs w:val="20"/>
    </w:rPr>
  </w:style>
  <w:style w:type="paragraph" w:styleId="1010" w:customStyle="1">
    <w:name w:val="标题 71"/>
    <w:basedOn w:val="812"/>
    <w:next w:val="1006"/>
    <w:link w:val="1031"/>
    <w:uiPriority w:val="9"/>
    <w:qFormat/>
    <w:pPr>
      <w:numPr>
        <w:ilvl w:val="6"/>
        <w:numId w:val="1"/>
      </w:numPr>
      <w:keepLines/>
      <w:keepNext/>
      <w:spacing w:before="240" w:after="64" w:line="320" w:lineRule="auto"/>
      <w:outlineLvl w:val="6"/>
    </w:pPr>
    <w:rPr>
      <w:rFonts w:ascii="Times New Roman" w:hAnsi="Times New Roman"/>
      <w:b/>
      <w:sz w:val="24"/>
      <w:szCs w:val="20"/>
    </w:rPr>
  </w:style>
  <w:style w:type="paragraph" w:styleId="1011" w:customStyle="1">
    <w:name w:val="标题 81"/>
    <w:basedOn w:val="812"/>
    <w:next w:val="1006"/>
    <w:link w:val="1291"/>
    <w:uiPriority w:val="9"/>
    <w:qFormat/>
    <w:pPr>
      <w:numPr>
        <w:ilvl w:val="7"/>
        <w:numId w:val="1"/>
      </w:numPr>
      <w:keepLines/>
      <w:keepNext/>
      <w:spacing w:before="240" w:after="64" w:line="320" w:lineRule="auto"/>
      <w:outlineLvl w:val="7"/>
    </w:pPr>
    <w:rPr>
      <w:rFonts w:ascii="Arial" w:hAnsi="Arial" w:eastAsia="黑体"/>
      <w:sz w:val="24"/>
      <w:szCs w:val="20"/>
    </w:rPr>
  </w:style>
  <w:style w:type="paragraph" w:styleId="1012" w:customStyle="1">
    <w:name w:val="标题 91"/>
    <w:basedOn w:val="812"/>
    <w:next w:val="1006"/>
    <w:link w:val="1292"/>
    <w:uiPriority w:val="0"/>
    <w:qFormat/>
    <w:pPr>
      <w:numPr>
        <w:ilvl w:val="8"/>
        <w:numId w:val="1"/>
      </w:numPr>
      <w:keepLines/>
      <w:keepNext/>
      <w:spacing w:before="240" w:after="64" w:line="320" w:lineRule="auto"/>
      <w:outlineLvl w:val="8"/>
    </w:pPr>
    <w:rPr>
      <w:rFonts w:ascii="Arial" w:hAnsi="Arial" w:eastAsia="黑体"/>
      <w:szCs w:val="20"/>
    </w:rPr>
  </w:style>
  <w:style w:type="character" w:styleId="1013" w:customStyle="1">
    <w:name w:val="默认段落字体1"/>
    <w:link w:val="812"/>
    <w:uiPriority w:val="1"/>
    <w:unhideWhenUsed/>
    <w:qFormat/>
  </w:style>
  <w:style w:type="table" w:styleId="1014" w:customStyle="1">
    <w:name w:val="普通表格1"/>
    <w:uiPriority w:val="99"/>
    <w:unhideWhenUsed/>
    <w:qFormat/>
    <w:tblPr/>
  </w:style>
  <w:style w:type="character" w:styleId="1015" w:customStyle="1">
    <w:name w:val="unnamed11"/>
    <w:link w:val="812"/>
    <w:uiPriority w:val="0"/>
    <w:qFormat/>
    <w:rPr>
      <w:sz w:val="18"/>
      <w:szCs w:val="18"/>
    </w:rPr>
  </w:style>
  <w:style w:type="character" w:styleId="1016" w:customStyle="1">
    <w:name w:val="正文文本缩进 2 Char1"/>
    <w:link w:val="812"/>
    <w:uiPriority w:val="99"/>
    <w:semiHidden/>
    <w:qFormat/>
    <w:rPr>
      <w:rFonts w:hint="eastAsia" w:ascii="宋体" w:hAnsi="宋体" w:eastAsia="宋体" w:cs="宋体"/>
      <w:sz w:val="24"/>
      <w:szCs w:val="24"/>
    </w:rPr>
  </w:style>
  <w:style w:type="character" w:styleId="1017" w:customStyle="1">
    <w:name w:val="标书正文 Char"/>
    <w:link w:val="1018"/>
    <w:uiPriority w:val="0"/>
    <w:qFormat/>
    <w:rPr>
      <w:spacing w:val="1"/>
      <w:sz w:val="24"/>
      <w:szCs w:val="24"/>
    </w:rPr>
  </w:style>
  <w:style w:type="paragraph" w:styleId="1018" w:customStyle="1">
    <w:name w:val="标书正文"/>
    <w:basedOn w:val="812"/>
    <w:link w:val="1017"/>
    <w:uiPriority w:val="0"/>
    <w:qFormat/>
    <w:pPr>
      <w:ind w:left="240" w:right="100" w:firstLine="200"/>
      <w:spacing w:line="360" w:lineRule="auto"/>
    </w:pPr>
    <w:rPr>
      <w:rFonts w:ascii="Calibri" w:hAnsi="Calibri"/>
      <w:spacing w:val="1"/>
      <w:sz w:val="24"/>
      <w:szCs w:val="24"/>
    </w:rPr>
  </w:style>
  <w:style w:type="character" w:styleId="1019" w:customStyle="1">
    <w:name w:val="正文文本 2 Char1"/>
    <w:link w:val="812"/>
    <w:uiPriority w:val="99"/>
    <w:semiHidden/>
    <w:qFormat/>
    <w:rPr>
      <w:rFonts w:hint="eastAsia" w:ascii="宋体" w:hAnsi="宋体" w:eastAsia="宋体" w:cs="宋体"/>
      <w:sz w:val="24"/>
      <w:szCs w:val="24"/>
    </w:rPr>
  </w:style>
  <w:style w:type="character" w:styleId="1020" w:customStyle="1">
    <w:name w:val="批注框文本 Char"/>
    <w:link w:val="1021"/>
    <w:uiPriority w:val="99"/>
    <w:qFormat/>
    <w:rPr>
      <w:rFonts w:ascii="宋体" w:hAnsi="宋体"/>
      <w:sz w:val="18"/>
      <w:szCs w:val="18"/>
    </w:rPr>
  </w:style>
  <w:style w:type="paragraph" w:styleId="1021" w:customStyle="1">
    <w:name w:val="批注框文本1"/>
    <w:basedOn w:val="812"/>
    <w:link w:val="1020"/>
    <w:uiPriority w:val="99"/>
    <w:qFormat/>
    <w:rPr>
      <w:sz w:val="18"/>
      <w:szCs w:val="18"/>
    </w:rPr>
  </w:style>
  <w:style w:type="character" w:styleId="1022" w:customStyle="1">
    <w:name w:val="标题 3 Char1"/>
    <w:link w:val="812"/>
    <w:uiPriority w:val="0"/>
    <w:qFormat/>
    <w:rPr>
      <w:rFonts w:hint="eastAsia" w:ascii="宋体" w:hAnsi="宋体" w:eastAsia="宋体"/>
      <w:b/>
      <w:sz w:val="24"/>
      <w:u w:val="single"/>
      <w:lang w:val="en-US" w:eastAsia="zh-CN" w:bidi="ar-SA"/>
    </w:rPr>
  </w:style>
  <w:style w:type="character" w:styleId="1023" w:customStyle="1">
    <w:name w:val="要点1"/>
    <w:link w:val="812"/>
    <w:uiPriority w:val="22"/>
    <w:qFormat/>
    <w:rPr>
      <w:b/>
      <w:bCs/>
    </w:rPr>
  </w:style>
  <w:style w:type="character" w:styleId="1024" w:customStyle="1">
    <w:name w:val="apple-style-span"/>
    <w:link w:val="812"/>
    <w:uiPriority w:val="0"/>
    <w:qFormat/>
    <w:rPr>
      <w:rFonts w:cs="Times New Roman"/>
    </w:rPr>
  </w:style>
  <w:style w:type="character" w:styleId="1025" w:customStyle="1">
    <w:name w:val="样式 首行缩进:  2 字符 Char1"/>
    <w:link w:val="1026"/>
    <w:uiPriority w:val="0"/>
    <w:rPr>
      <w:rFonts w:ascii="宋体" w:hAnsi="宋体" w:cs="宋体"/>
      <w:sz w:val="24"/>
      <w:szCs w:val="24"/>
    </w:rPr>
  </w:style>
  <w:style w:type="paragraph" w:styleId="1026" w:customStyle="1">
    <w:name w:val="样式 首行缩进:  2 字符"/>
    <w:basedOn w:val="812"/>
    <w:link w:val="1025"/>
    <w:uiPriority w:val="0"/>
    <w:qFormat/>
    <w:pPr>
      <w:ind w:firstLine="200"/>
      <w:spacing w:line="400" w:lineRule="exact"/>
    </w:pPr>
    <w:rPr>
      <w:sz w:val="24"/>
      <w:szCs w:val="24"/>
    </w:rPr>
  </w:style>
  <w:style w:type="character" w:styleId="1027" w:customStyle="1">
    <w:name w:val="P_Picture Char"/>
    <w:link w:val="1028"/>
    <w:uiPriority w:val="0"/>
    <w:qFormat/>
    <w:rPr>
      <w:rFonts w:ascii="仿宋" w:hAnsi="仿宋" w:eastAsia="仿宋"/>
      <w:sz w:val="28"/>
      <w:szCs w:val="24"/>
      <w:lang w:val="en-US" w:eastAsia="zh-CN" w:bidi="ar-SA"/>
    </w:rPr>
  </w:style>
  <w:style w:type="paragraph" w:styleId="1028" w:customStyle="1">
    <w:name w:val="P_Picture"/>
    <w:next w:val="812"/>
    <w:link w:val="1027"/>
    <w:uiPriority w:val="0"/>
    <w:qFormat/>
    <w:pPr>
      <w:jc w:val="center"/>
    </w:pPr>
    <w:rPr>
      <w:rFonts w:hint="default" w:ascii="仿宋" w:hAnsi="仿宋" w:eastAsia="仿宋" w:cs="Times New Roman"/>
      <w:sz w:val="28"/>
      <w:szCs w:val="24"/>
      <w:lang w:val="en-US" w:eastAsia="zh-CN" w:bidi="ar-SA"/>
    </w:rPr>
  </w:style>
  <w:style w:type="character" w:styleId="1029" w:customStyle="1">
    <w:name w:val="表格居中 字符"/>
    <w:link w:val="1030"/>
    <w:uiPriority w:val="0"/>
    <w:qFormat/>
    <w:rPr>
      <w:spacing w:val="4"/>
      <w:sz w:val="22"/>
      <w:szCs w:val="22"/>
      <w:shd w:val="clear" w:color="auto" w:fill="ffffff"/>
      <w:lang w:eastAsia="en-US" w:bidi="en-US"/>
    </w:rPr>
  </w:style>
  <w:style w:type="paragraph" w:styleId="1030" w:customStyle="1">
    <w:name w:val="表格居中"/>
    <w:basedOn w:val="812"/>
    <w:link w:val="1029"/>
    <w:uiPriority w:val="0"/>
    <w:qFormat/>
    <w:pPr>
      <w:jc w:val="center"/>
      <w:spacing w:line="360" w:lineRule="auto"/>
      <w:shd w:val="clear" w:color="auto" w:fill="ffffff"/>
      <w:widowControl/>
      <w:tabs>
        <w:tab w:val="left" w:pos="540" w:leader="none"/>
      </w:tabs>
    </w:pPr>
    <w:rPr>
      <w:rFonts w:ascii="Calibri" w:hAnsi="Calibri"/>
      <w:spacing w:val="4"/>
      <w:sz w:val="22"/>
      <w:szCs w:val="22"/>
      <w:lang w:eastAsia="en-US" w:bidi="en-US"/>
    </w:rPr>
  </w:style>
  <w:style w:type="character" w:styleId="1031" w:customStyle="1">
    <w:name w:val="标题 7 Char"/>
    <w:link w:val="1010"/>
    <w:uiPriority w:val="9"/>
    <w:rPr>
      <w:b/>
      <w:sz w:val="24"/>
    </w:rPr>
  </w:style>
  <w:style w:type="character" w:styleId="1032" w:customStyle="1">
    <w:name w:val="正文首行缩进 Char"/>
    <w:link w:val="1033"/>
    <w:uiPriority w:val="0"/>
    <w:qFormat/>
    <w:rPr>
      <w:rFonts w:eastAsia="宋体"/>
      <w:sz w:val="21"/>
      <w:szCs w:val="24"/>
      <w:lang w:val="en-US" w:eastAsia="zh-CN" w:bidi="ar-SA"/>
    </w:rPr>
  </w:style>
  <w:style w:type="paragraph" w:styleId="1033" w:customStyle="1">
    <w:name w:val="正文首行缩进2"/>
    <w:basedOn w:val="1034"/>
    <w:next w:val="1035"/>
    <w:link w:val="1032"/>
    <w:uiPriority w:val="0"/>
    <w:qFormat/>
    <w:pPr>
      <w:ind w:firstLine="420"/>
      <w:spacing w:after="120"/>
    </w:pPr>
    <w:rPr>
      <w:sz w:val="21"/>
      <w:lang w:val="en-US" w:eastAsia="zh-CN"/>
    </w:rPr>
  </w:style>
  <w:style w:type="paragraph" w:styleId="1034" w:customStyle="1">
    <w:name w:val="正文文本1"/>
    <w:basedOn w:val="812"/>
    <w:next w:val="1006"/>
    <w:link w:val="1255"/>
    <w:uiPriority w:val="0"/>
    <w:qFormat/>
    <w:rPr>
      <w:rFonts w:ascii="Calibri" w:hAnsi="Calibri"/>
      <w:sz w:val="24"/>
      <w:szCs w:val="24"/>
    </w:rPr>
  </w:style>
  <w:style w:type="paragraph" w:styleId="1035" w:customStyle="1">
    <w:name w:val="目录 61"/>
    <w:basedOn w:val="812"/>
    <w:next w:val="812"/>
    <w:uiPriority w:val="39"/>
    <w:unhideWhenUsed/>
    <w:qFormat/>
    <w:pPr>
      <w:ind w:left="1200" w:firstLine="200"/>
      <w:jc w:val="left"/>
      <w:spacing w:line="360" w:lineRule="auto"/>
      <w:widowControl/>
    </w:pPr>
    <w:rPr>
      <w:rFonts w:ascii="Calibri" w:hAnsi="Calibri" w:cs="Calibri"/>
      <w:sz w:val="18"/>
      <w:szCs w:val="18"/>
    </w:rPr>
  </w:style>
  <w:style w:type="character" w:styleId="1036" w:customStyle="1">
    <w:name w:val="普通(网站) Char"/>
    <w:link w:val="1037"/>
    <w:uiPriority w:val="0"/>
    <w:qFormat/>
    <w:rPr>
      <w:rFonts w:ascii="Arial Unicode MS" w:hAnsi="Arial Unicode MS" w:eastAsia="Arial Unicode MS"/>
      <w:sz w:val="24"/>
      <w:szCs w:val="24"/>
    </w:rPr>
  </w:style>
  <w:style w:type="paragraph" w:styleId="1037" w:customStyle="1">
    <w:name w:val="普通(网站)11"/>
    <w:basedOn w:val="812"/>
    <w:next w:val="1038"/>
    <w:link w:val="1036"/>
    <w:uiPriority w:val="0"/>
    <w:qFormat/>
    <w:pPr>
      <w:ind w:left="15" w:right="15"/>
      <w:jc w:val="left"/>
      <w:spacing w:before="60" w:after="60" w:line="312" w:lineRule="auto"/>
      <w:widowControl/>
    </w:pPr>
    <w:rPr>
      <w:rFonts w:ascii="Arial Unicode MS" w:hAnsi="Arial Unicode MS" w:eastAsia="Arial Unicode MS"/>
      <w:sz w:val="24"/>
      <w:szCs w:val="24"/>
    </w:rPr>
  </w:style>
  <w:style w:type="paragraph" w:styleId="1038" w:customStyle="1">
    <w:name w:val="列表 21"/>
    <w:basedOn w:val="1003"/>
    <w:next w:val="1039"/>
    <w:uiPriority w:val="0"/>
    <w:unhideWhenUsed/>
    <w:qFormat/>
    <w:pPr>
      <w:ind w:left="100" w:hanging="200"/>
    </w:pPr>
    <w:rPr>
      <w:rFonts w:ascii="Times New Roman" w:hAnsi="Times New Roman"/>
      <w:sz w:val="28"/>
    </w:rPr>
  </w:style>
  <w:style w:type="paragraph" w:styleId="1039" w:customStyle="1">
    <w:name w:val="目录 71"/>
    <w:basedOn w:val="1003"/>
    <w:next w:val="812"/>
    <w:uiPriority w:val="39"/>
    <w:unhideWhenUsed/>
    <w:qFormat/>
    <w:pPr>
      <w:ind w:left="1440" w:firstLine="200"/>
      <w:jc w:val="left"/>
      <w:spacing w:line="360" w:lineRule="auto"/>
      <w:widowControl/>
    </w:pPr>
    <w:rPr>
      <w:rFonts w:ascii="Calibri" w:hAnsi="Calibri" w:cs="Calibri"/>
      <w:sz w:val="18"/>
      <w:szCs w:val="18"/>
    </w:rPr>
  </w:style>
  <w:style w:type="character" w:styleId="1040" w:customStyle="1">
    <w:name w:val="日期 Char"/>
    <w:link w:val="1041"/>
    <w:uiPriority w:val="0"/>
    <w:qFormat/>
    <w:rPr>
      <w:rFonts w:ascii="宋体" w:hAnsi="宋体" w:eastAsia="楷体_GB2312"/>
      <w:sz w:val="24"/>
      <w:lang w:val="en-US" w:eastAsia="zh-CN" w:bidi="ar-SA"/>
    </w:rPr>
  </w:style>
  <w:style w:type="paragraph" w:styleId="1041" w:customStyle="1">
    <w:name w:val="日期11"/>
    <w:basedOn w:val="812"/>
    <w:next w:val="812"/>
    <w:link w:val="1040"/>
    <w:uiPriority w:val="0"/>
    <w:qFormat/>
    <w:rPr>
      <w:rFonts w:eastAsia="楷体_GB2312"/>
      <w:sz w:val="24"/>
      <w:szCs w:val="20"/>
    </w:rPr>
  </w:style>
  <w:style w:type="character" w:styleId="1042" w:customStyle="1">
    <w:name w:val="Char Char22"/>
    <w:link w:val="812"/>
    <w:uiPriority w:val="0"/>
    <w:qFormat/>
  </w:style>
  <w:style w:type="character" w:styleId="1043" w:customStyle="1">
    <w:name w:val="标题3字符"/>
    <w:link w:val="812"/>
    <w:uiPriority w:val="0"/>
    <w:qFormat/>
    <w:rPr>
      <w:rFonts w:eastAsia="仿宋"/>
      <w:sz w:val="28"/>
      <w:szCs w:val="22"/>
    </w:rPr>
  </w:style>
  <w:style w:type="character" w:styleId="1044" w:customStyle="1">
    <w:name w:val="3级标 字符"/>
    <w:link w:val="1045"/>
    <w:uiPriority w:val="0"/>
    <w:qFormat/>
    <w:rPr>
      <w:sz w:val="32"/>
      <w:szCs w:val="36"/>
    </w:rPr>
  </w:style>
  <w:style w:type="paragraph" w:styleId="1045" w:customStyle="1">
    <w:name w:val="3级标"/>
    <w:basedOn w:val="1046"/>
    <w:link w:val="1044"/>
    <w:uiPriority w:val="0"/>
    <w:qFormat/>
    <w:pPr>
      <w:numPr>
        <w:ilvl w:val="1"/>
        <w:numId w:val="2"/>
      </w:numPr>
      <w:jc w:val="left"/>
      <w:widowControl/>
      <w:outlineLvl w:val="2"/>
    </w:pPr>
    <w:rPr>
      <w:rFonts w:ascii="Times New Roman" w:hAnsi="Times New Roman"/>
      <w:sz w:val="32"/>
      <w:szCs w:val="36"/>
    </w:rPr>
  </w:style>
  <w:style w:type="paragraph" w:styleId="1046" w:customStyle="1">
    <w:name w:val="列出段落"/>
    <w:basedOn w:val="812"/>
    <w:link w:val="1247"/>
    <w:uiPriority w:val="34"/>
    <w:qFormat/>
    <w:pPr>
      <w:ind w:firstLine="420"/>
    </w:pPr>
    <w:rPr>
      <w:rFonts w:ascii="Calibri" w:hAnsi="Calibri"/>
      <w:szCs w:val="20"/>
    </w:rPr>
  </w:style>
  <w:style w:type="character" w:styleId="1047" w:customStyle="1">
    <w:name w:val="图片0 Char Char"/>
    <w:link w:val="1048"/>
    <w:uiPriority w:val="0"/>
    <w:qFormat/>
    <w:rPr>
      <w:rFonts w:ascii="宋体" w:hAnsi="宋体"/>
      <w:sz w:val="24"/>
      <w:szCs w:val="24"/>
    </w:rPr>
  </w:style>
  <w:style w:type="paragraph" w:styleId="1048" w:customStyle="1">
    <w:name w:val="图片0"/>
    <w:basedOn w:val="812"/>
    <w:link w:val="1047"/>
    <w:uiPriority w:val="0"/>
    <w:qFormat/>
    <w:pPr>
      <w:ind w:left="-324" w:firstLine="163"/>
      <w:jc w:val="left"/>
      <w:spacing w:line="276" w:lineRule="auto"/>
      <w:widowControl/>
    </w:pPr>
    <w:rPr>
      <w:sz w:val="24"/>
      <w:szCs w:val="24"/>
    </w:rPr>
  </w:style>
  <w:style w:type="character" w:styleId="1049" w:customStyle="1">
    <w:name w:val="HTML 预设格式 Char"/>
    <w:link w:val="1050"/>
    <w:uiPriority w:val="99"/>
    <w:qFormat/>
    <w:rPr>
      <w:rFonts w:ascii="Courier New" w:hAnsi="Courier New" w:cs="Courier New"/>
    </w:rPr>
  </w:style>
  <w:style w:type="paragraph" w:styleId="1050" w:customStyle="1">
    <w:name w:val="HTML 预设格式1"/>
    <w:basedOn w:val="812"/>
    <w:link w:val="1049"/>
    <w:uiPriority w:val="99"/>
    <w:qFormat/>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1051" w:customStyle="1">
    <w:name w:val="H 3 Char"/>
    <w:link w:val="1052"/>
    <w:uiPriority w:val="0"/>
    <w:qFormat/>
    <w:rPr>
      <w:rFonts w:ascii="宋体" w:hAnsi="宋体"/>
      <w:b/>
      <w:sz w:val="27"/>
      <w:szCs w:val="24"/>
    </w:rPr>
  </w:style>
  <w:style w:type="paragraph" w:styleId="1052" w:customStyle="1">
    <w:name w:val="H 3"/>
    <w:basedOn w:val="1005"/>
    <w:link w:val="1051"/>
    <w:uiPriority w:val="0"/>
    <w:qFormat/>
    <w:pPr>
      <w:ind w:left="1429"/>
      <w:jc w:val="left"/>
      <w:spacing w:before="0" w:after="0" w:line="360" w:lineRule="auto"/>
      <w:widowControl/>
      <w:tabs>
        <w:tab w:val="clear" w:pos="1080" w:leader="none"/>
      </w:tabs>
    </w:pPr>
    <w:rPr>
      <w:rFonts w:ascii="宋体" w:hAnsi="宋体"/>
      <w:sz w:val="27"/>
      <w:szCs w:val="24"/>
    </w:rPr>
  </w:style>
  <w:style w:type="character" w:styleId="1053" w:customStyle="1">
    <w:name w:val="页脚 Char"/>
    <w:link w:val="1054"/>
    <w:uiPriority w:val="0"/>
    <w:qFormat/>
    <w:rPr>
      <w:sz w:val="18"/>
      <w:szCs w:val="18"/>
    </w:rPr>
  </w:style>
  <w:style w:type="paragraph" w:styleId="1054" w:customStyle="1">
    <w:name w:val="页脚1"/>
    <w:basedOn w:val="812"/>
    <w:link w:val="1053"/>
    <w:uiPriority w:val="0"/>
    <w:qFormat/>
    <w:pPr>
      <w:jc w:val="left"/>
      <w:tabs>
        <w:tab w:val="center" w:pos="4153" w:leader="none"/>
        <w:tab w:val="right" w:pos="8306" w:leader="none"/>
      </w:tabs>
    </w:pPr>
    <w:rPr>
      <w:rFonts w:ascii="Calibri" w:hAnsi="Calibri"/>
      <w:sz w:val="18"/>
      <w:szCs w:val="18"/>
    </w:rPr>
  </w:style>
  <w:style w:type="character" w:styleId="1055" w:customStyle="1">
    <w:name w:val="标题 2 Char1"/>
    <w:link w:val="812"/>
    <w:uiPriority w:val="9"/>
    <w:semiHidden/>
    <w:qFormat/>
    <w:rPr>
      <w:rFonts w:ascii="Cambria" w:hAnsi="Cambria" w:eastAsia="宋体" w:cs="Times New Roman"/>
      <w:b/>
      <w:bCs/>
      <w:sz w:val="32"/>
      <w:szCs w:val="32"/>
    </w:rPr>
  </w:style>
  <w:style w:type="character" w:styleId="1056" w:customStyle="1">
    <w:name w:val="M正文 Char"/>
    <w:link w:val="1057"/>
    <w:uiPriority w:val="0"/>
    <w:qFormat/>
    <w:rPr>
      <w:rFonts w:ascii="宋体" w:hAnsi="宋体"/>
      <w:sz w:val="24"/>
      <w:szCs w:val="24"/>
    </w:rPr>
  </w:style>
  <w:style w:type="paragraph" w:styleId="1057" w:customStyle="1">
    <w:name w:val="M正文"/>
    <w:basedOn w:val="1037"/>
    <w:link w:val="1056"/>
    <w:uiPriority w:val="0"/>
    <w:qFormat/>
    <w:pPr>
      <w:ind w:left="0" w:right="0" w:firstLine="480"/>
      <w:spacing w:before="100" w:after="0" w:line="360" w:lineRule="auto"/>
    </w:pPr>
    <w:rPr>
      <w:rFonts w:ascii="宋体" w:hAnsi="宋体" w:eastAsia="宋体"/>
    </w:rPr>
  </w:style>
  <w:style w:type="character" w:styleId="1058" w:customStyle="1">
    <w:name w:val="签名 Char"/>
    <w:link w:val="1059"/>
    <w:uiPriority w:val="0"/>
    <w:qFormat/>
    <w:rPr>
      <w:rFonts w:ascii="Tahoma" w:hAnsi="Tahoma"/>
      <w:sz w:val="21"/>
      <w:szCs w:val="24"/>
    </w:rPr>
  </w:style>
  <w:style w:type="paragraph" w:styleId="1059" w:customStyle="1">
    <w:name w:val="签名1"/>
    <w:basedOn w:val="812"/>
    <w:link w:val="1058"/>
    <w:uiPriority w:val="0"/>
    <w:qFormat/>
    <w:pPr>
      <w:ind w:left="100"/>
    </w:pPr>
    <w:rPr>
      <w:rFonts w:ascii="Tahoma" w:hAnsi="Tahoma"/>
      <w:szCs w:val="24"/>
    </w:rPr>
  </w:style>
  <w:style w:type="character" w:styleId="1060" w:customStyle="1">
    <w:name w:val="标题 Char"/>
    <w:link w:val="1061"/>
    <w:uiPriority w:val="10"/>
    <w:qFormat/>
    <w:rPr>
      <w:rFonts w:ascii="Arial" w:hAnsi="Arial" w:cs="Arial"/>
      <w:b/>
      <w:bCs/>
      <w:sz w:val="28"/>
      <w:szCs w:val="32"/>
    </w:rPr>
  </w:style>
  <w:style w:type="paragraph" w:styleId="1061" w:customStyle="1">
    <w:name w:val="标题11"/>
    <w:basedOn w:val="812"/>
    <w:next w:val="812"/>
    <w:link w:val="1060"/>
    <w:uiPriority w:val="10"/>
    <w:qFormat/>
    <w:pPr>
      <w:jc w:val="left"/>
      <w:spacing w:before="240" w:after="60" w:line="360" w:lineRule="auto"/>
      <w:outlineLvl w:val="0"/>
    </w:pPr>
    <w:rPr>
      <w:rFonts w:ascii="Arial" w:hAnsi="Arial"/>
      <w:b/>
      <w:bCs/>
      <w:sz w:val="28"/>
      <w:szCs w:val="32"/>
    </w:rPr>
  </w:style>
  <w:style w:type="character" w:styleId="1062" w:customStyle="1">
    <w:name w:val="font121"/>
    <w:link w:val="812"/>
    <w:uiPriority w:val="0"/>
    <w:qFormat/>
    <w:rPr>
      <w:rFonts w:hint="eastAsia" w:ascii="宋体" w:hAnsi="宋体" w:eastAsia="宋体" w:cs="宋体"/>
      <w:color w:val="000000"/>
      <w:sz w:val="24"/>
      <w:szCs w:val="24"/>
      <w:u w:val="single"/>
    </w:rPr>
  </w:style>
  <w:style w:type="character" w:styleId="1063" w:customStyle="1">
    <w:name w:val="表格用 Char"/>
    <w:link w:val="812"/>
    <w:uiPriority w:val="0"/>
    <w:qFormat/>
    <w:rPr>
      <w:rFonts w:ascii="Arial" w:hAnsi="Arial" w:cs="Arial"/>
      <w:color w:val="000000"/>
      <w:sz w:val="24"/>
    </w:rPr>
  </w:style>
  <w:style w:type="character" w:styleId="1064" w:customStyle="1">
    <w:name w:val="Char Char28"/>
    <w:link w:val="812"/>
    <w:uiPriority w:val="0"/>
    <w:qFormat/>
    <w:rPr>
      <w:rFonts w:ascii="Times New Roman" w:hAnsi="Times New Roman" w:eastAsia="宋体" w:cs="Times New Roman"/>
      <w:b/>
      <w:bCs/>
      <w:sz w:val="28"/>
      <w:szCs w:val="28"/>
      <w:lang w:val="en-US" w:eastAsia="zh-CN" w:bidi="ar-SA"/>
    </w:rPr>
  </w:style>
  <w:style w:type="character" w:styleId="1065" w:customStyle="1">
    <w:name w:val="11 Char"/>
    <w:link w:val="1066"/>
    <w:uiPriority w:val="0"/>
    <w:qFormat/>
    <w:rPr>
      <w:rFonts w:eastAsia="楷体_GB2312"/>
      <w:spacing w:val="8"/>
      <w:sz w:val="28"/>
    </w:rPr>
  </w:style>
  <w:style w:type="paragraph" w:styleId="1066" w:customStyle="1">
    <w:name w:val="11"/>
    <w:basedOn w:val="812"/>
    <w:link w:val="1065"/>
    <w:uiPriority w:val="0"/>
    <w:qFormat/>
    <w:pPr>
      <w:ind w:firstLine="592"/>
      <w:spacing w:line="480" w:lineRule="exact"/>
    </w:pPr>
    <w:rPr>
      <w:rFonts w:ascii="Calibri" w:hAnsi="Calibri" w:eastAsia="楷体_GB2312"/>
      <w:spacing w:val="8"/>
      <w:sz w:val="28"/>
      <w:szCs w:val="20"/>
    </w:rPr>
  </w:style>
  <w:style w:type="character" w:styleId="1067" w:customStyle="1">
    <w:name w:val="HTML 地址 Char"/>
    <w:link w:val="1068"/>
    <w:uiPriority w:val="0"/>
    <w:qFormat/>
    <w:rPr>
      <w:rFonts w:ascii="Tahoma" w:hAnsi="Tahoma"/>
      <w:i/>
      <w:iCs/>
      <w:sz w:val="21"/>
      <w:szCs w:val="24"/>
    </w:rPr>
  </w:style>
  <w:style w:type="paragraph" w:styleId="1068" w:customStyle="1">
    <w:name w:val="HTML 地址1"/>
    <w:basedOn w:val="812"/>
    <w:link w:val="1067"/>
    <w:uiPriority w:val="0"/>
    <w:qFormat/>
    <w:rPr>
      <w:rFonts w:ascii="Tahoma" w:hAnsi="Tahoma"/>
      <w:i/>
      <w:iCs/>
      <w:szCs w:val="24"/>
    </w:rPr>
  </w:style>
  <w:style w:type="character" w:styleId="1069" w:customStyle="1">
    <w:name w:val="Char Char21"/>
    <w:link w:val="812"/>
    <w:uiPriority w:val="0"/>
    <w:qFormat/>
    <w:rPr>
      <w:rFonts w:ascii="Times New Roman" w:hAnsi="Times New Roman" w:eastAsia="宋体" w:cs="Times New Roman"/>
      <w:sz w:val="24"/>
      <w:szCs w:val="24"/>
      <w:lang w:val="en-US" w:eastAsia="zh-CN" w:bidi="ar-SA"/>
    </w:rPr>
  </w:style>
  <w:style w:type="character" w:styleId="1070" w:customStyle="1">
    <w:name w:val="列表段落 字符1"/>
    <w:link w:val="812"/>
    <w:uiPriority w:val="34"/>
    <w:qFormat/>
    <w:rPr>
      <w:rFonts w:ascii="Times New Roman" w:hAnsi="Times New Roman" w:eastAsia="宋体" w:cs="Times New Roman"/>
      <w:sz w:val="24"/>
    </w:rPr>
  </w:style>
  <w:style w:type="character" w:styleId="1071" w:customStyle="1">
    <w:name w:val="题注 Char"/>
    <w:link w:val="1072"/>
    <w:uiPriority w:val="35"/>
    <w:qFormat/>
    <w:rPr>
      <w:rFonts w:ascii="宋体" w:hAnsi="宋体" w:cs="宋体"/>
      <w:sz w:val="18"/>
      <w:szCs w:val="18"/>
    </w:rPr>
  </w:style>
  <w:style w:type="paragraph" w:styleId="1072" w:customStyle="1">
    <w:name w:val="题注1"/>
    <w:basedOn w:val="812"/>
    <w:next w:val="812"/>
    <w:link w:val="1071"/>
    <w:uiPriority w:val="35"/>
    <w:qFormat/>
    <w:pPr>
      <w:ind w:firstLine="200"/>
      <w:jc w:val="center"/>
      <w:widowControl/>
    </w:pPr>
    <w:rPr>
      <w:sz w:val="18"/>
      <w:szCs w:val="18"/>
    </w:rPr>
  </w:style>
  <w:style w:type="character" w:styleId="1073" w:customStyle="1">
    <w:name w:val="报告正文 Char"/>
    <w:link w:val="1074"/>
    <w:uiPriority w:val="0"/>
    <w:qFormat/>
    <w:rPr>
      <w:sz w:val="24"/>
      <w:szCs w:val="24"/>
    </w:rPr>
  </w:style>
  <w:style w:type="paragraph" w:styleId="1074" w:customStyle="1">
    <w:name w:val="报告正文"/>
    <w:basedOn w:val="812"/>
    <w:link w:val="1073"/>
    <w:uiPriority w:val="0"/>
    <w:qFormat/>
    <w:pPr>
      <w:ind w:firstLine="1080"/>
      <w:spacing w:line="360" w:lineRule="auto"/>
    </w:pPr>
    <w:rPr>
      <w:rFonts w:ascii="Calibri" w:hAnsi="Calibri"/>
      <w:sz w:val="24"/>
      <w:szCs w:val="24"/>
    </w:rPr>
  </w:style>
  <w:style w:type="character" w:styleId="1075" w:customStyle="1">
    <w:name w:val="M标题1.1.1.1 Char"/>
    <w:link w:val="1076"/>
    <w:uiPriority w:val="0"/>
    <w:qFormat/>
    <w:rPr>
      <w:rFonts w:ascii="Cambria" w:hAnsi="Cambria" w:eastAsia="仿宋"/>
      <w:b/>
      <w:bCs/>
      <w:sz w:val="28"/>
      <w:szCs w:val="28"/>
    </w:rPr>
  </w:style>
  <w:style w:type="paragraph" w:styleId="1076" w:customStyle="1">
    <w:name w:val="M标题1.1.1.1"/>
    <w:basedOn w:val="1007"/>
    <w:link w:val="1075"/>
    <w:uiPriority w:val="0"/>
    <w:qFormat/>
    <w:pPr>
      <w:numPr>
        <w:ilvl w:val="0"/>
        <w:numId w:val="0"/>
      </w:numPr>
      <w:ind w:right="100"/>
      <w:spacing w:before="0" w:after="0" w:line="300" w:lineRule="auto"/>
      <w:tabs>
        <w:tab w:val="clear" w:pos="1440" w:leader="none"/>
      </w:tabs>
    </w:pPr>
    <w:rPr>
      <w:rFonts w:ascii="Cambria" w:hAnsi="Cambria" w:eastAsia="仿宋"/>
      <w:bCs/>
      <w:sz w:val="28"/>
      <w:szCs w:val="28"/>
    </w:rPr>
  </w:style>
  <w:style w:type="character" w:styleId="1077" w:customStyle="1">
    <w:name w:val="电子邮件签名 Char"/>
    <w:link w:val="1078"/>
    <w:uiPriority w:val="0"/>
    <w:qFormat/>
    <w:rPr>
      <w:rFonts w:ascii="Tahoma" w:hAnsi="Tahoma"/>
      <w:sz w:val="21"/>
      <w:szCs w:val="24"/>
    </w:rPr>
  </w:style>
  <w:style w:type="paragraph" w:styleId="1078" w:customStyle="1">
    <w:name w:val="电子邮件签名1"/>
    <w:basedOn w:val="812"/>
    <w:link w:val="1077"/>
    <w:uiPriority w:val="0"/>
    <w:qFormat/>
    <w:rPr>
      <w:rFonts w:ascii="Tahoma" w:hAnsi="Tahoma"/>
      <w:szCs w:val="24"/>
    </w:rPr>
  </w:style>
  <w:style w:type="character" w:styleId="1079" w:customStyle="1">
    <w:name w:val="页眉 Char1"/>
    <w:link w:val="812"/>
    <w:uiPriority w:val="99"/>
    <w:semiHidden/>
    <w:qFormat/>
    <w:rPr>
      <w:rFonts w:hint="eastAsia" w:ascii="宋体" w:hAnsi="宋体" w:eastAsia="宋体" w:cs="宋体"/>
      <w:sz w:val="18"/>
      <w:szCs w:val="18"/>
    </w:rPr>
  </w:style>
  <w:style w:type="character" w:styleId="1080" w:customStyle="1">
    <w:name w:val="应答文本 Char Char"/>
    <w:link w:val="1081"/>
    <w:uiPriority w:val="0"/>
    <w:qFormat/>
    <w:rPr>
      <w:rFonts w:ascii="宋体" w:hAnsi="宋体"/>
      <w:spacing w:val="4"/>
      <w:sz w:val="28"/>
      <w:szCs w:val="28"/>
    </w:rPr>
  </w:style>
  <w:style w:type="paragraph" w:styleId="1081" w:customStyle="1">
    <w:name w:val="应答文本"/>
    <w:basedOn w:val="812"/>
    <w:link w:val="1080"/>
    <w:uiPriority w:val="0"/>
    <w:qFormat/>
    <w:pPr>
      <w:ind w:left="720" w:firstLine="576"/>
      <w:spacing w:line="460" w:lineRule="exact"/>
    </w:pPr>
    <w:rPr>
      <w:spacing w:val="4"/>
      <w:sz w:val="28"/>
      <w:szCs w:val="28"/>
    </w:rPr>
  </w:style>
  <w:style w:type="character" w:styleId="1082" w:customStyle="1">
    <w:name w:val="样式3 Char"/>
    <w:link w:val="1083"/>
    <w:uiPriority w:val="0"/>
    <w:qFormat/>
    <w:rPr>
      <w:rFonts w:ascii="宋体" w:hAnsi="宋体"/>
      <w:sz w:val="24"/>
      <w:szCs w:val="24"/>
    </w:rPr>
  </w:style>
  <w:style w:type="paragraph" w:styleId="1083" w:customStyle="1">
    <w:name w:val="样式3"/>
    <w:basedOn w:val="1084"/>
    <w:link w:val="1082"/>
    <w:uiPriority w:val="0"/>
    <w:qFormat/>
    <w:pPr>
      <w:jc w:val="both"/>
      <w:widowControl w:val="off"/>
    </w:pPr>
    <w:rPr>
      <w:rFonts w:hAnsi="宋体"/>
      <w:sz w:val="24"/>
      <w:szCs w:val="24"/>
    </w:rPr>
  </w:style>
  <w:style w:type="paragraph" w:styleId="1084" w:customStyle="1">
    <w:name w:val="纯文本3"/>
    <w:basedOn w:val="812"/>
    <w:link w:val="1137"/>
    <w:uiPriority w:val="99"/>
    <w:qFormat/>
    <w:pPr>
      <w:jc w:val="left"/>
      <w:widowControl/>
    </w:pPr>
    <w:rPr>
      <w:rFonts w:hAnsi="Courier New"/>
    </w:rPr>
  </w:style>
  <w:style w:type="character" w:styleId="1085" w:customStyle="1">
    <w:name w:val="副标题 Char1"/>
    <w:link w:val="812"/>
    <w:uiPriority w:val="11"/>
    <w:qFormat/>
    <w:rPr>
      <w:rFonts w:ascii="等线 Light" w:hAnsi="等线 Light" w:eastAsia="宋体" w:cs="Times New Roman"/>
      <w:b/>
      <w:bCs/>
      <w:sz w:val="32"/>
      <w:szCs w:val="32"/>
    </w:rPr>
  </w:style>
  <w:style w:type="character" w:styleId="1086" w:customStyle="1">
    <w:name w:val="标题 Char1"/>
    <w:link w:val="812"/>
    <w:uiPriority w:val="10"/>
    <w:qFormat/>
    <w:rPr>
      <w:rFonts w:ascii="等线 Light" w:hAnsi="等线 Light" w:eastAsia="宋体" w:cs="Times New Roman"/>
      <w:b/>
      <w:bCs/>
      <w:sz w:val="32"/>
      <w:szCs w:val="32"/>
    </w:rPr>
  </w:style>
  <w:style w:type="character" w:styleId="1087" w:customStyle="1">
    <w:name w:val="p141"/>
    <w:link w:val="812"/>
    <w:uiPriority w:val="0"/>
    <w:qFormat/>
    <w:rPr>
      <w:color w:val="000000"/>
      <w:sz w:val="28"/>
      <w:szCs w:val="28"/>
      <w:u w:val="none"/>
    </w:rPr>
  </w:style>
  <w:style w:type="character" w:styleId="1088" w:customStyle="1">
    <w:name w:val="正文文本 Char1"/>
    <w:link w:val="812"/>
    <w:uiPriority w:val="0"/>
    <w:qFormat/>
    <w:rPr>
      <w:rFonts w:ascii="宋体" w:hAnsi="宋体" w:eastAsia="宋体" w:cs="宋体"/>
      <w:sz w:val="24"/>
      <w:szCs w:val="24"/>
    </w:rPr>
  </w:style>
  <w:style w:type="character" w:styleId="1089" w:customStyle="1">
    <w:name w:val="M标题1.1.1 Char"/>
    <w:link w:val="1090"/>
    <w:uiPriority w:val="0"/>
    <w:qFormat/>
    <w:rPr>
      <w:rFonts w:ascii="宋体" w:hAnsi="宋体" w:eastAsia="仿宋"/>
      <w:b/>
      <w:bCs/>
      <w:sz w:val="28"/>
      <w:szCs w:val="28"/>
    </w:rPr>
  </w:style>
  <w:style w:type="paragraph" w:styleId="1090" w:customStyle="1">
    <w:name w:val="M标题1.1.1"/>
    <w:basedOn w:val="1005"/>
    <w:link w:val="1089"/>
    <w:uiPriority w:val="0"/>
    <w:qFormat/>
    <w:pPr>
      <w:ind w:left="0" w:right="280" w:firstLine="0"/>
      <w:spacing w:before="0" w:after="0" w:line="360" w:lineRule="auto"/>
      <w:tabs>
        <w:tab w:val="clear" w:pos="1080" w:leader="none"/>
      </w:tabs>
    </w:pPr>
    <w:rPr>
      <w:rFonts w:ascii="宋体" w:hAnsi="宋体" w:eastAsia="仿宋"/>
      <w:bCs/>
      <w:sz w:val="28"/>
      <w:szCs w:val="28"/>
    </w:rPr>
  </w:style>
  <w:style w:type="character" w:styleId="1091" w:customStyle="1">
    <w:name w:val="apple-converted-space"/>
    <w:link w:val="812"/>
    <w:uiPriority w:val="0"/>
    <w:qFormat/>
  </w:style>
  <w:style w:type="character" w:styleId="1092" w:customStyle="1">
    <w:name w:val="Char Char23"/>
    <w:link w:val="812"/>
    <w:uiPriority w:val="0"/>
    <w:qFormat/>
    <w:rPr>
      <w:rFonts w:ascii="Tahoma" w:hAnsi="Tahoma" w:eastAsia="宋体"/>
      <w:sz w:val="18"/>
      <w:szCs w:val="18"/>
      <w:lang w:val="en-US" w:eastAsia="zh-CN" w:bidi="ar-SA"/>
    </w:rPr>
  </w:style>
  <w:style w:type="character" w:styleId="1093" w:customStyle="1">
    <w:name w:val="图片 Char Char"/>
    <w:link w:val="1094"/>
    <w:uiPriority w:val="0"/>
    <w:qFormat/>
    <w:rPr>
      <w:sz w:val="24"/>
      <w:szCs w:val="24"/>
    </w:rPr>
  </w:style>
  <w:style w:type="paragraph" w:styleId="1094" w:customStyle="1">
    <w:name w:val="图片"/>
    <w:basedOn w:val="812"/>
    <w:link w:val="1093"/>
    <w:uiPriority w:val="0"/>
    <w:qFormat/>
    <w:pPr>
      <w:ind w:left="-283" w:hanging="142"/>
      <w:jc w:val="center"/>
      <w:spacing w:line="360" w:lineRule="auto"/>
      <w:widowControl/>
    </w:pPr>
    <w:rPr>
      <w:rFonts w:ascii="Calibri" w:hAnsi="Calibri"/>
      <w:sz w:val="24"/>
      <w:szCs w:val="24"/>
    </w:rPr>
  </w:style>
  <w:style w:type="character" w:styleId="1095" w:customStyle="1">
    <w:name w:val="标题 4 Char"/>
    <w:link w:val="1007"/>
    <w:uiPriority w:val="0"/>
    <w:qFormat/>
    <w:rPr>
      <w:rFonts w:ascii="Arial" w:hAnsi="Arial"/>
      <w:b/>
      <w:sz w:val="21"/>
    </w:rPr>
  </w:style>
  <w:style w:type="character" w:styleId="1096" w:customStyle="1">
    <w:name w:val="批注主题 Char1"/>
    <w:link w:val="1097"/>
    <w:uiPriority w:val="99"/>
    <w:semiHidden/>
    <w:qFormat/>
    <w:rPr>
      <w:rFonts w:ascii="Arial" w:hAnsi="Arial"/>
      <w:b/>
      <w:bCs/>
      <w:sz w:val="21"/>
      <w:szCs w:val="21"/>
    </w:rPr>
  </w:style>
  <w:style w:type="paragraph" w:styleId="1097" w:customStyle="1">
    <w:name w:val="批注主题2"/>
    <w:basedOn w:val="1098"/>
    <w:next w:val="1098"/>
    <w:link w:val="1096"/>
    <w:uiPriority w:val="99"/>
    <w:qFormat/>
    <w:rPr>
      <w:b/>
      <w:bCs/>
    </w:rPr>
  </w:style>
  <w:style w:type="paragraph" w:styleId="1098" w:customStyle="1">
    <w:name w:val="批注文字1"/>
    <w:basedOn w:val="812"/>
    <w:link w:val="1131"/>
    <w:uiPriority w:val="0"/>
    <w:qFormat/>
    <w:pPr>
      <w:jc w:val="left"/>
      <w:spacing w:line="360" w:lineRule="auto"/>
    </w:pPr>
    <w:rPr>
      <w:rFonts w:ascii="Arial" w:hAnsi="Arial"/>
    </w:rPr>
  </w:style>
  <w:style w:type="character" w:styleId="1099" w:customStyle="1">
    <w:name w:val="表头 Char"/>
    <w:link w:val="1100"/>
    <w:uiPriority w:val="0"/>
    <w:qFormat/>
    <w:rPr>
      <w:rFonts w:ascii="Tahoma" w:hAnsi="Tahoma" w:eastAsia="黑体"/>
      <w:spacing w:val="-10"/>
      <w:sz w:val="21"/>
      <w:szCs w:val="24"/>
    </w:rPr>
  </w:style>
  <w:style w:type="paragraph" w:styleId="1100" w:customStyle="1">
    <w:name w:val="表头"/>
    <w:basedOn w:val="812"/>
    <w:link w:val="1099"/>
    <w:uiPriority w:val="0"/>
    <w:qFormat/>
    <w:pPr>
      <w:jc w:val="center"/>
      <w:spacing w:line="320" w:lineRule="atLeast"/>
    </w:pPr>
    <w:rPr>
      <w:rFonts w:ascii="Tahoma" w:hAnsi="Tahoma" w:eastAsia="黑体"/>
      <w:spacing w:val="-10"/>
      <w:szCs w:val="24"/>
    </w:rPr>
  </w:style>
  <w:style w:type="character" w:styleId="1101" w:customStyle="1">
    <w:name w:val="current"/>
    <w:link w:val="812"/>
    <w:uiPriority w:val="0"/>
    <w:qFormat/>
    <w:rPr>
      <w:b/>
      <w:color w:val="05a7d8"/>
      <w:sz w:val="18"/>
      <w:szCs w:val="18"/>
    </w:rPr>
  </w:style>
  <w:style w:type="character" w:styleId="1102" w:customStyle="1">
    <w:name w:val="标题 4 Char1"/>
    <w:link w:val="812"/>
    <w:uiPriority w:val="9"/>
    <w:semiHidden/>
    <w:qFormat/>
    <w:rPr>
      <w:rFonts w:ascii="Cambria" w:hAnsi="Cambria" w:eastAsia="宋体" w:cs="Times New Roman"/>
      <w:b/>
      <w:bCs/>
      <w:sz w:val="28"/>
      <w:szCs w:val="28"/>
    </w:rPr>
  </w:style>
  <w:style w:type="character" w:styleId="1103" w:customStyle="1">
    <w:name w:val="headline-content2"/>
    <w:link w:val="812"/>
    <w:uiPriority w:val="0"/>
    <w:qFormat/>
  </w:style>
  <w:style w:type="character" w:styleId="1104" w:customStyle="1">
    <w:name w:val="case31"/>
    <w:link w:val="812"/>
    <w:uiPriority w:val="0"/>
    <w:qFormat/>
    <w:rPr>
      <w:spacing w:val="390"/>
      <w:sz w:val="21"/>
      <w:szCs w:val="21"/>
    </w:rPr>
  </w:style>
  <w:style w:type="character" w:styleId="1105" w:customStyle="1">
    <w:name w:val="文档结构图 Char1"/>
    <w:link w:val="1106"/>
    <w:uiPriority w:val="0"/>
    <w:semiHidden/>
    <w:qFormat/>
    <w:rPr>
      <w:rFonts w:ascii="宋体" w:hAnsi="宋体"/>
      <w:sz w:val="24"/>
      <w:szCs w:val="24"/>
      <w:shd w:val="clear" w:color="auto" w:fill="000080"/>
    </w:rPr>
  </w:style>
  <w:style w:type="paragraph" w:styleId="1106" w:customStyle="1">
    <w:name w:val="文档结构图2"/>
    <w:basedOn w:val="812"/>
    <w:link w:val="1105"/>
    <w:uiPriority w:val="0"/>
    <w:qFormat/>
    <w:pPr>
      <w:shd w:val="clear" w:color="auto" w:fill="000080"/>
    </w:pPr>
    <w:rPr>
      <w:sz w:val="24"/>
      <w:szCs w:val="24"/>
    </w:rPr>
  </w:style>
  <w:style w:type="character" w:styleId="1107" w:customStyle="1">
    <w:name w:val="批注主题 Char"/>
    <w:link w:val="1108"/>
    <w:uiPriority w:val="99"/>
    <w:qFormat/>
    <w:rPr>
      <w:rFonts w:ascii="宋体" w:hAnsi="宋体" w:cs="宋体"/>
      <w:b/>
      <w:bCs/>
      <w:sz w:val="24"/>
      <w:szCs w:val="24"/>
    </w:rPr>
  </w:style>
  <w:style w:type="paragraph" w:styleId="1108" w:customStyle="1">
    <w:name w:val="批注主题1"/>
    <w:basedOn w:val="1098"/>
    <w:next w:val="1098"/>
    <w:link w:val="1107"/>
    <w:uiPriority w:val="99"/>
    <w:qFormat/>
    <w:pPr>
      <w:ind w:firstLine="200"/>
      <w:widowControl/>
    </w:pPr>
    <w:rPr>
      <w:rFonts w:ascii="宋体" w:hAnsi="宋体"/>
      <w:b/>
      <w:bCs/>
      <w:sz w:val="24"/>
      <w:szCs w:val="24"/>
    </w:rPr>
  </w:style>
  <w:style w:type="character" w:styleId="1109" w:customStyle="1">
    <w:name w:val="正文（环） Char"/>
    <w:link w:val="1110"/>
    <w:uiPriority w:val="0"/>
    <w:qFormat/>
    <w:rPr>
      <w:rFonts w:ascii="Arial" w:hAnsi="Arial" w:eastAsia="等线"/>
      <w:sz w:val="24"/>
      <w:szCs w:val="24"/>
    </w:rPr>
  </w:style>
  <w:style w:type="paragraph" w:styleId="1110" w:customStyle="1">
    <w:name w:val="正文（环）"/>
    <w:basedOn w:val="812"/>
    <w:link w:val="1109"/>
    <w:uiPriority w:val="0"/>
    <w:qFormat/>
    <w:pPr>
      <w:ind w:firstLine="440"/>
      <w:jc w:val="left"/>
      <w:spacing w:before="120" w:line="560" w:lineRule="exact"/>
      <w:widowControl/>
    </w:pPr>
    <w:rPr>
      <w:rFonts w:ascii="Arial" w:hAnsi="Arial" w:eastAsia="等线"/>
      <w:sz w:val="24"/>
      <w:szCs w:val="24"/>
    </w:rPr>
  </w:style>
  <w:style w:type="character" w:styleId="1111" w:customStyle="1">
    <w:name w:val="图标题 Char"/>
    <w:link w:val="1112"/>
    <w:uiPriority w:val="0"/>
    <w:qFormat/>
    <w:rPr>
      <w:rFonts w:ascii="黑体" w:eastAsia="黑体"/>
      <w:b/>
      <w:sz w:val="24"/>
      <w:szCs w:val="21"/>
    </w:rPr>
  </w:style>
  <w:style w:type="paragraph" w:styleId="1112" w:customStyle="1">
    <w:name w:val="图标题"/>
    <w:basedOn w:val="812"/>
    <w:link w:val="1111"/>
    <w:uiPriority w:val="0"/>
    <w:qFormat/>
    <w:pPr>
      <w:ind w:firstLine="200"/>
      <w:jc w:val="center"/>
      <w:spacing w:line="360" w:lineRule="auto"/>
    </w:pPr>
    <w:rPr>
      <w:rFonts w:ascii="黑体" w:hAnsi="Calibri" w:eastAsia="黑体"/>
      <w:b/>
      <w:sz w:val="24"/>
    </w:rPr>
  </w:style>
  <w:style w:type="character" w:styleId="1113" w:customStyle="1">
    <w:name w:val="表格1"/>
    <w:link w:val="812"/>
    <w:uiPriority w:val="0"/>
    <w:qFormat/>
    <w:rPr>
      <w:rFonts w:hAnsi="宋体" w:eastAsia="Times New Roman"/>
      <w:sz w:val="21"/>
    </w:rPr>
  </w:style>
  <w:style w:type="character" w:styleId="1114" w:customStyle="1">
    <w:name w:val="Char Char121"/>
    <w:link w:val="812"/>
    <w:uiPriority w:val="0"/>
    <w:qFormat/>
    <w:rPr>
      <w:rFonts w:ascii="宋体" w:hAnsi="Courier New" w:eastAsia="宋体" w:cs="Courier New"/>
      <w:sz w:val="24"/>
      <w:szCs w:val="21"/>
      <w:lang w:val="en-US" w:eastAsia="zh-CN" w:bidi="ar-SA"/>
    </w:rPr>
  </w:style>
  <w:style w:type="character" w:styleId="1115" w:customStyle="1">
    <w:name w:val="表格 Char Char"/>
    <w:link w:val="812"/>
    <w:uiPriority w:val="0"/>
    <w:qFormat/>
    <w:rPr>
      <w:rFonts w:hint="eastAsia" w:ascii="宋体" w:hAnsi="宋体" w:eastAsia="宋体"/>
      <w:lang w:bidi="ar-SA"/>
    </w:rPr>
  </w:style>
  <w:style w:type="character" w:styleId="1116" w:customStyle="1">
    <w:name w:val="称呼 Char"/>
    <w:link w:val="1117"/>
    <w:uiPriority w:val="0"/>
    <w:qFormat/>
    <w:rPr>
      <w:rFonts w:ascii="Tahoma" w:hAnsi="Tahoma"/>
      <w:sz w:val="21"/>
      <w:szCs w:val="24"/>
    </w:rPr>
  </w:style>
  <w:style w:type="paragraph" w:styleId="1117" w:customStyle="1">
    <w:name w:val="称呼1"/>
    <w:basedOn w:val="812"/>
    <w:next w:val="812"/>
    <w:link w:val="1116"/>
    <w:uiPriority w:val="0"/>
    <w:qFormat/>
    <w:rPr>
      <w:rFonts w:ascii="Tahoma" w:hAnsi="Tahoma"/>
      <w:szCs w:val="24"/>
    </w:rPr>
  </w:style>
  <w:style w:type="character" w:styleId="1118" w:customStyle="1">
    <w:name w:val="Char Char24"/>
    <w:link w:val="812"/>
    <w:uiPriority w:val="0"/>
    <w:qFormat/>
    <w:rPr>
      <w:rFonts w:ascii="Arial" w:hAnsi="Arial" w:eastAsia="黑体" w:cs="Times New Roman"/>
      <w:sz w:val="24"/>
      <w:szCs w:val="21"/>
      <w:lang w:val="en-US" w:eastAsia="zh-CN" w:bidi="ar-SA"/>
    </w:rPr>
  </w:style>
  <w:style w:type="character" w:styleId="1119" w:customStyle="1">
    <w:name w:val="脚注引用1"/>
    <w:link w:val="812"/>
    <w:uiPriority w:val="0"/>
    <w:qFormat/>
    <w:rPr>
      <w:rFonts w:ascii="Tahoma" w:hAnsi="Tahoma" w:eastAsia="宋体"/>
      <w:sz w:val="24"/>
      <w:szCs w:val="24"/>
      <w:vertAlign w:val="superscript"/>
      <w:lang w:val="en-US" w:eastAsia="zh-CN" w:bidi="ar-SA"/>
    </w:rPr>
  </w:style>
  <w:style w:type="character" w:styleId="1120" w:customStyle="1">
    <w:name w:val="文档结构图 Char"/>
    <w:link w:val="1121"/>
    <w:uiPriority w:val="99"/>
    <w:qFormat/>
    <w:rPr>
      <w:rFonts w:ascii="宋体" w:hAnsi="宋体" w:cs="宋体"/>
      <w:sz w:val="18"/>
      <w:szCs w:val="18"/>
    </w:rPr>
  </w:style>
  <w:style w:type="paragraph" w:styleId="1121" w:customStyle="1">
    <w:name w:val="文档结构图1"/>
    <w:basedOn w:val="812"/>
    <w:link w:val="1120"/>
    <w:uiPriority w:val="99"/>
    <w:qFormat/>
    <w:pPr>
      <w:ind w:firstLine="200"/>
      <w:jc w:val="left"/>
      <w:spacing w:line="360" w:lineRule="auto"/>
      <w:widowControl/>
    </w:pPr>
    <w:rPr>
      <w:sz w:val="18"/>
      <w:szCs w:val="18"/>
    </w:rPr>
  </w:style>
  <w:style w:type="character" w:styleId="1122" w:customStyle="1">
    <w:name w:val="Char Char12"/>
    <w:link w:val="812"/>
    <w:uiPriority w:val="0"/>
    <w:qFormat/>
    <w:rPr>
      <w:rFonts w:hint="eastAsia" w:ascii="宋体" w:hAnsi="宋体" w:eastAsia="宋体"/>
      <w:sz w:val="24"/>
      <w:szCs w:val="24"/>
    </w:rPr>
  </w:style>
  <w:style w:type="character" w:styleId="1123" w:customStyle="1">
    <w:name w:val="图注 Char Char"/>
    <w:link w:val="1124"/>
    <w:uiPriority w:val="0"/>
    <w:qFormat/>
    <w:rPr>
      <w:rFonts w:ascii="宋体" w:hAnsi="宋体"/>
    </w:rPr>
  </w:style>
  <w:style w:type="paragraph" w:styleId="1124" w:customStyle="1">
    <w:name w:val="图注"/>
    <w:basedOn w:val="1072"/>
    <w:link w:val="1123"/>
    <w:uiPriority w:val="0"/>
    <w:qFormat/>
    <w:pPr>
      <w:ind w:firstLine="360"/>
    </w:pPr>
    <w:rPr>
      <w:sz w:val="20"/>
      <w:szCs w:val="20"/>
    </w:rPr>
  </w:style>
  <w:style w:type="character" w:styleId="1125" w:customStyle="1">
    <w:name w:val="InfoBlue Char Char"/>
    <w:link w:val="1126"/>
    <w:uiPriority w:val="0"/>
    <w:qFormat/>
    <w:rPr>
      <w:rFonts w:ascii="Arial" w:hAnsi="Arial"/>
      <w:iCs/>
      <w:color w:val="000000"/>
      <w:szCs w:val="21"/>
    </w:rPr>
  </w:style>
  <w:style w:type="paragraph" w:styleId="1126" w:customStyle="1">
    <w:name w:val="InfoBlue"/>
    <w:basedOn w:val="812"/>
    <w:next w:val="1034"/>
    <w:link w:val="1125"/>
    <w:uiPriority w:val="0"/>
    <w:qFormat/>
    <w:pPr>
      <w:ind w:left="-120" w:right="210" w:hanging="252"/>
      <w:jc w:val="left"/>
      <w:spacing w:line="240" w:lineRule="atLeast"/>
      <w:tabs>
        <w:tab w:val="left" w:pos="1260" w:leader="none"/>
      </w:tabs>
    </w:pPr>
    <w:rPr>
      <w:rFonts w:ascii="Arial" w:hAnsi="Arial"/>
      <w:iCs/>
      <w:color w:val="000000"/>
      <w:sz w:val="20"/>
    </w:rPr>
  </w:style>
  <w:style w:type="character" w:styleId="1127" w:customStyle="1">
    <w:name w:val="表格居中加粗 字符"/>
    <w:link w:val="1128"/>
    <w:uiPriority w:val="0"/>
    <w:qFormat/>
    <w:rPr>
      <w:b/>
      <w:sz w:val="24"/>
      <w:szCs w:val="24"/>
      <w:shd w:val="clear" w:color="auto" w:fill="ffffff"/>
      <w:lang w:eastAsia="en-US" w:bidi="en-US"/>
    </w:rPr>
  </w:style>
  <w:style w:type="paragraph" w:styleId="1128" w:customStyle="1">
    <w:name w:val="表格居中加粗"/>
    <w:basedOn w:val="812"/>
    <w:link w:val="1127"/>
    <w:uiPriority w:val="0"/>
    <w:qFormat/>
    <w:pPr>
      <w:jc w:val="center"/>
      <w:shd w:val="clear" w:color="auto" w:fill="ffffff"/>
      <w:widowControl/>
    </w:pPr>
    <w:rPr>
      <w:rFonts w:ascii="Calibri" w:hAnsi="Calibri"/>
      <w:b/>
      <w:sz w:val="24"/>
      <w:szCs w:val="24"/>
      <w:lang w:eastAsia="en-US" w:bidi="en-US"/>
    </w:rPr>
  </w:style>
  <w:style w:type="character" w:styleId="1129" w:customStyle="1">
    <w:name w:val="my正文 Char"/>
    <w:link w:val="1130"/>
    <w:uiPriority w:val="0"/>
    <w:qFormat/>
    <w:rPr>
      <w:sz w:val="24"/>
      <w:szCs w:val="24"/>
    </w:rPr>
  </w:style>
  <w:style w:type="paragraph" w:styleId="1130" w:customStyle="1">
    <w:name w:val="my正文"/>
    <w:basedOn w:val="812"/>
    <w:link w:val="1129"/>
    <w:uiPriority w:val="0"/>
    <w:qFormat/>
    <w:pPr>
      <w:ind w:firstLine="480"/>
      <w:spacing w:line="360" w:lineRule="auto"/>
    </w:pPr>
    <w:rPr>
      <w:rFonts w:ascii="Calibri" w:hAnsi="Calibri"/>
      <w:sz w:val="24"/>
      <w:szCs w:val="24"/>
    </w:rPr>
  </w:style>
  <w:style w:type="character" w:styleId="1131" w:customStyle="1">
    <w:name w:val="批注文字 Char"/>
    <w:link w:val="1098"/>
    <w:uiPriority w:val="0"/>
    <w:qFormat/>
    <w:rPr>
      <w:rFonts w:ascii="Arial" w:hAnsi="Arial"/>
      <w:sz w:val="21"/>
      <w:szCs w:val="21"/>
    </w:rPr>
  </w:style>
  <w:style w:type="character" w:styleId="1132" w:customStyle="1">
    <w:name w:val="Char Char29"/>
    <w:link w:val="812"/>
    <w:uiPriority w:val="0"/>
    <w:qFormat/>
    <w:rPr>
      <w:rFonts w:ascii="Arial" w:hAnsi="Arial" w:eastAsia="黑体" w:cs="Times New Roman"/>
      <w:b/>
      <w:bCs/>
      <w:sz w:val="28"/>
      <w:szCs w:val="28"/>
      <w:lang w:val="en-US" w:eastAsia="zh-CN" w:bidi="ar-SA"/>
    </w:rPr>
  </w:style>
  <w:style w:type="character" w:styleId="1133" w:customStyle="1">
    <w:name w:val="正文缩进 Char1"/>
    <w:link w:val="812"/>
    <w:uiPriority w:val="0"/>
    <w:qFormat/>
    <w:rPr>
      <w:rFonts w:ascii="Times New Roman" w:hAnsi="Times New Roman" w:eastAsia="宋体" w:cs="Times New Roman"/>
      <w:szCs w:val="20"/>
    </w:rPr>
  </w:style>
  <w:style w:type="character" w:styleId="1134" w:customStyle="1">
    <w:name w:val="yf标题1 Char"/>
    <w:link w:val="1135"/>
    <w:uiPriority w:val="0"/>
    <w:qFormat/>
    <w:rPr>
      <w:b/>
      <w:bCs/>
      <w:sz w:val="44"/>
      <w:szCs w:val="44"/>
    </w:rPr>
  </w:style>
  <w:style w:type="paragraph" w:styleId="1135" w:customStyle="1">
    <w:name w:val="yf标题1"/>
    <w:basedOn w:val="812"/>
    <w:link w:val="1134"/>
    <w:uiPriority w:val="0"/>
    <w:qFormat/>
    <w:pPr>
      <w:numPr>
        <w:ilvl w:val="0"/>
        <w:numId w:val="3"/>
      </w:numPr>
      <w:ind w:firstLine="200"/>
      <w:jc w:val="center"/>
      <w:keepLines/>
      <w:keepNext/>
      <w:spacing w:line="480" w:lineRule="auto"/>
      <w:outlineLvl w:val="0"/>
    </w:pPr>
    <w:rPr>
      <w:rFonts w:ascii="Times New Roman" w:hAnsi="Times New Roman"/>
      <w:b/>
      <w:bCs/>
      <w:sz w:val="44"/>
      <w:szCs w:val="44"/>
    </w:rPr>
  </w:style>
  <w:style w:type="character" w:styleId="1136" w:customStyle="1">
    <w:name w:val="Char Char31"/>
    <w:link w:val="812"/>
    <w:uiPriority w:val="0"/>
    <w:qFormat/>
    <w:rPr>
      <w:rFonts w:ascii="Arial" w:hAnsi="Arial" w:eastAsia="黑体" w:cs="Times New Roman"/>
      <w:b/>
      <w:bCs/>
      <w:sz w:val="32"/>
      <w:szCs w:val="32"/>
      <w:lang w:val="en-US" w:eastAsia="zh-CN" w:bidi="ar-SA"/>
    </w:rPr>
  </w:style>
  <w:style w:type="character" w:styleId="1137" w:customStyle="1">
    <w:name w:val="纯文本 Char"/>
    <w:link w:val="1084"/>
    <w:uiPriority w:val="99"/>
    <w:qFormat/>
    <w:rPr>
      <w:rFonts w:ascii="宋体" w:hAnsi="Courier New"/>
      <w:sz w:val="21"/>
      <w:szCs w:val="21"/>
    </w:rPr>
  </w:style>
  <w:style w:type="character" w:styleId="1138" w:customStyle="1">
    <w:name w:val="纯文本 字符"/>
    <w:link w:val="812"/>
    <w:uiPriority w:val="0"/>
    <w:qFormat/>
    <w:rPr>
      <w:rFonts w:ascii="等线" w:hAnsi="Courier New" w:cs="Courier New"/>
      <w:sz w:val="24"/>
      <w:szCs w:val="24"/>
    </w:rPr>
  </w:style>
  <w:style w:type="character" w:styleId="1139" w:customStyle="1">
    <w:name w:val="main"/>
    <w:link w:val="812"/>
    <w:uiPriority w:val="0"/>
    <w:qFormat/>
  </w:style>
  <w:style w:type="character" w:styleId="1140" w:customStyle="1">
    <w:name w:val="bz_标题 2 Char"/>
    <w:link w:val="1141"/>
    <w:uiPriority w:val="0"/>
    <w:qFormat/>
    <w:rPr>
      <w:rFonts w:ascii="Arial" w:hAnsi="Arial" w:eastAsia="黑体"/>
      <w:b/>
      <w:bCs/>
      <w:sz w:val="32"/>
    </w:rPr>
  </w:style>
  <w:style w:type="paragraph" w:styleId="1141" w:customStyle="1">
    <w:name w:val="bz_标题 2"/>
    <w:basedOn w:val="1004"/>
    <w:link w:val="1140"/>
    <w:uiPriority w:val="0"/>
    <w:qFormat/>
    <w:pPr>
      <w:numPr>
        <w:ilvl w:val="0"/>
        <w:numId w:val="0"/>
      </w:numPr>
      <w:ind w:left="142"/>
      <w:jc w:val="left"/>
      <w:spacing w:before="0" w:after="0" w:line="300" w:lineRule="auto"/>
      <w:tabs>
        <w:tab w:val="clear" w:pos="576" w:leader="none"/>
      </w:tabs>
    </w:pPr>
    <w:rPr>
      <w:bCs/>
    </w:rPr>
  </w:style>
  <w:style w:type="character" w:styleId="1142" w:customStyle="1">
    <w:name w:val="页码11"/>
    <w:link w:val="812"/>
    <w:uiPriority w:val="0"/>
    <w:qFormat/>
  </w:style>
  <w:style w:type="character" w:styleId="1143" w:customStyle="1">
    <w:name w:val="结束语 Char"/>
    <w:link w:val="1144"/>
    <w:uiPriority w:val="0"/>
    <w:qFormat/>
    <w:rPr>
      <w:rFonts w:ascii="Tahoma" w:hAnsi="Tahoma"/>
      <w:sz w:val="21"/>
      <w:szCs w:val="24"/>
    </w:rPr>
  </w:style>
  <w:style w:type="paragraph" w:styleId="1144" w:customStyle="1">
    <w:name w:val="结束语1"/>
    <w:basedOn w:val="812"/>
    <w:link w:val="1143"/>
    <w:uiPriority w:val="0"/>
    <w:qFormat/>
    <w:pPr>
      <w:ind w:left="100"/>
    </w:pPr>
    <w:rPr>
      <w:rFonts w:ascii="Tahoma" w:hAnsi="Tahoma"/>
      <w:szCs w:val="24"/>
    </w:rPr>
  </w:style>
  <w:style w:type="character" w:styleId="1145" w:customStyle="1">
    <w:name w:val="已访问的超链接1"/>
    <w:link w:val="812"/>
    <w:uiPriority w:val="99"/>
    <w:qFormat/>
    <w:rPr>
      <w:color w:val="800080"/>
      <w:u w:val="single"/>
    </w:rPr>
  </w:style>
  <w:style w:type="character" w:styleId="1146" w:customStyle="1">
    <w:name w:val="正文（首行缩进 2 字符） Char Char"/>
    <w:link w:val="1147"/>
    <w:uiPriority w:val="0"/>
    <w:qFormat/>
    <w:rPr>
      <w:sz w:val="24"/>
      <w:szCs w:val="28"/>
    </w:rPr>
  </w:style>
  <w:style w:type="paragraph" w:styleId="1147" w:customStyle="1">
    <w:name w:val="正文（首行缩进 2 字符）"/>
    <w:basedOn w:val="1026"/>
    <w:link w:val="1146"/>
    <w:uiPriority w:val="0"/>
    <w:qFormat/>
    <w:pPr>
      <w:ind w:firstLine="480"/>
      <w:jc w:val="center"/>
      <w:spacing w:line="300" w:lineRule="auto"/>
    </w:pPr>
    <w:rPr>
      <w:rFonts w:ascii="Calibri" w:hAnsi="Calibri"/>
      <w:szCs w:val="28"/>
    </w:rPr>
  </w:style>
  <w:style w:type="character" w:styleId="1148" w:customStyle="1">
    <w:name w:val="超链接1"/>
    <w:link w:val="812"/>
    <w:uiPriority w:val="99"/>
    <w:qFormat/>
    <w:rPr>
      <w:color w:val="0000ff"/>
      <w:u w:val="single"/>
    </w:rPr>
  </w:style>
  <w:style w:type="character" w:styleId="1149" w:customStyle="1">
    <w:name w:val="批注引用11"/>
    <w:link w:val="812"/>
    <w:uiPriority w:val="99"/>
    <w:qFormat/>
    <w:rPr>
      <w:sz w:val="21"/>
      <w:szCs w:val="21"/>
    </w:rPr>
  </w:style>
  <w:style w:type="character" w:styleId="1150" w:customStyle="1">
    <w:name w:val="图片 Char"/>
    <w:link w:val="812"/>
    <w:uiPriority w:val="0"/>
    <w:qFormat/>
    <w:rPr>
      <w:rFonts w:ascii="宋体" w:hAnsi="宋体" w:eastAsia="宋体" w:cs="宋体"/>
      <w:sz w:val="24"/>
      <w:szCs w:val="24"/>
      <w:lang w:val="en-US" w:eastAsia="zh-CN"/>
    </w:rPr>
  </w:style>
  <w:style w:type="character" w:styleId="1151" w:customStyle="1">
    <w:name w:val="日期 Char1"/>
    <w:link w:val="812"/>
    <w:uiPriority w:val="99"/>
    <w:qFormat/>
    <w:rPr>
      <w:rFonts w:hint="eastAsia" w:ascii="宋体" w:hAnsi="宋体" w:eastAsia="宋体" w:cs="宋体"/>
      <w:sz w:val="24"/>
      <w:szCs w:val="24"/>
    </w:rPr>
  </w:style>
  <w:style w:type="character" w:styleId="1152" w:customStyle="1">
    <w:name w:val="抬头 字符"/>
    <w:link w:val="1153"/>
    <w:uiPriority w:val="0"/>
    <w:qFormat/>
    <w:rPr>
      <w:sz w:val="24"/>
      <w:szCs w:val="24"/>
    </w:rPr>
  </w:style>
  <w:style w:type="paragraph" w:styleId="1153" w:customStyle="1">
    <w:name w:val="抬头"/>
    <w:basedOn w:val="812"/>
    <w:link w:val="1152"/>
    <w:uiPriority w:val="0"/>
    <w:qFormat/>
    <w:pPr>
      <w:spacing w:line="360" w:lineRule="auto"/>
    </w:pPr>
    <w:rPr>
      <w:rFonts w:ascii="Calibri" w:hAnsi="Calibri"/>
      <w:sz w:val="24"/>
      <w:szCs w:val="24"/>
    </w:rPr>
  </w:style>
  <w:style w:type="character" w:styleId="1154" w:customStyle="1">
    <w:name w:val="18h1"/>
    <w:link w:val="812"/>
    <w:uiPriority w:val="0"/>
    <w:qFormat/>
    <w:rPr>
      <w:color w:val="3b3b3b"/>
    </w:rPr>
  </w:style>
  <w:style w:type="character" w:styleId="1155" w:customStyle="1">
    <w:name w:val="信息标题 Char2"/>
    <w:link w:val="812"/>
    <w:uiPriority w:val="0"/>
    <w:qFormat/>
    <w:rPr>
      <w:rFonts w:ascii="Cambria" w:hAnsi="Cambria" w:eastAsia="宋体" w:cs="Times New Roman"/>
      <w:sz w:val="24"/>
      <w:szCs w:val="24"/>
      <w:shd w:val="pct20" w:color="auto" w:fill="auto"/>
    </w:rPr>
  </w:style>
  <w:style w:type="character" w:styleId="1156" w:customStyle="1">
    <w:name w:val="样式 标题 3一1h33rd levelBold HeadbhH3level_3PIM 3Level 3 H... Char"/>
    <w:link w:val="1157"/>
    <w:uiPriority w:val="0"/>
    <w:qFormat/>
    <w:rPr>
      <w:rFonts w:ascii="仿宋_GB2312" w:hAnsi="仿宋_GB2312" w:eastAsia="仿宋_GB2312"/>
      <w:b/>
      <w:bCs/>
      <w:color w:val="333333"/>
      <w:sz w:val="28"/>
      <w:szCs w:val="21"/>
    </w:rPr>
  </w:style>
  <w:style w:type="paragraph" w:styleId="1157" w:customStyle="1">
    <w:name w:val="样式 标题 3一1h33rd levelBold HeadbhH3level_3PIM 3Level 3 H..."/>
    <w:basedOn w:val="1005"/>
    <w:link w:val="1156"/>
    <w:uiPriority w:val="0"/>
    <w:qFormat/>
    <w:pPr>
      <w:numPr>
        <w:ilvl w:val="2"/>
        <w:numId w:val="0"/>
      </w:numPr>
      <w:ind w:left="1996" w:firstLine="200"/>
      <w:jc w:val="left"/>
      <w:keepNext w:val="0"/>
      <w:spacing w:before="0" w:after="0" w:line="240" w:lineRule="auto"/>
      <w:tabs>
        <w:tab w:val="clear" w:pos="1080" w:leader="none"/>
      </w:tabs>
    </w:pPr>
    <w:rPr>
      <w:rFonts w:ascii="仿宋_GB2312" w:hAnsi="仿宋_GB2312" w:eastAsia="仿宋_GB2312"/>
      <w:bCs/>
      <w:color w:val="333333"/>
      <w:sz w:val="28"/>
      <w:szCs w:val="21"/>
    </w:rPr>
  </w:style>
  <w:style w:type="character" w:styleId="1158" w:customStyle="1">
    <w:name w:val="l-btn-left"/>
    <w:link w:val="812"/>
    <w:uiPriority w:val="0"/>
    <w:qFormat/>
  </w:style>
  <w:style w:type="character" w:styleId="1159" w:customStyle="1">
    <w:name w:val="font01"/>
    <w:link w:val="812"/>
    <w:uiPriority w:val="0"/>
    <w:qFormat/>
    <w:rPr>
      <w:rFonts w:hint="eastAsia" w:ascii="宋体" w:hAnsi="宋体" w:eastAsia="宋体" w:cs="宋体"/>
      <w:color w:val="000000"/>
      <w:sz w:val="28"/>
      <w:szCs w:val="28"/>
      <w:u w:val="single"/>
    </w:rPr>
  </w:style>
  <w:style w:type="character" w:styleId="1160" w:customStyle="1">
    <w:name w:val="二级目录 Char Char"/>
    <w:link w:val="1161"/>
    <w:uiPriority w:val="0"/>
    <w:qFormat/>
    <w:rPr>
      <w:b/>
      <w:sz w:val="30"/>
      <w:szCs w:val="28"/>
      <w:lang w:val="en-US" w:eastAsia="zh-CN" w:bidi="ar-SA"/>
    </w:rPr>
  </w:style>
  <w:style w:type="paragraph" w:styleId="1161" w:customStyle="1">
    <w:name w:val="二级目录"/>
    <w:next w:val="812"/>
    <w:link w:val="1160"/>
    <w:uiPriority w:val="0"/>
    <w:qFormat/>
    <w:pPr>
      <w:ind w:left="720" w:hanging="720"/>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162" w:customStyle="1">
    <w:name w:val="列表框1 Char Char"/>
    <w:link w:val="1163"/>
    <w:uiPriority w:val="0"/>
    <w:qFormat/>
    <w:rPr>
      <w:rFonts w:ascii="宋体" w:hAnsi="宋体"/>
      <w:spacing w:val="4"/>
      <w:sz w:val="28"/>
      <w:szCs w:val="28"/>
    </w:rPr>
  </w:style>
  <w:style w:type="paragraph" w:styleId="1163" w:customStyle="1">
    <w:name w:val="列表框1"/>
    <w:basedOn w:val="1081"/>
    <w:next w:val="1081"/>
    <w:link w:val="1162"/>
    <w:uiPriority w:val="0"/>
    <w:qFormat/>
    <w:pPr>
      <w:numPr>
        <w:ilvl w:val="0"/>
        <w:numId w:val="4"/>
      </w:numPr>
      <w:ind w:left="0" w:firstLine="0"/>
      <w:tabs>
        <w:tab w:val="left" w:pos="420" w:leader="none"/>
      </w:tabs>
    </w:pPr>
  </w:style>
  <w:style w:type="character" w:styleId="1164" w:customStyle="1">
    <w:name w:val="批注文字 Char1"/>
    <w:link w:val="812"/>
    <w:uiPriority w:val="99"/>
    <w:qFormat/>
    <w:rPr>
      <w:rFonts w:hint="eastAsia" w:ascii="宋体" w:hAnsi="宋体" w:eastAsia="宋体" w:cs="宋体"/>
      <w:sz w:val="24"/>
      <w:szCs w:val="24"/>
    </w:rPr>
  </w:style>
  <w:style w:type="character" w:styleId="1165" w:customStyle="1">
    <w:name w:val="Char Char3"/>
    <w:link w:val="812"/>
    <w:uiPriority w:val="0"/>
    <w:qFormat/>
    <w:rPr>
      <w:rFonts w:ascii="宋体" w:hAnsi="宋体" w:eastAsia="楷体_GB2312"/>
      <w:sz w:val="24"/>
      <w:lang w:val="en-US" w:eastAsia="zh-CN" w:bidi="ar-SA"/>
    </w:rPr>
  </w:style>
  <w:style w:type="character" w:styleId="1166" w:customStyle="1">
    <w:name w:val="正副本 字符"/>
    <w:link w:val="1167"/>
    <w:uiPriority w:val="0"/>
    <w:qFormat/>
    <w:rPr>
      <w:rFonts w:ascii="Calibri" w:hAnsi="Calibri"/>
      <w:sz w:val="36"/>
      <w:szCs w:val="36"/>
      <w:lang w:bidi="en-US"/>
    </w:rPr>
  </w:style>
  <w:style w:type="paragraph" w:styleId="1167" w:customStyle="1">
    <w:name w:val="正副本"/>
    <w:basedOn w:val="812"/>
    <w:link w:val="1166"/>
    <w:uiPriority w:val="0"/>
    <w:qFormat/>
    <w:pPr>
      <w:jc w:val="center"/>
      <w:spacing w:after="200" w:line="276" w:lineRule="auto"/>
      <w:widowControl/>
    </w:pPr>
    <w:rPr>
      <w:rFonts w:ascii="Calibri" w:hAnsi="Calibri"/>
      <w:sz w:val="36"/>
      <w:szCs w:val="36"/>
      <w:lang w:bidi="en-US"/>
    </w:rPr>
  </w:style>
  <w:style w:type="character" w:styleId="1168" w:customStyle="1">
    <w:name w:val="样式 标题 4bulletblbbPIM 4H4h4Heading Foursect 1.2.3.4Ref H... Char Char"/>
    <w:link w:val="1169"/>
    <w:uiPriority w:val="0"/>
    <w:qFormat/>
    <w:rPr>
      <w:rFonts w:eastAsia="文鼎CS细等线"/>
      <w:b/>
      <w:bCs/>
      <w:color w:val="000000"/>
      <w:spacing w:val="8"/>
      <w:sz w:val="28"/>
    </w:rPr>
  </w:style>
  <w:style w:type="paragraph" w:styleId="1169" w:customStyle="1">
    <w:name w:val="样式 标题 4bulletblbbPIM 4H4h4Heading Foursect 1.2.3.4Ref H..."/>
    <w:basedOn w:val="1007"/>
    <w:link w:val="1168"/>
    <w:uiPriority w:val="0"/>
    <w:qFormat/>
    <w:pPr>
      <w:numPr>
        <w:ilvl w:val="0"/>
        <w:numId w:val="0"/>
      </w:numPr>
      <w:ind w:left="1984" w:hanging="708"/>
      <w:keepNext w:val="0"/>
      <w:spacing w:before="60" w:after="60" w:line="400" w:lineRule="exact"/>
      <w:tabs>
        <w:tab w:val="left" w:pos="2356" w:leader="none"/>
      </w:tabs>
    </w:pPr>
    <w:rPr>
      <w:rFonts w:ascii="Calibri" w:hAnsi="Calibri" w:eastAsia="文鼎CS细等线"/>
      <w:bCs/>
      <w:color w:val="000000"/>
      <w:spacing w:val="8"/>
      <w:sz w:val="28"/>
    </w:rPr>
  </w:style>
  <w:style w:type="character" w:styleId="1170" w:customStyle="1">
    <w:name w:val="表格 Char"/>
    <w:link w:val="1171"/>
    <w:uiPriority w:val="0"/>
    <w:qFormat/>
    <w:rPr>
      <w:rFonts w:ascii="宋体" w:hAnsi="宋体" w:cs="宋体"/>
      <w:color w:val="000000"/>
      <w:sz w:val="24"/>
      <w:szCs w:val="24"/>
    </w:rPr>
  </w:style>
  <w:style w:type="paragraph" w:styleId="1171" w:customStyle="1">
    <w:name w:val="表格"/>
    <w:basedOn w:val="812"/>
    <w:link w:val="1170"/>
    <w:uiPriority w:val="0"/>
    <w:qFormat/>
    <w:pPr>
      <w:jc w:val="left"/>
      <w:spacing w:line="360" w:lineRule="auto"/>
      <w:widowControl/>
    </w:pPr>
    <w:rPr>
      <w:color w:val="000000"/>
      <w:sz w:val="24"/>
      <w:szCs w:val="24"/>
    </w:rPr>
  </w:style>
  <w:style w:type="character" w:styleId="1172" w:customStyle="1">
    <w:name w:val="无间隔 Char"/>
    <w:link w:val="1173"/>
    <w:uiPriority w:val="1"/>
    <w:qFormat/>
    <w:rPr>
      <w:sz w:val="21"/>
      <w:szCs w:val="22"/>
      <w:lang w:val="en-US" w:eastAsia="zh-CN" w:bidi="ar-SA"/>
    </w:rPr>
  </w:style>
  <w:style w:type="paragraph" w:styleId="1173" w:customStyle="1">
    <w:name w:val="无间隔"/>
    <w:link w:val="1172"/>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174" w:customStyle="1">
    <w:name w:val="正文文本缩进 Char"/>
    <w:link w:val="1175"/>
    <w:uiPriority w:val="0"/>
    <w:qFormat/>
    <w:rPr>
      <w:rFonts w:ascii="宋体" w:hAnsi="宋体"/>
      <w:sz w:val="24"/>
      <w:szCs w:val="21"/>
    </w:rPr>
  </w:style>
  <w:style w:type="paragraph" w:styleId="1175" w:customStyle="1">
    <w:name w:val="正文文本缩进11"/>
    <w:basedOn w:val="812"/>
    <w:next w:val="812"/>
    <w:link w:val="1174"/>
    <w:uiPriority w:val="0"/>
    <w:qFormat/>
    <w:pPr>
      <w:ind w:firstLine="420"/>
      <w:spacing w:line="360" w:lineRule="exact"/>
    </w:pPr>
    <w:rPr>
      <w:sz w:val="24"/>
    </w:rPr>
  </w:style>
  <w:style w:type="character" w:styleId="1176" w:customStyle="1">
    <w:name w:val="l-btn-text36"/>
    <w:link w:val="812"/>
    <w:uiPriority w:val="0"/>
    <w:qFormat/>
  </w:style>
  <w:style w:type="character" w:styleId="1177" w:customStyle="1">
    <w:name w:val="信息标题 字符1"/>
    <w:link w:val="812"/>
    <w:uiPriority w:val="99"/>
    <w:semiHidden/>
    <w:qFormat/>
    <w:rPr>
      <w:rFonts w:ascii="等线 Light" w:hAnsi="等线 Light" w:eastAsia="等线 Light" w:cs="Times New Roman"/>
      <w:sz w:val="24"/>
      <w:szCs w:val="24"/>
      <w:shd w:val="pct20" w:color="auto" w:fill="auto"/>
    </w:rPr>
  </w:style>
  <w:style w:type="character" w:styleId="1178" w:customStyle="1">
    <w:name w:val="宏文本 Char"/>
    <w:link w:val="1179"/>
    <w:uiPriority w:val="0"/>
    <w:qFormat/>
    <w:rPr>
      <w:rFonts w:ascii="Courier New" w:hAnsi="Courier New" w:eastAsia="Times New Roman" w:cs="Courier New"/>
      <w:sz w:val="24"/>
      <w:szCs w:val="24"/>
      <w:lang w:val="en-US" w:eastAsia="zh-CN" w:bidi="ar-SA"/>
    </w:rPr>
  </w:style>
  <w:style w:type="paragraph" w:styleId="1179" w:customStyle="1">
    <w:name w:val="宏文本1"/>
    <w:link w:val="117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Courier New"/>
      <w:sz w:val="24"/>
      <w:szCs w:val="24"/>
      <w:lang w:val="en-US" w:eastAsia="zh-CN" w:bidi="ar-SA"/>
    </w:rPr>
  </w:style>
  <w:style w:type="character" w:styleId="1180" w:customStyle="1">
    <w:name w:val="正文文本 3 Char1"/>
    <w:link w:val="812"/>
    <w:uiPriority w:val="99"/>
    <w:semiHidden/>
    <w:qFormat/>
    <w:rPr>
      <w:rFonts w:hint="eastAsia" w:ascii="宋体" w:hAnsi="宋体" w:eastAsia="宋体" w:cs="宋体"/>
      <w:sz w:val="16"/>
      <w:szCs w:val="16"/>
    </w:rPr>
  </w:style>
  <w:style w:type="character" w:styleId="1181" w:customStyle="1">
    <w:name w:val="我的正文 Char"/>
    <w:link w:val="1182"/>
    <w:uiPriority w:val="0"/>
    <w:qFormat/>
    <w:rPr>
      <w:rFonts w:ascii="Tahoma" w:hAnsi="Tahoma" w:eastAsia="仿宋_GB2312"/>
      <w:sz w:val="28"/>
      <w:szCs w:val="28"/>
    </w:rPr>
  </w:style>
  <w:style w:type="paragraph" w:styleId="1182" w:customStyle="1">
    <w:name w:val="我的正文"/>
    <w:basedOn w:val="812"/>
    <w:link w:val="1181"/>
    <w:uiPriority w:val="0"/>
    <w:qFormat/>
    <w:pPr>
      <w:ind w:firstLine="200"/>
      <w:spacing w:line="360" w:lineRule="auto"/>
      <w:widowControl/>
    </w:pPr>
    <w:rPr>
      <w:rFonts w:ascii="Tahoma" w:hAnsi="Tahoma" w:eastAsia="仿宋_GB2312"/>
      <w:sz w:val="28"/>
      <w:szCs w:val="28"/>
    </w:rPr>
  </w:style>
  <w:style w:type="character" w:styleId="1183" w:customStyle="1">
    <w:name w:val="正文new Char"/>
    <w:link w:val="1184"/>
    <w:uiPriority w:val="0"/>
    <w:qFormat/>
    <w:rPr>
      <w:rFonts w:ascii="仿宋" w:hAnsi="仿宋" w:eastAsia="仿宋"/>
      <w:color w:val="000000"/>
      <w:sz w:val="24"/>
      <w:szCs w:val="28"/>
    </w:rPr>
  </w:style>
  <w:style w:type="paragraph" w:styleId="1184" w:customStyle="1">
    <w:name w:val="正文new"/>
    <w:basedOn w:val="812"/>
    <w:link w:val="1183"/>
    <w:uiPriority w:val="0"/>
    <w:qFormat/>
    <w:pPr>
      <w:ind w:firstLine="200"/>
      <w:spacing w:line="360" w:lineRule="auto"/>
    </w:pPr>
    <w:rPr>
      <w:rFonts w:ascii="仿宋" w:hAnsi="仿宋" w:eastAsia="仿宋"/>
      <w:color w:val="000000"/>
      <w:sz w:val="24"/>
      <w:szCs w:val="28"/>
    </w:rPr>
  </w:style>
  <w:style w:type="character" w:styleId="1185" w:customStyle="1">
    <w:name w:val="纯文本 Char3"/>
    <w:link w:val="812"/>
    <w:uiPriority w:val="99"/>
    <w:qFormat/>
    <w:rPr>
      <w:rFonts w:ascii="宋体" w:hAnsi="Courier New"/>
      <w:sz w:val="21"/>
      <w:szCs w:val="21"/>
    </w:rPr>
  </w:style>
  <w:style w:type="character" w:styleId="1186" w:customStyle="1">
    <w:name w:val="p0 Char"/>
    <w:link w:val="1187"/>
    <w:uiPriority w:val="0"/>
    <w:qFormat/>
    <w:rPr>
      <w:sz w:val="21"/>
      <w:szCs w:val="21"/>
      <w:lang w:val="en-US" w:eastAsia="zh-CN" w:bidi="ar-SA"/>
    </w:rPr>
  </w:style>
  <w:style w:type="paragraph" w:styleId="1187" w:customStyle="1">
    <w:name w:val="p0"/>
    <w:next w:val="812"/>
    <w:link w:val="1186"/>
    <w:uiPriority w:val="0"/>
    <w:qFormat/>
    <w:pPr>
      <w:spacing w:line="360" w:lineRule="auto"/>
    </w:pPr>
    <w:rPr>
      <w:rFonts w:hint="default" w:ascii="Times New Roman" w:hAnsi="Times New Roman" w:eastAsia="宋体" w:cs="Times New Roman"/>
      <w:sz w:val="21"/>
      <w:szCs w:val="21"/>
      <w:lang w:val="en-US" w:eastAsia="zh-CN" w:bidi="ar-SA"/>
    </w:rPr>
  </w:style>
  <w:style w:type="character" w:styleId="1188" w:customStyle="1">
    <w:name w:val="· 字符"/>
    <w:link w:val="1189"/>
    <w:uiPriority w:val="0"/>
    <w:qFormat/>
    <w:rPr>
      <w:sz w:val="24"/>
      <w:szCs w:val="24"/>
    </w:rPr>
  </w:style>
  <w:style w:type="paragraph" w:styleId="1189" w:customStyle="1">
    <w:name w:val="·"/>
    <w:next w:val="812"/>
    <w:link w:val="1188"/>
    <w:uiPriority w:val="0"/>
    <w:qFormat/>
    <w:pPr>
      <w:numPr>
        <w:ilvl w:val="0"/>
        <w:numId w:val="5"/>
      </w:numPr>
      <w:spacing w:line="360" w:lineRule="auto"/>
    </w:pPr>
    <w:rPr>
      <w:rFonts w:hint="default" w:ascii="Times New Roman" w:hAnsi="Times New Roman" w:eastAsia="宋体" w:cs="Times New Roman"/>
      <w:sz w:val="24"/>
      <w:szCs w:val="24"/>
      <w:lang w:val="en-US" w:eastAsia="zh-CN" w:bidi="ar-SA"/>
    </w:rPr>
  </w:style>
  <w:style w:type="character" w:styleId="1190" w:customStyle="1">
    <w:name w:val="Char Char2"/>
    <w:link w:val="812"/>
    <w:uiPriority w:val="0"/>
    <w:qFormat/>
    <w:rPr>
      <w:rFonts w:ascii="宋体" w:hAnsi="宋体" w:eastAsia="楷体_GB2312"/>
      <w:sz w:val="24"/>
      <w:lang w:val="en-US" w:eastAsia="zh-CN" w:bidi="ar-SA"/>
    </w:rPr>
  </w:style>
  <w:style w:type="character" w:styleId="1191" w:customStyle="1">
    <w:name w:val="项目符0 Char"/>
    <w:link w:val="1192"/>
    <w:uiPriority w:val="0"/>
    <w:qFormat/>
    <w:rPr>
      <w:rFonts w:ascii="Arial" w:hAnsi="Arial"/>
      <w:sz w:val="24"/>
      <w:szCs w:val="24"/>
    </w:rPr>
  </w:style>
  <w:style w:type="paragraph" w:styleId="1192" w:customStyle="1">
    <w:name w:val="项目符0"/>
    <w:basedOn w:val="812"/>
    <w:link w:val="1191"/>
    <w:uiPriority w:val="0"/>
    <w:qFormat/>
    <w:pPr>
      <w:numPr>
        <w:ilvl w:val="0"/>
        <w:numId w:val="6"/>
      </w:numPr>
      <w:ind w:left="100" w:right="57" w:firstLine="200"/>
      <w:spacing w:line="300" w:lineRule="auto"/>
    </w:pPr>
    <w:rPr>
      <w:rFonts w:ascii="Arial" w:hAnsi="Arial"/>
      <w:sz w:val="24"/>
      <w:szCs w:val="24"/>
    </w:rPr>
  </w:style>
  <w:style w:type="character" w:styleId="1193" w:customStyle="1">
    <w:name w:val="P_Table_Centered Char"/>
    <w:link w:val="1194"/>
    <w:uiPriority w:val="0"/>
    <w:qFormat/>
    <w:rPr>
      <w:rFonts w:ascii="仿宋" w:hAnsi="仿宋" w:eastAsia="仿宋"/>
      <w:sz w:val="28"/>
      <w:szCs w:val="24"/>
      <w:lang w:val="en-US" w:eastAsia="zh-CN" w:bidi="ar-SA"/>
    </w:rPr>
  </w:style>
  <w:style w:type="paragraph" w:styleId="1194" w:customStyle="1">
    <w:name w:val="P_Table_Centered"/>
    <w:link w:val="1193"/>
    <w:uiPriority w:val="0"/>
    <w:qFormat/>
    <w:pPr>
      <w:jc w:val="center"/>
      <w:spacing w:line="360" w:lineRule="auto"/>
    </w:pPr>
    <w:rPr>
      <w:rFonts w:hint="default" w:ascii="仿宋" w:hAnsi="仿宋" w:eastAsia="仿宋" w:cs="Times New Roman"/>
      <w:sz w:val="28"/>
      <w:szCs w:val="24"/>
      <w:lang w:val="en-US" w:eastAsia="zh-CN" w:bidi="ar-SA"/>
    </w:rPr>
  </w:style>
  <w:style w:type="character" w:styleId="1195" w:customStyle="1">
    <w:name w:val="批注主题 字符"/>
    <w:link w:val="812"/>
    <w:uiPriority w:val="99"/>
    <w:semiHidden/>
    <w:qFormat/>
    <w:rPr>
      <w:b/>
      <w:bCs/>
      <w:sz w:val="21"/>
      <w:szCs w:val="22"/>
    </w:rPr>
  </w:style>
  <w:style w:type="character" w:styleId="1196" w:customStyle="1">
    <w:name w:val="H 4 Char"/>
    <w:link w:val="1197"/>
    <w:uiPriority w:val="0"/>
    <w:qFormat/>
    <w:rPr>
      <w:rFonts w:ascii="宋体" w:hAnsi="宋体"/>
      <w:b/>
      <w:sz w:val="24"/>
      <w:szCs w:val="24"/>
    </w:rPr>
  </w:style>
  <w:style w:type="paragraph" w:styleId="1197" w:customStyle="1">
    <w:name w:val="H 4"/>
    <w:basedOn w:val="1007"/>
    <w:link w:val="1196"/>
    <w:uiPriority w:val="0"/>
    <w:qFormat/>
    <w:pPr>
      <w:ind w:left="426" w:hanging="436"/>
      <w:spacing w:before="0" w:after="0" w:line="360" w:lineRule="auto"/>
      <w:tabs>
        <w:tab w:val="clear" w:pos="1440" w:leader="none"/>
      </w:tabs>
    </w:pPr>
    <w:rPr>
      <w:rFonts w:ascii="宋体" w:hAnsi="宋体"/>
      <w:sz w:val="24"/>
      <w:szCs w:val="24"/>
    </w:rPr>
  </w:style>
  <w:style w:type="character" w:styleId="1198" w:customStyle="1">
    <w:name w:val="062"/>
    <w:link w:val="812"/>
    <w:uiPriority w:val="0"/>
    <w:qFormat/>
    <w:rPr>
      <w:rFonts w:hint="eastAsia" w:ascii="宋体" w:hAnsi="宋体" w:eastAsia="宋体"/>
      <w:b/>
      <w:bCs/>
      <w:sz w:val="32"/>
    </w:rPr>
  </w:style>
  <w:style w:type="character" w:styleId="1199" w:customStyle="1">
    <w:name w:val="Char Char20"/>
    <w:link w:val="812"/>
    <w:uiPriority w:val="0"/>
    <w:semiHidden/>
    <w:qFormat/>
    <w:rPr>
      <w:rFonts w:ascii="Times New Roman" w:hAnsi="Times New Roman" w:eastAsia="宋体" w:cs="Times New Roman"/>
      <w:sz w:val="18"/>
      <w:szCs w:val="18"/>
      <w:lang w:val="en-US" w:eastAsia="zh-CN" w:bidi="ar-SA"/>
    </w:rPr>
  </w:style>
  <w:style w:type="character" w:styleId="1200" w:customStyle="1">
    <w:name w:val="批注框文本 Char1"/>
    <w:link w:val="812"/>
    <w:uiPriority w:val="99"/>
    <w:semiHidden/>
    <w:qFormat/>
    <w:rPr>
      <w:rFonts w:hint="eastAsia" w:ascii="宋体" w:hAnsi="宋体" w:eastAsia="宋体" w:cs="宋体"/>
      <w:sz w:val="18"/>
      <w:szCs w:val="18"/>
    </w:rPr>
  </w:style>
  <w:style w:type="character" w:styleId="1201" w:customStyle="1">
    <w:name w:val="正文2 字符"/>
    <w:link w:val="1202"/>
    <w:uiPriority w:val="0"/>
    <w:qFormat/>
    <w:rPr>
      <w:spacing w:val="8"/>
      <w:sz w:val="28"/>
    </w:rPr>
  </w:style>
  <w:style w:type="paragraph" w:styleId="1202" w:customStyle="1">
    <w:name w:val="正文2"/>
    <w:basedOn w:val="812"/>
    <w:link w:val="1201"/>
    <w:uiPriority w:val="0"/>
    <w:qFormat/>
    <w:pPr>
      <w:ind w:firstLine="601"/>
      <w:spacing w:line="400" w:lineRule="exact"/>
    </w:pPr>
    <w:rPr>
      <w:rFonts w:ascii="Calibri" w:hAnsi="Calibri"/>
      <w:spacing w:val="8"/>
      <w:sz w:val="28"/>
      <w:szCs w:val="20"/>
    </w:rPr>
  </w:style>
  <w:style w:type="character" w:styleId="1203" w:customStyle="1">
    <w:name w:val="纯文本 Char2"/>
    <w:link w:val="812"/>
    <w:uiPriority w:val="0"/>
    <w:qFormat/>
    <w:rPr>
      <w:rFonts w:ascii="宋体" w:hAnsi="Courier New" w:eastAsia="宋体"/>
      <w:sz w:val="21"/>
      <w:szCs w:val="21"/>
      <w:lang w:val="en-US" w:eastAsia="zh-CN" w:bidi="ar-SA"/>
    </w:rPr>
  </w:style>
  <w:style w:type="character" w:styleId="1204" w:customStyle="1">
    <w:name w:val="样式 标题 3一1h33rd levelBold HeadbhH3level_3PIM 3Level 3 H...1 Char"/>
    <w:link w:val="1205"/>
    <w:uiPriority w:val="0"/>
    <w:qFormat/>
    <w:rPr>
      <w:rFonts w:ascii="宋体" w:hAnsi="宋体"/>
      <w:bCs/>
      <w:sz w:val="24"/>
      <w:szCs w:val="24"/>
    </w:rPr>
  </w:style>
  <w:style w:type="paragraph" w:styleId="1205" w:customStyle="1">
    <w:name w:val="样式 标题 3一1h33rd levelBold HeadbhH3level_3PIM 3Level 3 H...1"/>
    <w:basedOn w:val="1005"/>
    <w:link w:val="1204"/>
    <w:uiPriority w:val="0"/>
    <w:qFormat/>
    <w:pPr>
      <w:numPr>
        <w:ilvl w:val="2"/>
        <w:numId w:val="0"/>
      </w:numPr>
      <w:ind w:left="1996" w:hanging="720"/>
      <w:keepNext w:val="0"/>
      <w:spacing w:before="0" w:after="0" w:line="480" w:lineRule="auto"/>
      <w:tabs>
        <w:tab w:val="clear" w:pos="1080" w:leader="none"/>
      </w:tabs>
    </w:pPr>
    <w:rPr>
      <w:rFonts w:ascii="宋体" w:hAnsi="宋体"/>
      <w:b w:val="0"/>
      <w:bCs/>
      <w:sz w:val="24"/>
      <w:szCs w:val="24"/>
    </w:rPr>
  </w:style>
  <w:style w:type="character" w:styleId="1206" w:customStyle="1">
    <w:name w:val="页码1"/>
    <w:link w:val="812"/>
    <w:uiPriority w:val="0"/>
  </w:style>
  <w:style w:type="character" w:styleId="1207" w:customStyle="1">
    <w:name w:val="正文文本 3 Char"/>
    <w:link w:val="1208"/>
    <w:uiPriority w:val="0"/>
    <w:qFormat/>
    <w:rPr>
      <w:rFonts w:ascii="宋体" w:hAnsi="宋体"/>
      <w:sz w:val="21"/>
      <w:szCs w:val="24"/>
    </w:rPr>
  </w:style>
  <w:style w:type="paragraph" w:styleId="1208" w:customStyle="1">
    <w:name w:val="正文文本 32"/>
    <w:basedOn w:val="812"/>
    <w:link w:val="1207"/>
    <w:uiPriority w:val="0"/>
    <w:qFormat/>
    <w:pPr>
      <w:spacing w:line="500" w:lineRule="exact"/>
    </w:pPr>
    <w:rPr>
      <w:szCs w:val="24"/>
    </w:rPr>
  </w:style>
  <w:style w:type="character" w:styleId="1209" w:customStyle="1">
    <w:name w:val="yf标题1.1 Char"/>
    <w:link w:val="1210"/>
    <w:uiPriority w:val="0"/>
    <w:qFormat/>
    <w:rPr>
      <w:rFonts w:ascii="Cambria" w:hAnsi="Cambria"/>
      <w:b/>
      <w:bCs/>
      <w:sz w:val="32"/>
      <w:szCs w:val="32"/>
    </w:rPr>
  </w:style>
  <w:style w:type="paragraph" w:styleId="1210" w:customStyle="1">
    <w:name w:val="yf标题1.1"/>
    <w:basedOn w:val="1004"/>
    <w:link w:val="1209"/>
    <w:uiPriority w:val="0"/>
    <w:qFormat/>
    <w:pPr>
      <w:numPr>
        <w:ilvl w:val="1"/>
        <w:numId w:val="3"/>
      </w:numPr>
      <w:spacing w:before="120" w:after="0" w:line="300" w:lineRule="auto"/>
    </w:pPr>
    <w:rPr>
      <w:rFonts w:ascii="Cambria" w:hAnsi="Cambria" w:eastAsia="宋体"/>
      <w:bCs/>
      <w:szCs w:val="32"/>
    </w:rPr>
  </w:style>
  <w:style w:type="character" w:styleId="1211" w:customStyle="1">
    <w:name w:val="点 字符"/>
    <w:link w:val="1212"/>
    <w:uiPriority w:val="0"/>
    <w:qFormat/>
    <w:rPr>
      <w:rFonts w:ascii="宋体" w:hAnsi="宋体"/>
      <w:sz w:val="24"/>
      <w:szCs w:val="22"/>
      <w:lang w:val="en-US" w:eastAsia="zh-CN" w:bidi="ar-SA"/>
    </w:rPr>
  </w:style>
  <w:style w:type="paragraph" w:styleId="1212" w:customStyle="1">
    <w:name w:val="点"/>
    <w:link w:val="1211"/>
    <w:uiPriority w:val="0"/>
    <w:qFormat/>
    <w:pPr>
      <w:ind w:left="960" w:hanging="420"/>
      <w:jc w:val="both"/>
      <w:spacing w:line="360" w:lineRule="auto"/>
      <w:widowControl w:val="off"/>
    </w:pPr>
    <w:rPr>
      <w:rFonts w:hint="default" w:ascii="宋体" w:hAnsi="宋体" w:eastAsia="宋体" w:cs="Times New Roman"/>
      <w:sz w:val="24"/>
      <w:szCs w:val="22"/>
      <w:lang w:val="en-US" w:eastAsia="zh-CN" w:bidi="ar-SA"/>
    </w:rPr>
  </w:style>
  <w:style w:type="character" w:styleId="1213" w:customStyle="1">
    <w:name w:val="正文缩进 Char2"/>
    <w:link w:val="812"/>
    <w:uiPriority w:val="0"/>
    <w:qFormat/>
    <w:rPr>
      <w:rFonts w:eastAsia="楷体_GB2312"/>
      <w:sz w:val="24"/>
      <w:lang w:val="en-US" w:eastAsia="zh-CN" w:bidi="ar-SA"/>
    </w:rPr>
  </w:style>
  <w:style w:type="character" w:styleId="1214" w:customStyle="1">
    <w:name w:val="NormalCharacter1"/>
    <w:link w:val="812"/>
    <w:uiPriority w:val="0"/>
    <w:rPr>
      <w:rFonts w:ascii="Calibri" w:hAnsi="Calibri"/>
      <w:sz w:val="22"/>
      <w:lang w:val="en-US" w:eastAsia="zh-CN"/>
    </w:rPr>
  </w:style>
  <w:style w:type="character" w:styleId="1215" w:customStyle="1">
    <w:name w:val="Char Char27"/>
    <w:link w:val="812"/>
    <w:uiPriority w:val="0"/>
    <w:rPr>
      <w:rFonts w:ascii="Arial" w:hAnsi="Arial" w:eastAsia="黑体" w:cs="Times New Roman"/>
      <w:b/>
      <w:bCs/>
      <w:sz w:val="24"/>
      <w:szCs w:val="24"/>
      <w:lang w:val="en-US" w:eastAsia="zh-CN" w:bidi="ar-SA"/>
    </w:rPr>
  </w:style>
  <w:style w:type="character" w:styleId="1216" w:customStyle="1">
    <w:name w:val="表格文字图表文字 Char Char"/>
    <w:link w:val="1217"/>
    <w:uiPriority w:val="0"/>
    <w:rPr>
      <w:szCs w:val="24"/>
    </w:rPr>
  </w:style>
  <w:style w:type="paragraph" w:styleId="1217" w:customStyle="1">
    <w:name w:val="表格文字图表文字"/>
    <w:basedOn w:val="812"/>
    <w:link w:val="1216"/>
    <w:uiPriority w:val="0"/>
    <w:qFormat/>
    <w:pPr>
      <w:jc w:val="center"/>
    </w:pPr>
    <w:rPr>
      <w:rFonts w:ascii="Calibri" w:hAnsi="Calibri"/>
      <w:sz w:val="20"/>
      <w:szCs w:val="24"/>
    </w:rPr>
  </w:style>
  <w:style w:type="character" w:styleId="1218" w:customStyle="1">
    <w:name w:val="标题 6 Char"/>
    <w:link w:val="1009"/>
    <w:uiPriority w:val="9"/>
    <w:qFormat/>
    <w:rPr>
      <w:rFonts w:ascii="Arial" w:hAnsi="Arial" w:eastAsia="黑体"/>
      <w:b/>
      <w:sz w:val="24"/>
    </w:rPr>
  </w:style>
  <w:style w:type="character" w:styleId="1219" w:customStyle="1">
    <w:name w:val="表格用 Char Char"/>
    <w:link w:val="1220"/>
    <w:uiPriority w:val="0"/>
    <w:qFormat/>
    <w:rPr>
      <w:rFonts w:ascii="宋体" w:hAnsi="宋体" w:cs="宋体"/>
      <w:sz w:val="24"/>
      <w:szCs w:val="24"/>
    </w:rPr>
  </w:style>
  <w:style w:type="paragraph" w:styleId="1220" w:customStyle="1">
    <w:name w:val="表格用"/>
    <w:basedOn w:val="812"/>
    <w:link w:val="1219"/>
    <w:uiPriority w:val="0"/>
    <w:qFormat/>
    <w:pPr>
      <w:jc w:val="left"/>
      <w:spacing w:line="360" w:lineRule="auto"/>
      <w:widowControl/>
    </w:pPr>
    <w:rPr>
      <w:sz w:val="24"/>
      <w:szCs w:val="24"/>
    </w:rPr>
  </w:style>
  <w:style w:type="character" w:styleId="1221" w:customStyle="1">
    <w:name w:val="标准文本 Char"/>
    <w:link w:val="1222"/>
    <w:uiPriority w:val="0"/>
    <w:rPr>
      <w:sz w:val="24"/>
    </w:rPr>
  </w:style>
  <w:style w:type="paragraph" w:styleId="1222" w:customStyle="1">
    <w:name w:val="标准文本"/>
    <w:basedOn w:val="812"/>
    <w:link w:val="1221"/>
    <w:uiPriority w:val="0"/>
    <w:qFormat/>
    <w:pPr>
      <w:ind w:firstLine="480"/>
      <w:spacing w:line="360" w:lineRule="auto"/>
    </w:pPr>
    <w:rPr>
      <w:rFonts w:ascii="Calibri" w:hAnsi="Calibri"/>
      <w:sz w:val="24"/>
      <w:szCs w:val="20"/>
    </w:rPr>
  </w:style>
  <w:style w:type="character" w:styleId="1223" w:customStyle="1">
    <w:name w:val="尾注文本 Char"/>
    <w:link w:val="1224"/>
    <w:uiPriority w:val="0"/>
    <w:rPr>
      <w:sz w:val="24"/>
      <w:szCs w:val="24"/>
    </w:rPr>
  </w:style>
  <w:style w:type="paragraph" w:styleId="1224" w:customStyle="1">
    <w:name w:val="尾注文本1"/>
    <w:basedOn w:val="812"/>
    <w:link w:val="1223"/>
    <w:uiPriority w:val="0"/>
    <w:unhideWhenUsed/>
    <w:qFormat/>
    <w:pPr>
      <w:jc w:val="left"/>
      <w:spacing w:line="360" w:lineRule="auto"/>
    </w:pPr>
    <w:rPr>
      <w:rFonts w:ascii="Calibri" w:hAnsi="Calibri"/>
      <w:sz w:val="24"/>
      <w:szCs w:val="24"/>
    </w:rPr>
  </w:style>
  <w:style w:type="character" w:styleId="1225" w:customStyle="1">
    <w:name w:val="Char Char16"/>
    <w:link w:val="812"/>
    <w:uiPriority w:val="0"/>
    <w:qFormat/>
    <w:rPr>
      <w:rFonts w:ascii="Times New Roman" w:hAnsi="Times New Roman" w:eastAsia="宋体" w:cs="Times New Roman"/>
      <w:sz w:val="24"/>
      <w:szCs w:val="24"/>
      <w:lang w:val="en-US" w:eastAsia="zh-CN" w:bidi="ar-SA"/>
    </w:rPr>
  </w:style>
  <w:style w:type="character" w:styleId="1226" w:customStyle="1">
    <w:name w:val="标题 字符1"/>
    <w:link w:val="812"/>
    <w:uiPriority w:val="10"/>
    <w:rPr>
      <w:rFonts w:ascii="等线 Light" w:hAnsi="等线 Light" w:eastAsia="等线 Light" w:cs="Times New Roman"/>
      <w:b/>
      <w:bCs/>
      <w:sz w:val="32"/>
      <w:szCs w:val="32"/>
    </w:rPr>
  </w:style>
  <w:style w:type="character" w:styleId="1227" w:customStyle="1">
    <w:name w:val="标题 B Char"/>
    <w:link w:val="1228"/>
    <w:uiPriority w:val="0"/>
    <w:qFormat/>
    <w:rPr>
      <w:rFonts w:ascii="Arial Rounded MT Bold" w:hAnsi="Arial Rounded MT Bold" w:eastAsia="黑体"/>
      <w:bCs/>
      <w:spacing w:val="8"/>
      <w:sz w:val="32"/>
      <w:szCs w:val="24"/>
    </w:rPr>
  </w:style>
  <w:style w:type="paragraph" w:styleId="1228" w:customStyle="1">
    <w:name w:val="标题 B"/>
    <w:basedOn w:val="1004"/>
    <w:link w:val="1227"/>
    <w:uiPriority w:val="0"/>
    <w:qFormat/>
    <w:pPr>
      <w:numPr>
        <w:ilvl w:val="1"/>
        <w:numId w:val="0"/>
      </w:numPr>
      <w:ind w:left="576" w:hanging="576"/>
      <w:keepLines w:val="0"/>
      <w:spacing w:before="840" w:after="240" w:line="400" w:lineRule="exact"/>
      <w:tabs>
        <w:tab w:val="clear" w:pos="576" w:leader="none"/>
      </w:tabs>
      <w:outlineLvl w:val="9"/>
    </w:pPr>
    <w:rPr>
      <w:rFonts w:ascii="Arial Rounded MT Bold" w:hAnsi="Arial Rounded MT Bold"/>
      <w:b w:val="0"/>
      <w:bCs/>
      <w:spacing w:val="8"/>
      <w:szCs w:val="24"/>
    </w:rPr>
  </w:style>
  <w:style w:type="character" w:styleId="1229" w:customStyle="1">
    <w:name w:val="样式 首行缩进:  0.74 厘米 Char Char Char Char Char Char Char Char"/>
    <w:link w:val="1230"/>
    <w:uiPriority w:val="0"/>
    <w:qFormat/>
    <w:rPr>
      <w:rFonts w:ascii="Tahoma" w:hAnsi="Tahoma" w:eastAsia="楷体_GB2312" w:cs="宋体"/>
      <w:sz w:val="24"/>
      <w:szCs w:val="24"/>
    </w:rPr>
  </w:style>
  <w:style w:type="paragraph" w:styleId="1230" w:customStyle="1">
    <w:name w:val="样式 首行缩进:  0.74 厘米 Char Char Char Char Char Char Char"/>
    <w:basedOn w:val="812"/>
    <w:link w:val="1229"/>
    <w:uiPriority w:val="0"/>
    <w:pPr>
      <w:ind w:firstLine="454"/>
      <w:spacing w:line="360" w:lineRule="auto"/>
    </w:pPr>
    <w:rPr>
      <w:rFonts w:ascii="Tahoma" w:hAnsi="Tahoma" w:eastAsia="楷体_GB2312"/>
      <w:sz w:val="24"/>
      <w:szCs w:val="24"/>
    </w:rPr>
  </w:style>
  <w:style w:type="character" w:styleId="1231" w:customStyle="1">
    <w:name w:val="pic mid 字符"/>
    <w:link w:val="1232"/>
    <w:uiPriority w:val="0"/>
    <w:qFormat/>
    <w:rPr>
      <w:b/>
      <w:bCs/>
      <w:sz w:val="32"/>
      <w:szCs w:val="32"/>
      <w:lang w:val="en-US" w:eastAsia="zh-CN" w:bidi="ar-SA"/>
    </w:rPr>
  </w:style>
  <w:style w:type="paragraph" w:styleId="1232" w:customStyle="1">
    <w:name w:val="pic mid"/>
    <w:link w:val="1231"/>
    <w:uiPriority w:val="0"/>
    <w:qFormat/>
    <w:pPr>
      <w:jc w:val="center"/>
      <w:spacing w:line="360" w:lineRule="auto"/>
      <w:widowControl w:val="off"/>
    </w:pPr>
    <w:rPr>
      <w:rFonts w:hint="default" w:ascii="Times New Roman" w:hAnsi="Times New Roman" w:eastAsia="宋体" w:cs="Times New Roman"/>
      <w:b/>
      <w:bCs/>
      <w:sz w:val="32"/>
      <w:szCs w:val="32"/>
      <w:lang w:val="en-US" w:eastAsia="zh-CN" w:bidi="ar-SA"/>
    </w:rPr>
  </w:style>
  <w:style w:type="character" w:styleId="1233" w:customStyle="1">
    <w:name w:val="yf标题1.1.1 Char"/>
    <w:link w:val="1234"/>
    <w:uiPriority w:val="0"/>
    <w:qFormat/>
    <w:rPr>
      <w:b/>
      <w:bCs/>
      <w:sz w:val="32"/>
      <w:szCs w:val="32"/>
    </w:rPr>
  </w:style>
  <w:style w:type="paragraph" w:styleId="1234" w:customStyle="1">
    <w:name w:val="yf标题1.1.1"/>
    <w:basedOn w:val="1005"/>
    <w:link w:val="1233"/>
    <w:uiPriority w:val="0"/>
    <w:qFormat/>
    <w:pPr>
      <w:numPr>
        <w:ilvl w:val="2"/>
        <w:numId w:val="3"/>
      </w:numPr>
      <w:spacing w:before="0" w:after="0" w:line="360" w:lineRule="auto"/>
    </w:pPr>
    <w:rPr>
      <w:bCs/>
      <w:sz w:val="32"/>
      <w:szCs w:val="32"/>
    </w:rPr>
  </w:style>
  <w:style w:type="character" w:styleId="1235" w:customStyle="1">
    <w:name w:val="页眉 Char"/>
    <w:link w:val="1236"/>
    <w:uiPriority w:val="0"/>
    <w:rPr>
      <w:sz w:val="18"/>
      <w:szCs w:val="18"/>
    </w:rPr>
  </w:style>
  <w:style w:type="paragraph" w:styleId="1236" w:customStyle="1">
    <w:name w:val="页眉1"/>
    <w:basedOn w:val="812"/>
    <w:link w:val="1235"/>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237" w:customStyle="1">
    <w:name w:val="批注文字 字符"/>
    <w:link w:val="812"/>
    <w:uiPriority w:val="99"/>
    <w:rPr>
      <w:sz w:val="21"/>
      <w:szCs w:val="22"/>
    </w:rPr>
  </w:style>
  <w:style w:type="character" w:styleId="1238" w:customStyle="1">
    <w:name w:val="正文缩进2格 Char"/>
    <w:link w:val="1239"/>
    <w:uiPriority w:val="0"/>
    <w:qFormat/>
    <w:rPr>
      <w:rFonts w:ascii="仿宋_GB2312" w:hAnsi="宋体" w:eastAsia="仿宋_GB2312"/>
      <w:sz w:val="31"/>
      <w:szCs w:val="28"/>
    </w:rPr>
  </w:style>
  <w:style w:type="paragraph" w:styleId="1239" w:customStyle="1">
    <w:name w:val="正文缩进2格"/>
    <w:basedOn w:val="812"/>
    <w:link w:val="1238"/>
    <w:uiPriority w:val="0"/>
    <w:qFormat/>
    <w:pPr>
      <w:ind w:firstLine="639"/>
      <w:spacing w:line="600" w:lineRule="exact"/>
    </w:pPr>
    <w:rPr>
      <w:rFonts w:ascii="仿宋_GB2312" w:eastAsia="仿宋_GB2312"/>
      <w:sz w:val="31"/>
      <w:szCs w:val="28"/>
    </w:rPr>
  </w:style>
  <w:style w:type="character" w:styleId="1240" w:customStyle="1">
    <w:name w:val="左对齐的表内文字 Char"/>
    <w:link w:val="1241"/>
    <w:uiPriority w:val="0"/>
    <w:rPr>
      <w:rFonts w:eastAsia="仿宋_GB2312"/>
      <w:sz w:val="24"/>
    </w:rPr>
  </w:style>
  <w:style w:type="paragraph" w:styleId="1241" w:customStyle="1">
    <w:name w:val="左对齐的表内文字"/>
    <w:basedOn w:val="1182"/>
    <w:link w:val="1240"/>
    <w:uiPriority w:val="0"/>
    <w:pPr>
      <w:ind w:firstLine="0"/>
      <w:widowControl w:val="off"/>
    </w:pPr>
    <w:rPr>
      <w:rFonts w:ascii="Calibri" w:hAnsi="Calibri"/>
      <w:sz w:val="24"/>
      <w:szCs w:val="20"/>
    </w:rPr>
  </w:style>
  <w:style w:type="character" w:styleId="1242" w:customStyle="1">
    <w:name w:val="金宏发行正文 Char Char"/>
    <w:link w:val="1243"/>
    <w:uiPriority w:val="0"/>
    <w:qFormat/>
    <w:rPr>
      <w:rFonts w:ascii="Tahoma" w:hAnsi="Tahoma" w:eastAsia="仿宋_GB2312" w:cs="宋体"/>
      <w:sz w:val="28"/>
      <w:szCs w:val="24"/>
    </w:rPr>
  </w:style>
  <w:style w:type="paragraph" w:styleId="1243" w:customStyle="1">
    <w:name w:val="金宏发行正文 Char"/>
    <w:basedOn w:val="812"/>
    <w:link w:val="1242"/>
    <w:uiPriority w:val="0"/>
    <w:qFormat/>
    <w:pPr>
      <w:ind w:firstLine="560"/>
      <w:spacing w:line="500" w:lineRule="exact"/>
    </w:pPr>
    <w:rPr>
      <w:rFonts w:ascii="Tahoma" w:hAnsi="Tahoma" w:eastAsia="仿宋_GB2312"/>
      <w:sz w:val="28"/>
      <w:szCs w:val="24"/>
    </w:rPr>
  </w:style>
  <w:style w:type="character" w:styleId="1244" w:customStyle="1">
    <w:name w:val="标题 1 Char1"/>
    <w:link w:val="812"/>
    <w:uiPriority w:val="9"/>
    <w:qFormat/>
    <w:rPr>
      <w:rFonts w:hint="eastAsia" w:ascii="宋体" w:hAnsi="宋体" w:eastAsia="宋体"/>
      <w:b/>
      <w:sz w:val="32"/>
      <w:lang w:val="en-US" w:eastAsia="zh-CN" w:bidi="ar-SA"/>
    </w:rPr>
  </w:style>
  <w:style w:type="character" w:styleId="1245" w:customStyle="1">
    <w:name w:val="注释标题 Char"/>
    <w:link w:val="1246"/>
    <w:uiPriority w:val="0"/>
    <w:qFormat/>
    <w:rPr>
      <w:rFonts w:ascii="Tahoma" w:hAnsi="Tahoma"/>
      <w:sz w:val="21"/>
      <w:szCs w:val="24"/>
    </w:rPr>
  </w:style>
  <w:style w:type="paragraph" w:styleId="1246" w:customStyle="1">
    <w:name w:val="注释标题1"/>
    <w:basedOn w:val="812"/>
    <w:next w:val="812"/>
    <w:link w:val="1245"/>
    <w:uiPriority w:val="0"/>
    <w:qFormat/>
    <w:pPr>
      <w:jc w:val="center"/>
    </w:pPr>
    <w:rPr>
      <w:rFonts w:ascii="Tahoma" w:hAnsi="Tahoma"/>
      <w:szCs w:val="24"/>
    </w:rPr>
  </w:style>
  <w:style w:type="character" w:styleId="1247" w:customStyle="1">
    <w:name w:val="列出段落 Char"/>
    <w:link w:val="1046"/>
    <w:uiPriority w:val="34"/>
    <w:qFormat/>
    <w:rPr>
      <w:sz w:val="21"/>
    </w:rPr>
  </w:style>
  <w:style w:type="character" w:styleId="1248" w:customStyle="1">
    <w:name w:val="标题 7 Char1"/>
    <w:link w:val="812"/>
    <w:uiPriority w:val="9"/>
    <w:semiHidden/>
    <w:qFormat/>
    <w:rPr>
      <w:rFonts w:ascii="宋体" w:hAnsi="宋体" w:cs="宋体"/>
      <w:b/>
      <w:bCs/>
      <w:sz w:val="24"/>
      <w:szCs w:val="24"/>
    </w:rPr>
  </w:style>
  <w:style w:type="character" w:styleId="1249" w:customStyle="1">
    <w:name w:val="txt"/>
    <w:link w:val="812"/>
    <w:uiPriority w:val="0"/>
    <w:qFormat/>
  </w:style>
  <w:style w:type="character" w:styleId="1250" w:customStyle="1">
    <w:name w:val="脚注文本 Char"/>
    <w:link w:val="1251"/>
    <w:uiPriority w:val="0"/>
    <w:qFormat/>
    <w:rPr>
      <w:sz w:val="18"/>
      <w:szCs w:val="18"/>
    </w:rPr>
  </w:style>
  <w:style w:type="paragraph" w:styleId="1251" w:customStyle="1">
    <w:name w:val="脚注文本1"/>
    <w:basedOn w:val="812"/>
    <w:link w:val="1250"/>
    <w:uiPriority w:val="0"/>
    <w:unhideWhenUsed/>
    <w:qFormat/>
    <w:pPr>
      <w:jc w:val="left"/>
      <w:spacing w:line="360" w:lineRule="auto"/>
    </w:pPr>
    <w:rPr>
      <w:rFonts w:ascii="Calibri" w:hAnsi="Calibri"/>
      <w:sz w:val="18"/>
      <w:szCs w:val="18"/>
    </w:rPr>
  </w:style>
  <w:style w:type="character" w:styleId="1252" w:customStyle="1">
    <w:name w:val="yf标题1.1.1.1 Char"/>
    <w:link w:val="1253"/>
    <w:uiPriority w:val="0"/>
    <w:qFormat/>
    <w:rPr>
      <w:rFonts w:ascii="Cambria" w:hAnsi="Cambria"/>
      <w:b/>
      <w:bCs/>
      <w:sz w:val="28"/>
      <w:szCs w:val="28"/>
    </w:rPr>
  </w:style>
  <w:style w:type="paragraph" w:styleId="1253" w:customStyle="1">
    <w:name w:val="yf标题1.1.1.1"/>
    <w:basedOn w:val="1007"/>
    <w:link w:val="1252"/>
    <w:uiPriority w:val="0"/>
    <w:qFormat/>
    <w:pPr>
      <w:numPr>
        <w:ilvl w:val="3"/>
        <w:numId w:val="3"/>
      </w:numPr>
      <w:spacing w:before="0" w:after="0" w:line="300" w:lineRule="auto"/>
    </w:pPr>
    <w:rPr>
      <w:rFonts w:ascii="Cambria" w:hAnsi="Cambria"/>
      <w:bCs/>
      <w:sz w:val="28"/>
      <w:szCs w:val="28"/>
    </w:rPr>
  </w:style>
  <w:style w:type="character" w:styleId="1254" w:customStyle="1">
    <w:name w:val="纯文本 Char1"/>
    <w:link w:val="812"/>
    <w:uiPriority w:val="0"/>
    <w:qFormat/>
    <w:rPr>
      <w:rFonts w:ascii="宋体" w:hAnsi="Courier New" w:eastAsia="宋体" w:cs="Courier New"/>
      <w:szCs w:val="21"/>
    </w:rPr>
  </w:style>
  <w:style w:type="character" w:styleId="1255" w:customStyle="1">
    <w:name w:val="正文文本 Char"/>
    <w:link w:val="1034"/>
    <w:uiPriority w:val="0"/>
    <w:qFormat/>
    <w:rPr>
      <w:sz w:val="24"/>
      <w:szCs w:val="24"/>
    </w:rPr>
  </w:style>
  <w:style w:type="character" w:styleId="1256" w:customStyle="1">
    <w:name w:val="para1"/>
    <w:link w:val="812"/>
    <w:uiPriority w:val="0"/>
    <w:qFormat/>
    <w:rPr>
      <w:rFonts w:ascii="Arial" w:hAnsi="Arial" w:cs="Arial"/>
      <w:sz w:val="18"/>
      <w:szCs w:val="18"/>
    </w:rPr>
  </w:style>
  <w:style w:type="character" w:styleId="1257" w:customStyle="1">
    <w:name w:val="HTML 预设格式 Char1"/>
    <w:link w:val="1258"/>
    <w:uiPriority w:val="99"/>
    <w:rPr>
      <w:rFonts w:ascii="宋体" w:hAnsi="Courier New"/>
      <w:sz w:val="21"/>
    </w:rPr>
  </w:style>
  <w:style w:type="paragraph" w:styleId="1258" w:customStyle="1">
    <w:name w:val="HTML 预设格式2"/>
    <w:basedOn w:val="812"/>
    <w:link w:val="1257"/>
    <w:uiPriority w:val="99"/>
    <w:unhideWhenUsed/>
    <w:qFormat/>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Ansi="Courier New"/>
      <w:szCs w:val="20"/>
    </w:rPr>
  </w:style>
  <w:style w:type="character" w:styleId="1259" w:customStyle="1">
    <w:name w:val="1ji Char"/>
    <w:link w:val="1260"/>
    <w:uiPriority w:val="0"/>
    <w:qFormat/>
    <w:rPr>
      <w:rFonts w:ascii="宋体" w:hAnsi="宋体"/>
      <w:b/>
      <w:bCs/>
      <w:sz w:val="36"/>
      <w:szCs w:val="44"/>
    </w:rPr>
  </w:style>
  <w:style w:type="paragraph" w:styleId="1260" w:customStyle="1">
    <w:name w:val="1ji"/>
    <w:basedOn w:val="1003"/>
    <w:link w:val="1259"/>
    <w:uiPriority w:val="0"/>
    <w:pPr>
      <w:numPr>
        <w:ilvl w:val="0"/>
        <w:numId w:val="0"/>
      </w:numPr>
      <w:jc w:val="center"/>
      <w:keepLines w:val="0"/>
      <w:spacing w:before="0" w:after="0" w:line="240" w:lineRule="auto"/>
      <w:widowControl/>
    </w:pPr>
    <w:rPr>
      <w:rFonts w:ascii="宋体" w:hAnsi="宋体"/>
      <w:bCs/>
      <w:sz w:val="36"/>
      <w:szCs w:val="44"/>
    </w:rPr>
  </w:style>
  <w:style w:type="character" w:styleId="1261" w:customStyle="1">
    <w:name w:val="Char Char26"/>
    <w:link w:val="812"/>
    <w:uiPriority w:val="0"/>
    <w:qFormat/>
    <w:rPr>
      <w:rFonts w:ascii="Times New Roman" w:hAnsi="Times New Roman" w:eastAsia="宋体" w:cs="Times New Roman"/>
      <w:b/>
      <w:bCs/>
      <w:sz w:val="24"/>
      <w:szCs w:val="24"/>
      <w:lang w:val="en-US" w:eastAsia="zh-CN" w:bidi="ar-SA"/>
    </w:rPr>
  </w:style>
  <w:style w:type="character" w:styleId="1262" w:customStyle="1">
    <w:name w:val="表名 字符"/>
    <w:link w:val="1263"/>
    <w:uiPriority w:val="0"/>
    <w:qFormat/>
    <w:rPr>
      <w:rFonts w:ascii="黑体" w:hAnsi="宋体" w:eastAsia="黑体"/>
      <w:bCs/>
      <w:sz w:val="36"/>
      <w:szCs w:val="44"/>
      <w:lang w:val="en-US" w:eastAsia="zh-CN" w:bidi="ar-SA"/>
    </w:rPr>
  </w:style>
  <w:style w:type="paragraph" w:styleId="1263" w:customStyle="1">
    <w:name w:val="表名"/>
    <w:link w:val="1262"/>
    <w:uiPriority w:val="0"/>
    <w:qFormat/>
    <w:pPr>
      <w:jc w:val="center"/>
      <w:widowControl w:val="off"/>
    </w:pPr>
    <w:rPr>
      <w:rFonts w:hint="default" w:ascii="黑体" w:hAnsi="宋体" w:eastAsia="黑体" w:cs="Times New Roman"/>
      <w:bCs/>
      <w:sz w:val="36"/>
      <w:szCs w:val="44"/>
      <w:lang w:val="en-US" w:eastAsia="zh-CN" w:bidi="ar-SA"/>
    </w:rPr>
  </w:style>
  <w:style w:type="character" w:styleId="1264" w:customStyle="1">
    <w:name w:val="Char Char30"/>
    <w:link w:val="812"/>
    <w:uiPriority w:val="0"/>
    <w:qFormat/>
    <w:rPr>
      <w:rFonts w:ascii="Times New Roman" w:hAnsi="Times New Roman" w:eastAsia="宋体" w:cs="Times New Roman"/>
      <w:b/>
      <w:bCs/>
      <w:sz w:val="32"/>
      <w:szCs w:val="32"/>
      <w:lang w:val="en-US" w:eastAsia="zh-CN" w:bidi="ar-SA"/>
    </w:rPr>
  </w:style>
  <w:style w:type="character" w:styleId="1265" w:customStyle="1">
    <w:name w:val="M标题1.1 Char"/>
    <w:link w:val="1266"/>
    <w:uiPriority w:val="0"/>
    <w:qFormat/>
    <w:rPr>
      <w:rFonts w:ascii="宋体" w:hAnsi="宋体" w:eastAsia="仿宋"/>
      <w:b/>
      <w:bCs/>
      <w:sz w:val="28"/>
      <w:szCs w:val="28"/>
    </w:rPr>
  </w:style>
  <w:style w:type="paragraph" w:styleId="1266" w:customStyle="1">
    <w:name w:val="M标题1.1"/>
    <w:basedOn w:val="1004"/>
    <w:link w:val="1265"/>
    <w:uiPriority w:val="0"/>
    <w:qFormat/>
    <w:pPr>
      <w:ind w:left="0" w:right="280" w:firstLine="0"/>
      <w:jc w:val="left"/>
      <w:spacing w:before="120" w:after="0" w:line="300" w:lineRule="auto"/>
      <w:tabs>
        <w:tab w:val="clear" w:pos="576" w:leader="none"/>
      </w:tabs>
    </w:pPr>
    <w:rPr>
      <w:rFonts w:ascii="宋体" w:hAnsi="宋体" w:eastAsia="仿宋"/>
      <w:bCs/>
      <w:sz w:val="28"/>
      <w:szCs w:val="28"/>
    </w:rPr>
  </w:style>
  <w:style w:type="character" w:styleId="1267" w:customStyle="1">
    <w:name w:val="unnamed1"/>
    <w:link w:val="812"/>
    <w:uiPriority w:val="0"/>
  </w:style>
  <w:style w:type="character" w:styleId="1268" w:customStyle="1">
    <w:name w:val="批注引用1"/>
    <w:link w:val="812"/>
    <w:uiPriority w:val="0"/>
    <w:qFormat/>
    <w:rPr>
      <w:sz w:val="21"/>
      <w:szCs w:val="21"/>
    </w:rPr>
  </w:style>
  <w:style w:type="character" w:styleId="1269" w:customStyle="1">
    <w:name w:val="正文文本 2 Char"/>
    <w:link w:val="1270"/>
    <w:uiPriority w:val="0"/>
    <w:qFormat/>
    <w:rPr>
      <w:rFonts w:ascii="宋体" w:hAnsi="宋体"/>
      <w:sz w:val="24"/>
      <w:szCs w:val="24"/>
    </w:rPr>
  </w:style>
  <w:style w:type="paragraph" w:styleId="1270" w:customStyle="1">
    <w:name w:val="正文文本 22"/>
    <w:basedOn w:val="812"/>
    <w:link w:val="1269"/>
    <w:uiPriority w:val="0"/>
    <w:pPr>
      <w:spacing w:after="120" w:line="480" w:lineRule="auto"/>
    </w:pPr>
    <w:rPr>
      <w:sz w:val="24"/>
      <w:szCs w:val="24"/>
    </w:rPr>
  </w:style>
  <w:style w:type="character" w:styleId="1271" w:customStyle="1">
    <w:name w:val="M正文 Char Char"/>
    <w:link w:val="812"/>
    <w:uiPriority w:val="0"/>
    <w:qFormat/>
    <w:rPr>
      <w:rFonts w:ascii="宋体" w:hAnsi="宋体"/>
      <w:sz w:val="24"/>
      <w:szCs w:val="24"/>
    </w:rPr>
  </w:style>
  <w:style w:type="character" w:styleId="1272" w:customStyle="1">
    <w:name w:val="正文首行缩进 2 Char"/>
    <w:link w:val="1273"/>
    <w:uiPriority w:val="0"/>
    <w:rPr>
      <w:sz w:val="24"/>
      <w:szCs w:val="24"/>
    </w:rPr>
  </w:style>
  <w:style w:type="paragraph" w:styleId="1273" w:customStyle="1">
    <w:name w:val="正文首行缩进 21"/>
    <w:basedOn w:val="1274"/>
    <w:link w:val="1272"/>
    <w:uiPriority w:val="0"/>
    <w:qFormat/>
    <w:pPr>
      <w:ind w:left="0" w:firstLine="200"/>
      <w:jc w:val="center"/>
      <w:spacing w:line="360" w:lineRule="auto"/>
    </w:pPr>
    <w:rPr>
      <w:rFonts w:ascii="Calibri" w:hAnsi="Calibri"/>
      <w:sz w:val="24"/>
      <w:szCs w:val="24"/>
    </w:rPr>
  </w:style>
  <w:style w:type="paragraph" w:styleId="1274" w:customStyle="1">
    <w:name w:val="正文文本缩进1"/>
    <w:basedOn w:val="812"/>
    <w:uiPriority w:val="0"/>
    <w:qFormat/>
    <w:pPr>
      <w:ind w:left="420"/>
      <w:spacing w:after="120"/>
    </w:pPr>
    <w:rPr>
      <w:rFonts w:ascii="Times New Roman" w:hAnsi="Times New Roman"/>
      <w:sz w:val="20"/>
    </w:rPr>
  </w:style>
  <w:style w:type="character" w:styleId="1275" w:customStyle="1">
    <w:name w:val="浅色列表 - 着色 5 Char"/>
    <w:link w:val="812"/>
    <w:uiPriority w:val="34"/>
    <w:rPr>
      <w:sz w:val="21"/>
      <w:szCs w:val="22"/>
    </w:rPr>
  </w:style>
  <w:style w:type="character" w:styleId="1276" w:customStyle="1">
    <w:name w:val="表蕊 Char1"/>
    <w:link w:val="1277"/>
    <w:uiPriority w:val="0"/>
    <w:qFormat/>
    <w:rPr>
      <w:rFonts w:ascii="Tahoma" w:hAnsi="Tahoma" w:eastAsia="楷体_GB2312"/>
      <w:spacing w:val="-10"/>
      <w:sz w:val="21"/>
      <w:szCs w:val="24"/>
    </w:rPr>
  </w:style>
  <w:style w:type="paragraph" w:styleId="1277" w:customStyle="1">
    <w:name w:val="表蕊"/>
    <w:basedOn w:val="812"/>
    <w:link w:val="1276"/>
    <w:uiPriority w:val="0"/>
    <w:qFormat/>
    <w:pPr>
      <w:jc w:val="left"/>
      <w:spacing w:line="320" w:lineRule="atLeast"/>
    </w:pPr>
    <w:rPr>
      <w:rFonts w:ascii="Tahoma" w:hAnsi="Tahoma" w:eastAsia="楷体_GB2312"/>
      <w:spacing w:val="-10"/>
      <w:szCs w:val="24"/>
    </w:rPr>
  </w:style>
  <w:style w:type="character" w:styleId="1278" w:customStyle="1">
    <w:name w:val="正文首行缩进 2 Char1"/>
    <w:link w:val="812"/>
    <w:uiPriority w:val="0"/>
    <w:qFormat/>
    <w:rPr>
      <w:rFonts w:ascii="宋体" w:hAnsi="宋体"/>
      <w:sz w:val="24"/>
      <w:szCs w:val="24"/>
    </w:rPr>
  </w:style>
  <w:style w:type="character" w:styleId="1279" w:customStyle="1">
    <w:name w:val="Char Char19"/>
    <w:link w:val="812"/>
    <w:uiPriority w:val="0"/>
    <w:qFormat/>
    <w:rPr>
      <w:rFonts w:ascii="楷体_GB2312" w:hAnsi="Tahoma" w:eastAsia="楷体_GB2312"/>
      <w:sz w:val="28"/>
      <w:szCs w:val="28"/>
      <w:lang w:val="en-US" w:eastAsia="zh-CN" w:bidi="ar-SA"/>
    </w:rPr>
  </w:style>
  <w:style w:type="character" w:styleId="1280" w:customStyle="1">
    <w:name w:val="正文缩进 Char3"/>
    <w:link w:val="812"/>
    <w:uiPriority w:val="0"/>
    <w:qFormat/>
    <w:rPr>
      <w:rFonts w:eastAsia="楷体_GB2312"/>
      <w:sz w:val="24"/>
      <w:lang w:val="en-US" w:eastAsia="zh-CN" w:bidi="ar-SA"/>
    </w:rPr>
  </w:style>
  <w:style w:type="character" w:styleId="1281" w:customStyle="1">
    <w:name w:val="s_hui14"/>
    <w:link w:val="812"/>
    <w:uiPriority w:val="0"/>
    <w:qFormat/>
  </w:style>
  <w:style w:type="character" w:styleId="1282" w:customStyle="1">
    <w:name w:val="Unresolved Mention"/>
    <w:link w:val="812"/>
    <w:uiPriority w:val="99"/>
    <w:unhideWhenUsed/>
    <w:qFormat/>
    <w:rPr>
      <w:color w:val="605e5c"/>
      <w:shd w:val="clear" w:color="auto" w:fill="e1dfdd"/>
    </w:rPr>
  </w:style>
  <w:style w:type="character" w:styleId="1283" w:customStyle="1">
    <w:name w:val="ca-71"/>
    <w:link w:val="812"/>
    <w:uiPriority w:val="0"/>
    <w:qFormat/>
    <w:rPr>
      <w:rFonts w:hint="eastAsia" w:ascii="宋体" w:hAnsi="宋体" w:eastAsia="宋体"/>
      <w:sz w:val="21"/>
      <w:szCs w:val="21"/>
    </w:rPr>
  </w:style>
  <w:style w:type="character" w:styleId="1284" w:customStyle="1">
    <w:name w:val="页脚 Char1"/>
    <w:link w:val="812"/>
    <w:uiPriority w:val="0"/>
    <w:qFormat/>
    <w:rPr>
      <w:rFonts w:ascii="宋体" w:hAnsi="宋体" w:eastAsia="宋体" w:cs="宋体"/>
      <w:sz w:val="18"/>
      <w:szCs w:val="18"/>
    </w:rPr>
  </w:style>
  <w:style w:type="character" w:styleId="1285" w:customStyle="1">
    <w:name w:val="批注框文本 字符"/>
    <w:link w:val="812"/>
    <w:uiPriority w:val="99"/>
    <w:semiHidden/>
    <w:qFormat/>
    <w:rPr>
      <w:sz w:val="18"/>
      <w:szCs w:val="18"/>
    </w:rPr>
  </w:style>
  <w:style w:type="character" w:styleId="1286" w:customStyle="1">
    <w:name w:val="标题 3 Char"/>
    <w:link w:val="1005"/>
    <w:uiPriority w:val="0"/>
    <w:qFormat/>
    <w:rPr>
      <w:b/>
      <w:sz w:val="21"/>
    </w:rPr>
  </w:style>
  <w:style w:type="character" w:styleId="1287" w:customStyle="1">
    <w:name w:val="标题 1 Char"/>
    <w:link w:val="1003"/>
    <w:uiPriority w:val="9"/>
    <w:qFormat/>
    <w:rPr>
      <w:b/>
      <w:sz w:val="44"/>
    </w:rPr>
  </w:style>
  <w:style w:type="character" w:styleId="1288" w:customStyle="1">
    <w:name w:val="标题 2 Char"/>
    <w:link w:val="1004"/>
    <w:uiPriority w:val="0"/>
    <w:qFormat/>
    <w:rPr>
      <w:rFonts w:ascii="Arial" w:hAnsi="Arial" w:eastAsia="黑体"/>
      <w:b/>
      <w:sz w:val="32"/>
    </w:rPr>
  </w:style>
  <w:style w:type="character" w:styleId="1289" w:customStyle="1">
    <w:name w:val="正文缩进 Char"/>
    <w:link w:val="1006"/>
    <w:uiPriority w:val="0"/>
    <w:qFormat/>
    <w:rPr>
      <w:rFonts w:eastAsia="楷体_GB2312"/>
      <w:sz w:val="24"/>
      <w:lang w:val="en-US" w:eastAsia="zh-CN" w:bidi="ar-SA"/>
    </w:rPr>
  </w:style>
  <w:style w:type="character" w:styleId="1290" w:customStyle="1">
    <w:name w:val="标题 5 Char"/>
    <w:link w:val="1008"/>
    <w:uiPriority w:val="0"/>
    <w:qFormat/>
    <w:rPr>
      <w:b/>
      <w:sz w:val="28"/>
    </w:rPr>
  </w:style>
  <w:style w:type="character" w:styleId="1291" w:customStyle="1">
    <w:name w:val="标题 8 Char"/>
    <w:link w:val="1011"/>
    <w:uiPriority w:val="9"/>
    <w:qFormat/>
    <w:rPr>
      <w:rFonts w:ascii="Arial" w:hAnsi="Arial" w:eastAsia="黑体"/>
      <w:sz w:val="24"/>
    </w:rPr>
  </w:style>
  <w:style w:type="character" w:styleId="1292" w:customStyle="1">
    <w:name w:val="标题 9 Char"/>
    <w:link w:val="1012"/>
    <w:uiPriority w:val="0"/>
    <w:qFormat/>
    <w:rPr>
      <w:rFonts w:ascii="Arial" w:hAnsi="Arial" w:eastAsia="黑体"/>
      <w:sz w:val="21"/>
    </w:rPr>
  </w:style>
  <w:style w:type="character" w:styleId="1293" w:customStyle="1">
    <w:name w:val="正文文本缩进 2 Char"/>
    <w:link w:val="1294"/>
    <w:uiPriority w:val="0"/>
    <w:qFormat/>
    <w:rPr>
      <w:sz w:val="24"/>
      <w:szCs w:val="24"/>
    </w:rPr>
  </w:style>
  <w:style w:type="paragraph" w:styleId="1294" w:customStyle="1">
    <w:name w:val="正文文本缩进 22"/>
    <w:basedOn w:val="812"/>
    <w:link w:val="1293"/>
    <w:uiPriority w:val="0"/>
    <w:qFormat/>
    <w:pPr>
      <w:ind w:left="1" w:firstLine="480"/>
      <w:spacing w:line="400" w:lineRule="exact"/>
      <w:tabs>
        <w:tab w:val="left" w:pos="360" w:leader="none"/>
      </w:tabs>
    </w:pPr>
    <w:rPr>
      <w:rFonts w:ascii="Calibri" w:hAnsi="Calibri"/>
      <w:sz w:val="24"/>
      <w:szCs w:val="24"/>
    </w:rPr>
  </w:style>
  <w:style w:type="character" w:styleId="1295" w:customStyle="1">
    <w:name w:val="副标题 Char"/>
    <w:link w:val="1296"/>
    <w:uiPriority w:val="11"/>
    <w:qFormat/>
    <w:rPr>
      <w:rFonts w:ascii="Arial" w:hAnsi="Arial" w:cs="Arial"/>
      <w:b/>
      <w:bCs/>
      <w:sz w:val="32"/>
      <w:szCs w:val="32"/>
    </w:rPr>
  </w:style>
  <w:style w:type="paragraph" w:styleId="1296" w:customStyle="1">
    <w:name w:val="副标题1"/>
    <w:basedOn w:val="812"/>
    <w:link w:val="1295"/>
    <w:uiPriority w:val="11"/>
    <w:qFormat/>
    <w:pPr>
      <w:jc w:val="center"/>
      <w:spacing w:before="240" w:after="60" w:line="312" w:lineRule="auto"/>
    </w:pPr>
    <w:rPr>
      <w:rFonts w:ascii="Arial" w:hAnsi="Arial"/>
      <w:b/>
      <w:bCs/>
      <w:sz w:val="32"/>
      <w:szCs w:val="32"/>
    </w:rPr>
  </w:style>
  <w:style w:type="character" w:styleId="1297" w:customStyle="1">
    <w:name w:val="正文文本缩进 3 Char"/>
    <w:link w:val="1298"/>
    <w:uiPriority w:val="0"/>
    <w:qFormat/>
    <w:rPr>
      <w:sz w:val="24"/>
      <w:szCs w:val="24"/>
    </w:rPr>
  </w:style>
  <w:style w:type="paragraph" w:styleId="1298" w:customStyle="1">
    <w:name w:val="正文文本缩进 311"/>
    <w:basedOn w:val="812"/>
    <w:link w:val="1297"/>
    <w:uiPriority w:val="0"/>
    <w:qFormat/>
    <w:pPr>
      <w:ind w:firstLine="480"/>
      <w:spacing w:line="400" w:lineRule="exact"/>
    </w:pPr>
    <w:rPr>
      <w:rFonts w:ascii="Calibri" w:hAnsi="Calibri"/>
      <w:sz w:val="24"/>
      <w:szCs w:val="24"/>
    </w:rPr>
  </w:style>
  <w:style w:type="character" w:styleId="1299" w:customStyle="1">
    <w:name w:val="信息标题 Char"/>
    <w:link w:val="1300"/>
    <w:uiPriority w:val="0"/>
    <w:qFormat/>
    <w:rPr>
      <w:rFonts w:ascii="宋体" w:hAnsi="Courier New" w:eastAsia="宋体"/>
      <w:shd w:val="pct20" w:color="auto" w:fill="auto"/>
    </w:rPr>
  </w:style>
  <w:style w:type="paragraph" w:styleId="1300" w:customStyle="1">
    <w:name w:val="信息标题11"/>
    <w:basedOn w:val="812"/>
    <w:link w:val="129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sz w:val="20"/>
      <w:szCs w:val="20"/>
    </w:rPr>
  </w:style>
  <w:style w:type="character" w:styleId="1301" w:customStyle="1">
    <w:name w:val="标题3 Char"/>
    <w:link w:val="812"/>
    <w:uiPriority w:val="0"/>
    <w:qFormat/>
    <w:rPr>
      <w:rFonts w:ascii="方正黑体_GBK" w:hAnsi="Times New Roman" w:eastAsia="方正黑体_GBK" w:cs="Times New Roman"/>
      <w:sz w:val="32"/>
      <w:szCs w:val="32"/>
    </w:rPr>
  </w:style>
  <w:style w:type="character" w:styleId="1302" w:customStyle="1">
    <w:name w:val="星 字符"/>
    <w:link w:val="1303"/>
    <w:uiPriority w:val="0"/>
    <w:qFormat/>
    <w:rPr>
      <w:sz w:val="24"/>
      <w:szCs w:val="24"/>
    </w:rPr>
  </w:style>
  <w:style w:type="paragraph" w:styleId="1303" w:customStyle="1">
    <w:name w:val="星"/>
    <w:basedOn w:val="812"/>
    <w:link w:val="1302"/>
    <w:uiPriority w:val="0"/>
    <w:qFormat/>
    <w:pPr>
      <w:numPr>
        <w:ilvl w:val="0"/>
        <w:numId w:val="7"/>
      </w:numPr>
      <w:ind w:firstLine="0"/>
      <w:spacing w:line="360" w:lineRule="auto"/>
    </w:pPr>
    <w:rPr>
      <w:rFonts w:ascii="Times New Roman" w:hAnsi="Times New Roman"/>
      <w:sz w:val="24"/>
      <w:szCs w:val="24"/>
    </w:rPr>
  </w:style>
  <w:style w:type="character" w:styleId="1304" w:customStyle="1">
    <w:name w:val="中等深浅网格 1 - 着色 3 Char"/>
    <w:link w:val="812"/>
    <w:uiPriority w:val="1"/>
    <w:qFormat/>
    <w:rPr>
      <w:sz w:val="22"/>
      <w:szCs w:val="22"/>
      <w:lang w:bidi="ar-SA"/>
    </w:rPr>
  </w:style>
  <w:style w:type="character" w:styleId="1305" w:customStyle="1">
    <w:name w:val="封面 字符"/>
    <w:link w:val="1306"/>
    <w:uiPriority w:val="0"/>
    <w:qFormat/>
    <w:rPr>
      <w:rFonts w:ascii="宋体" w:hAnsi="宋体"/>
      <w:b/>
      <w:sz w:val="72"/>
      <w:szCs w:val="24"/>
    </w:rPr>
  </w:style>
  <w:style w:type="paragraph" w:styleId="1306" w:customStyle="1">
    <w:name w:val="封面"/>
    <w:basedOn w:val="812"/>
    <w:link w:val="1305"/>
    <w:uiPriority w:val="0"/>
    <w:qFormat/>
    <w:pPr>
      <w:jc w:val="center"/>
    </w:pPr>
    <w:rPr>
      <w:b/>
      <w:sz w:val="72"/>
      <w:szCs w:val="24"/>
    </w:rPr>
  </w:style>
  <w:style w:type="character" w:styleId="1307" w:customStyle="1">
    <w:name w:val="defaultfont1"/>
    <w:link w:val="812"/>
    <w:uiPriority w:val="0"/>
    <w:qFormat/>
    <w:rPr>
      <w:rFonts w:ascii="Tahoma" w:hAnsi="Tahoma" w:eastAsia="宋体"/>
      <w:sz w:val="24"/>
      <w:szCs w:val="24"/>
      <w:lang w:val="en-US" w:eastAsia="zh-CN" w:bidi="ar-SA"/>
    </w:rPr>
  </w:style>
  <w:style w:type="character" w:styleId="1308" w:customStyle="1">
    <w:name w:val="P_Table_Left Char"/>
    <w:link w:val="1309"/>
    <w:uiPriority w:val="0"/>
    <w:qFormat/>
    <w:rPr>
      <w:rFonts w:ascii="仿宋" w:hAnsi="仿宋" w:eastAsia="仿宋"/>
      <w:sz w:val="28"/>
      <w:szCs w:val="24"/>
      <w:lang w:val="en-US" w:eastAsia="zh-CN" w:bidi="ar-SA"/>
    </w:rPr>
  </w:style>
  <w:style w:type="paragraph" w:styleId="1309" w:customStyle="1">
    <w:name w:val="P_Table_Left"/>
    <w:link w:val="1308"/>
    <w:uiPriority w:val="0"/>
    <w:qFormat/>
    <w:pPr>
      <w:spacing w:line="360" w:lineRule="auto"/>
    </w:pPr>
    <w:rPr>
      <w:rFonts w:hint="default" w:ascii="仿宋" w:hAnsi="仿宋" w:eastAsia="仿宋" w:cs="Times New Roman"/>
      <w:sz w:val="28"/>
      <w:szCs w:val="24"/>
      <w:lang w:val="en-US" w:eastAsia="zh-CN" w:bidi="ar-SA"/>
    </w:rPr>
  </w:style>
  <w:style w:type="character" w:styleId="1310" w:customStyle="1">
    <w:name w:val="z11"/>
    <w:link w:val="812"/>
    <w:uiPriority w:val="0"/>
    <w:qFormat/>
    <w:rPr>
      <w:sz w:val="20"/>
      <w:szCs w:val="20"/>
    </w:rPr>
  </w:style>
  <w:style w:type="character" w:styleId="1311" w:customStyle="1">
    <w:name w:val="占位符文本"/>
    <w:link w:val="812"/>
    <w:uiPriority w:val="99"/>
    <w:semiHidden/>
    <w:qFormat/>
    <w:rPr>
      <w:color w:val="808080"/>
    </w:rPr>
  </w:style>
  <w:style w:type="character" w:styleId="1312" w:customStyle="1">
    <w:name w:val="标题 6 Char1"/>
    <w:link w:val="812"/>
    <w:uiPriority w:val="9"/>
    <w:semiHidden/>
    <w:qFormat/>
    <w:rPr>
      <w:rFonts w:ascii="Cambria" w:hAnsi="Cambria" w:eastAsia="宋体" w:cs="Times New Roman"/>
      <w:b/>
      <w:bCs/>
      <w:sz w:val="24"/>
      <w:szCs w:val="24"/>
    </w:rPr>
  </w:style>
  <w:style w:type="character" w:styleId="1313" w:customStyle="1">
    <w:name w:val="P_Normal_Emphasis Char"/>
    <w:link w:val="1314"/>
    <w:uiPriority w:val="0"/>
    <w:qFormat/>
    <w:rPr>
      <w:rFonts w:ascii="仿宋" w:hAnsi="仿宋" w:eastAsia="仿宋"/>
      <w:b/>
      <w:bCs/>
      <w:sz w:val="28"/>
      <w:szCs w:val="24"/>
      <w:lang w:val="en-US" w:eastAsia="zh-CN" w:bidi="ar-SA"/>
    </w:rPr>
  </w:style>
  <w:style w:type="paragraph" w:styleId="1314" w:customStyle="1">
    <w:name w:val="P_Normal_Emphasis"/>
    <w:next w:val="812"/>
    <w:link w:val="1313"/>
    <w:uiPriority w:val="0"/>
    <w:qFormat/>
    <w:pPr>
      <w:ind w:firstLine="562"/>
      <w:spacing w:line="360" w:lineRule="auto"/>
    </w:pPr>
    <w:rPr>
      <w:rFonts w:hint="default" w:ascii="仿宋" w:hAnsi="仿宋" w:eastAsia="仿宋" w:cs="Times New Roman"/>
      <w:b/>
      <w:bCs/>
      <w:sz w:val="28"/>
      <w:szCs w:val="24"/>
      <w:lang w:val="en-US" w:eastAsia="zh-CN" w:bidi="ar-SA"/>
    </w:rPr>
  </w:style>
  <w:style w:type="character" w:styleId="1315" w:customStyle="1">
    <w:name w:val="正文文本缩进 3 Char1"/>
    <w:link w:val="812"/>
    <w:uiPriority w:val="0"/>
    <w:qFormat/>
    <w:rPr>
      <w:rFonts w:hint="eastAsia" w:ascii="宋体" w:hAnsi="宋体" w:eastAsia="宋体" w:cs="宋体"/>
      <w:sz w:val="16"/>
      <w:szCs w:val="16"/>
    </w:rPr>
  </w:style>
  <w:style w:type="character" w:styleId="1316" w:customStyle="1">
    <w:name w:val="插图 Char Char"/>
    <w:link w:val="1317"/>
    <w:uiPriority w:val="0"/>
    <w:qFormat/>
    <w:rPr>
      <w:rFonts w:ascii="宋体" w:hAnsi="宋体" w:eastAsia="Times New Roman" w:cs="宋体"/>
      <w:lang w:val="en-US" w:eastAsia="zh-CN" w:bidi="ar-SA"/>
    </w:rPr>
  </w:style>
  <w:style w:type="paragraph" w:styleId="1317" w:customStyle="1">
    <w:name w:val="插图"/>
    <w:link w:val="1316"/>
    <w:uiPriority w:val="0"/>
    <w:qFormat/>
    <w:pPr>
      <w:jc w:val="center"/>
    </w:pPr>
    <w:rPr>
      <w:rFonts w:hint="default" w:ascii="宋体" w:hAnsi="宋体" w:eastAsia="Times New Roman" w:cs="宋体"/>
      <w:lang w:val="en-US" w:eastAsia="zh-CN" w:bidi="ar-SA"/>
    </w:rPr>
  </w:style>
  <w:style w:type="character" w:styleId="1318" w:customStyle="1">
    <w:name w:val="技术商务文件 字符"/>
    <w:link w:val="1319"/>
    <w:uiPriority w:val="0"/>
    <w:qFormat/>
    <w:rPr>
      <w:rFonts w:ascii="Calibri" w:hAnsi="Calibri"/>
      <w:b/>
      <w:smallCaps/>
      <w:sz w:val="48"/>
      <w:szCs w:val="48"/>
    </w:rPr>
  </w:style>
  <w:style w:type="paragraph" w:styleId="1319" w:customStyle="1">
    <w:name w:val="技术商务文件"/>
    <w:basedOn w:val="812"/>
    <w:link w:val="1318"/>
    <w:uiPriority w:val="0"/>
    <w:qFormat/>
    <w:pPr>
      <w:jc w:val="center"/>
      <w:spacing w:before="200" w:after="200" w:line="271" w:lineRule="auto"/>
      <w:widowControl/>
      <w:outlineLvl w:val="1"/>
    </w:pPr>
    <w:rPr>
      <w:rFonts w:ascii="Calibri" w:hAnsi="Calibri"/>
      <w:b/>
      <w:smallCaps/>
      <w:sz w:val="48"/>
      <w:szCs w:val="48"/>
    </w:rPr>
  </w:style>
  <w:style w:type="character" w:styleId="1320" w:customStyle="1">
    <w:name w:val="文档正文 Char1"/>
    <w:link w:val="1321"/>
    <w:uiPriority w:val="0"/>
    <w:qFormat/>
    <w:rPr>
      <w:rFonts w:ascii="长城仿宋"/>
      <w:sz w:val="21"/>
    </w:rPr>
  </w:style>
  <w:style w:type="paragraph" w:styleId="1321" w:customStyle="1">
    <w:name w:val="文档正文"/>
    <w:basedOn w:val="812"/>
    <w:link w:val="1320"/>
    <w:uiPriority w:val="0"/>
    <w:qFormat/>
    <w:pPr>
      <w:ind w:firstLine="567"/>
      <w:spacing w:line="480" w:lineRule="atLeast"/>
    </w:pPr>
    <w:rPr>
      <w:rFonts w:ascii="长城仿宋" w:hAnsi="Calibri"/>
      <w:szCs w:val="20"/>
    </w:rPr>
  </w:style>
  <w:style w:type="character" w:styleId="1322" w:customStyle="1">
    <w:name w:val="Char Char13"/>
    <w:link w:val="812"/>
    <w:uiPriority w:val="0"/>
    <w:qFormat/>
    <w:rPr>
      <w:rFonts w:hint="eastAsia" w:ascii="宋体" w:hAnsi="Courier New" w:eastAsia="宋体"/>
    </w:rPr>
  </w:style>
  <w:style w:type="character" w:styleId="1323" w:customStyle="1">
    <w:name w:val="正文内容 Char"/>
    <w:link w:val="1324"/>
    <w:uiPriority w:val="0"/>
    <w:qFormat/>
    <w:rPr>
      <w:rFonts w:ascii="Tahoma" w:hAnsi="Tahoma"/>
      <w:sz w:val="24"/>
      <w:szCs w:val="24"/>
    </w:rPr>
  </w:style>
  <w:style w:type="paragraph" w:styleId="1324" w:customStyle="1">
    <w:name w:val="正文内容"/>
    <w:basedOn w:val="1175"/>
    <w:link w:val="1323"/>
    <w:uiPriority w:val="0"/>
    <w:qFormat/>
    <w:pPr>
      <w:ind w:firstLine="480"/>
      <w:spacing w:after="120" w:line="360" w:lineRule="auto"/>
    </w:pPr>
    <w:rPr>
      <w:rFonts w:ascii="Tahoma" w:hAnsi="Tahoma"/>
      <w:szCs w:val="24"/>
    </w:rPr>
  </w:style>
  <w:style w:type="character" w:styleId="1325" w:customStyle="1">
    <w:name w:val="Plain Text Char Char"/>
    <w:link w:val="1326"/>
    <w:uiPriority w:val="0"/>
    <w:qFormat/>
    <w:rPr>
      <w:rFonts w:ascii="宋体" w:hAnsi="Courier New" w:eastAsia="楷体_GB2312"/>
      <w:sz w:val="28"/>
    </w:rPr>
  </w:style>
  <w:style w:type="paragraph" w:styleId="1326" w:customStyle="1">
    <w:name w:val="纯文本1"/>
    <w:basedOn w:val="812"/>
    <w:link w:val="1325"/>
    <w:uiPriority w:val="0"/>
    <w:qFormat/>
    <w:rPr>
      <w:rFonts w:hAnsi="Courier New" w:eastAsia="楷体_GB2312"/>
      <w:sz w:val="28"/>
      <w:szCs w:val="20"/>
    </w:rPr>
  </w:style>
  <w:style w:type="character" w:styleId="1327" w:customStyle="1">
    <w:name w:val="标题 5 Char1"/>
    <w:link w:val="812"/>
    <w:uiPriority w:val="9"/>
    <w:semiHidden/>
    <w:qFormat/>
    <w:rPr>
      <w:rFonts w:ascii="宋体" w:hAnsi="宋体" w:cs="宋体"/>
      <w:b/>
      <w:bCs/>
      <w:sz w:val="28"/>
      <w:szCs w:val="28"/>
    </w:rPr>
  </w:style>
  <w:style w:type="character" w:styleId="1328" w:customStyle="1">
    <w:name w:val="Char Char14"/>
    <w:link w:val="812"/>
    <w:uiPriority w:val="0"/>
    <w:qFormat/>
    <w:rPr>
      <w:rFonts w:hint="eastAsia" w:ascii="宋体" w:hAnsi="宋体" w:eastAsia="宋体"/>
      <w:sz w:val="18"/>
      <w:szCs w:val="18"/>
    </w:rPr>
  </w:style>
  <w:style w:type="character" w:styleId="1329" w:customStyle="1">
    <w:name w:val="14p"/>
    <w:link w:val="812"/>
    <w:uiPriority w:val="0"/>
    <w:qFormat/>
    <w:rPr>
      <w:rFonts w:ascii="Tahoma" w:hAnsi="Tahoma" w:eastAsia="宋体"/>
      <w:sz w:val="24"/>
      <w:szCs w:val="24"/>
      <w:lang w:val="en-US" w:eastAsia="zh-CN" w:bidi="ar-SA"/>
    </w:rPr>
  </w:style>
  <w:style w:type="character" w:styleId="1330" w:customStyle="1">
    <w:name w:val="链接"/>
    <w:link w:val="812"/>
    <w:uiPriority w:val="0"/>
    <w:qFormat/>
    <w:rPr>
      <w:rFonts w:ascii="Times New Roman" w:hAnsi="Times New Roman" w:eastAsia="宋体" w:cs="Times New Roman"/>
      <w:color w:val="0000ff"/>
      <w:sz w:val="21"/>
      <w:u w:val="single"/>
      <w:vertAlign w:val="baseline"/>
      <w:lang w:val="en-US" w:eastAsia="zh-CN"/>
    </w:rPr>
  </w:style>
  <w:style w:type="character" w:styleId="1331" w:customStyle="1">
    <w:name w:val="Plain Text Char"/>
    <w:link w:val="834"/>
    <w:uiPriority w:val="0"/>
    <w:qFormat/>
    <w:rPr>
      <w:rFonts w:ascii="宋体" w:hAnsi="Courier New" w:eastAsia="楷体_GB2312"/>
      <w:sz w:val="26"/>
    </w:rPr>
  </w:style>
  <w:style w:type="character" w:styleId="1332" w:customStyle="1">
    <w:name w:val="yf正文 Char"/>
    <w:link w:val="1333"/>
    <w:uiPriority w:val="0"/>
    <w:qFormat/>
    <w:rPr>
      <w:rFonts w:ascii="宋体" w:hAnsi="宋体"/>
      <w:sz w:val="24"/>
      <w:szCs w:val="24"/>
    </w:rPr>
  </w:style>
  <w:style w:type="paragraph" w:styleId="1333" w:customStyle="1">
    <w:name w:val="yf正文"/>
    <w:basedOn w:val="1037"/>
    <w:link w:val="1332"/>
    <w:uiPriority w:val="0"/>
    <w:qFormat/>
    <w:pPr>
      <w:ind w:left="0" w:right="0" w:firstLine="200"/>
      <w:jc w:val="both"/>
      <w:spacing w:before="0" w:after="0" w:line="360" w:lineRule="auto"/>
    </w:pPr>
    <w:rPr>
      <w:rFonts w:ascii="宋体" w:hAnsi="宋体" w:eastAsia="宋体"/>
    </w:rPr>
  </w:style>
  <w:style w:type="character" w:styleId="1334" w:customStyle="1">
    <w:name w:val="样式 首行缩进:  2 字符 Char"/>
    <w:link w:val="812"/>
    <w:uiPriority w:val="0"/>
    <w:qFormat/>
    <w:rPr>
      <w:rFonts w:ascii="Times New Roman" w:hAnsi="Times New Roman" w:eastAsia="仿宋_GB2312" w:cs="Times New Roman"/>
      <w:sz w:val="28"/>
      <w:szCs w:val="28"/>
    </w:rPr>
  </w:style>
  <w:style w:type="character" w:styleId="1335" w:customStyle="1">
    <w:name w:val="表格正文 字符"/>
    <w:link w:val="1336"/>
    <w:uiPriority w:val="0"/>
    <w:qFormat/>
    <w:rPr>
      <w:sz w:val="24"/>
    </w:rPr>
  </w:style>
  <w:style w:type="paragraph" w:styleId="1336" w:customStyle="1">
    <w:name w:val="表格正文"/>
    <w:basedOn w:val="812"/>
    <w:link w:val="1335"/>
    <w:uiPriority w:val="0"/>
    <w:qFormat/>
    <w:pPr>
      <w:spacing w:line="360" w:lineRule="auto"/>
    </w:pPr>
    <w:rPr>
      <w:rFonts w:ascii="Calibri" w:hAnsi="Calibri"/>
      <w:sz w:val="24"/>
      <w:szCs w:val="20"/>
    </w:rPr>
  </w:style>
  <w:style w:type="character" w:styleId="1337" w:customStyle="1">
    <w:name w:val="样式 标题 4 + 宋体 小四 Char"/>
    <w:link w:val="1338"/>
    <w:uiPriority w:val="0"/>
    <w:qFormat/>
    <w:rPr>
      <w:rFonts w:ascii="宋体" w:hAnsi="宋体"/>
      <w:b/>
      <w:bCs/>
      <w:sz w:val="24"/>
      <w:szCs w:val="28"/>
    </w:rPr>
  </w:style>
  <w:style w:type="paragraph" w:styleId="1338" w:customStyle="1">
    <w:name w:val="样式 标题 4 + 宋体 小四"/>
    <w:basedOn w:val="1007"/>
    <w:link w:val="1337"/>
    <w:uiPriority w:val="0"/>
    <w:qFormat/>
    <w:pPr>
      <w:numPr>
        <w:ilvl w:val="0"/>
        <w:numId w:val="0"/>
      </w:numPr>
      <w:spacing w:before="0" w:after="0" w:line="360" w:lineRule="auto"/>
      <w:tabs>
        <w:tab w:val="clear" w:pos="1440" w:leader="none"/>
      </w:tabs>
    </w:pPr>
    <w:rPr>
      <w:rFonts w:ascii="宋体" w:hAnsi="宋体"/>
      <w:bCs/>
      <w:sz w:val="24"/>
      <w:szCs w:val="28"/>
    </w:rPr>
  </w:style>
  <w:style w:type="character" w:styleId="1339" w:customStyle="1">
    <w:name w:val="Char Char191"/>
    <w:link w:val="812"/>
    <w:uiPriority w:val="0"/>
    <w:semiHidden/>
    <w:qFormat/>
    <w:rPr>
      <w:rFonts w:ascii="Times New Roman" w:hAnsi="Times New Roman" w:eastAsia="宋体" w:cs="Times New Roman"/>
      <w:sz w:val="24"/>
      <w:szCs w:val="24"/>
      <w:shd w:val="clear" w:color="auto" w:fill="000080"/>
      <w:lang w:val="en-US" w:eastAsia="zh-CN" w:bidi="ar-SA"/>
    </w:rPr>
  </w:style>
  <w:style w:type="character" w:styleId="1340" w:customStyle="1">
    <w:name w:val="font11"/>
    <w:link w:val="812"/>
    <w:uiPriority w:val="0"/>
    <w:qFormat/>
    <w:rPr>
      <w:rFonts w:hint="eastAsia" w:ascii="宋体" w:hAnsi="宋体" w:eastAsia="宋体" w:cs="宋体"/>
      <w:color w:val="000000"/>
      <w:sz w:val="28"/>
      <w:szCs w:val="28"/>
      <w:u w:val="none"/>
    </w:rPr>
  </w:style>
  <w:style w:type="character" w:styleId="1341" w:customStyle="1">
    <w:name w:val="封面项 字符"/>
    <w:link w:val="1342"/>
    <w:uiPriority w:val="0"/>
    <w:qFormat/>
    <w:rPr>
      <w:rFonts w:ascii="宋体" w:hAnsi="宋体"/>
      <w:b/>
      <w:sz w:val="36"/>
      <w:szCs w:val="24"/>
    </w:rPr>
  </w:style>
  <w:style w:type="paragraph" w:styleId="1342" w:customStyle="1">
    <w:name w:val="封面项"/>
    <w:basedOn w:val="812"/>
    <w:link w:val="1341"/>
    <w:uiPriority w:val="0"/>
    <w:qFormat/>
    <w:pPr>
      <w:ind w:left="2982" w:hanging="2411"/>
      <w:spacing w:line="360" w:lineRule="auto"/>
    </w:pPr>
    <w:rPr>
      <w:b/>
      <w:sz w:val="36"/>
      <w:szCs w:val="24"/>
    </w:rPr>
  </w:style>
  <w:style w:type="character" w:styleId="1343" w:customStyle="1">
    <w:name w:val="lh151"/>
    <w:link w:val="812"/>
    <w:uiPriority w:val="0"/>
    <w:qFormat/>
    <w:rPr>
      <w:color w:val="666666"/>
    </w:rPr>
  </w:style>
  <w:style w:type="character" w:styleId="1344" w:customStyle="1">
    <w:name w:val="标准文本 Char Char"/>
    <w:link w:val="812"/>
    <w:uiPriority w:val="0"/>
    <w:qFormat/>
    <w:rPr>
      <w:sz w:val="24"/>
    </w:rPr>
  </w:style>
  <w:style w:type="character" w:styleId="1345" w:customStyle="1">
    <w:name w:val="样式2 Char"/>
    <w:link w:val="1346"/>
    <w:uiPriority w:val="0"/>
    <w:qFormat/>
    <w:rPr>
      <w:rFonts w:ascii="宋体" w:hAnsi="宋体"/>
      <w:b/>
      <w:sz w:val="24"/>
      <w:szCs w:val="24"/>
    </w:rPr>
  </w:style>
  <w:style w:type="paragraph" w:styleId="1346" w:customStyle="1">
    <w:name w:val="样式2"/>
    <w:basedOn w:val="1008"/>
    <w:link w:val="1345"/>
    <w:uiPriority w:val="0"/>
    <w:qFormat/>
    <w:pPr>
      <w:ind w:left="1134"/>
      <w:jc w:val="left"/>
      <w:spacing w:before="0" w:after="0" w:line="360" w:lineRule="auto"/>
      <w:widowControl/>
      <w:tabs>
        <w:tab w:val="clear" w:pos="1800" w:leader="none"/>
      </w:tabs>
    </w:pPr>
    <w:rPr>
      <w:rFonts w:ascii="宋体" w:hAnsi="宋体"/>
      <w:sz w:val="24"/>
      <w:szCs w:val="24"/>
    </w:rPr>
  </w:style>
  <w:style w:type="character" w:styleId="1347" w:customStyle="1">
    <w:name w:val="Char Char25"/>
    <w:link w:val="812"/>
    <w:uiPriority w:val="0"/>
    <w:qFormat/>
    <w:rPr>
      <w:rFonts w:ascii="Arial" w:hAnsi="Arial" w:eastAsia="黑体" w:cs="Times New Roman"/>
      <w:sz w:val="24"/>
      <w:szCs w:val="24"/>
      <w:lang w:val="en-US" w:eastAsia="zh-CN" w:bidi="ar-SA"/>
    </w:rPr>
  </w:style>
  <w:style w:type="character" w:styleId="1348" w:customStyle="1">
    <w:name w:val="样式 标题 1h1H1PIM 1标书1章标题 1-*+1st levelSection Headl1L1 H... Char"/>
    <w:link w:val="1349"/>
    <w:uiPriority w:val="0"/>
    <w:qFormat/>
    <w:rPr>
      <w:rFonts w:ascii="文鼎CS大隶书" w:hAnsi="文鼎CS大隶书" w:eastAsia="方正大标宋简体"/>
      <w:b/>
      <w:bCs/>
      <w:spacing w:val="8"/>
      <w:sz w:val="48"/>
    </w:rPr>
  </w:style>
  <w:style w:type="paragraph" w:styleId="1349" w:customStyle="1">
    <w:name w:val="样式 标题 1h1H1PIM 1标书1章标题 1-*+1st levelSection Headl1L1 H..."/>
    <w:basedOn w:val="1003"/>
    <w:link w:val="1348"/>
    <w:uiPriority w:val="0"/>
    <w:qFormat/>
    <w:pPr>
      <w:numPr>
        <w:ilvl w:val="0"/>
        <w:numId w:val="0"/>
      </w:numPr>
      <w:ind w:left="425" w:hanging="425"/>
      <w:jc w:val="left"/>
      <w:spacing w:before="0" w:after="0" w:line="360" w:lineRule="auto"/>
      <w:tabs>
        <w:tab w:val="left" w:pos="425" w:leader="none"/>
      </w:tabs>
    </w:pPr>
    <w:rPr>
      <w:rFonts w:ascii="文鼎CS大隶书" w:hAnsi="文鼎CS大隶书" w:eastAsia="方正大标宋简体"/>
      <w:bCs/>
      <w:spacing w:val="8"/>
      <w:sz w:val="48"/>
    </w:rPr>
  </w:style>
  <w:style w:type="character" w:styleId="1350" w:customStyle="1">
    <w:name w:val="落款 字符"/>
    <w:link w:val="1351"/>
    <w:uiPriority w:val="0"/>
    <w:qFormat/>
    <w:rPr>
      <w:rFonts w:ascii="Times New Roman" w:hAnsi="Times New Roman" w:eastAsia="楷体_GB2312" w:cs="Times New Roman"/>
      <w:sz w:val="24"/>
      <w:szCs w:val="20"/>
    </w:rPr>
  </w:style>
  <w:style w:type="paragraph" w:styleId="1351" w:customStyle="1">
    <w:name w:val="落款"/>
    <w:basedOn w:val="1006"/>
    <w:link w:val="1350"/>
    <w:uiPriority w:val="0"/>
    <w:qFormat/>
    <w:rPr>
      <w:rFonts w:ascii="Times New Roman" w:hAnsi="Times New Roman"/>
    </w:rPr>
  </w:style>
  <w:style w:type="character" w:styleId="1352" w:customStyle="1">
    <w:name w:val="信息标题 Char1"/>
    <w:link w:val="812"/>
    <w:uiPriority w:val="99"/>
    <w:semiHidden/>
    <w:qFormat/>
    <w:rPr>
      <w:rFonts w:ascii="等线 Light" w:hAnsi="等线 Light" w:eastAsia="等线 Light" w:cs="Times New Roman"/>
      <w:sz w:val="24"/>
      <w:szCs w:val="24"/>
      <w:shd w:val="pct20" w:color="auto" w:fill="auto"/>
    </w:rPr>
  </w:style>
  <w:style w:type="character" w:styleId="1353" w:customStyle="1">
    <w:name w:val="bz_标题 3 _ Char"/>
    <w:link w:val="1354"/>
    <w:uiPriority w:val="0"/>
    <w:qFormat/>
    <w:rPr>
      <w:rFonts w:ascii="宋体" w:hAnsi="宋体"/>
      <w:b/>
      <w:sz w:val="28"/>
    </w:rPr>
  </w:style>
  <w:style w:type="paragraph" w:styleId="1354" w:customStyle="1">
    <w:name w:val="bz_标题 3 _"/>
    <w:basedOn w:val="1005"/>
    <w:link w:val="1353"/>
    <w:uiPriority w:val="0"/>
    <w:qFormat/>
    <w:pPr>
      <w:numPr>
        <w:ilvl w:val="0"/>
        <w:numId w:val="0"/>
      </w:numPr>
      <w:jc w:val="left"/>
      <w:spacing w:before="0" w:after="0" w:line="360" w:lineRule="auto"/>
      <w:tabs>
        <w:tab w:val="clear" w:pos="1080" w:leader="none"/>
      </w:tabs>
    </w:pPr>
    <w:rPr>
      <w:rFonts w:ascii="宋体" w:hAnsi="宋体"/>
      <w:sz w:val="28"/>
    </w:rPr>
  </w:style>
  <w:style w:type="character" w:styleId="1355" w:customStyle="1">
    <w:name w:val="样式 样式 项目符号3 + 段后: 0.5 行 + 段后: 1 行 Char"/>
    <w:link w:val="1356"/>
    <w:uiPriority w:val="0"/>
    <w:qFormat/>
    <w:rPr>
      <w:rFonts w:cs="Arial Unicode MS"/>
      <w:sz w:val="24"/>
      <w:szCs w:val="24"/>
      <w:lang w:bidi="zh-CN"/>
    </w:rPr>
  </w:style>
  <w:style w:type="paragraph" w:styleId="1356" w:customStyle="1">
    <w:name w:val="样式 样式 项目符号3 + 段后: 0.5 行 + 段后: 1 行"/>
    <w:basedOn w:val="812"/>
    <w:link w:val="1355"/>
    <w:uiPriority w:val="0"/>
    <w:qFormat/>
    <w:pPr>
      <w:numPr>
        <w:ilvl w:val="0"/>
        <w:numId w:val="8"/>
      </w:numPr>
      <w:ind w:left="432" w:hanging="432"/>
      <w:spacing w:line="360" w:lineRule="auto"/>
      <w:tabs>
        <w:tab w:val="left" w:pos="432" w:leader="none"/>
      </w:tabs>
    </w:pPr>
    <w:rPr>
      <w:rFonts w:ascii="Times New Roman" w:hAnsi="Times New Roman" w:cs="Arial Unicode MS"/>
      <w:sz w:val="24"/>
      <w:szCs w:val="24"/>
      <w:lang w:bidi="zh-CN"/>
    </w:rPr>
  </w:style>
  <w:style w:type="character" w:styleId="1357" w:customStyle="1">
    <w:name w:val="表格文字（两侧对齐） Char Char"/>
    <w:link w:val="1358"/>
    <w:uiPriority w:val="0"/>
    <w:qFormat/>
    <w:rPr>
      <w:szCs w:val="24"/>
    </w:rPr>
  </w:style>
  <w:style w:type="paragraph" w:styleId="1358" w:customStyle="1">
    <w:name w:val="表格文字（两侧对齐）"/>
    <w:basedOn w:val="812"/>
    <w:link w:val="1357"/>
    <w:uiPriority w:val="0"/>
    <w:qFormat/>
    <w:pPr>
      <w:jc w:val="left"/>
    </w:pPr>
    <w:rPr>
      <w:rFonts w:ascii="Calibri" w:hAnsi="Calibri"/>
      <w:sz w:val="20"/>
      <w:szCs w:val="24"/>
    </w:rPr>
  </w:style>
  <w:style w:type="character" w:styleId="1359" w:customStyle="1">
    <w:name w:val="超级链接"/>
    <w:link w:val="812"/>
    <w:uiPriority w:val="0"/>
    <w:qFormat/>
    <w:rPr>
      <w:rFonts w:ascii="Times New Roman" w:hAnsi="Times New Roman" w:eastAsia="宋体" w:cs="Times New Roman"/>
      <w:color w:val="0000ff"/>
      <w:sz w:val="21"/>
      <w:u w:val="single"/>
      <w:vertAlign w:val="baseline"/>
      <w:lang w:val="en-US" w:eastAsia="zh-CN"/>
    </w:rPr>
  </w:style>
  <w:style w:type="character" w:styleId="1360" w:customStyle="1">
    <w:name w:val="M标题1 Char"/>
    <w:link w:val="1361"/>
    <w:uiPriority w:val="0"/>
    <w:qFormat/>
    <w:rPr>
      <w:rFonts w:ascii="Calibri" w:hAnsi="Calibri"/>
      <w:b/>
      <w:bCs/>
      <w:sz w:val="44"/>
      <w:szCs w:val="44"/>
    </w:rPr>
  </w:style>
  <w:style w:type="paragraph" w:styleId="1361" w:customStyle="1">
    <w:name w:val="M标题1"/>
    <w:basedOn w:val="812"/>
    <w:link w:val="1360"/>
    <w:uiPriority w:val="0"/>
    <w:qFormat/>
    <w:pPr>
      <w:ind w:left="425" w:hanging="425"/>
      <w:jc w:val="center"/>
      <w:keepLines/>
      <w:keepNext/>
      <w:spacing w:line="480" w:lineRule="auto"/>
      <w:outlineLvl w:val="0"/>
    </w:pPr>
    <w:rPr>
      <w:rFonts w:ascii="Calibri" w:hAnsi="Calibri"/>
      <w:b/>
      <w:bCs/>
      <w:sz w:val="44"/>
      <w:szCs w:val="44"/>
    </w:rPr>
  </w:style>
  <w:style w:type="character" w:styleId="1362" w:customStyle="1">
    <w:name w:val="正文文本缩进 Char1"/>
    <w:link w:val="812"/>
    <w:uiPriority w:val="99"/>
    <w:semiHidden/>
    <w:qFormat/>
    <w:rPr>
      <w:rFonts w:hint="eastAsia" w:ascii="宋体" w:hAnsi="宋体" w:eastAsia="宋体"/>
      <w:sz w:val="24"/>
      <w:szCs w:val="24"/>
      <w:lang w:val="en-US" w:eastAsia="zh-CN" w:bidi="ar-SA"/>
    </w:rPr>
  </w:style>
  <w:style w:type="paragraph" w:styleId="1363" w:customStyle="1">
    <w:name w:val="列出段落3"/>
    <w:basedOn w:val="812"/>
    <w:uiPriority w:val="34"/>
    <w:unhideWhenUsed/>
    <w:qFormat/>
    <w:pPr>
      <w:ind w:firstLine="420"/>
    </w:pPr>
    <w:rPr>
      <w:rFonts w:ascii="Calibri" w:hAnsi="Calibri"/>
      <w:sz w:val="21"/>
      <w:szCs w:val="22"/>
    </w:rPr>
  </w:style>
  <w:style w:type="paragraph" w:styleId="1364" w:customStyle="1">
    <w:name w:val="font6"/>
    <w:basedOn w:val="812"/>
    <w:uiPriority w:val="0"/>
    <w:qFormat/>
    <w:pPr>
      <w:jc w:val="left"/>
      <w:spacing w:before="100" w:beforeAutospacing="1" w:after="100" w:afterAutospacing="1"/>
      <w:widowControl/>
    </w:pPr>
    <w:rPr>
      <w:rFonts w:ascii="Times New Roman" w:hAnsi="Times New Roman"/>
      <w:color w:val="000000"/>
      <w:sz w:val="14"/>
      <w:szCs w:val="14"/>
    </w:rPr>
  </w:style>
  <w:style w:type="paragraph" w:styleId="1365" w:customStyle="1">
    <w:name w:val="正文文本缩进 21"/>
    <w:basedOn w:val="812"/>
    <w:uiPriority w:val="0"/>
    <w:qFormat/>
    <w:pPr>
      <w:ind w:firstLine="480"/>
    </w:pPr>
    <w:rPr>
      <w:rFonts w:ascii="仿宋_GB2312" w:hAnsi="Times New Roman" w:eastAsia="仿宋_GB2312"/>
    </w:rPr>
  </w:style>
  <w:style w:type="paragraph" w:styleId="1366" w:customStyle="1">
    <w:name w:val="无间距"/>
    <w:uiPriority w:val="1"/>
    <w:qFormat/>
    <w:pPr>
      <w:ind w:firstLine="200"/>
      <w:jc w:val="both"/>
      <w:widowControl w:val="off"/>
    </w:pPr>
    <w:rPr>
      <w:rFonts w:hint="default" w:ascii="Times New Roman" w:hAnsi="Times New Roman" w:eastAsia="宋体" w:cs="Times New Roman"/>
      <w:sz w:val="28"/>
      <w:szCs w:val="24"/>
      <w:lang w:val="en-US" w:eastAsia="zh-CN" w:bidi="ar-SA"/>
    </w:rPr>
  </w:style>
  <w:style w:type="paragraph" w:styleId="1367" w:customStyle="1">
    <w:name w:val="CM11"/>
    <w:basedOn w:val="1368"/>
    <w:next w:val="1368"/>
    <w:uiPriority w:val="99"/>
    <w:qFormat/>
  </w:style>
  <w:style w:type="paragraph" w:styleId="1368"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69" w:customStyle="1">
    <w:name w:val="目录2"/>
    <w:basedOn w:val="812"/>
    <w:next w:val="812"/>
    <w:uiPriority w:val="0"/>
    <w:qFormat/>
    <w:pPr>
      <w:ind w:firstLine="209"/>
      <w:spacing w:line="317" w:lineRule="atLeast"/>
      <w:widowControl/>
      <w:tabs>
        <w:tab w:val="left" w:pos="8503" w:leader="dot"/>
      </w:tabs>
    </w:pPr>
    <w:rPr>
      <w:rFonts w:ascii="Times New Roman" w:hAnsi="Times New Roman"/>
      <w:color w:val="000000"/>
      <w:sz w:val="21"/>
      <w:szCs w:val="20"/>
    </w:rPr>
  </w:style>
  <w:style w:type="paragraph" w:styleId="1370" w:customStyle="1">
    <w:name w:val="正文大"/>
    <w:basedOn w:val="812"/>
    <w:uiPriority w:val="0"/>
    <w:qFormat/>
    <w:pPr>
      <w:ind w:firstLine="601"/>
      <w:spacing w:line="480" w:lineRule="exact"/>
    </w:pPr>
    <w:rPr>
      <w:rFonts w:ascii="Times New Roman" w:hAnsi="Times New Roman" w:eastAsia="楷体_GB2312"/>
      <w:spacing w:val="8"/>
      <w:sz w:val="28"/>
      <w:szCs w:val="20"/>
    </w:rPr>
  </w:style>
  <w:style w:type="paragraph" w:styleId="1371" w:customStyle="1">
    <w:name w:val="文档标题4"/>
    <w:basedOn w:val="1007"/>
    <w:next w:val="812"/>
    <w:uiPriority w:val="0"/>
    <w:qFormat/>
    <w:pPr>
      <w:numPr>
        <w:ilvl w:val="0"/>
        <w:numId w:val="0"/>
      </w:numPr>
      <w:ind w:left="851" w:hanging="851"/>
      <w:spacing w:before="100" w:beforeAutospacing="1" w:after="100" w:afterAutospacing="1" w:line="360" w:lineRule="auto"/>
      <w:tabs>
        <w:tab w:val="left" w:pos="851" w:leader="none"/>
      </w:tabs>
    </w:pPr>
    <w:rPr>
      <w:rFonts w:ascii="Times New Roman" w:hAnsi="Times New Roman" w:eastAsia="宋体"/>
      <w:bCs/>
      <w:color w:val="000000"/>
      <w:sz w:val="30"/>
      <w:szCs w:val="24"/>
    </w:rPr>
  </w:style>
  <w:style w:type="paragraph" w:styleId="1372" w:customStyle="1">
    <w:name w:val="列表 51"/>
    <w:basedOn w:val="812"/>
    <w:uiPriority w:val="0"/>
    <w:unhideWhenUsed/>
    <w:qFormat/>
    <w:pPr>
      <w:ind w:left="2100" w:hanging="420"/>
    </w:pPr>
    <w:rPr>
      <w:rFonts w:ascii="Times New Roman" w:hAnsi="Times New Roman"/>
      <w:sz w:val="21"/>
      <w:szCs w:val="20"/>
    </w:rPr>
  </w:style>
  <w:style w:type="paragraph" w:styleId="1373" w:customStyle="1">
    <w:name w:val="Body 1"/>
    <w:uiPriority w:val="0"/>
    <w:qFormat/>
    <w:pPr>
      <w:jc w:val="both"/>
      <w:widowControl w:val="off"/>
      <w:outlineLvl w:val="0"/>
    </w:pPr>
    <w:rPr>
      <w:rFonts w:hint="default" w:ascii="Times New Roman" w:hAnsi="Times New Roman" w:eastAsia="ヒラギノ角ゴ Pro W3" w:cs="Times New Roman"/>
      <w:color w:val="000000"/>
      <w:sz w:val="21"/>
      <w:lang w:val="en-US" w:eastAsia="zh-CN" w:bidi="ar-SA"/>
    </w:rPr>
  </w:style>
  <w:style w:type="paragraph" w:styleId="1374" w:customStyle="1">
    <w:name w:val="列表编号1"/>
    <w:basedOn w:val="812"/>
    <w:uiPriority w:val="0"/>
    <w:unhideWhenUsed/>
    <w:qFormat/>
    <w:pPr>
      <w:ind w:left="454" w:hanging="284"/>
      <w:jc w:val="left"/>
      <w:widowControl/>
      <w:tabs>
        <w:tab w:val="left" w:pos="454" w:leader="none"/>
        <w:tab w:val="left" w:pos="720" w:leader="none"/>
        <w:tab w:val="left" w:pos="840" w:leader="none"/>
      </w:tabs>
    </w:pPr>
    <w:rPr>
      <w:rFonts w:ascii="Times New Roman" w:hAnsi="Times New Roman"/>
      <w:szCs w:val="20"/>
    </w:rPr>
  </w:style>
  <w:style w:type="paragraph" w:styleId="1375" w:customStyle="1">
    <w:name w:val="索引 61"/>
    <w:basedOn w:val="812"/>
    <w:next w:val="812"/>
    <w:uiPriority w:val="0"/>
    <w:qFormat/>
    <w:pPr>
      <w:ind w:left="1000"/>
      <w:jc w:val="center"/>
      <w:spacing w:line="360" w:lineRule="auto"/>
    </w:pPr>
    <w:rPr>
      <w:b/>
      <w:sz w:val="32"/>
      <w:szCs w:val="32"/>
    </w:rPr>
  </w:style>
  <w:style w:type="paragraph" w:styleId="1376" w:customStyle="1">
    <w:name w:val="样式 标题 2第一层条第二层论文标题 1H2Heading 2 HiddenHeading 2 CCBSPIM2..."/>
    <w:basedOn w:val="812"/>
    <w:uiPriority w:val="0"/>
    <w:qFormat/>
    <w:pPr>
      <w:numPr>
        <w:ilvl w:val="1"/>
        <w:numId w:val="9"/>
      </w:numPr>
      <w:ind w:firstLine="0"/>
      <w:spacing w:line="400" w:lineRule="exact"/>
    </w:pPr>
    <w:rPr>
      <w:rFonts w:ascii="Times New Roman" w:hAnsi="Times New Roman" w:eastAsia="方正仿宋_GBK"/>
      <w:spacing w:val="8"/>
      <w:sz w:val="28"/>
      <w:szCs w:val="20"/>
    </w:rPr>
  </w:style>
  <w:style w:type="paragraph" w:styleId="1377" w:customStyle="1">
    <w:name w:val="Table Description"/>
    <w:basedOn w:val="812"/>
    <w:next w:val="812"/>
    <w:uiPriority w:val="0"/>
    <w:qFormat/>
    <w:pPr>
      <w:ind w:left="1701"/>
      <w:jc w:val="left"/>
      <w:keepNext/>
      <w:spacing w:before="320" w:after="80" w:line="240" w:lineRule="atLeast"/>
      <w:widowControl/>
    </w:pPr>
    <w:rPr>
      <w:rFonts w:ascii="Times New Roman" w:hAnsi="Times New Roman" w:eastAsia="黑体" w:cs="Arial"/>
      <w:spacing w:val="-4"/>
      <w:sz w:val="21"/>
      <w:szCs w:val="21"/>
    </w:rPr>
  </w:style>
  <w:style w:type="paragraph" w:styleId="1378" w:customStyle="1">
    <w:name w:val="目录 11"/>
    <w:basedOn w:val="812"/>
    <w:next w:val="812"/>
    <w:uiPriority w:val="39"/>
    <w:qFormat/>
    <w:pPr>
      <w:jc w:val="left"/>
    </w:pPr>
    <w:rPr>
      <w:rFonts w:ascii="Times New Roman" w:hAnsi="Times New Roman" w:eastAsia="楷体_GB2312"/>
      <w:szCs w:val="20"/>
    </w:rPr>
  </w:style>
  <w:style w:type="paragraph" w:styleId="1379" w:customStyle="1">
    <w:name w:val="正文空2格  1."/>
    <w:basedOn w:val="812"/>
    <w:uiPriority w:val="0"/>
    <w:qFormat/>
    <w:pPr>
      <w:ind w:firstLine="480"/>
      <w:spacing w:line="360" w:lineRule="auto"/>
    </w:pPr>
    <w:rPr>
      <w:rFonts w:hAnsi="Times New Roman" w:eastAsia="仿宋" w:cs="宋体"/>
      <w:sz w:val="28"/>
      <w:szCs w:val="20"/>
    </w:rPr>
  </w:style>
  <w:style w:type="paragraph" w:styleId="1380" w:customStyle="1">
    <w:name w:val="引文目录标题1"/>
    <w:basedOn w:val="812"/>
    <w:next w:val="812"/>
    <w:uiPriority w:val="0"/>
    <w:qFormat/>
    <w:pPr>
      <w:jc w:val="center"/>
      <w:spacing w:before="120" w:line="360" w:lineRule="auto"/>
    </w:pPr>
    <w:rPr>
      <w:rFonts w:ascii="Arial" w:hAnsi="Arial" w:cs="Arial"/>
      <w:b/>
      <w:sz w:val="32"/>
      <w:szCs w:val="32"/>
    </w:rPr>
  </w:style>
  <w:style w:type="paragraph" w:styleId="1381" w:customStyle="1">
    <w:name w:val="CM12"/>
    <w:basedOn w:val="1368"/>
    <w:next w:val="1368"/>
    <w:uiPriority w:val="99"/>
    <w:qFormat/>
  </w:style>
  <w:style w:type="paragraph" w:styleId="1382" w:customStyle="1">
    <w:name w:val="xl6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383" w:customStyle="1">
    <w:name w:val="Char Char Char"/>
    <w:basedOn w:val="812"/>
    <w:uiPriority w:val="0"/>
    <w:qFormat/>
    <w:rPr>
      <w:rFonts w:ascii="Tahoma" w:hAnsi="Tahoma"/>
      <w:szCs w:val="20"/>
    </w:rPr>
  </w:style>
  <w:style w:type="paragraph" w:styleId="1384" w:customStyle="1">
    <w:name w:val="图表目录1"/>
    <w:basedOn w:val="812"/>
    <w:next w:val="812"/>
    <w:uiPriority w:val="0"/>
    <w:qFormat/>
    <w:pPr>
      <w:ind w:left="200" w:hanging="200"/>
      <w:jc w:val="center"/>
      <w:spacing w:line="360" w:lineRule="auto"/>
    </w:pPr>
    <w:rPr>
      <w:b/>
      <w:sz w:val="32"/>
      <w:szCs w:val="32"/>
    </w:rPr>
  </w:style>
  <w:style w:type="paragraph" w:styleId="1385" w:customStyle="1">
    <w:name w:val="Char5"/>
    <w:basedOn w:val="812"/>
    <w:uiPriority w:val="0"/>
    <w:qFormat/>
    <w:pPr>
      <w:tabs>
        <w:tab w:val="left" w:pos="360" w:leader="none"/>
      </w:tabs>
    </w:pPr>
    <w:rPr>
      <w:rFonts w:ascii="Times New Roman" w:hAnsi="Times New Roman"/>
    </w:rPr>
  </w:style>
  <w:style w:type="paragraph" w:styleId="1386" w:customStyle="1">
    <w:name w:val="列表接续1"/>
    <w:basedOn w:val="812"/>
    <w:uiPriority w:val="0"/>
    <w:qFormat/>
    <w:pPr>
      <w:ind w:left="420"/>
      <w:spacing w:after="120"/>
    </w:pPr>
    <w:rPr>
      <w:rFonts w:ascii="Times New Roman" w:hAnsi="Times New Roman"/>
      <w:sz w:val="21"/>
    </w:rPr>
  </w:style>
  <w:style w:type="paragraph" w:styleId="1387" w:customStyle="1">
    <w:name w:val="四级条标题"/>
    <w:basedOn w:val="1388"/>
    <w:next w:val="854"/>
    <w:uiPriority w:val="0"/>
    <w:qFormat/>
    <w:pPr>
      <w:outlineLvl w:val="5"/>
    </w:pPr>
  </w:style>
  <w:style w:type="paragraph" w:styleId="1388" w:customStyle="1">
    <w:name w:val="三级条标题"/>
    <w:basedOn w:val="1389"/>
    <w:next w:val="854"/>
    <w:uiPriority w:val="0"/>
    <w:qFormat/>
    <w:pPr>
      <w:outlineLvl w:val="4"/>
    </w:pPr>
    <w:rPr>
      <w:rFonts w:ascii="黑体" w:eastAsia="黑体"/>
    </w:rPr>
  </w:style>
  <w:style w:type="paragraph" w:styleId="1389" w:customStyle="1">
    <w:name w:val="二级条标题"/>
    <w:basedOn w:val="812"/>
    <w:next w:val="812"/>
    <w:uiPriority w:val="0"/>
    <w:qFormat/>
    <w:pPr>
      <w:widowControl/>
      <w:outlineLvl w:val="3"/>
    </w:pPr>
    <w:rPr>
      <w:rFonts w:hAnsi="Times New Roman"/>
      <w:sz w:val="21"/>
      <w:szCs w:val="20"/>
    </w:rPr>
  </w:style>
  <w:style w:type="paragraph" w:styleId="1390" w:customStyle="1">
    <w:name w:val="xl86"/>
    <w:basedOn w:val="8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391" w:customStyle="1">
    <w:name w:val="Char Char Char Char Char Char1 Char Char Char Char Char Char Char Char Char Char"/>
    <w:basedOn w:val="812"/>
    <w:uiPriority w:val="0"/>
    <w:qFormat/>
    <w:rPr>
      <w:rFonts w:ascii="Tahoma" w:hAnsi="Tahoma"/>
      <w:szCs w:val="20"/>
    </w:rPr>
  </w:style>
  <w:style w:type="paragraph" w:styleId="1392" w:customStyle="1">
    <w:name w:val="xl68"/>
    <w:basedOn w:val="812"/>
    <w:uiPriority w:val="0"/>
    <w:qFormat/>
    <w:pPr>
      <w:ind w:firstLine="100"/>
      <w:jc w:val="left"/>
      <w:spacing w:before="100" w:beforeAutospacing="1" w:after="100" w:afterAutospacing="1"/>
      <w:widowControl/>
      <w:pBdr>
        <w:top w:val="single" w:color="000000" w:sz="4" w:space="0"/>
        <w:left w:val="single" w:color="000000" w:sz="4" w:space="20"/>
        <w:bottom w:val="single" w:color="000000" w:sz="4" w:space="0"/>
        <w:right w:val="single" w:color="000000" w:sz="4" w:space="0"/>
      </w:pBdr>
    </w:pPr>
    <w:rPr>
      <w:rFonts w:ascii="Times New Roman" w:hAnsi="Times New Roman"/>
      <w:color w:val="000000"/>
      <w:sz w:val="18"/>
      <w:szCs w:val="18"/>
    </w:rPr>
  </w:style>
  <w:style w:type="paragraph" w:styleId="1393" w:customStyle="1">
    <w:name w:val="列出段落111"/>
    <w:basedOn w:val="812"/>
    <w:uiPriority w:val="0"/>
    <w:qFormat/>
    <w:pPr>
      <w:ind w:firstLine="420"/>
    </w:pPr>
    <w:rPr>
      <w:rFonts w:ascii="Calibri" w:hAnsi="Calibri"/>
      <w:sz w:val="21"/>
      <w:szCs w:val="20"/>
    </w:rPr>
  </w:style>
  <w:style w:type="paragraph" w:styleId="1394" w:customStyle="1">
    <w:name w:val="列表项目符号 31"/>
    <w:basedOn w:val="812"/>
    <w:uiPriority w:val="0"/>
    <w:unhideWhenUsed/>
    <w:qFormat/>
    <w:pPr>
      <w:ind w:left="900" w:hanging="420"/>
      <w:jc w:val="left"/>
      <w:spacing w:line="360" w:lineRule="auto"/>
      <w:tabs>
        <w:tab w:val="left" w:pos="900" w:leader="none"/>
      </w:tabs>
    </w:pPr>
    <w:rPr>
      <w:b/>
      <w:sz w:val="32"/>
      <w:szCs w:val="20"/>
    </w:rPr>
  </w:style>
  <w:style w:type="paragraph" w:styleId="1395" w:customStyle="1">
    <w:name w:val="列出段落1"/>
    <w:basedOn w:val="812"/>
    <w:uiPriority w:val="0"/>
    <w:qFormat/>
    <w:pPr>
      <w:ind w:firstLine="420"/>
    </w:pPr>
    <w:rPr>
      <w:rFonts w:ascii="Times New Roman" w:hAnsi="Times New Roman"/>
      <w:sz w:val="21"/>
    </w:rPr>
  </w:style>
  <w:style w:type="paragraph" w:styleId="1396" w:customStyle="1">
    <w:name w:val="索引 111"/>
    <w:basedOn w:val="812"/>
    <w:next w:val="812"/>
    <w:uiPriority w:val="0"/>
    <w:unhideWhenUsed/>
    <w:qFormat/>
    <w:rPr>
      <w:rFonts w:ascii="Times New Roman" w:hAnsi="Times New Roman"/>
      <w:sz w:val="21"/>
      <w:szCs w:val="20"/>
    </w:rPr>
  </w:style>
  <w:style w:type="paragraph" w:styleId="1397" w:customStyle="1">
    <w:name w:val="正文首行缩进1"/>
    <w:basedOn w:val="1034"/>
    <w:uiPriority w:val="0"/>
    <w:qFormat/>
    <w:pPr>
      <w:ind w:firstLine="420"/>
      <w:jc w:val="left"/>
      <w:spacing w:after="120" w:line="360" w:lineRule="auto"/>
      <w:widowControl/>
    </w:pPr>
    <w:rPr>
      <w:rFonts w:ascii="宋体" w:hAnsi="宋体" w:cs="宋体"/>
    </w:rPr>
  </w:style>
  <w:style w:type="paragraph" w:styleId="1398" w:customStyle="1">
    <w:name w:val="CM5"/>
    <w:basedOn w:val="812"/>
    <w:next w:val="812"/>
    <w:uiPriority w:val="0"/>
    <w:qFormat/>
    <w:pPr>
      <w:ind w:firstLine="200"/>
      <w:jc w:val="left"/>
      <w:spacing w:line="400" w:lineRule="atLeast"/>
    </w:pPr>
    <w:rPr>
      <w:rFonts w:ascii="Times New Roman" w:hAnsi="Times New Roman"/>
    </w:rPr>
  </w:style>
  <w:style w:type="paragraph" w:styleId="1399" w:customStyle="1">
    <w:name w:val="样式 标题 3h3H3level_3PIM 3Level 3 HeadHeading 3 - oldsect1.2..."/>
    <w:basedOn w:val="812"/>
    <w:uiPriority w:val="0"/>
    <w:qFormat/>
    <w:pPr>
      <w:numPr>
        <w:ilvl w:val="2"/>
        <w:numId w:val="10"/>
      </w:numPr>
      <w:ind w:firstLine="0"/>
      <w:spacing w:line="360" w:lineRule="auto"/>
      <w:tabs>
        <w:tab w:val="left" w:pos="851" w:leader="none"/>
      </w:tabs>
    </w:pPr>
    <w:rPr>
      <w:rFonts w:ascii="Times New Roman" w:hAnsi="Times New Roman"/>
      <w:sz w:val="21"/>
      <w:szCs w:val="20"/>
    </w:rPr>
  </w:style>
  <w:style w:type="paragraph" w:styleId="1400" w:customStyle="1">
    <w:name w:val="正文缩进2"/>
    <w:basedOn w:val="812"/>
    <w:uiPriority w:val="0"/>
    <w:qFormat/>
    <w:pPr>
      <w:ind w:firstLine="420"/>
      <w:jc w:val="left"/>
    </w:pPr>
    <w:rPr>
      <w:rFonts w:hAnsi="Times New Roman"/>
      <w:szCs w:val="20"/>
    </w:rPr>
  </w:style>
  <w:style w:type="paragraph" w:styleId="1401" w:customStyle="1">
    <w:name w:val="网格表 31"/>
    <w:basedOn w:val="1003"/>
    <w:next w:val="812"/>
    <w:uiPriority w:val="39"/>
    <w:unhideWhenUsed/>
    <w:qFormat/>
    <w:pPr>
      <w:ind w:left="425" w:hanging="425"/>
      <w:jc w:val="left"/>
      <w:spacing w:before="480" w:after="0" w:line="276" w:lineRule="auto"/>
      <w:widowControl/>
      <w:tabs>
        <w:tab w:val="clear" w:pos="432" w:leader="none"/>
      </w:tabs>
      <w:outlineLvl w:val="9"/>
    </w:pPr>
    <w:rPr>
      <w:rFonts w:ascii="Cambria" w:hAnsi="Cambria"/>
      <w:bCs/>
      <w:color w:val="365f91"/>
      <w:sz w:val="28"/>
      <w:szCs w:val="28"/>
      <w:lang w:val="en-US" w:eastAsia="zh-CN"/>
    </w:rPr>
  </w:style>
  <w:style w:type="paragraph" w:styleId="1402" w:customStyle="1">
    <w:name w:val="CM60"/>
    <w:basedOn w:val="1368"/>
    <w:next w:val="1368"/>
    <w:uiPriority w:val="99"/>
    <w:qFormat/>
  </w:style>
  <w:style w:type="paragraph" w:styleId="1403" w:customStyle="1">
    <w:name w:val="样式 标题 3 + (中文) 黑体 小四 非加粗 段前: 7.8 磅 段后: 0 磅 行距: 固定值 20 磅"/>
    <w:basedOn w:val="1005"/>
    <w:uiPriority w:val="0"/>
    <w:qFormat/>
    <w:pPr>
      <w:numPr>
        <w:ilvl w:val="0"/>
        <w:numId w:val="0"/>
      </w:numPr>
      <w:spacing w:before="0" w:after="0" w:line="400" w:lineRule="exact"/>
    </w:pPr>
    <w:rPr>
      <w:rFonts w:eastAsia="黑体" w:cs="宋体"/>
      <w:b w:val="0"/>
      <w:sz w:val="24"/>
    </w:rPr>
  </w:style>
  <w:style w:type="paragraph" w:styleId="1404" w:customStyle="1">
    <w:name w:val="引文目录11"/>
    <w:basedOn w:val="812"/>
    <w:next w:val="812"/>
    <w:uiPriority w:val="0"/>
    <w:qFormat/>
    <w:pPr>
      <w:ind w:left="420"/>
    </w:pPr>
    <w:rPr>
      <w:rFonts w:ascii="Times New Roman" w:hAnsi="Times New Roman"/>
      <w:sz w:val="21"/>
    </w:rPr>
  </w:style>
  <w:style w:type="paragraph" w:styleId="1405" w:customStyle="1">
    <w:name w:val="Char Char Char Char Char Char Char Char"/>
    <w:basedOn w:val="1121"/>
    <w:uiPriority w:val="0"/>
    <w:qFormat/>
    <w:pPr>
      <w:ind w:firstLine="0"/>
      <w:jc w:val="both"/>
      <w:spacing w:line="240" w:lineRule="auto"/>
      <w:shd w:val="clear" w:color="auto" w:fill="000080"/>
      <w:widowControl w:val="off"/>
    </w:pPr>
    <w:rPr>
      <w:rFonts w:ascii="Tahoma" w:hAnsi="Tahoma"/>
      <w:sz w:val="24"/>
    </w:rPr>
  </w:style>
  <w:style w:type="paragraph" w:styleId="1406" w:customStyle="1">
    <w:name w:val="Table Text"/>
    <w:basedOn w:val="812"/>
    <w:uiPriority w:val="0"/>
    <w:qFormat/>
    <w:pPr>
      <w:jc w:val="left"/>
      <w:spacing w:before="80" w:after="80" w:line="240" w:lineRule="atLeast"/>
    </w:pPr>
    <w:rPr>
      <w:rFonts w:ascii="Times New Roman" w:hAnsi="Times New Roman" w:cs="Arial"/>
      <w:sz w:val="21"/>
      <w:szCs w:val="21"/>
    </w:rPr>
  </w:style>
  <w:style w:type="paragraph" w:styleId="1407" w:customStyle="1">
    <w:name w:val="xl6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08" w:customStyle="1">
    <w:name w:val="正文文本 31"/>
    <w:basedOn w:val="812"/>
    <w:uiPriority w:val="0"/>
    <w:qFormat/>
    <w:pPr>
      <w:jc w:val="center"/>
      <w:spacing w:after="120" w:line="360" w:lineRule="auto"/>
    </w:pPr>
    <w:rPr>
      <w:rFonts w:ascii="Times New Roman" w:hAnsi="Times New Roman"/>
      <w:sz w:val="16"/>
      <w:szCs w:val="16"/>
    </w:rPr>
  </w:style>
  <w:style w:type="paragraph" w:styleId="1409" w:customStyle="1">
    <w:name w:val="正文首行缩进两字符"/>
    <w:basedOn w:val="812"/>
    <w:uiPriority w:val="0"/>
    <w:qFormat/>
    <w:pPr>
      <w:ind w:firstLine="200"/>
      <w:spacing w:line="360" w:lineRule="auto"/>
    </w:pPr>
    <w:rPr>
      <w:rFonts w:ascii="Times New Roman" w:hAnsi="Times New Roman"/>
      <w:sz w:val="21"/>
    </w:rPr>
  </w:style>
  <w:style w:type="paragraph" w:styleId="1410" w:customStyle="1">
    <w:name w:val="Figure Description"/>
    <w:next w:val="1011"/>
    <w:uiPriority w:val="0"/>
    <w:qFormat/>
    <w:pPr>
      <w:ind w:left="1701"/>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411" w:customStyle="1">
    <w:name w:val="目录标题"/>
    <w:basedOn w:val="812"/>
    <w:next w:val="812"/>
    <w:uiPriority w:val="0"/>
    <w:qFormat/>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412" w:customStyle="1">
    <w:name w:val="样式 标题 2 + 四号"/>
    <w:basedOn w:val="812"/>
    <w:uiPriority w:val="0"/>
    <w:qFormat/>
    <w:pPr>
      <w:numPr>
        <w:ilvl w:val="0"/>
        <w:numId w:val="11"/>
      </w:numPr>
      <w:ind w:left="567" w:hanging="567"/>
      <w:tabs>
        <w:tab w:val="left" w:pos="567" w:leader="none"/>
      </w:tabs>
    </w:pPr>
    <w:rPr>
      <w:rFonts w:ascii="Times New Roman" w:hAnsi="Times New Roman"/>
      <w:sz w:val="21"/>
    </w:rPr>
  </w:style>
  <w:style w:type="paragraph" w:styleId="1413" w:customStyle="1">
    <w:name w:val="CM22"/>
    <w:basedOn w:val="1368"/>
    <w:next w:val="1368"/>
    <w:uiPriority w:val="99"/>
    <w:qFormat/>
  </w:style>
  <w:style w:type="paragraph" w:styleId="1414" w:customStyle="1">
    <w:name w:val="样式 小四 行距: 1.5 倍行距 首行缩进:  2 字符"/>
    <w:basedOn w:val="812"/>
    <w:uiPriority w:val="0"/>
    <w:pPr>
      <w:ind w:firstLine="480"/>
      <w:spacing w:line="360" w:lineRule="auto"/>
    </w:pPr>
    <w:rPr>
      <w:rFonts w:ascii="Times New Roman" w:hAnsi="Times New Roman" w:cs="宋体"/>
      <w:szCs w:val="20"/>
    </w:rPr>
  </w:style>
  <w:style w:type="paragraph" w:styleId="1415" w:customStyle="1">
    <w:name w:val="CM52"/>
    <w:basedOn w:val="1368"/>
    <w:next w:val="1368"/>
    <w:uiPriority w:val="99"/>
    <w:qFormat/>
  </w:style>
  <w:style w:type="paragraph" w:styleId="1416" w:customStyle="1">
    <w:name w:val="Char Char Char Char"/>
    <w:basedOn w:val="1106"/>
    <w:uiPriority w:val="0"/>
    <w:qFormat/>
    <w:pPr>
      <w:spacing w:line="360" w:lineRule="auto"/>
    </w:pPr>
    <w:rPr>
      <w:rFonts w:ascii="Tahoma" w:hAnsi="Tahoma"/>
    </w:rPr>
  </w:style>
  <w:style w:type="paragraph" w:styleId="1417" w:customStyle="1">
    <w:name w:val="寄信人地址1"/>
    <w:basedOn w:val="812"/>
    <w:uiPriority w:val="0"/>
    <w:qFormat/>
    <w:rPr>
      <w:rFonts w:ascii="Arial" w:hAnsi="Arial" w:cs="Arial"/>
      <w:sz w:val="21"/>
    </w:rPr>
  </w:style>
  <w:style w:type="paragraph" w:styleId="1418" w:customStyle="1">
    <w:name w:val="defaultfont"/>
    <w:basedOn w:val="812"/>
    <w:uiPriority w:val="0"/>
    <w:qFormat/>
    <w:pPr>
      <w:jc w:val="left"/>
      <w:spacing w:before="100" w:beforeAutospacing="1" w:after="100" w:afterAutospacing="1"/>
      <w:widowControl/>
    </w:pPr>
    <w:rPr>
      <w:rFonts w:cs="宋体"/>
    </w:rPr>
  </w:style>
  <w:style w:type="paragraph" w:styleId="1419" w:customStyle="1">
    <w:name w:val="样式 标题 3 + (西文) 黑体 (中文) 黑体 (符号) 宋体 小四 段前: 5 磅 段后: 5 磅 行距: 1..."/>
    <w:basedOn w:val="1005"/>
    <w:uiPriority w:val="0"/>
    <w:qFormat/>
    <w:pPr>
      <w:ind w:left="1429"/>
      <w:jc w:val="left"/>
      <w:spacing w:before="100" w:after="100" w:line="360" w:lineRule="auto"/>
      <w:widowControl/>
      <w:tabs>
        <w:tab w:val="left" w:pos="567" w:leader="none"/>
      </w:tabs>
    </w:pPr>
    <w:rPr>
      <w:rFonts w:ascii="宋体" w:hAnsi="宋体" w:cs="宋体"/>
      <w:bCs/>
      <w:sz w:val="27"/>
      <w:szCs w:val="24"/>
    </w:rPr>
  </w:style>
  <w:style w:type="paragraph" w:styleId="1420" w:customStyle="1">
    <w:name w:val="三级目录"/>
    <w:next w:val="812"/>
    <w:uiPriority w:val="0"/>
    <w:qFormat/>
    <w:pPr>
      <w:ind w:firstLine="420"/>
    </w:pPr>
    <w:rPr>
      <w:rFonts w:hint="default" w:ascii="Times New Roman" w:hAnsi="Times New Roman" w:eastAsia="宋体" w:cs="Times New Roman"/>
      <w:b/>
      <w:bCs/>
      <w:sz w:val="24"/>
      <w:szCs w:val="24"/>
      <w:lang w:val="en-US" w:eastAsia="zh-CN" w:bidi="ar-SA"/>
    </w:rPr>
  </w:style>
  <w:style w:type="paragraph" w:styleId="1421" w:customStyle="1">
    <w:name w:val="表格内容"/>
    <w:basedOn w:val="812"/>
    <w:uiPriority w:val="0"/>
    <w:qFormat/>
    <w:pPr>
      <w:ind w:right="193" w:firstLine="200"/>
      <w:spacing w:line="360" w:lineRule="auto"/>
    </w:pPr>
    <w:rPr>
      <w:rFonts w:ascii="幼圆" w:hAnsi="Times New Roman" w:eastAsia="幼圆"/>
      <w:color w:val="008080"/>
      <w:szCs w:val="20"/>
    </w:rPr>
  </w:style>
  <w:style w:type="paragraph" w:styleId="1422" w:customStyle="1">
    <w:name w:val="Char Char Char Char Char Char1 Char Char Char1 Char Char Char Char Char Char Char Char Char Char Char Char Char Char Char Char"/>
    <w:basedOn w:val="812"/>
    <w:uiPriority w:val="0"/>
    <w:qFormat/>
    <w:rPr>
      <w:rFonts w:ascii="Tahoma" w:hAnsi="Tahoma"/>
      <w:szCs w:val="20"/>
    </w:rPr>
  </w:style>
  <w:style w:type="paragraph" w:styleId="1423" w:customStyle="1">
    <w:name w:val="图表"/>
    <w:basedOn w:val="812"/>
    <w:uiPriority w:val="0"/>
    <w:qFormat/>
    <w:pPr>
      <w:jc w:val="center"/>
    </w:pPr>
    <w:rPr>
      <w:bCs/>
      <w:smallCaps/>
      <w:sz w:val="21"/>
      <w:szCs w:val="36"/>
    </w:rPr>
  </w:style>
  <w:style w:type="paragraph" w:styleId="1424" w:customStyle="1">
    <w:name w:val="五号正文"/>
    <w:uiPriority w:val="0"/>
    <w:qFormat/>
    <w:pPr>
      <w:spacing w:line="360" w:lineRule="exact"/>
    </w:pPr>
    <w:rPr>
      <w:rFonts w:hint="default" w:ascii="Times New Roman" w:hAnsi="Times New Roman" w:eastAsia="宋体" w:cs="Times New Roman"/>
      <w:sz w:val="21"/>
      <w:szCs w:val="21"/>
      <w:lang w:val="en-US" w:eastAsia="zh-CN" w:bidi="ar-SA"/>
    </w:rPr>
  </w:style>
  <w:style w:type="paragraph" w:styleId="1425" w:customStyle="1">
    <w:name w:val="1 Char Char Char"/>
    <w:basedOn w:val="812"/>
    <w:uiPriority w:val="0"/>
    <w:qFormat/>
    <w:pPr>
      <w:ind w:firstLine="200"/>
      <w:jc w:val="left"/>
      <w:spacing w:line="360" w:lineRule="auto"/>
      <w:outlineLvl w:val="2"/>
    </w:pPr>
    <w:rPr>
      <w:b/>
      <w:sz w:val="32"/>
      <w:szCs w:val="32"/>
    </w:rPr>
  </w:style>
  <w:style w:type="paragraph" w:styleId="1426" w:customStyle="1">
    <w:name w:val="xl74"/>
    <w:basedOn w:val="812"/>
    <w:uiPriority w:val="0"/>
    <w:qFormat/>
    <w:pPr>
      <w:jc w:val="center"/>
      <w:spacing w:before="100" w:beforeAutospacing="1" w:after="100" w:afterAutospacing="1"/>
      <w:shd w:val="clear" w:color="auto" w:fill="538dd5"/>
      <w:widowControl/>
      <w:pBdr>
        <w:top w:val="single" w:color="000000" w:sz="4" w:space="0"/>
        <w:left w:val="single" w:color="000000" w:sz="4" w:space="0"/>
        <w:bottom w:val="single" w:color="000000" w:sz="4" w:space="0"/>
        <w:right w:val="single" w:color="000000" w:sz="4" w:space="0"/>
      </w:pBdr>
    </w:pPr>
    <w:rPr>
      <w:rFonts w:cs="宋体"/>
      <w:b/>
      <w:bCs/>
      <w:color w:val="ffffff"/>
      <w:sz w:val="18"/>
      <w:szCs w:val="18"/>
    </w:rPr>
  </w:style>
  <w:style w:type="paragraph" w:styleId="1427" w:customStyle="1">
    <w:name w:val="图1"/>
    <w:basedOn w:val="812"/>
    <w:next w:val="812"/>
    <w:uiPriority w:val="0"/>
    <w:qFormat/>
    <w:pPr>
      <w:ind w:left="1105" w:hanging="748"/>
      <w:jc w:val="center"/>
      <w:spacing w:line="360" w:lineRule="auto"/>
      <w:widowControl/>
      <w:tabs>
        <w:tab w:val="left" w:pos="425" w:leader="none"/>
      </w:tabs>
    </w:pPr>
    <w:rPr>
      <w:rFonts w:ascii="Times New Roman" w:hAnsi="Times New Roman"/>
    </w:rPr>
  </w:style>
  <w:style w:type="paragraph" w:styleId="1428" w:customStyle="1">
    <w:name w:val="nr Char Char Char Char Char Char Char"/>
    <w:basedOn w:val="812"/>
    <w:uiPriority w:val="0"/>
    <w:qFormat/>
    <w:pPr>
      <w:ind w:firstLine="200"/>
      <w:spacing w:line="360" w:lineRule="auto"/>
    </w:pPr>
    <w:rPr>
      <w:rFonts w:ascii="Times New Roman" w:hAnsi="Times New Roman" w:eastAsia="楷体_GB2312" w:cs="宋体"/>
      <w:sz w:val="32"/>
    </w:rPr>
  </w:style>
  <w:style w:type="paragraph" w:styleId="1429" w:customStyle="1">
    <w:name w:val="xl87"/>
    <w:basedOn w:val="812"/>
    <w:uiPriority w:val="0"/>
    <w:qFormat/>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430" w:customStyle="1">
    <w:name w:val="招标文件》"/>
    <w:basedOn w:val="812"/>
    <w:uiPriority w:val="0"/>
    <w:qFormat/>
    <w:pPr>
      <w:ind w:left="420" w:hanging="420"/>
      <w:jc w:val="left"/>
      <w:spacing w:before="120" w:after="120" w:line="300" w:lineRule="auto"/>
      <w:widowControl/>
      <w:tabs>
        <w:tab w:val="left" w:pos="560" w:leader="none"/>
      </w:tabs>
    </w:pPr>
    <w:rPr>
      <w:rFonts w:hAnsi="Times New Roman"/>
      <w:spacing w:val="10"/>
      <w:sz w:val="21"/>
      <w:szCs w:val="20"/>
    </w:rPr>
  </w:style>
  <w:style w:type="paragraph" w:styleId="1431" w:customStyle="1">
    <w:name w:val="附录章标题"/>
    <w:next w:val="854"/>
    <w:uiPriority w:val="0"/>
    <w:qFormat/>
    <w:pPr>
      <w:numPr>
        <w:ilvl w:val="1"/>
        <w:numId w:val="12"/>
      </w:numPr>
      <w:jc w:val="both"/>
      <w:outlineLvl w:val="1"/>
    </w:pPr>
    <w:rPr>
      <w:rFonts w:hint="default" w:ascii="黑体" w:hAnsi="Times New Roman" w:eastAsia="黑体" w:cs="Times New Roman"/>
      <w:sz w:val="21"/>
      <w:lang w:val="en-US" w:eastAsia="zh-CN" w:bidi="ar-SA"/>
    </w:rPr>
  </w:style>
  <w:style w:type="paragraph" w:styleId="1432" w:customStyle="1">
    <w:name w:val="Table Heading"/>
    <w:basedOn w:val="812"/>
    <w:uiPriority w:val="0"/>
    <w:qFormat/>
    <w:pPr>
      <w:jc w:val="left"/>
      <w:spacing w:before="80" w:after="80" w:line="240" w:lineRule="atLeast"/>
    </w:pPr>
    <w:rPr>
      <w:rFonts w:ascii="Book Antiqua" w:hAnsi="Book Antiqua" w:eastAsia="黑体" w:cs="Book Antiqua"/>
      <w:bCs/>
      <w:sz w:val="21"/>
      <w:szCs w:val="21"/>
    </w:rPr>
  </w:style>
  <w:style w:type="paragraph" w:styleId="1433" w:customStyle="1">
    <w:name w:val="xl91"/>
    <w:basedOn w:val="8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434" w:customStyle="1">
    <w:name w:val="xl3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cs="Arial Unicode MS"/>
      <w:sz w:val="18"/>
      <w:szCs w:val="18"/>
    </w:rPr>
  </w:style>
  <w:style w:type="paragraph" w:styleId="1435" w:customStyle="1">
    <w:name w:val="xl64"/>
    <w:basedOn w:val="812"/>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36" w:customStyle="1">
    <w:name w:val="列表1"/>
    <w:basedOn w:val="812"/>
    <w:uiPriority w:val="0"/>
    <w:unhideWhenUsed/>
    <w:qFormat/>
    <w:pPr>
      <w:ind w:left="200" w:hanging="200"/>
    </w:pPr>
    <w:rPr>
      <w:rFonts w:ascii="Times New Roman" w:hAnsi="Times New Roman"/>
      <w:sz w:val="28"/>
    </w:rPr>
  </w:style>
  <w:style w:type="paragraph" w:styleId="1437" w:customStyle="1">
    <w:name w:val="标准"/>
    <w:basedOn w:val="812"/>
    <w:uiPriority w:val="0"/>
    <w:pPr>
      <w:ind w:firstLine="200"/>
      <w:spacing w:line="360" w:lineRule="auto"/>
    </w:pPr>
    <w:rPr>
      <w:rFonts w:ascii="Times New Roman" w:hAnsi="Times New Roman" w:cs="宋体"/>
      <w:sz w:val="21"/>
      <w:szCs w:val="20"/>
    </w:rPr>
  </w:style>
  <w:style w:type="paragraph" w:styleId="1438" w:customStyle="1">
    <w:name w:val="xl3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39" w:customStyle="1">
    <w:name w:val="目录 31"/>
    <w:basedOn w:val="812"/>
    <w:next w:val="812"/>
    <w:uiPriority w:val="39"/>
    <w:qFormat/>
    <w:pPr>
      <w:spacing w:line="360" w:lineRule="auto"/>
      <w:widowControl/>
    </w:pPr>
    <w:rPr>
      <w:rFonts w:hAnsi="Arial"/>
      <w:szCs w:val="21"/>
    </w:rPr>
  </w:style>
  <w:style w:type="paragraph" w:styleId="1440" w:customStyle="1">
    <w:name w:val="xl72"/>
    <w:basedOn w:val="812"/>
    <w:uiPriority w:val="0"/>
    <w:qFormat/>
    <w:pPr>
      <w:jc w:val="left"/>
      <w:spacing w:before="100" w:beforeAutospacing="1" w:after="100" w:afterAutospacing="1"/>
      <w:widowControl/>
    </w:pPr>
    <w:rPr>
      <w:rFonts w:cs="宋体"/>
      <w:color w:val="000000"/>
      <w:sz w:val="18"/>
      <w:szCs w:val="18"/>
    </w:rPr>
  </w:style>
  <w:style w:type="paragraph" w:styleId="1441" w:customStyle="1">
    <w:name w:val="样式www6"/>
    <w:basedOn w:val="1007"/>
    <w:uiPriority w:val="0"/>
    <w:qFormat/>
    <w:pPr>
      <w:numPr>
        <w:ilvl w:val="3"/>
        <w:numId w:val="0"/>
      </w:numPr>
      <w:ind w:left="1134" w:hanging="1134"/>
      <w:spacing w:before="0" w:after="0" w:line="374" w:lineRule="auto"/>
      <w:tabs>
        <w:tab w:val="left" w:pos="1134" w:leader="none"/>
      </w:tabs>
    </w:pPr>
    <w:rPr>
      <w:bCs/>
      <w:szCs w:val="28"/>
      <w:lang w:val="en-US" w:eastAsia="zh-CN"/>
    </w:rPr>
  </w:style>
  <w:style w:type="paragraph" w:styleId="1442" w:customStyle="1">
    <w:name w:val="表格标题"/>
    <w:basedOn w:val="812"/>
    <w:uiPriority w:val="0"/>
    <w:qFormat/>
    <w:pPr>
      <w:jc w:val="center"/>
      <w:spacing w:before="120" w:line="400" w:lineRule="exact"/>
    </w:pPr>
    <w:rPr>
      <w:rFonts w:ascii="Times New Roman" w:hAnsi="Times New Roman" w:eastAsia="文鼎CS中宋"/>
      <w:spacing w:val="8"/>
      <w:szCs w:val="20"/>
    </w:rPr>
  </w:style>
  <w:style w:type="paragraph" w:styleId="144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444" w:customStyle="1">
    <w:name w:val="正文文本 21"/>
    <w:basedOn w:val="812"/>
    <w:uiPriority w:val="0"/>
    <w:qFormat/>
    <w:pPr>
      <w:jc w:val="center"/>
      <w:spacing w:after="120" w:line="480" w:lineRule="auto"/>
    </w:pPr>
    <w:rPr>
      <w:rFonts w:ascii="Times New Roman" w:hAnsi="Times New Roman"/>
    </w:rPr>
  </w:style>
  <w:style w:type="paragraph" w:styleId="1445" w:customStyle="1">
    <w:name w:val="样式 左侧:  1.06 厘米 首行缩进:  0 厘米 行距: 单倍行距"/>
    <w:basedOn w:val="812"/>
    <w:uiPriority w:val="0"/>
    <w:qFormat/>
    <w:rPr>
      <w:rFonts w:ascii="Times New Roman" w:hAnsi="Times New Roman" w:eastAsia="楷体_GB2312" w:cs="宋体"/>
      <w:spacing w:val="8"/>
      <w:sz w:val="28"/>
      <w:szCs w:val="20"/>
    </w:rPr>
  </w:style>
  <w:style w:type="paragraph" w:styleId="1446" w:customStyle="1">
    <w:name w:val="表格文字（4号居中）"/>
    <w:basedOn w:val="1447"/>
    <w:uiPriority w:val="0"/>
    <w:qFormat/>
    <w:pPr>
      <w:spacing w:line="240" w:lineRule="auto"/>
    </w:pPr>
    <w:rPr>
      <w:sz w:val="24"/>
    </w:rPr>
  </w:style>
  <w:style w:type="paragraph" w:styleId="1447" w:customStyle="1">
    <w:name w:val="表格文字（居中）"/>
    <w:basedOn w:val="812"/>
    <w:uiPriority w:val="0"/>
    <w:qFormat/>
    <w:pPr>
      <w:jc w:val="center"/>
      <w:spacing w:line="360" w:lineRule="auto"/>
    </w:pPr>
    <w:rPr>
      <w:b/>
      <w:sz w:val="21"/>
      <w:szCs w:val="32"/>
    </w:rPr>
  </w:style>
  <w:style w:type="paragraph" w:styleId="1448" w:customStyle="1">
    <w:name w:val="索引 31"/>
    <w:basedOn w:val="812"/>
    <w:next w:val="812"/>
    <w:uiPriority w:val="0"/>
    <w:qFormat/>
    <w:pPr>
      <w:ind w:left="400"/>
      <w:jc w:val="center"/>
      <w:spacing w:line="360" w:lineRule="auto"/>
    </w:pPr>
    <w:rPr>
      <w:b/>
      <w:sz w:val="32"/>
      <w:szCs w:val="32"/>
    </w:rPr>
  </w:style>
  <w:style w:type="paragraph" w:styleId="1449" w:customStyle="1">
    <w:name w:val="列表项目符号1"/>
    <w:basedOn w:val="812"/>
    <w:uiPriority w:val="0"/>
    <w:unhideWhenUsed/>
    <w:qFormat/>
    <w:pPr>
      <w:ind w:left="900" w:hanging="420"/>
      <w:jc w:val="left"/>
      <w:spacing w:line="360" w:lineRule="auto"/>
      <w:tabs>
        <w:tab w:val="left" w:pos="900" w:leader="none"/>
      </w:tabs>
    </w:pPr>
    <w:rPr>
      <w:b/>
      <w:sz w:val="32"/>
      <w:szCs w:val="20"/>
    </w:rPr>
  </w:style>
  <w:style w:type="paragraph" w:styleId="1450" w:customStyle="1">
    <w:name w:val="列表段落1"/>
    <w:basedOn w:val="812"/>
    <w:uiPriority w:val="34"/>
    <w:qFormat/>
    <w:pPr>
      <w:ind w:firstLine="420"/>
    </w:pPr>
    <w:rPr>
      <w:rFonts w:ascii="Calibri" w:hAnsi="Calibri"/>
      <w:sz w:val="21"/>
      <w:szCs w:val="22"/>
    </w:rPr>
  </w:style>
  <w:style w:type="paragraph" w:styleId="1451" w:customStyle="1">
    <w:name w:val="555555555555555555555"/>
    <w:basedOn w:val="812"/>
    <w:uiPriority w:val="0"/>
    <w:qFormat/>
    <w:pPr>
      <w:numPr>
        <w:ilvl w:val="4"/>
        <w:numId w:val="13"/>
      </w:numPr>
      <w:ind w:left="2666" w:hanging="420"/>
      <w:keepLines/>
      <w:keepNext/>
      <w:spacing w:line="360" w:lineRule="auto"/>
      <w:outlineLvl w:val="4"/>
    </w:pPr>
    <w:rPr>
      <w:rFonts w:ascii="Times New Roman" w:hAnsi="Times New Roman" w:cs="Times New Roman"/>
      <w:b/>
      <w:bCs/>
      <w:sz w:val="28"/>
      <w:szCs w:val="28"/>
    </w:rPr>
  </w:style>
  <w:style w:type="paragraph" w:styleId="1452" w:customStyle="1">
    <w:name w:val="font7"/>
    <w:basedOn w:val="812"/>
    <w:uiPriority w:val="0"/>
    <w:qFormat/>
    <w:pPr>
      <w:jc w:val="left"/>
      <w:spacing w:before="100" w:beforeAutospacing="1" w:after="100" w:afterAutospacing="1"/>
      <w:widowControl/>
    </w:pPr>
    <w:rPr>
      <w:rFonts w:cs="宋体"/>
      <w:color w:val="000000"/>
      <w:sz w:val="18"/>
      <w:szCs w:val="18"/>
    </w:rPr>
  </w:style>
  <w:style w:type="paragraph" w:styleId="1453" w:customStyle="1">
    <w:name w:val="xl29"/>
    <w:basedOn w:val="8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54" w:customStyle="1">
    <w:name w:val="样式 加粗 居中1"/>
    <w:next w:val="1455"/>
    <w:uiPriority w:val="0"/>
    <w:qFormat/>
    <w:pPr>
      <w:jc w:val="center"/>
    </w:pPr>
    <w:rPr>
      <w:rFonts w:hint="default" w:ascii="Times New Roman" w:hAnsi="Times New Roman" w:eastAsia="宋体" w:cs="宋体"/>
      <w:b/>
      <w:bCs/>
      <w:spacing w:val="1"/>
      <w:sz w:val="32"/>
      <w:lang w:val="en-US" w:eastAsia="zh-CN" w:bidi="ar-SA"/>
    </w:rPr>
  </w:style>
  <w:style w:type="paragraph" w:styleId="1455" w:customStyle="1">
    <w:name w:val="加粗（居中）"/>
    <w:uiPriority w:val="0"/>
    <w:qFormat/>
    <w:rPr>
      <w:rFonts w:hint="default" w:ascii="Times New Roman" w:hAnsi="Times New Roman" w:eastAsia="宋体" w:cs="Times New Roman"/>
      <w:b/>
      <w:bCs/>
      <w:spacing w:val="1"/>
      <w:sz w:val="32"/>
      <w:szCs w:val="24"/>
      <w:lang w:val="en-US" w:eastAsia="zh-CN" w:bidi="ar-SA"/>
    </w:rPr>
  </w:style>
  <w:style w:type="paragraph" w:styleId="1456" w:customStyle="1">
    <w:name w:val="Char"/>
    <w:basedOn w:val="812"/>
    <w:uiPriority w:val="0"/>
    <w:qFormat/>
    <w:pPr>
      <w:ind w:left="900" w:hanging="720"/>
      <w:tabs>
        <w:tab w:val="left" w:pos="900" w:leader="none"/>
      </w:tabs>
    </w:pPr>
    <w:rPr>
      <w:rFonts w:ascii="Times New Roman" w:hAnsi="Times New Roman"/>
    </w:rPr>
  </w:style>
  <w:style w:type="paragraph" w:styleId="1457" w:customStyle="1">
    <w:name w:val="默认段落字体 Para Char Char Char Char Char Char Char Char Char1 Char Char Char Char Char Char Char"/>
    <w:basedOn w:val="1106"/>
    <w:uiPriority w:val="0"/>
    <w:qFormat/>
    <w:rPr>
      <w:rFonts w:ascii="Tahoma" w:hAnsi="Tahoma"/>
      <w:lang w:val="en-US" w:eastAsia="zh-CN"/>
    </w:rPr>
  </w:style>
  <w:style w:type="paragraph" w:styleId="1458" w:customStyle="1">
    <w:name w:val="!方块加粗"/>
    <w:basedOn w:val="812"/>
    <w:uiPriority w:val="0"/>
    <w:qFormat/>
    <w:pPr>
      <w:ind w:left="600" w:hanging="420"/>
      <w:spacing w:line="360" w:lineRule="auto"/>
      <w:tabs>
        <w:tab w:val="left" w:pos="600" w:leader="none"/>
        <w:tab w:val="left" w:pos="902" w:leader="none"/>
      </w:tabs>
    </w:pPr>
    <w:rPr>
      <w:rFonts w:ascii="Arial" w:hAnsi="Arial" w:eastAsia="黑体" w:cs="Arial"/>
      <w:b/>
    </w:rPr>
  </w:style>
  <w:style w:type="paragraph" w:styleId="1459" w:customStyle="1">
    <w:name w:val="标点正文"/>
    <w:basedOn w:val="812"/>
    <w:uiPriority w:val="0"/>
    <w:qFormat/>
    <w:pPr>
      <w:numPr>
        <w:ilvl w:val="0"/>
        <w:numId w:val="14"/>
      </w:numPr>
      <w:ind w:left="1133" w:hanging="608"/>
      <w:spacing w:line="360" w:lineRule="auto"/>
      <w:tabs>
        <w:tab w:val="left" w:pos="1120" w:leader="none"/>
      </w:tabs>
    </w:pPr>
    <w:rPr>
      <w:rFonts w:ascii="Times New Roman" w:hAnsi="Times New Roman"/>
      <w:sz w:val="28"/>
      <w:szCs w:val="28"/>
    </w:rPr>
  </w:style>
  <w:style w:type="paragraph" w:styleId="1460" w:customStyle="1">
    <w:name w:val="reader-word-layer"/>
    <w:basedOn w:val="812"/>
    <w:uiPriority w:val="0"/>
    <w:qFormat/>
    <w:pPr>
      <w:jc w:val="left"/>
      <w:spacing w:before="100" w:beforeAutospacing="1" w:after="100" w:afterAutospacing="1"/>
      <w:widowControl/>
    </w:pPr>
    <w:rPr>
      <w:rFonts w:cs="宋体"/>
    </w:rPr>
  </w:style>
  <w:style w:type="paragraph" w:styleId="1461" w:customStyle="1">
    <w:name w:val="列表项目符号 51"/>
    <w:basedOn w:val="812"/>
    <w:uiPriority w:val="0"/>
    <w:unhideWhenUsed/>
    <w:qFormat/>
    <w:pPr>
      <w:ind w:left="2040"/>
      <w:jc w:val="left"/>
      <w:spacing w:line="360" w:lineRule="auto"/>
      <w:tabs>
        <w:tab w:val="left" w:pos="2040" w:leader="none"/>
      </w:tabs>
    </w:pPr>
    <w:rPr>
      <w:b/>
      <w:sz w:val="32"/>
      <w:szCs w:val="20"/>
    </w:rPr>
  </w:style>
  <w:style w:type="paragraph" w:styleId="1462" w:customStyle="1">
    <w:name w:val="xl7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color w:val="000000"/>
      <w:sz w:val="18"/>
      <w:szCs w:val="18"/>
    </w:rPr>
  </w:style>
  <w:style w:type="paragraph" w:styleId="1463" w:customStyle="1">
    <w:name w:val="xl27"/>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64" w:customStyle="1">
    <w:name w:val="Char Char Char Char Char Char Char Char Char Char Char Char Char"/>
    <w:basedOn w:val="812"/>
    <w:uiPriority w:val="0"/>
    <w:qFormat/>
    <w:pPr>
      <w:jc w:val="left"/>
      <w:spacing w:after="160" w:line="240" w:lineRule="exact"/>
      <w:widowControl/>
    </w:pPr>
    <w:rPr>
      <w:rFonts w:ascii="Times New Roman" w:hAnsi="Times New Roman"/>
      <w:sz w:val="21"/>
    </w:rPr>
  </w:style>
  <w:style w:type="paragraph" w:styleId="1465" w:customStyle="1">
    <w:name w:val="列表编号 511"/>
    <w:basedOn w:val="812"/>
    <w:uiPriority w:val="0"/>
    <w:qFormat/>
    <w:pPr>
      <w:numPr>
        <w:ilvl w:val="0"/>
        <w:numId w:val="15"/>
      </w:numPr>
    </w:pPr>
    <w:rPr>
      <w:rFonts w:ascii="Times New Roman" w:hAnsi="Times New Roman"/>
      <w:sz w:val="21"/>
    </w:rPr>
  </w:style>
  <w:style w:type="paragraph" w:styleId="1466" w:customStyle="1">
    <w:name w:val="表文字"/>
    <w:uiPriority w:val="0"/>
    <w:qFormat/>
    <w:pPr>
      <w:jc w:val="center"/>
      <w:spacing w:line="270" w:lineRule="exact"/>
      <w:widowControl w:val="off"/>
    </w:pPr>
    <w:rPr>
      <w:rFonts w:hint="default" w:ascii="Times New Roman" w:hAnsi="Times New Roman" w:eastAsia="宋体" w:cs="Times New Roman"/>
      <w:sz w:val="18"/>
      <w:lang w:val="en-US" w:eastAsia="zh-CN" w:bidi="ar-SA"/>
    </w:rPr>
  </w:style>
  <w:style w:type="paragraph" w:styleId="1467" w:customStyle="1">
    <w:name w:val="样式"/>
    <w:uiPriority w:val="0"/>
    <w:qFormat/>
    <w:pPr>
      <w:widowControl w:val="off"/>
    </w:pPr>
    <w:rPr>
      <w:rFonts w:hint="default" w:ascii="宋体" w:hAnsi="宋体" w:eastAsia="宋体" w:cs="宋体"/>
      <w:sz w:val="24"/>
      <w:szCs w:val="24"/>
      <w:lang w:val="en-US" w:eastAsia="zh-CN" w:bidi="ar-SA"/>
    </w:rPr>
  </w:style>
  <w:style w:type="paragraph" w:styleId="1468" w:customStyle="1">
    <w:name w:val="xl80"/>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46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0" w:customStyle="1">
    <w:name w:val="一级目录"/>
    <w:next w:val="812"/>
    <w:uiPriority w:val="0"/>
    <w:pPr>
      <w:jc w:val="center"/>
      <w:outlineLvl w:val="0"/>
    </w:pPr>
    <w:rPr>
      <w:rFonts w:hint="default" w:ascii="黑体" w:hAnsi="Times New Roman" w:eastAsia="黑体" w:cs="Times New Roman"/>
      <w:b/>
      <w:sz w:val="44"/>
      <w:szCs w:val="44"/>
      <w:lang w:val="en-US" w:eastAsia="zh-CN" w:bidi="ar-SA"/>
    </w:rPr>
  </w:style>
  <w:style w:type="paragraph" w:styleId="1471" w:customStyle="1">
    <w:name w:val="标3"/>
    <w:basedOn w:val="812"/>
    <w:uiPriority w:val="0"/>
    <w:qFormat/>
    <w:pPr>
      <w:ind w:left="425" w:hanging="425"/>
      <w:spacing w:before="50"/>
      <w:tabs>
        <w:tab w:val="left" w:pos="425" w:leader="none"/>
      </w:tabs>
      <w:outlineLvl w:val="2"/>
    </w:pPr>
    <w:rPr>
      <w:rFonts w:ascii="Arial Narrow" w:hAnsi="Arial Narrow" w:eastAsia="仿宋_GB2312"/>
      <w:sz w:val="28"/>
      <w:szCs w:val="20"/>
    </w:rPr>
  </w:style>
  <w:style w:type="paragraph" w:styleId="1472" w:customStyle="1">
    <w:name w:val="xl41"/>
    <w:basedOn w:val="812"/>
    <w:uiPriority w:val="0"/>
    <w:qFormat/>
    <w:pPr>
      <w:jc w:val="center"/>
      <w:spacing w:before="100" w:beforeAutospacing="1" w:after="100" w:afterAutospacing="1"/>
      <w:widowControl/>
      <w:pBdr>
        <w:bottom w:val="single" w:color="000000" w:sz="4" w:space="0"/>
      </w:pBdr>
    </w:pPr>
    <w:rPr>
      <w:rFonts w:ascii="Arial Unicode MS" w:hAnsi="Arial Unicode MS" w:cs="Arial Unicode MS"/>
      <w:sz w:val="18"/>
      <w:szCs w:val="18"/>
    </w:rPr>
  </w:style>
  <w:style w:type="paragraph" w:styleId="1473" w:customStyle="1">
    <w:name w:val="列表 41"/>
    <w:basedOn w:val="812"/>
    <w:uiPriority w:val="0"/>
    <w:pPr>
      <w:ind w:left="100" w:hanging="200"/>
    </w:pPr>
    <w:rPr>
      <w:rFonts w:ascii="Times New Roman" w:hAnsi="Times New Roman"/>
      <w:sz w:val="21"/>
    </w:rPr>
  </w:style>
  <w:style w:type="paragraph" w:styleId="1474" w:customStyle="1">
    <w:name w:val="列表编号 411"/>
    <w:basedOn w:val="812"/>
    <w:uiPriority w:val="0"/>
    <w:qFormat/>
    <w:pPr>
      <w:numPr>
        <w:ilvl w:val="0"/>
        <w:numId w:val="16"/>
      </w:numPr>
    </w:pPr>
    <w:rPr>
      <w:rFonts w:ascii="Times New Roman" w:hAnsi="Times New Roman"/>
      <w:sz w:val="21"/>
    </w:rPr>
  </w:style>
  <w:style w:type="paragraph" w:styleId="1475" w:customStyle="1">
    <w:name w:val="列表接续 21"/>
    <w:basedOn w:val="812"/>
    <w:uiPriority w:val="0"/>
    <w:qFormat/>
    <w:pPr>
      <w:ind w:left="840"/>
      <w:spacing w:after="120"/>
    </w:pPr>
    <w:rPr>
      <w:rFonts w:ascii="Times New Roman" w:hAnsi="Times New Roman"/>
      <w:sz w:val="21"/>
    </w:rPr>
  </w:style>
  <w:style w:type="paragraph" w:styleId="1476" w:customStyle="1">
    <w:name w:val="Char Char Char Char Char Char1 Char Char Char Char Char Char1 Char Char Char Char Char Char Char"/>
    <w:basedOn w:val="812"/>
    <w:uiPriority w:val="0"/>
    <w:qFormat/>
    <w:rPr>
      <w:rFonts w:ascii="Tahoma" w:hAnsi="Tahoma"/>
      <w:szCs w:val="20"/>
    </w:rPr>
  </w:style>
  <w:style w:type="paragraph" w:styleId="1477" w:customStyle="1">
    <w:name w:val="CM4"/>
    <w:basedOn w:val="1368"/>
    <w:next w:val="1368"/>
    <w:uiPriority w:val="99"/>
    <w:qFormat/>
  </w:style>
  <w:style w:type="paragraph" w:styleId="1478" w:customStyle="1">
    <w:name w:val="标题 Bb"/>
    <w:basedOn w:val="1228"/>
    <w:uiPriority w:val="0"/>
    <w:qFormat/>
    <w:pPr>
      <w:keepNext w:val="0"/>
      <w:spacing w:before="0" w:after="0"/>
    </w:pPr>
    <w:rPr>
      <w:rFonts w:ascii="Times New Roman" w:hAnsi="Times New Roman"/>
      <w:spacing w:val="24"/>
    </w:rPr>
  </w:style>
  <w:style w:type="paragraph" w:styleId="1479" w:customStyle="1">
    <w:name w:val="Plain Text2"/>
    <w:basedOn w:val="812"/>
    <w:uiPriority w:val="0"/>
    <w:qFormat/>
    <w:rPr>
      <w:rFonts w:hAnsi="Courier New" w:eastAsia="楷体_GB2312"/>
      <w:sz w:val="28"/>
      <w:szCs w:val="20"/>
    </w:rPr>
  </w:style>
  <w:style w:type="paragraph" w:styleId="1480" w:customStyle="1">
    <w:name w:val="三号 居中"/>
    <w:basedOn w:val="812"/>
    <w:uiPriority w:val="0"/>
    <w:qFormat/>
    <w:pPr>
      <w:jc w:val="center"/>
      <w:spacing w:line="360" w:lineRule="auto"/>
    </w:pPr>
    <w:rPr>
      <w:rFonts w:ascii="黑体" w:eastAsia="黑体" w:cs="宋体"/>
      <w:b/>
      <w:spacing w:val="1"/>
      <w:sz w:val="32"/>
      <w:szCs w:val="20"/>
    </w:rPr>
  </w:style>
  <w:style w:type="paragraph" w:styleId="1481" w:customStyle="1">
    <w:name w:val="2-2ji"/>
    <w:basedOn w:val="1004"/>
    <w:uiPriority w:val="0"/>
    <w:qFormat/>
    <w:pPr>
      <w:numPr>
        <w:ilvl w:val="0"/>
        <w:numId w:val="0"/>
      </w:numPr>
      <w:jc w:val="center"/>
      <w:spacing w:before="0" w:after="0" w:line="360" w:lineRule="auto"/>
    </w:pPr>
    <w:rPr>
      <w:rFonts w:ascii="宋体" w:hAnsi="宋体" w:eastAsia="宋体"/>
      <w:sz w:val="36"/>
      <w:szCs w:val="32"/>
    </w:rPr>
  </w:style>
  <w:style w:type="paragraph" w:styleId="1482" w:customStyle="1">
    <w:name w:val="目录 51"/>
    <w:basedOn w:val="812"/>
    <w:next w:val="812"/>
    <w:uiPriority w:val="39"/>
    <w:unhideWhenUsed/>
    <w:qFormat/>
    <w:pPr>
      <w:ind w:left="960" w:firstLine="200"/>
      <w:jc w:val="left"/>
      <w:spacing w:line="360" w:lineRule="auto"/>
      <w:widowControl/>
    </w:pPr>
    <w:rPr>
      <w:rFonts w:ascii="Calibri" w:hAnsi="Calibri" w:cs="Calibri"/>
      <w:sz w:val="18"/>
      <w:szCs w:val="18"/>
    </w:rPr>
  </w:style>
  <w:style w:type="paragraph" w:styleId="1483" w:customStyle="1">
    <w:name w:val="TOC 标题1"/>
    <w:basedOn w:val="1003"/>
    <w:next w:val="812"/>
    <w:uiPriority w:val="39"/>
    <w:qFormat/>
    <w:pPr>
      <w:numPr>
        <w:ilvl w:val="0"/>
        <w:numId w:val="0"/>
      </w:numPr>
      <w:jc w:val="left"/>
      <w:spacing w:before="480" w:after="0" w:line="276" w:lineRule="auto"/>
      <w:widowControl/>
      <w:outlineLvl w:val="9"/>
    </w:pPr>
    <w:rPr>
      <w:rFonts w:ascii="Cambria" w:hAnsi="Cambria"/>
      <w:bCs/>
      <w:color w:val="365f91"/>
      <w:sz w:val="30"/>
      <w:szCs w:val="28"/>
    </w:rPr>
  </w:style>
  <w:style w:type="paragraph" w:styleId="1484" w:customStyle="1">
    <w:name w:val="a2"/>
    <w:basedOn w:val="812"/>
    <w:uiPriority w:val="0"/>
    <w:qFormat/>
    <w:pPr>
      <w:jc w:val="left"/>
      <w:spacing w:before="100" w:beforeAutospacing="1" w:after="100" w:afterAutospacing="1"/>
      <w:widowControl/>
    </w:pPr>
    <w:rPr>
      <w:rFonts w:cs="宋体"/>
    </w:rPr>
  </w:style>
  <w:style w:type="paragraph" w:styleId="1485" w:customStyle="1">
    <w:name w:val="正文样"/>
    <w:basedOn w:val="812"/>
    <w:uiPriority w:val="0"/>
    <w:qFormat/>
    <w:pPr>
      <w:ind w:firstLine="480"/>
      <w:spacing w:line="360" w:lineRule="auto"/>
    </w:pPr>
    <w:rPr>
      <w:rFonts w:ascii="Times New Roman" w:hAnsi="Times New Roman" w:cs="宋体"/>
      <w:szCs w:val="20"/>
    </w:rPr>
  </w:style>
  <w:style w:type="paragraph" w:styleId="1486" w:customStyle="1">
    <w:name w:val="目录4"/>
    <w:basedOn w:val="812"/>
    <w:next w:val="812"/>
    <w:uiPriority w:val="0"/>
    <w:qFormat/>
    <w:pPr>
      <w:ind w:firstLine="629"/>
      <w:spacing w:line="317" w:lineRule="atLeast"/>
      <w:widowControl/>
      <w:tabs>
        <w:tab w:val="left" w:pos="8503" w:leader="dot"/>
      </w:tabs>
    </w:pPr>
    <w:rPr>
      <w:rFonts w:ascii="Times New Roman" w:hAnsi="Times New Roman"/>
      <w:color w:val="000000"/>
      <w:sz w:val="21"/>
      <w:szCs w:val="20"/>
    </w:rPr>
  </w:style>
  <w:style w:type="paragraph" w:styleId="1487" w:customStyle="1">
    <w:name w:val="2ji"/>
    <w:basedOn w:val="1004"/>
    <w:uiPriority w:val="0"/>
    <w:qFormat/>
    <w:pPr>
      <w:numPr>
        <w:ilvl w:val="0"/>
        <w:numId w:val="0"/>
      </w:numPr>
      <w:spacing w:before="0" w:after="0" w:line="360" w:lineRule="auto"/>
    </w:pPr>
    <w:rPr>
      <w:rFonts w:ascii="宋体" w:hAnsi="宋体" w:eastAsia="宋体"/>
      <w:bCs/>
      <w:sz w:val="21"/>
      <w:szCs w:val="21"/>
    </w:rPr>
  </w:style>
  <w:style w:type="paragraph" w:styleId="1488" w:customStyle="1">
    <w:name w:val="文本块1"/>
    <w:basedOn w:val="812"/>
    <w:uiPriority w:val="0"/>
    <w:unhideWhenUsed/>
    <w:qFormat/>
    <w:pPr>
      <w:ind w:left="420" w:right="33"/>
      <w:jc w:val="left"/>
    </w:pPr>
    <w:rPr>
      <w:rFonts w:ascii="Times New Roman" w:hAnsi="Times New Roman"/>
      <w:szCs w:val="20"/>
    </w:rPr>
  </w:style>
  <w:style w:type="paragraph" w:styleId="1489" w:customStyle="1">
    <w:name w:val="xl89"/>
    <w:basedOn w:val="8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490" w:customStyle="1">
    <w:name w:val="四号正文"/>
    <w:basedOn w:val="812"/>
    <w:uiPriority w:val="0"/>
    <w:qFormat/>
    <w:pPr>
      <w:ind w:firstLine="560"/>
      <w:spacing w:line="360" w:lineRule="auto"/>
    </w:pPr>
    <w:rPr>
      <w:rFonts w:ascii="Times New Roman" w:hAnsi="Times New Roman"/>
      <w:sz w:val="28"/>
      <w:szCs w:val="28"/>
    </w:rPr>
  </w:style>
  <w:style w:type="paragraph" w:styleId="1491" w:customStyle="1">
    <w:name w:val="普通 (Web)"/>
    <w:basedOn w:val="812"/>
    <w:uiPriority w:val="0"/>
    <w:qFormat/>
    <w:pPr>
      <w:jc w:val="left"/>
      <w:spacing w:before="100" w:beforeAutospacing="1" w:after="100" w:afterAutospacing="1"/>
      <w:widowControl/>
    </w:pPr>
  </w:style>
  <w:style w:type="paragraph" w:styleId="1492" w:customStyle="1">
    <w:name w:val="文档标题6"/>
    <w:basedOn w:val="1009"/>
    <w:next w:val="812"/>
    <w:uiPriority w:val="0"/>
    <w:qFormat/>
    <w:pPr>
      <w:numPr>
        <w:ilvl w:val="0"/>
        <w:numId w:val="0"/>
      </w:numPr>
      <w:ind w:left="1134" w:hanging="1134"/>
      <w:spacing w:before="100" w:beforeAutospacing="1" w:after="100" w:afterAutospacing="1" w:line="360" w:lineRule="auto"/>
      <w:tabs>
        <w:tab w:val="left" w:pos="1134" w:leader="none"/>
      </w:tabs>
    </w:pPr>
    <w:rPr>
      <w:rFonts w:eastAsia="宋体"/>
      <w:bCs/>
      <w:szCs w:val="24"/>
    </w:rPr>
  </w:style>
  <w:style w:type="paragraph" w:styleId="149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4" w:customStyle="1">
    <w:name w:val="Char Char Char Char Char Char Char Char Char Char Char Char Char Char Char"/>
    <w:basedOn w:val="812"/>
    <w:uiPriority w:val="0"/>
    <w:qFormat/>
    <w:pPr>
      <w:jc w:val="center"/>
      <w:spacing w:line="400" w:lineRule="exact"/>
      <w:widowControl/>
    </w:pPr>
    <w:rPr>
      <w:rFonts w:ascii="Verdana" w:hAnsi="Verdana"/>
      <w:sz w:val="21"/>
      <w:szCs w:val="20"/>
      <w:lang w:eastAsia="en-US"/>
    </w:rPr>
  </w:style>
  <w:style w:type="paragraph" w:styleId="1495" w:customStyle="1">
    <w:name w:val="附录三级条标题"/>
    <w:basedOn w:val="1496"/>
    <w:next w:val="854"/>
    <w:uiPriority w:val="0"/>
    <w:qFormat/>
    <w:pPr>
      <w:numPr>
        <w:ilvl w:val="4"/>
        <w:numId w:val="12"/>
      </w:numPr>
      <w:tabs>
        <w:tab w:val="left" w:pos="360" w:leader="none"/>
      </w:tabs>
      <w:outlineLvl w:val="4"/>
    </w:pPr>
  </w:style>
  <w:style w:type="paragraph" w:styleId="1496" w:customStyle="1">
    <w:name w:val="附录二级条标题"/>
    <w:basedOn w:val="1497"/>
    <w:next w:val="854"/>
    <w:uiPriority w:val="0"/>
    <w:qFormat/>
    <w:pPr>
      <w:numPr>
        <w:ilvl w:val="3"/>
        <w:numId w:val="12"/>
      </w:numPr>
      <w:tabs>
        <w:tab w:val="left" w:pos="360" w:leader="none"/>
      </w:tabs>
      <w:outlineLvl w:val="3"/>
    </w:pPr>
  </w:style>
  <w:style w:type="paragraph" w:styleId="1497" w:customStyle="1">
    <w:name w:val="附录一级条标题"/>
    <w:basedOn w:val="1431"/>
    <w:next w:val="854"/>
    <w:uiPriority w:val="0"/>
    <w:qFormat/>
    <w:pPr>
      <w:numPr>
        <w:ilvl w:val="2"/>
        <w:numId w:val="12"/>
      </w:numPr>
      <w:outlineLvl w:val="2"/>
    </w:pPr>
  </w:style>
  <w:style w:type="paragraph" w:styleId="1498" w:customStyle="1">
    <w:name w:val="Char Char Char Char Char Char1 Char Char Char1 Char Char Char Char Char Char Char Char Char Char Char Char Char Char Char Char Char Char"/>
    <w:basedOn w:val="812"/>
    <w:uiPriority w:val="0"/>
    <w:qFormat/>
    <w:rPr>
      <w:rFonts w:ascii="Tahoma" w:hAnsi="Tahoma"/>
      <w:szCs w:val="20"/>
    </w:rPr>
  </w:style>
  <w:style w:type="paragraph" w:styleId="1499" w:customStyle="1">
    <w:name w:val="Char1 Char Char"/>
    <w:basedOn w:val="812"/>
    <w:uiPriority w:val="0"/>
    <w:qFormat/>
    <w:rPr>
      <w:rFonts w:ascii="Tahoma" w:hAnsi="Tahoma"/>
      <w:szCs w:val="20"/>
    </w:rPr>
  </w:style>
  <w:style w:type="paragraph" w:styleId="1500" w:customStyle="1">
    <w:name w:val="正文 1"/>
    <w:basedOn w:val="812"/>
    <w:uiPriority w:val="0"/>
    <w:qFormat/>
    <w:pPr>
      <w:ind w:left="1418"/>
      <w:jc w:val="left"/>
      <w:spacing w:before="80" w:after="80" w:line="360" w:lineRule="auto"/>
      <w:widowControl/>
    </w:pPr>
    <w:rPr>
      <w:rFonts w:ascii="Times New Roman" w:hAnsi="Times New Roman"/>
      <w:szCs w:val="20"/>
    </w:rPr>
  </w:style>
  <w:style w:type="paragraph" w:styleId="1501" w:customStyle="1">
    <w:name w:val="收信人地址1"/>
    <w:basedOn w:val="812"/>
    <w:uiPriority w:val="0"/>
    <w:qFormat/>
    <w:pPr>
      <w:ind w:left="100"/>
      <w:framePr w:w="7920" w:h="1980" w:hSpace="180" w:wrap="around" w:vAnchor="margin" w:hAnchor="page" w:xAlign="center" w:yAlign="bottom" w:hRule="exact"/>
    </w:pPr>
    <w:rPr>
      <w:rFonts w:ascii="Arial" w:hAnsi="Arial" w:cs="Arial"/>
    </w:rPr>
  </w:style>
  <w:style w:type="paragraph" w:styleId="1502" w:customStyle="1">
    <w:name w:val="xl73"/>
    <w:basedOn w:val="812"/>
    <w:uiPriority w:val="0"/>
    <w:qFormat/>
    <w:pPr>
      <w:jc w:val="left"/>
      <w:spacing w:before="100" w:beforeAutospacing="1" w:after="100" w:afterAutospacing="1"/>
      <w:widowControl/>
      <w:pBdr>
        <w:top w:val="single" w:color="000000" w:sz="4" w:space="0"/>
      </w:pBdr>
    </w:pPr>
    <w:rPr>
      <w:rFonts w:cs="宋体"/>
      <w:color w:val="000000"/>
      <w:sz w:val="18"/>
      <w:szCs w:val="18"/>
    </w:rPr>
  </w:style>
  <w:style w:type="paragraph" w:styleId="1503" w:customStyle="1">
    <w:name w:val="1 标题"/>
    <w:basedOn w:val="1003"/>
    <w:uiPriority w:val="0"/>
    <w:qFormat/>
    <w:pPr>
      <w:numPr>
        <w:ilvl w:val="0"/>
        <w:numId w:val="17"/>
      </w:numPr>
      <w:jc w:val="left"/>
      <w:spacing w:before="160" w:after="160" w:line="240" w:lineRule="auto"/>
    </w:pPr>
    <w:rPr>
      <w:rFonts w:eastAsia="黑体"/>
      <w:sz w:val="28"/>
      <w:lang w:val="en-US" w:eastAsia="zh-CN"/>
    </w:rPr>
  </w:style>
  <w:style w:type="paragraph" w:styleId="1504" w:customStyle="1">
    <w:name w:val="font0"/>
    <w:basedOn w:val="812"/>
    <w:uiPriority w:val="0"/>
    <w:qFormat/>
    <w:pPr>
      <w:jc w:val="left"/>
      <w:spacing w:before="100" w:beforeAutospacing="1" w:after="100" w:afterAutospacing="1"/>
      <w:widowControl/>
    </w:pPr>
  </w:style>
  <w:style w:type="paragraph" w:styleId="1505" w:customStyle="1">
    <w:name w:val="0"/>
    <w:basedOn w:val="812"/>
    <w:uiPriority w:val="0"/>
    <w:qFormat/>
    <w:pPr>
      <w:ind w:hanging="1"/>
      <w:spacing w:line="360" w:lineRule="auto"/>
      <w:widowControl/>
    </w:pPr>
    <w:rPr>
      <w:rFonts w:ascii="Times New Roman" w:hAnsi="Times New Roman"/>
    </w:rPr>
  </w:style>
  <w:style w:type="paragraph" w:styleId="1506" w:customStyle="1">
    <w:name w:val="正文B"/>
    <w:basedOn w:val="812"/>
    <w:uiPriority w:val="0"/>
    <w:qFormat/>
    <w:pPr>
      <w:ind w:firstLine="601"/>
      <w:spacing w:line="390" w:lineRule="exact"/>
    </w:pPr>
    <w:rPr>
      <w:rFonts w:ascii="Times New Roman" w:hAnsi="Times New Roman" w:eastAsia="楷体_GB2312"/>
      <w:spacing w:val="8"/>
      <w:sz w:val="28"/>
      <w:szCs w:val="20"/>
    </w:rPr>
  </w:style>
  <w:style w:type="paragraph" w:styleId="1507" w:customStyle="1">
    <w:name w:val="Default Paragraph Font Para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508" w:customStyle="1">
    <w:name w:val="Char11"/>
    <w:basedOn w:val="812"/>
    <w:uiPriority w:val="0"/>
    <w:qFormat/>
    <w:rPr>
      <w:rFonts w:ascii="Times New Roman" w:hAnsi="Times New Roman"/>
      <w:sz w:val="21"/>
    </w:rPr>
  </w:style>
  <w:style w:type="paragraph" w:styleId="1509" w:customStyle="1">
    <w:name w:val="文字"/>
    <w:basedOn w:val="812"/>
    <w:uiPriority w:val="0"/>
    <w:pPr>
      <w:ind w:right="-210" w:firstLine="556"/>
      <w:spacing w:line="312" w:lineRule="auto"/>
      <w:tabs>
        <w:tab w:val="left" w:pos="8520" w:leader="none"/>
      </w:tabs>
    </w:pPr>
    <w:rPr>
      <w:rFonts w:hAnsi="Times New Roman"/>
      <w:sz w:val="28"/>
      <w:szCs w:val="20"/>
    </w:rPr>
  </w:style>
  <w:style w:type="paragraph" w:styleId="1510" w:customStyle="1">
    <w:name w:val="Char1 Char Char Char Char Char Char"/>
    <w:basedOn w:val="812"/>
    <w:uiPriority w:val="0"/>
    <w:rPr>
      <w:rFonts w:ascii="Tahoma" w:hAnsi="Tahoma"/>
      <w:szCs w:val="20"/>
    </w:rPr>
  </w:style>
  <w:style w:type="paragraph" w:styleId="1511" w:customStyle="1">
    <w:name w:val="Char Char Char1"/>
    <w:basedOn w:val="812"/>
    <w:uiPriority w:val="0"/>
    <w:qFormat/>
    <w:pPr>
      <w:numPr>
        <w:ilvl w:val="0"/>
        <w:numId w:val="18"/>
      </w:numPr>
      <w:tabs>
        <w:tab w:val="left" w:pos="1545" w:leader="none"/>
      </w:tabs>
    </w:pPr>
    <w:rPr>
      <w:sz w:val="21"/>
    </w:rPr>
  </w:style>
  <w:style w:type="paragraph" w:styleId="1512" w:customStyle="1">
    <w:name w:val="需求文档正文样式"/>
    <w:basedOn w:val="812"/>
    <w:uiPriority w:val="0"/>
    <w:qFormat/>
    <w:pPr>
      <w:ind w:firstLine="437"/>
      <w:spacing w:line="360" w:lineRule="auto"/>
    </w:pPr>
    <w:rPr>
      <w:rFonts w:ascii="Times New Roman" w:hAnsi="Times New Roman"/>
    </w:rPr>
  </w:style>
  <w:style w:type="paragraph" w:styleId="1513" w:customStyle="1">
    <w:name w:val="段落正文"/>
    <w:basedOn w:val="1034"/>
    <w:uiPriority w:val="0"/>
    <w:qFormat/>
    <w:pPr>
      <w:jc w:val="center"/>
      <w:spacing w:line="360" w:lineRule="auto"/>
      <w:widowControl/>
    </w:pPr>
    <w:rPr>
      <w:rFonts w:ascii="Calibri" w:hAnsi="Calibri"/>
      <w:b/>
      <w:sz w:val="32"/>
      <w:szCs w:val="32"/>
    </w:rPr>
  </w:style>
  <w:style w:type="paragraph" w:styleId="1514" w:customStyle="1">
    <w:name w:val="纯文本2"/>
    <w:basedOn w:val="812"/>
    <w:uiPriority w:val="0"/>
    <w:qFormat/>
    <w:rPr>
      <w:rFonts w:hint="eastAsia" w:hAnsi="Courier New" w:eastAsia="楷体_GB2312"/>
      <w:sz w:val="28"/>
      <w:szCs w:val="20"/>
    </w:rPr>
  </w:style>
  <w:style w:type="paragraph" w:styleId="1515" w:customStyle="1">
    <w:name w:val="4444444444444444444444444444"/>
    <w:basedOn w:val="812"/>
    <w:uiPriority w:val="0"/>
    <w:qFormat/>
    <w:pPr>
      <w:numPr>
        <w:ilvl w:val="3"/>
        <w:numId w:val="13"/>
      </w:numPr>
      <w:keepLines/>
      <w:keepNext/>
      <w:spacing w:line="360" w:lineRule="auto"/>
      <w:outlineLvl w:val="3"/>
    </w:pPr>
    <w:rPr>
      <w:b/>
      <w:bCs/>
      <w:sz w:val="28"/>
      <w:szCs w:val="28"/>
    </w:rPr>
  </w:style>
  <w:style w:type="paragraph" w:styleId="1516" w:customStyle="1">
    <w:name w:val="xl40"/>
    <w:basedOn w:val="812"/>
    <w:uiPriority w:val="0"/>
    <w:qFormat/>
    <w:pPr>
      <w:jc w:val="right"/>
      <w:spacing w:before="100" w:beforeAutospacing="1" w:after="100" w:afterAutospacing="1"/>
      <w:widowControl/>
    </w:pPr>
    <w:rPr>
      <w:rFonts w:ascii="Arial Unicode MS" w:hAnsi="Arial Unicode MS" w:cs="Arial Unicode MS"/>
      <w:sz w:val="18"/>
      <w:szCs w:val="18"/>
    </w:rPr>
  </w:style>
  <w:style w:type="paragraph" w:styleId="1517" w:customStyle="1">
    <w:name w:val="附录1"/>
    <w:uiPriority w:val="0"/>
    <w:qFormat/>
    <w:pPr>
      <w:numPr>
        <w:ilvl w:val="0"/>
        <w:numId w:val="19"/>
      </w:numPr>
      <w:spacing w:before="240" w:line="600" w:lineRule="atLeast"/>
    </w:pPr>
    <w:rPr>
      <w:rFonts w:hint="default" w:ascii="Times New Roman" w:hAnsi="Times New Roman" w:eastAsia="宋体" w:cs="Times New Roman"/>
      <w:b/>
      <w:i/>
      <w:sz w:val="28"/>
      <w:lang w:val="en-US" w:eastAsia="zh-CN" w:bidi="ar-SA"/>
    </w:rPr>
  </w:style>
  <w:style w:type="paragraph" w:styleId="1518" w:customStyle="1">
    <w:name w:val="xl39"/>
    <w:basedOn w:val="8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cs="Arial Unicode MS"/>
      <w:sz w:val="18"/>
      <w:szCs w:val="18"/>
    </w:rPr>
  </w:style>
  <w:style w:type="paragraph" w:styleId="1519" w:customStyle="1">
    <w:name w:val="CM10"/>
    <w:basedOn w:val="1368"/>
    <w:next w:val="1368"/>
    <w:uiPriority w:val="99"/>
    <w:qFormat/>
  </w:style>
  <w:style w:type="paragraph" w:styleId="1520" w:customStyle="1">
    <w:name w:val="正文斜下划线"/>
    <w:basedOn w:val="1379"/>
    <w:uiPriority w:val="0"/>
    <w:qFormat/>
    <w:pPr>
      <w:ind w:firstLine="560"/>
    </w:pPr>
    <w:rPr>
      <w:i/>
      <w:iCs/>
      <w:u w:val="single"/>
    </w:rPr>
  </w:style>
  <w:style w:type="paragraph" w:styleId="1521" w:customStyle="1">
    <w:name w:val="列表 31"/>
    <w:basedOn w:val="812"/>
    <w:uiPriority w:val="0"/>
    <w:qFormat/>
    <w:pPr>
      <w:ind w:left="100" w:hanging="200"/>
    </w:pPr>
    <w:rPr>
      <w:rFonts w:ascii="Times New Roman" w:hAnsi="Times New Roman"/>
      <w:sz w:val="21"/>
    </w:rPr>
  </w:style>
  <w:style w:type="paragraph" w:styleId="1522" w:customStyle="1">
    <w:name w:val="表前文"/>
    <w:basedOn w:val="812"/>
    <w:uiPriority w:val="0"/>
    <w:qFormat/>
    <w:pPr>
      <w:ind w:firstLine="601"/>
      <w:spacing w:after="120" w:line="400" w:lineRule="exact"/>
    </w:pPr>
    <w:rPr>
      <w:rFonts w:ascii="Times New Roman" w:hAnsi="Times New Roman" w:eastAsia="楷体_GB2312"/>
      <w:spacing w:val="8"/>
      <w:sz w:val="28"/>
      <w:szCs w:val="20"/>
    </w:rPr>
  </w:style>
  <w:style w:type="paragraph" w:styleId="1523" w:customStyle="1">
    <w:name w:val="日期1"/>
    <w:basedOn w:val="812"/>
    <w:next w:val="812"/>
    <w:uiPriority w:val="0"/>
    <w:qFormat/>
    <w:pPr>
      <w:ind w:left="100"/>
    </w:pPr>
    <w:rPr>
      <w:rFonts w:ascii="仿宋_GB2312" w:eastAsia="仿宋_GB2312"/>
      <w:color w:val="000000"/>
    </w:rPr>
  </w:style>
  <w:style w:type="paragraph" w:styleId="1524" w:customStyle="1">
    <w:name w:val="文档标题5"/>
    <w:basedOn w:val="1008"/>
    <w:next w:val="812"/>
    <w:uiPriority w:val="0"/>
    <w:qFormat/>
    <w:pPr>
      <w:numPr>
        <w:ilvl w:val="0"/>
        <w:numId w:val="0"/>
      </w:numPr>
      <w:ind w:left="992" w:hanging="992"/>
      <w:spacing w:before="100" w:beforeAutospacing="1" w:after="100" w:afterAutospacing="1" w:line="360" w:lineRule="auto"/>
      <w:tabs>
        <w:tab w:val="left" w:pos="992" w:leader="none"/>
      </w:tabs>
    </w:pPr>
    <w:rPr>
      <w:rFonts w:ascii="ˎ̥" w:hAnsi="ˎ̥"/>
      <w:bCs/>
      <w:szCs w:val="28"/>
    </w:rPr>
  </w:style>
  <w:style w:type="paragraph" w:styleId="1525" w:customStyle="1">
    <w:name w:val="null3"/>
    <w:uiPriority w:val="0"/>
    <w:qFormat/>
    <w:rPr>
      <w:rFonts w:hint="eastAsia" w:ascii="Calibri" w:hAnsi="Calibri" w:eastAsia="宋体" w:cs="Times New Roman"/>
      <w:lang w:val="en-US" w:eastAsia="en-US" w:bidi="ar-SA"/>
    </w:rPr>
  </w:style>
  <w:style w:type="paragraph" w:styleId="1526" w:customStyle="1">
    <w:name w:val="样式 标题 2第一层条第二层论文标题 1H2Heading 2 HiddenHeading 2 CCBSPIM2...1"/>
    <w:basedOn w:val="1004"/>
    <w:uiPriority w:val="0"/>
    <w:qFormat/>
    <w:pPr>
      <w:numPr>
        <w:ilvl w:val="1"/>
        <w:numId w:val="0"/>
      </w:numPr>
      <w:ind w:left="425" w:hanging="425"/>
      <w:keepLines w:val="0"/>
      <w:spacing w:before="312" w:after="0" w:line="360" w:lineRule="auto"/>
      <w:tabs>
        <w:tab w:val="left" w:pos="425" w:leader="none"/>
      </w:tabs>
    </w:pPr>
    <w:rPr>
      <w:rFonts w:ascii="方正黑体_GBK" w:hAnsi="Arial Rounded MT Bold" w:eastAsia="方正黑体_GBK" w:cs="宋体"/>
      <w:spacing w:val="8"/>
      <w:lang w:val="en-US" w:eastAsia="zh-CN"/>
    </w:rPr>
  </w:style>
  <w:style w:type="paragraph" w:styleId="1527" w:customStyle="1">
    <w:name w:val="Char Char Char Char Char Char Char"/>
    <w:basedOn w:val="812"/>
    <w:uiPriority w:val="0"/>
    <w:qFormat/>
    <w:pPr>
      <w:ind w:firstLine="200"/>
      <w:spacing w:line="360" w:lineRule="auto"/>
    </w:pPr>
    <w:rPr>
      <w:rFonts w:ascii="Times New Roman" w:hAnsi="Times New Roman" w:eastAsia="仿宋_GB2312"/>
    </w:rPr>
  </w:style>
  <w:style w:type="paragraph" w:styleId="1528" w:customStyle="1">
    <w:name w:val="4"/>
    <w:basedOn w:val="812"/>
    <w:next w:val="1294"/>
    <w:uiPriority w:val="0"/>
    <w:qFormat/>
    <w:pPr>
      <w:ind w:firstLine="409"/>
      <w:spacing w:line="420" w:lineRule="exact"/>
    </w:pPr>
    <w:rPr>
      <w:rFonts w:ascii="Times New Roman" w:hAnsi="Times New Roman"/>
      <w:sz w:val="21"/>
    </w:rPr>
  </w:style>
  <w:style w:type="paragraph" w:styleId="1529" w:customStyle="1">
    <w:name w:val="CM6"/>
    <w:basedOn w:val="812"/>
    <w:next w:val="812"/>
    <w:uiPriority w:val="0"/>
    <w:qFormat/>
    <w:pPr>
      <w:jc w:val="left"/>
      <w:spacing w:after="80"/>
    </w:pPr>
    <w:rPr>
      <w:rFonts w:ascii="CMKAI G+ Futura" w:hAnsi="Calibri" w:eastAsia="CMKAI G+ Futura"/>
    </w:rPr>
  </w:style>
  <w:style w:type="paragraph" w:styleId="1530" w:customStyle="1">
    <w:name w:val="font10"/>
    <w:basedOn w:val="812"/>
    <w:uiPriority w:val="0"/>
    <w:qFormat/>
    <w:pPr>
      <w:jc w:val="left"/>
      <w:spacing w:before="100" w:beforeAutospacing="1" w:after="100" w:afterAutospacing="1"/>
      <w:widowControl/>
    </w:pPr>
    <w:rPr>
      <w:rFonts w:cs="宋体"/>
      <w:color w:val="ff0000"/>
      <w:sz w:val="18"/>
      <w:szCs w:val="18"/>
    </w:rPr>
  </w:style>
  <w:style w:type="paragraph" w:styleId="1531" w:customStyle="1">
    <w:name w:val="Char3"/>
    <w:basedOn w:val="1106"/>
    <w:uiPriority w:val="0"/>
    <w:qFormat/>
    <w:pPr>
      <w:spacing w:line="360" w:lineRule="auto"/>
    </w:pPr>
    <w:rPr>
      <w:rFonts w:ascii="Tahoma" w:hAnsi="Tahoma"/>
      <w:lang w:val="en-US" w:eastAsia="zh-CN"/>
    </w:rPr>
  </w:style>
  <w:style w:type="paragraph" w:styleId="1532" w:customStyle="1">
    <w:name w:val="正文1"/>
    <w:uiPriority w:val="0"/>
    <w:qFormat/>
    <w:pPr>
      <w:ind w:firstLine="601"/>
      <w:jc w:val="both"/>
      <w:spacing w:line="400" w:lineRule="exact"/>
      <w:widowControl w:val="off"/>
    </w:pPr>
    <w:rPr>
      <w:rFonts w:hint="default" w:ascii="Times New Roman" w:hAnsi="Times New Roman" w:eastAsia="楷体_GB2312" w:cs="Times New Roman"/>
      <w:spacing w:val="8"/>
      <w:sz w:val="28"/>
      <w:lang w:val="en-US" w:eastAsia="zh-CN" w:bidi="ar-SA"/>
    </w:rPr>
  </w:style>
  <w:style w:type="paragraph" w:styleId="1533" w:customStyle="1">
    <w:name w:val="Char Char Char Char Char Char1"/>
    <w:basedOn w:val="812"/>
    <w:uiPriority w:val="0"/>
    <w:qFormat/>
    <w:rPr>
      <w:rFonts w:ascii="Tahoma" w:hAnsi="Tahoma"/>
      <w:szCs w:val="20"/>
    </w:rPr>
  </w:style>
  <w:style w:type="paragraph" w:styleId="1534" w:customStyle="1">
    <w:name w:val="默认段落字体 Para Char Char Char Char Char Char Char Char Char1 Char Char Char Char"/>
    <w:basedOn w:val="812"/>
    <w:uiPriority w:val="0"/>
    <w:qFormat/>
    <w:rPr>
      <w:rFonts w:ascii="Tahoma" w:hAnsi="Tahoma"/>
      <w:szCs w:val="20"/>
    </w:rPr>
  </w:style>
  <w:style w:type="paragraph" w:styleId="1535" w:customStyle="1">
    <w:name w:val="目录 41"/>
    <w:basedOn w:val="812"/>
    <w:next w:val="812"/>
    <w:uiPriority w:val="39"/>
    <w:qFormat/>
    <w:pPr>
      <w:ind w:left="1260"/>
    </w:pPr>
  </w:style>
  <w:style w:type="paragraph" w:styleId="1536" w:customStyle="1">
    <w:name w:val="xl24"/>
    <w:basedOn w:val="8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37" w:customStyle="1">
    <w:name w:val="Char Char Char Char Char Char Char Char Char Char"/>
    <w:basedOn w:val="812"/>
    <w:uiPriority w:val="0"/>
    <w:qFormat/>
    <w:rPr>
      <w:rFonts w:ascii="Tahoma" w:hAnsi="Tahoma"/>
      <w:szCs w:val="20"/>
    </w:rPr>
  </w:style>
  <w:style w:type="paragraph" w:styleId="1538" w:customStyle="1">
    <w:name w:val="xl3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39" w:customStyle="1">
    <w:name w:val="xl25"/>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540" w:customStyle="1">
    <w:name w:val="样式 标题 3 + 行距: 1.5 倍行距"/>
    <w:basedOn w:val="1005"/>
    <w:uiPriority w:val="0"/>
    <w:qFormat/>
    <w:pPr>
      <w:numPr>
        <w:ilvl w:val="0"/>
        <w:numId w:val="0"/>
      </w:numPr>
      <w:ind w:firstLine="200"/>
      <w:spacing w:before="0" w:after="0" w:line="360" w:lineRule="auto"/>
    </w:pPr>
    <w:rPr>
      <w:rFonts w:ascii="宋体" w:hAnsi="宋体"/>
      <w:bCs/>
      <w:sz w:val="28"/>
    </w:rPr>
  </w:style>
  <w:style w:type="paragraph" w:styleId="1541" w:customStyle="1">
    <w:name w:val="xl81"/>
    <w:basedOn w:val="8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542" w:customStyle="1">
    <w:name w:val="样式 标题 5H5PIM 5Table labelh5l5hmmh2Module heading 2Head ..."/>
    <w:basedOn w:val="1008"/>
    <w:uiPriority w:val="0"/>
    <w:qFormat/>
    <w:pPr>
      <w:numPr>
        <w:ilvl w:val="4"/>
        <w:numId w:val="0"/>
      </w:numPr>
      <w:ind w:left="1008" w:hanging="1008"/>
      <w:spacing w:before="0" w:after="0" w:line="377" w:lineRule="auto"/>
      <w:tabs>
        <w:tab w:val="left" w:pos="360" w:leader="none"/>
      </w:tabs>
    </w:pPr>
    <w:rPr>
      <w:rFonts w:ascii="宋体" w:hAnsi="宋体" w:cs="宋体"/>
      <w:bCs/>
      <w:sz w:val="24"/>
      <w:lang w:val="en-US" w:eastAsia="zh-CN"/>
    </w:rPr>
  </w:style>
  <w:style w:type="paragraph" w:styleId="1543" w:customStyle="1">
    <w:name w:val="样式 样式 样式 标题 4 + 宋体 小四 + 首行缩进:  1.91 字符 + 首行缩进:  0 字符"/>
    <w:basedOn w:val="812"/>
    <w:uiPriority w:val="0"/>
    <w:qFormat/>
    <w:pPr>
      <w:ind w:firstLine="200"/>
      <w:keepLines/>
      <w:keepNext/>
      <w:spacing w:before="280" w:after="290" w:line="376" w:lineRule="auto"/>
      <w:outlineLvl w:val="3"/>
    </w:pPr>
    <w:rPr>
      <w:rFonts w:cs="宋体"/>
      <w:b/>
      <w:bCs/>
      <w:szCs w:val="20"/>
    </w:rPr>
  </w:style>
  <w:style w:type="paragraph" w:styleId="1544" w:customStyle="1">
    <w:name w:val="图表目录2"/>
    <w:basedOn w:val="812"/>
    <w:next w:val="812"/>
    <w:uiPriority w:val="0"/>
    <w:qFormat/>
    <w:pPr>
      <w:ind w:left="840" w:hanging="420"/>
    </w:pPr>
    <w:rPr>
      <w:rFonts w:ascii="Times New Roman" w:hAnsi="Times New Roman"/>
      <w:sz w:val="21"/>
      <w:szCs w:val="21"/>
    </w:rPr>
  </w:style>
  <w:style w:type="paragraph" w:styleId="1545" w:customStyle="1">
    <w:name w:val="CM7"/>
    <w:basedOn w:val="1368"/>
    <w:next w:val="1368"/>
    <w:uiPriority w:val="99"/>
    <w:qFormat/>
  </w:style>
  <w:style w:type="paragraph" w:styleId="1546" w:customStyle="1">
    <w:name w:val="2级"/>
    <w:next w:val="812"/>
    <w:uiPriority w:val="0"/>
    <w:qFormat/>
    <w:pPr>
      <w:numPr>
        <w:ilvl w:val="1"/>
        <w:numId w:val="13"/>
      </w:numPr>
      <w:ind w:left="1406" w:hanging="420"/>
      <w:keepLines/>
      <w:keepNext/>
      <w:outlineLvl w:val="1"/>
    </w:pPr>
    <w:rPr>
      <w:rFonts w:hint="default" w:ascii="宋体" w:hAnsi="宋体" w:eastAsia="宋体" w:cs="Times New Roman"/>
      <w:b/>
      <w:bCs/>
      <w:sz w:val="36"/>
      <w:szCs w:val="32"/>
      <w:lang w:val="en-US" w:eastAsia="zh-CN" w:bidi="ar-SA"/>
    </w:rPr>
  </w:style>
  <w:style w:type="paragraph" w:styleId="1547" w:customStyle="1">
    <w:name w:val="Char Char Char2 Char Char Char2 Char"/>
    <w:basedOn w:val="812"/>
    <w:uiPriority w:val="0"/>
    <w:qFormat/>
    <w:pPr>
      <w:ind w:firstLine="560"/>
      <w:jc w:val="left"/>
      <w:spacing w:after="160" w:line="240" w:lineRule="exact"/>
      <w:widowControl/>
    </w:pPr>
    <w:rPr>
      <w:rFonts w:ascii="Times New Roman" w:hAnsi="Times New Roman"/>
      <w:sz w:val="21"/>
    </w:rPr>
  </w:style>
  <w:style w:type="paragraph" w:styleId="1548" w:customStyle="1">
    <w:name w:val="页脚 Char Char"/>
    <w:basedOn w:val="812"/>
    <w:uiPriority w:val="0"/>
    <w:qFormat/>
    <w:pPr>
      <w:jc w:val="left"/>
      <w:tabs>
        <w:tab w:val="center" w:pos="4153" w:leader="none"/>
        <w:tab w:val="right" w:pos="8306" w:leader="none"/>
      </w:tabs>
      <w:suppressLineNumbers/>
    </w:pPr>
    <w:rPr>
      <w:rFonts w:ascii="Times New Roman" w:hAnsi="Times New Roman"/>
      <w:color w:val="00000a"/>
      <w:sz w:val="18"/>
    </w:rPr>
  </w:style>
  <w:style w:type="paragraph" w:styleId="1549" w:customStyle="1">
    <w:name w:val="正文首行缩进 211"/>
    <w:basedOn w:val="1175"/>
    <w:next w:val="812"/>
    <w:uiPriority w:val="0"/>
    <w:qFormat/>
    <w:pPr>
      <w:ind w:left="420"/>
      <w:spacing w:after="120" w:line="240" w:lineRule="auto"/>
    </w:pPr>
    <w:rPr>
      <w:rFonts w:ascii="Times New Roman" w:hAnsi="Times New Roman"/>
      <w:sz w:val="21"/>
      <w:szCs w:val="20"/>
      <w:lang w:val="en-US" w:eastAsia="zh-CN"/>
    </w:rPr>
  </w:style>
  <w:style w:type="paragraph" w:styleId="1550" w:customStyle="1">
    <w:name w:val="项目符1"/>
    <w:basedOn w:val="812"/>
    <w:uiPriority w:val="0"/>
    <w:qFormat/>
    <w:pPr>
      <w:numPr>
        <w:ilvl w:val="0"/>
        <w:numId w:val="20"/>
      </w:numPr>
      <w:ind w:left="1365" w:right="100" w:hanging="344"/>
      <w:spacing w:before="78" w:after="78" w:line="300" w:lineRule="auto"/>
      <w:tabs>
        <w:tab w:val="left" w:pos="1365" w:leader="none"/>
      </w:tabs>
    </w:pPr>
    <w:rPr>
      <w:rFonts w:ascii="Arial" w:hAnsi="Arial"/>
    </w:rPr>
  </w:style>
  <w:style w:type="paragraph" w:styleId="1551" w:customStyle="1">
    <w:name w:val="xl3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52" w:customStyle="1">
    <w:name w:val="444"/>
    <w:basedOn w:val="812"/>
    <w:uiPriority w:val="0"/>
    <w:qFormat/>
    <w:pPr>
      <w:jc w:val="center"/>
      <w:spacing w:line="312" w:lineRule="atLeast"/>
    </w:pPr>
    <w:rPr>
      <w:rFonts w:ascii="Times New Roman" w:hAnsi="Times New Roman"/>
      <w:b/>
      <w:sz w:val="36"/>
      <w:szCs w:val="36"/>
    </w:rPr>
  </w:style>
  <w:style w:type="paragraph" w:styleId="1553" w:customStyle="1">
    <w:name w:val="CM2"/>
    <w:basedOn w:val="1368"/>
    <w:next w:val="1368"/>
    <w:uiPriority w:val="99"/>
    <w:qFormat/>
  </w:style>
  <w:style w:type="paragraph" w:styleId="1554" w:customStyle="1">
    <w:name w:val="小节标题"/>
    <w:basedOn w:val="812"/>
    <w:next w:val="812"/>
    <w:uiPriority w:val="0"/>
    <w:qFormat/>
    <w:pPr>
      <w:spacing w:before="175" w:after="102" w:line="351" w:lineRule="atLeast"/>
      <w:widowControl/>
    </w:pPr>
    <w:rPr>
      <w:rFonts w:ascii="Times New Roman" w:hAnsi="Times New Roman" w:eastAsia="黑体"/>
      <w:color w:val="000000"/>
      <w:sz w:val="21"/>
      <w:szCs w:val="20"/>
    </w:rPr>
  </w:style>
  <w:style w:type="paragraph" w:styleId="1555" w:customStyle="1">
    <w:name w:val="font9"/>
    <w:basedOn w:val="812"/>
    <w:uiPriority w:val="0"/>
    <w:qFormat/>
    <w:pPr>
      <w:jc w:val="left"/>
      <w:spacing w:before="100" w:beforeAutospacing="1" w:after="100" w:afterAutospacing="1"/>
      <w:widowControl/>
    </w:pPr>
    <w:rPr>
      <w:rFonts w:ascii="Arial Unicode MS" w:hAnsi="Arial Unicode MS" w:eastAsia="Arial Unicode MS" w:cs="Arial Unicode MS"/>
      <w:color w:val="000000"/>
      <w:sz w:val="18"/>
      <w:szCs w:val="18"/>
    </w:rPr>
  </w:style>
  <w:style w:type="paragraph" w:styleId="1556" w:customStyle="1">
    <w:name w:val="制作人文字"/>
    <w:basedOn w:val="812"/>
    <w:uiPriority w:val="0"/>
    <w:qFormat/>
    <w:pPr>
      <w:spacing w:line="360" w:lineRule="auto"/>
    </w:pPr>
    <w:rPr>
      <w:bCs/>
    </w:rPr>
  </w:style>
  <w:style w:type="paragraph" w:styleId="1557" w:customStyle="1">
    <w:name w:val="列表接续 51"/>
    <w:basedOn w:val="812"/>
    <w:uiPriority w:val="0"/>
    <w:qFormat/>
    <w:pPr>
      <w:ind w:left="2100"/>
      <w:spacing w:after="120"/>
    </w:pPr>
    <w:rPr>
      <w:rFonts w:ascii="Times New Roman" w:hAnsi="Times New Roman"/>
      <w:sz w:val="21"/>
    </w:rPr>
  </w:style>
  <w:style w:type="paragraph" w:styleId="1558" w:customStyle="1">
    <w:name w:val="样式 目录 3 + 左侧:  2 字符"/>
    <w:basedOn w:val="1439"/>
    <w:uiPriority w:val="0"/>
    <w:qFormat/>
    <w:pPr>
      <w:ind w:left="400"/>
      <w:jc w:val="left"/>
      <w:widowControl w:val="off"/>
    </w:pPr>
    <w:rPr>
      <w:rFonts w:ascii="Calibri" w:hAnsi="Calibri" w:cs="Calibri"/>
      <w:b/>
      <w:i/>
      <w:iCs/>
      <w:sz w:val="20"/>
      <w:szCs w:val="20"/>
    </w:rPr>
  </w:style>
  <w:style w:type="paragraph" w:styleId="1559" w:customStyle="1">
    <w:name w:val="索引标题1"/>
    <w:basedOn w:val="812"/>
    <w:next w:val="1560"/>
    <w:uiPriority w:val="0"/>
    <w:qFormat/>
    <w:pPr>
      <w:jc w:val="center"/>
      <w:spacing w:line="360" w:lineRule="auto"/>
    </w:pPr>
    <w:rPr>
      <w:rFonts w:ascii="Arial" w:hAnsi="Arial" w:cs="Arial"/>
      <w:b/>
      <w:bCs/>
      <w:sz w:val="32"/>
      <w:szCs w:val="32"/>
    </w:rPr>
  </w:style>
  <w:style w:type="paragraph" w:styleId="1560" w:customStyle="1">
    <w:name w:val="索引 11"/>
    <w:basedOn w:val="812"/>
    <w:next w:val="812"/>
    <w:uiPriority w:val="0"/>
    <w:qFormat/>
    <w:rPr>
      <w:rFonts w:ascii="Times New Roman" w:hAnsi="Times New Roman"/>
      <w:sz w:val="21"/>
    </w:rPr>
  </w:style>
  <w:style w:type="paragraph" w:styleId="1561" w:customStyle="1">
    <w:name w:val="细项"/>
    <w:basedOn w:val="812"/>
    <w:uiPriority w:val="0"/>
    <w:pPr>
      <w:numPr>
        <w:ilvl w:val="0"/>
        <w:numId w:val="21"/>
      </w:numPr>
      <w:ind w:firstLine="200"/>
      <w:jc w:val="left"/>
      <w:spacing w:line="360" w:lineRule="auto"/>
      <w:tabs>
        <w:tab w:val="left" w:pos="1265" w:leader="none"/>
      </w:tabs>
    </w:pPr>
    <w:rPr>
      <w:rFonts w:hAnsi="Times New Roman"/>
      <w:color w:val="000000"/>
      <w:sz w:val="28"/>
    </w:rPr>
  </w:style>
  <w:style w:type="paragraph" w:styleId="1562" w:customStyle="1">
    <w:name w:val="1"/>
    <w:basedOn w:val="812"/>
    <w:next w:val="1084"/>
    <w:uiPriority w:val="0"/>
    <w:qFormat/>
    <w:rPr>
      <w:rFonts w:hAnsi="Courier New"/>
      <w:sz w:val="21"/>
      <w:szCs w:val="20"/>
    </w:rPr>
  </w:style>
  <w:style w:type="paragraph" w:styleId="1563" w:customStyle="1">
    <w:name w:val="图标"/>
    <w:basedOn w:val="812"/>
    <w:next w:val="812"/>
    <w:uiPriority w:val="0"/>
    <w:qFormat/>
    <w:pPr>
      <w:numPr>
        <w:ilvl w:val="0"/>
        <w:numId w:val="22"/>
      </w:numPr>
      <w:ind w:firstLine="0"/>
      <w:jc w:val="center"/>
      <w:spacing w:before="120" w:after="120" w:line="320" w:lineRule="atLeast"/>
      <w:tabs>
        <w:tab w:val="left" w:pos="567" w:leader="none"/>
      </w:tabs>
    </w:pPr>
    <w:rPr>
      <w:rFonts w:ascii="Times New Roman" w:hAnsi="Times New Roman" w:eastAsia="仿宋_GB2312"/>
      <w:szCs w:val="20"/>
    </w:rPr>
  </w:style>
  <w:style w:type="paragraph" w:styleId="1564" w:customStyle="1">
    <w:name w:val="Char1 Char Char Char"/>
    <w:basedOn w:val="812"/>
    <w:uiPriority w:val="0"/>
    <w:qFormat/>
    <w:rPr>
      <w:rFonts w:ascii="Tahoma" w:hAnsi="Tahoma"/>
      <w:szCs w:val="20"/>
    </w:rPr>
  </w:style>
  <w:style w:type="paragraph" w:styleId="1565" w:customStyle="1">
    <w:name w:val="编写建议"/>
    <w:basedOn w:val="812"/>
    <w:uiPriority w:val="0"/>
    <w:qFormat/>
    <w:pPr>
      <w:ind w:firstLine="200"/>
      <w:spacing w:line="360" w:lineRule="auto"/>
    </w:pPr>
    <w:rPr>
      <w:rFonts w:ascii="Times New Roman" w:hAnsi="Times New Roman"/>
      <w:iCs/>
    </w:rPr>
  </w:style>
  <w:style w:type="paragraph" w:styleId="1566" w:customStyle="1">
    <w:name w:val="nr Char Char Char Char Char Char"/>
    <w:basedOn w:val="812"/>
    <w:uiPriority w:val="0"/>
    <w:qFormat/>
    <w:pPr>
      <w:ind w:firstLine="200"/>
      <w:spacing w:line="360" w:lineRule="auto"/>
    </w:pPr>
    <w:rPr>
      <w:rFonts w:ascii="Times New Roman" w:hAnsi="Times New Roman" w:eastAsia="楷体_GB2312" w:cs="宋体"/>
      <w:sz w:val="32"/>
    </w:rPr>
  </w:style>
  <w:style w:type="paragraph" w:styleId="1567" w:customStyle="1">
    <w:name w:val="样式 加粗 居中2"/>
    <w:basedOn w:val="812"/>
    <w:next w:val="1568"/>
    <w:uiPriority w:val="0"/>
    <w:pPr>
      <w:jc w:val="center"/>
      <w:spacing w:line="360" w:lineRule="auto"/>
    </w:pPr>
    <w:rPr>
      <w:rFonts w:cs="宋体"/>
      <w:b/>
      <w:bCs/>
      <w:spacing w:val="1"/>
      <w:sz w:val="32"/>
      <w:szCs w:val="20"/>
    </w:rPr>
  </w:style>
  <w:style w:type="paragraph" w:styleId="1568" w:customStyle="1">
    <w:name w:val="样式 加粗 居中"/>
    <w:basedOn w:val="812"/>
    <w:uiPriority w:val="0"/>
    <w:qFormat/>
    <w:pPr>
      <w:jc w:val="center"/>
      <w:spacing w:line="360" w:lineRule="auto"/>
    </w:pPr>
    <w:rPr>
      <w:rFonts w:cs="宋体"/>
      <w:b/>
      <w:bCs/>
      <w:spacing w:val="1"/>
      <w:sz w:val="32"/>
      <w:szCs w:val="20"/>
    </w:rPr>
  </w:style>
  <w:style w:type="paragraph" w:styleId="1569" w:customStyle="1">
    <w:name w:val="标书_正文"/>
    <w:basedOn w:val="812"/>
    <w:uiPriority w:val="0"/>
    <w:qFormat/>
    <w:pPr>
      <w:ind w:firstLine="420"/>
      <w:spacing w:line="360" w:lineRule="auto"/>
    </w:pPr>
    <w:rPr>
      <w:bCs/>
      <w:szCs w:val="20"/>
    </w:rPr>
  </w:style>
  <w:style w:type="paragraph" w:styleId="1570" w:customStyle="1">
    <w:name w:val="_Style 12"/>
    <w:basedOn w:val="1106"/>
    <w:uiPriority w:val="0"/>
    <w:qFormat/>
    <w:pPr>
      <w:spacing w:line="360" w:lineRule="auto"/>
    </w:pPr>
    <w:rPr>
      <w:rFonts w:ascii="Times New Roman" w:hAnsi="Times New Roman"/>
      <w:sz w:val="21"/>
    </w:rPr>
  </w:style>
  <w:style w:type="paragraph" w:styleId="1571" w:customStyle="1">
    <w:name w:val="Char Char Char Char Char Char1 Char Char Char1 Char Char Char"/>
    <w:basedOn w:val="812"/>
    <w:uiPriority w:val="0"/>
    <w:qFormat/>
    <w:rPr>
      <w:rFonts w:ascii="Tahoma" w:hAnsi="Tahoma"/>
      <w:szCs w:val="20"/>
    </w:rPr>
  </w:style>
  <w:style w:type="paragraph" w:styleId="1572" w:customStyle="1">
    <w:name w:val="style16"/>
    <w:basedOn w:val="812"/>
    <w:uiPriority w:val="0"/>
    <w:qFormat/>
    <w:pPr>
      <w:jc w:val="left"/>
      <w:spacing w:before="100" w:beforeAutospacing="1" w:after="100" w:afterAutospacing="1"/>
      <w:widowControl/>
    </w:pPr>
    <w:rPr>
      <w:rFonts w:cs="宋体"/>
      <w:sz w:val="21"/>
      <w:szCs w:val="21"/>
    </w:rPr>
  </w:style>
  <w:style w:type="paragraph" w:styleId="1573" w:customStyle="1">
    <w:name w:val="样式 样式 正文文本缩进 + 仿宋_GB2312 小四 首行缩进:  0 厘米 行距: 1.5 倍行距 + (中文) 仿宋_GB..."/>
    <w:basedOn w:val="1574"/>
    <w:uiPriority w:val="0"/>
    <w:qFormat/>
    <w:pPr>
      <w:ind w:firstLine="480"/>
    </w:pPr>
  </w:style>
  <w:style w:type="paragraph" w:styleId="1574" w:customStyle="1">
    <w:name w:val="样式 正文文本缩进 + 仿宋_GB2312 小四 首行缩进:  0 厘米 行距: 1.5 倍行距"/>
    <w:basedOn w:val="1175"/>
    <w:uiPriority w:val="0"/>
    <w:qFormat/>
    <w:pPr>
      <w:ind w:firstLine="0"/>
      <w:spacing w:line="360" w:lineRule="auto"/>
    </w:pPr>
    <w:rPr>
      <w:rFonts w:ascii="仿宋_GB2312" w:hAnsi="Tahoma" w:eastAsia="新宋体"/>
      <w:szCs w:val="20"/>
      <w:lang w:val="en-US" w:eastAsia="zh-CN"/>
    </w:rPr>
  </w:style>
  <w:style w:type="paragraph" w:styleId="1575" w:customStyle="1">
    <w:name w:val="普通(网站)1"/>
    <w:basedOn w:val="812"/>
    <w:uiPriority w:val="0"/>
    <w:qFormat/>
    <w:pPr>
      <w:ind w:firstLine="200"/>
      <w:jc w:val="left"/>
      <w:spacing w:before="100" w:beforeAutospacing="1" w:after="100" w:afterAutospacing="1"/>
      <w:widowControl/>
    </w:pPr>
    <w:rPr>
      <w:rFonts w:cs="宋体"/>
    </w:rPr>
  </w:style>
  <w:style w:type="paragraph" w:styleId="1576" w:customStyle="1">
    <w:name w:val="Char Char Char Char1"/>
    <w:basedOn w:val="812"/>
    <w:uiPriority w:val="0"/>
    <w:qFormat/>
    <w:rPr>
      <w:rFonts w:ascii="Tahoma" w:hAnsi="Tahoma"/>
      <w:szCs w:val="20"/>
    </w:rPr>
  </w:style>
  <w:style w:type="paragraph" w:styleId="1577" w:customStyle="1">
    <w:name w:val="xl76"/>
    <w:basedOn w:val="8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color w:val="000000"/>
      <w:sz w:val="18"/>
      <w:szCs w:val="18"/>
    </w:rPr>
  </w:style>
  <w:style w:type="paragraph" w:styleId="1578" w:customStyle="1">
    <w:name w:val="样式4"/>
    <w:basedOn w:val="1007"/>
    <w:uiPriority w:val="0"/>
    <w:qFormat/>
    <w:pPr>
      <w:numPr>
        <w:ilvl w:val="3"/>
        <w:numId w:val="0"/>
      </w:numPr>
      <w:ind w:left="851" w:hanging="851"/>
      <w:spacing w:before="0" w:after="0" w:line="360" w:lineRule="auto"/>
      <w:tabs>
        <w:tab w:val="left" w:pos="851" w:leader="none"/>
      </w:tabs>
    </w:pPr>
    <w:rPr>
      <w:bCs/>
      <w:szCs w:val="28"/>
      <w:lang w:val="en-US" w:eastAsia="zh-CN"/>
    </w:rPr>
  </w:style>
  <w:style w:type="paragraph" w:styleId="1579" w:customStyle="1">
    <w:name w:val="Char Char Char Char Char Char1 Char Char Char1 Char Char Char Char Char Char"/>
    <w:basedOn w:val="812"/>
    <w:uiPriority w:val="0"/>
    <w:qFormat/>
    <w:rPr>
      <w:rFonts w:ascii="Tahoma" w:hAnsi="Tahoma"/>
      <w:szCs w:val="20"/>
    </w:rPr>
  </w:style>
  <w:style w:type="paragraph" w:styleId="1580" w:customStyle="1">
    <w:name w:val="Text Body"/>
    <w:basedOn w:val="812"/>
    <w:uiPriority w:val="0"/>
    <w:qFormat/>
    <w:pPr>
      <w:jc w:val="left"/>
      <w:spacing w:after="120"/>
    </w:pPr>
    <w:rPr>
      <w:rFonts w:ascii="Times New Roman" w:hAnsi="Times New Roman"/>
      <w:color w:val="00000a"/>
    </w:rPr>
  </w:style>
  <w:style w:type="paragraph" w:styleId="1581" w:customStyle="1">
    <w:name w:val="Char Char Char Char Char Char Char1"/>
    <w:basedOn w:val="1106"/>
    <w:uiPriority w:val="0"/>
    <w:qFormat/>
    <w:pPr>
      <w:spacing w:line="360" w:lineRule="auto"/>
    </w:pPr>
    <w:rPr>
      <w:rFonts w:ascii="Tahoma" w:hAnsi="Tahoma"/>
      <w:lang w:val="en-US" w:eastAsia="zh-CN"/>
    </w:rPr>
  </w:style>
  <w:style w:type="paragraph" w:styleId="1582" w:customStyle="1">
    <w:name w:val="引文目录1"/>
    <w:basedOn w:val="812"/>
    <w:next w:val="812"/>
    <w:uiPriority w:val="0"/>
    <w:qFormat/>
    <w:pPr>
      <w:ind w:left="420"/>
      <w:jc w:val="center"/>
      <w:spacing w:line="360" w:lineRule="auto"/>
    </w:pPr>
    <w:rPr>
      <w:b/>
      <w:sz w:val="32"/>
      <w:szCs w:val="32"/>
    </w:rPr>
  </w:style>
  <w:style w:type="paragraph" w:styleId="1583" w:customStyle="1">
    <w:name w:val="样式 标题 2 + 左 首行缩进:  0.48 厘米 段前: 18 磅 段后: 7.8 磅 行距: 多倍行距 1.3 字行"/>
    <w:basedOn w:val="1004"/>
    <w:uiPriority w:val="0"/>
    <w:qFormat/>
    <w:pPr>
      <w:numPr>
        <w:ilvl w:val="0"/>
        <w:numId w:val="0"/>
      </w:numPr>
      <w:ind w:firstLine="272"/>
      <w:jc w:val="left"/>
      <w:spacing w:before="360" w:after="0" w:line="312" w:lineRule="auto"/>
      <w:tabs>
        <w:tab w:val="clear" w:pos="576" w:leader="none"/>
      </w:tabs>
    </w:pPr>
    <w:rPr>
      <w:rFonts w:cs="宋体"/>
      <w:b w:val="0"/>
      <w:bCs/>
      <w:lang w:val="en-US" w:eastAsia="zh-CN"/>
    </w:rPr>
  </w:style>
  <w:style w:type="paragraph" w:styleId="1584" w:customStyle="1">
    <w:name w:val="普通正文"/>
    <w:basedOn w:val="812"/>
    <w:uiPriority w:val="0"/>
    <w:qFormat/>
    <w:pPr>
      <w:jc w:val="left"/>
      <w:spacing w:before="120" w:after="120" w:line="360" w:lineRule="auto"/>
    </w:pPr>
    <w:rPr>
      <w:rFonts w:ascii="Arial" w:hAnsi="Arial"/>
    </w:rPr>
  </w:style>
  <w:style w:type="paragraph" w:styleId="1585" w:customStyle="1">
    <w:name w:val="样式 目录 3 + 左侧:  2 字符1"/>
    <w:basedOn w:val="1439"/>
    <w:uiPriority w:val="0"/>
    <w:qFormat/>
    <w:pPr>
      <w:ind w:left="960"/>
      <w:jc w:val="left"/>
      <w:widowControl w:val="off"/>
    </w:pPr>
    <w:rPr>
      <w:rFonts w:ascii="Calibri" w:hAnsi="Calibri" w:cs="Calibri"/>
      <w:b/>
      <w:i/>
      <w:iCs/>
      <w:sz w:val="20"/>
      <w:szCs w:val="20"/>
    </w:rPr>
  </w:style>
  <w:style w:type="paragraph" w:styleId="1586" w:customStyle="1">
    <w:name w:val="节标题"/>
    <w:basedOn w:val="812"/>
    <w:next w:val="1554"/>
    <w:uiPriority w:val="0"/>
    <w:qFormat/>
    <w:pPr>
      <w:jc w:val="center"/>
      <w:spacing w:line="289" w:lineRule="atLeast"/>
      <w:widowControl/>
    </w:pPr>
    <w:rPr>
      <w:rFonts w:ascii="Times New Roman" w:hAnsi="Times New Roman"/>
      <w:color w:val="000000"/>
      <w:sz w:val="28"/>
      <w:szCs w:val="20"/>
    </w:rPr>
  </w:style>
  <w:style w:type="paragraph" w:styleId="1587" w:customStyle="1">
    <w:name w:val="列表编号 211"/>
    <w:basedOn w:val="812"/>
    <w:uiPriority w:val="0"/>
    <w:qFormat/>
    <w:pPr>
      <w:numPr>
        <w:ilvl w:val="0"/>
        <w:numId w:val="23"/>
      </w:numPr>
    </w:pPr>
    <w:rPr>
      <w:rFonts w:ascii="Times New Roman" w:hAnsi="Times New Roman"/>
      <w:sz w:val="21"/>
    </w:rPr>
  </w:style>
  <w:style w:type="paragraph" w:styleId="1588" w:customStyle="1">
    <w:name w:val="99-标书-正文"/>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paragraph" w:styleId="1589" w:customStyle="1">
    <w:name w:val="列表接续 41"/>
    <w:basedOn w:val="812"/>
    <w:uiPriority w:val="0"/>
    <w:qFormat/>
    <w:pPr>
      <w:ind w:left="1680"/>
      <w:spacing w:after="120"/>
    </w:pPr>
    <w:rPr>
      <w:rFonts w:ascii="Times New Roman" w:hAnsi="Times New Roman"/>
      <w:sz w:val="21"/>
    </w:rPr>
  </w:style>
  <w:style w:type="paragraph" w:styleId="1590" w:customStyle="1">
    <w:name w:val="自定义一"/>
    <w:basedOn w:val="812"/>
    <w:next w:val="812"/>
    <w:uiPriority w:val="0"/>
    <w:qFormat/>
    <w:pPr>
      <w:spacing w:line="360" w:lineRule="auto"/>
      <w:tabs>
        <w:tab w:val="left" w:pos="2880" w:leader="none"/>
      </w:tabs>
      <w:outlineLvl w:val="0"/>
    </w:pPr>
    <w:rPr>
      <w:rFonts w:ascii="Arial" w:hAnsi="Arial"/>
      <w:bCs/>
      <w:sz w:val="28"/>
      <w:szCs w:val="30"/>
    </w:rPr>
  </w:style>
  <w:style w:type="paragraph" w:styleId="1591" w:customStyle="1">
    <w:name w:val="列表编号 311"/>
    <w:basedOn w:val="812"/>
    <w:uiPriority w:val="0"/>
    <w:unhideWhenUsed/>
    <w:qFormat/>
    <w:pPr>
      <w:numPr>
        <w:ilvl w:val="0"/>
        <w:numId w:val="24"/>
      </w:numPr>
      <w:ind w:firstLine="0"/>
      <w:tabs>
        <w:tab w:val="left" w:pos="1200" w:leader="none"/>
      </w:tabs>
    </w:pPr>
    <w:rPr>
      <w:rFonts w:ascii="Times New Roman" w:hAnsi="Times New Roman"/>
      <w:sz w:val="21"/>
    </w:rPr>
  </w:style>
  <w:style w:type="paragraph" w:styleId="1592" w:customStyle="1">
    <w:name w:val="_Style 3"/>
    <w:basedOn w:val="812"/>
    <w:next w:val="1046"/>
    <w:uiPriority w:val="34"/>
    <w:qFormat/>
    <w:pPr>
      <w:ind w:firstLine="420"/>
    </w:pPr>
    <w:rPr>
      <w:rFonts w:ascii="Calibri" w:hAnsi="Calibri" w:eastAsia="宋体" w:cs="Times New Roman"/>
      <w:szCs w:val="22"/>
    </w:rPr>
  </w:style>
  <w:style w:type="paragraph" w:styleId="1593" w:customStyle="1">
    <w:name w:val="目录 81"/>
    <w:basedOn w:val="812"/>
    <w:next w:val="812"/>
    <w:uiPriority w:val="39"/>
    <w:unhideWhenUsed/>
    <w:qFormat/>
    <w:pPr>
      <w:ind w:left="1680" w:firstLine="200"/>
      <w:jc w:val="left"/>
      <w:spacing w:line="360" w:lineRule="auto"/>
      <w:widowControl/>
    </w:pPr>
    <w:rPr>
      <w:rFonts w:ascii="Calibri" w:hAnsi="Calibri" w:cs="Calibri"/>
      <w:sz w:val="18"/>
      <w:szCs w:val="18"/>
    </w:rPr>
  </w:style>
  <w:style w:type="paragraph" w:styleId="1594" w:customStyle="1">
    <w:name w:val="CM37"/>
    <w:basedOn w:val="1368"/>
    <w:next w:val="1368"/>
    <w:uiPriority w:val="99"/>
    <w:qFormat/>
  </w:style>
  <w:style w:type="paragraph" w:styleId="1595" w:customStyle="1">
    <w:name w:val="索引 81"/>
    <w:basedOn w:val="812"/>
    <w:next w:val="812"/>
    <w:uiPriority w:val="0"/>
    <w:qFormat/>
    <w:pPr>
      <w:ind w:left="1400"/>
      <w:jc w:val="center"/>
      <w:spacing w:line="360" w:lineRule="auto"/>
    </w:pPr>
    <w:rPr>
      <w:b/>
      <w:sz w:val="32"/>
      <w:szCs w:val="32"/>
    </w:rPr>
  </w:style>
  <w:style w:type="paragraph" w:styleId="1596" w:customStyle="1">
    <w:name w:val="目录"/>
    <w:basedOn w:val="812"/>
    <w:uiPriority w:val="0"/>
    <w:qFormat/>
    <w:pPr>
      <w:ind w:firstLine="200"/>
      <w:spacing w:line="360" w:lineRule="auto"/>
    </w:pPr>
    <w:rPr>
      <w:rFonts w:ascii="Times New Roman" w:hAnsi="Times New Roman"/>
    </w:rPr>
  </w:style>
  <w:style w:type="paragraph" w:styleId="1597" w:customStyle="1">
    <w:name w:val="自定义二"/>
    <w:basedOn w:val="812"/>
    <w:next w:val="812"/>
    <w:uiPriority w:val="0"/>
    <w:qFormat/>
    <w:pPr>
      <w:spacing w:line="360" w:lineRule="auto"/>
      <w:tabs>
        <w:tab w:val="left" w:pos="2880" w:leader="none"/>
      </w:tabs>
      <w:outlineLvl w:val="1"/>
    </w:pPr>
    <w:rPr>
      <w:rFonts w:ascii="Arial" w:hAnsi="Arial"/>
      <w:bCs/>
      <w:szCs w:val="21"/>
    </w:rPr>
  </w:style>
  <w:style w:type="paragraph" w:styleId="1598" w:customStyle="1">
    <w:name w:val="样式 正文首行缩进 + 首行缩进:  2 字符5"/>
    <w:basedOn w:val="1033"/>
    <w:uiPriority w:val="0"/>
    <w:qFormat/>
    <w:pPr>
      <w:ind w:firstLine="200"/>
      <w:spacing w:after="0" w:line="300" w:lineRule="auto"/>
    </w:pPr>
    <w:rPr>
      <w:rFonts w:cs="宋体"/>
      <w:sz w:val="24"/>
      <w:szCs w:val="20"/>
    </w:rPr>
  </w:style>
  <w:style w:type="paragraph" w:styleId="1599" w:customStyle="1">
    <w:name w:val="CM27"/>
    <w:basedOn w:val="812"/>
    <w:next w:val="812"/>
    <w:uiPriority w:val="0"/>
    <w:qFormat/>
    <w:pPr>
      <w:jc w:val="left"/>
      <w:spacing w:after="380"/>
    </w:pPr>
    <w:rPr>
      <w:rFonts w:ascii="黑体" w:hAnsi="Times New Roman" w:eastAsia="黑体"/>
    </w:rPr>
  </w:style>
  <w:style w:type="paragraph" w:styleId="1600" w:customStyle="1">
    <w:name w:val="样式 标题 1 + 黑体 (符号) 宋体 三号 段前: 7.8 磅 段后: 7.8 磅 行距: 1.5 倍行距"/>
    <w:basedOn w:val="1003"/>
    <w:uiPriority w:val="0"/>
    <w:qFormat/>
    <w:pPr>
      <w:jc w:val="left"/>
      <w:spacing w:before="40" w:after="40" w:line="360" w:lineRule="auto"/>
      <w:widowControl/>
      <w:tabs>
        <w:tab w:val="clear" w:pos="432" w:leader="none"/>
      </w:tabs>
    </w:pPr>
    <w:rPr>
      <w:rFonts w:ascii="宋体" w:hAnsi="宋体" w:cs="宋体"/>
      <w:bCs/>
      <w:sz w:val="24"/>
      <w:szCs w:val="24"/>
    </w:rPr>
  </w:style>
  <w:style w:type="paragraph" w:styleId="1601" w:customStyle="1">
    <w:name w:val="彩色列表 - 强调文字颜色 11"/>
    <w:basedOn w:val="812"/>
    <w:uiPriority w:val="0"/>
    <w:qFormat/>
    <w:pPr>
      <w:ind w:firstLine="420"/>
      <w:spacing w:line="400" w:lineRule="exact"/>
    </w:pPr>
    <w:rPr>
      <w:rFonts w:ascii="Times New Roman" w:hAnsi="Times New Roman" w:eastAsia="楷体_GB2312"/>
      <w:spacing w:val="8"/>
      <w:sz w:val="28"/>
      <w:szCs w:val="20"/>
    </w:rPr>
  </w:style>
  <w:style w:type="paragraph" w:styleId="1602" w:customStyle="1">
    <w:name w:val="正文3"/>
    <w:basedOn w:val="812"/>
    <w:uiPriority w:val="0"/>
    <w:qFormat/>
    <w:pPr>
      <w:ind w:firstLine="600"/>
      <w:spacing w:line="360" w:lineRule="auto"/>
    </w:pPr>
    <w:rPr>
      <w:rFonts w:ascii="Times New Roman" w:hAnsi="Times New Roman"/>
      <w:sz w:val="30"/>
      <w:szCs w:val="20"/>
    </w:rPr>
  </w:style>
  <w:style w:type="paragraph" w:styleId="1603" w:customStyle="1">
    <w:name w:val="前言、引言标题"/>
    <w:next w:val="812"/>
    <w:uiPriority w:val="0"/>
    <w:qFormat/>
    <w:pPr>
      <w:numPr>
        <w:ilvl w:val="0"/>
        <w:numId w:val="12"/>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4" w:customStyle="1">
    <w:name w:val="样式 标题 1 + 三号"/>
    <w:basedOn w:val="812"/>
    <w:uiPriority w:val="0"/>
    <w:qFormat/>
    <w:pPr>
      <w:ind w:left="425" w:hanging="425"/>
      <w:tabs>
        <w:tab w:val="left" w:pos="425" w:leader="none"/>
      </w:tabs>
    </w:pPr>
    <w:rPr>
      <w:rFonts w:ascii="Times New Roman" w:hAnsi="Times New Roman"/>
      <w:sz w:val="21"/>
    </w:rPr>
  </w:style>
  <w:style w:type="paragraph" w:styleId="1605" w:customStyle="1">
    <w:name w:val="列表项目符号 21"/>
    <w:basedOn w:val="812"/>
    <w:uiPriority w:val="0"/>
    <w:unhideWhenUsed/>
    <w:qFormat/>
    <w:pPr>
      <w:ind w:left="900" w:hanging="420"/>
      <w:jc w:val="left"/>
      <w:spacing w:line="360" w:lineRule="auto"/>
      <w:tabs>
        <w:tab w:val="left" w:pos="900" w:leader="none"/>
      </w:tabs>
    </w:pPr>
    <w:rPr>
      <w:b/>
      <w:sz w:val="32"/>
      <w:szCs w:val="20"/>
    </w:rPr>
  </w:style>
  <w:style w:type="paragraph" w:styleId="1606" w:customStyle="1">
    <w:name w:val="信息标题1"/>
    <w:basedOn w:val="812"/>
    <w:next w:val="130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cs="Times New Roman"/>
      <w:sz w:val="21"/>
      <w:szCs w:val="22"/>
    </w:rPr>
  </w:style>
  <w:style w:type="paragraph" w:styleId="1607" w:customStyle="1">
    <w:name w:val="正文符号4"/>
    <w:basedOn w:val="812"/>
    <w:uiPriority w:val="0"/>
    <w:qFormat/>
    <w:pPr>
      <w:tabs>
        <w:tab w:val="left" w:pos="360" w:leader="none"/>
      </w:tabs>
    </w:pPr>
    <w:rPr>
      <w:rFonts w:ascii="Times New Roman" w:hAnsi="Times New Roman" w:eastAsia="楷体_GB2312"/>
      <w:sz w:val="28"/>
    </w:rPr>
  </w:style>
  <w:style w:type="paragraph" w:styleId="1608" w:customStyle="1">
    <w:name w:val="xl23"/>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09" w:customStyle="1">
    <w:name w:val="Char Char Char Char Char Char1 Char Char Char1 Char Char Char Char Char Char Char Char Char Char Char Char"/>
    <w:basedOn w:val="812"/>
    <w:uiPriority w:val="0"/>
    <w:qFormat/>
    <w:rPr>
      <w:rFonts w:ascii="Tahoma" w:hAnsi="Tahoma"/>
      <w:szCs w:val="20"/>
    </w:rPr>
  </w:style>
  <w:style w:type="paragraph" w:styleId="1610" w:customStyle="1">
    <w:name w:val="Char4"/>
    <w:basedOn w:val="812"/>
    <w:next w:val="812"/>
    <w:uiPriority w:val="0"/>
    <w:semiHidden/>
    <w:qFormat/>
    <w:pPr>
      <w:spacing w:line="360" w:lineRule="auto"/>
    </w:pPr>
    <w:rPr>
      <w:rFonts w:ascii="Times New Roman" w:hAnsi="Times New Roman"/>
    </w:rPr>
  </w:style>
  <w:style w:type="paragraph" w:styleId="1611" w:customStyle="1">
    <w:name w:val="Char Char1"/>
    <w:basedOn w:val="812"/>
    <w:uiPriority w:val="0"/>
    <w:qFormat/>
    <w:pPr>
      <w:jc w:val="left"/>
      <w:spacing w:after="160" w:line="240" w:lineRule="exact"/>
      <w:widowControl/>
    </w:pPr>
    <w:rPr>
      <w:rFonts w:ascii="Verdana" w:hAnsi="Verdana"/>
      <w:sz w:val="20"/>
      <w:szCs w:val="20"/>
      <w:lang w:eastAsia="en-US"/>
    </w:rPr>
  </w:style>
  <w:style w:type="paragraph" w:styleId="1612" w:customStyle="1">
    <w:name w:val="正文符号1"/>
    <w:basedOn w:val="812"/>
    <w:uiPriority w:val="0"/>
    <w:qFormat/>
    <w:pPr>
      <w:ind w:left="987" w:hanging="420"/>
      <w:tabs>
        <w:tab w:val="left" w:pos="987" w:leader="none"/>
      </w:tabs>
    </w:pPr>
    <w:rPr>
      <w:rFonts w:ascii="Times New Roman" w:hAnsi="Times New Roman" w:eastAsia="楷体_GB2312"/>
      <w:sz w:val="28"/>
    </w:rPr>
  </w:style>
  <w:style w:type="paragraph" w:styleId="1613" w:customStyle="1">
    <w:name w:val="xl35"/>
    <w:basedOn w:val="812"/>
    <w:uiPriority w:val="0"/>
    <w:qFormat/>
    <w:pPr>
      <w:jc w:val="right"/>
      <w:spacing w:before="100" w:beforeAutospacing="1" w:after="100" w:afterAutospacing="1"/>
      <w:widowControl/>
    </w:pPr>
    <w:rPr>
      <w:rFonts w:ascii="Arial Unicode MS" w:hAnsi="Arial Unicode MS" w:cs="Arial Unicode MS"/>
      <w:sz w:val="20"/>
      <w:szCs w:val="20"/>
    </w:rPr>
  </w:style>
  <w:style w:type="paragraph" w:styleId="1614" w:customStyle="1">
    <w:name w:val="xl26"/>
    <w:basedOn w:val="8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15" w:customStyle="1">
    <w:name w:val="样式 样式4 + 首行缩进:  2 字符"/>
    <w:basedOn w:val="812"/>
    <w:uiPriority w:val="0"/>
    <w:qFormat/>
    <w:pPr>
      <w:numPr>
        <w:ilvl w:val="0"/>
        <w:numId w:val="25"/>
      </w:numPr>
      <w:ind w:left="0" w:firstLine="582"/>
      <w:keepNext/>
      <w:spacing w:line="560" w:lineRule="exact"/>
      <w:tabs>
        <w:tab w:val="clear" w:pos="840" w:leader="none"/>
      </w:tabs>
    </w:pPr>
    <w:rPr>
      <w:rFonts w:ascii="Times New Roman" w:cs="宋体"/>
      <w:bCs/>
      <w:spacing w:val="5"/>
      <w:sz w:val="28"/>
      <w:szCs w:val="28"/>
    </w:rPr>
  </w:style>
  <w:style w:type="paragraph" w:styleId="1616" w:customStyle="1">
    <w:name w:val="标题1"/>
    <w:basedOn w:val="812"/>
    <w:next w:val="812"/>
    <w:uiPriority w:val="3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617" w:customStyle="1">
    <w:name w:val="样式 加粗 居中11"/>
    <w:basedOn w:val="812"/>
    <w:next w:val="1454"/>
    <w:uiPriority w:val="0"/>
    <w:qFormat/>
    <w:pPr>
      <w:jc w:val="center"/>
      <w:spacing w:line="360" w:lineRule="auto"/>
    </w:pPr>
    <w:rPr>
      <w:rFonts w:cs="宋体"/>
      <w:b/>
      <w:bCs/>
      <w:spacing w:val="1"/>
      <w:sz w:val="32"/>
      <w:szCs w:val="20"/>
    </w:rPr>
  </w:style>
  <w:style w:type="paragraph" w:styleId="1618" w:customStyle="1">
    <w:name w:val="杨昂超式样黑体主"/>
    <w:basedOn w:val="812"/>
    <w:uiPriority w:val="0"/>
    <w:qFormat/>
    <w:rPr>
      <w:rFonts w:ascii="方正黑体简体" w:hAnsi="Times New Roman" w:eastAsia="方正黑体简体"/>
    </w:rPr>
  </w:style>
  <w:style w:type="paragraph" w:styleId="1619" w:customStyle="1">
    <w:name w:val="目录 21"/>
    <w:basedOn w:val="812"/>
    <w:next w:val="812"/>
    <w:uiPriority w:val="39"/>
    <w:qFormat/>
    <w:pPr>
      <w:spacing w:line="360" w:lineRule="auto"/>
      <w:widowControl/>
      <w:tabs>
        <w:tab w:val="left" w:pos="180" w:leader="none"/>
        <w:tab w:val="left" w:pos="540" w:leader="none"/>
        <w:tab w:val="right" w:pos="9060" w:leader="dot"/>
      </w:tabs>
    </w:pPr>
    <w:rPr>
      <w:rFonts w:hAnsi="Arial"/>
      <w:szCs w:val="21"/>
    </w:rPr>
  </w:style>
  <w:style w:type="paragraph" w:styleId="1620" w:customStyle="1">
    <w:name w:val="正文表格"/>
    <w:basedOn w:val="812"/>
    <w:uiPriority w:val="0"/>
    <w:qFormat/>
    <w:pPr>
      <w:ind w:left="10" w:right="10"/>
    </w:pPr>
    <w:rPr>
      <w:rFonts w:ascii="Times New Roman" w:hAnsi="Times New Roman"/>
      <w:bCs/>
      <w:sz w:val="21"/>
      <w:szCs w:val="21"/>
    </w:rPr>
  </w:style>
  <w:style w:type="paragraph" w:styleId="1621" w:customStyle="1">
    <w:name w:val="TOC 标题2"/>
    <w:basedOn w:val="1003"/>
    <w:next w:val="812"/>
    <w:uiPriority w:val="39"/>
    <w:unhideWhenUsed/>
    <w:qFormat/>
    <w:pPr>
      <w:numPr>
        <w:ilvl w:val="0"/>
        <w:numId w:val="0"/>
      </w:numPr>
      <w:jc w:val="left"/>
      <w:spacing w:before="240" w:after="0" w:line="259" w:lineRule="auto"/>
      <w:widowControl/>
      <w:tabs>
        <w:tab w:val="clear" w:pos="432" w:leader="none"/>
      </w:tabs>
      <w:outlineLvl w:val="9"/>
    </w:pPr>
    <w:rPr>
      <w:rFonts w:ascii="等线 Light" w:hAnsi="等线 Light" w:eastAsia="等线 Light" w:cs="Times New Roman"/>
      <w:b w:val="0"/>
      <w:color w:val="2f5496"/>
      <w:sz w:val="32"/>
      <w:szCs w:val="32"/>
      <w:lang w:val="en-US" w:eastAsia="zh-CN"/>
    </w:rPr>
  </w:style>
  <w:style w:type="paragraph" w:styleId="1622" w:customStyle="1">
    <w:name w:val="列表项目符号 41"/>
    <w:basedOn w:val="812"/>
    <w:uiPriority w:val="0"/>
    <w:unhideWhenUsed/>
    <w:qFormat/>
    <w:pPr>
      <w:ind w:left="1620" w:hanging="420"/>
      <w:jc w:val="left"/>
      <w:spacing w:line="360" w:lineRule="auto"/>
      <w:tabs>
        <w:tab w:val="left" w:pos="1620" w:leader="none"/>
      </w:tabs>
    </w:pPr>
    <w:rPr>
      <w:b/>
      <w:sz w:val="32"/>
      <w:szCs w:val="20"/>
    </w:rPr>
  </w:style>
  <w:style w:type="paragraph" w:styleId="1623" w:customStyle="1">
    <w:name w:val="CM16"/>
    <w:basedOn w:val="1368"/>
    <w:next w:val="1368"/>
    <w:uiPriority w:val="99"/>
    <w:qFormat/>
  </w:style>
  <w:style w:type="paragraph" w:styleId="1624" w:customStyle="1">
    <w:name w:val="索引 51"/>
    <w:basedOn w:val="812"/>
    <w:next w:val="812"/>
    <w:uiPriority w:val="0"/>
    <w:qFormat/>
    <w:pPr>
      <w:ind w:left="800"/>
      <w:jc w:val="center"/>
      <w:spacing w:line="360" w:lineRule="auto"/>
    </w:pPr>
    <w:rPr>
      <w:b/>
      <w:sz w:val="32"/>
      <w:szCs w:val="32"/>
    </w:rPr>
  </w:style>
  <w:style w:type="paragraph" w:styleId="1625" w:customStyle="1">
    <w:name w:val="目录 91"/>
    <w:basedOn w:val="812"/>
    <w:next w:val="812"/>
    <w:uiPriority w:val="39"/>
    <w:unhideWhenUsed/>
    <w:qFormat/>
    <w:pPr>
      <w:ind w:left="1920" w:firstLine="200"/>
      <w:jc w:val="left"/>
      <w:spacing w:line="360" w:lineRule="auto"/>
      <w:widowControl/>
    </w:pPr>
    <w:rPr>
      <w:rFonts w:ascii="Calibri" w:hAnsi="Calibri" w:cs="Calibri"/>
      <w:sz w:val="18"/>
      <w:szCs w:val="18"/>
    </w:rPr>
  </w:style>
  <w:style w:type="paragraph" w:styleId="1626" w:customStyle="1">
    <w:name w:val="xl63"/>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27" w:customStyle="1">
    <w:name w:val="Char Char Char Char Char Char1 Char Char Char1 Char Char Char Char Char Char Char Char Char Char Char Char Char Char Char"/>
    <w:basedOn w:val="812"/>
    <w:uiPriority w:val="0"/>
    <w:qFormat/>
    <w:rPr>
      <w:rFonts w:ascii="Tahoma" w:hAnsi="Tahoma"/>
      <w:szCs w:val="20"/>
    </w:rPr>
  </w:style>
  <w:style w:type="paragraph" w:styleId="1628" w:customStyle="1">
    <w:name w:val="文章总标题"/>
    <w:basedOn w:val="812"/>
    <w:next w:val="1629"/>
    <w:uiPriority w:val="0"/>
    <w:qFormat/>
    <w:pPr>
      <w:jc w:val="center"/>
      <w:spacing w:before="566" w:after="544" w:line="566" w:lineRule="atLeast"/>
      <w:widowControl/>
    </w:pPr>
    <w:rPr>
      <w:rFonts w:ascii="Arial" w:hAnsi="Times New Roman" w:eastAsia="黑体"/>
      <w:color w:val="000000"/>
      <w:sz w:val="54"/>
      <w:szCs w:val="20"/>
    </w:rPr>
  </w:style>
  <w:style w:type="paragraph" w:styleId="1629" w:customStyle="1">
    <w:name w:val="文章附标题"/>
    <w:basedOn w:val="812"/>
    <w:next w:val="1003"/>
    <w:uiPriority w:val="0"/>
    <w:qFormat/>
    <w:pPr>
      <w:jc w:val="center"/>
      <w:spacing w:before="187" w:after="175" w:line="374" w:lineRule="atLeast"/>
      <w:widowControl/>
    </w:pPr>
    <w:rPr>
      <w:rFonts w:ascii="Times New Roman" w:hAnsi="Times New Roman"/>
      <w:color w:val="000000"/>
      <w:sz w:val="36"/>
      <w:szCs w:val="20"/>
    </w:rPr>
  </w:style>
  <w:style w:type="paragraph" w:styleId="1630" w:customStyle="1">
    <w:name w:val="索引 91"/>
    <w:basedOn w:val="812"/>
    <w:next w:val="812"/>
    <w:uiPriority w:val="0"/>
    <w:qFormat/>
    <w:pPr>
      <w:ind w:left="1600"/>
      <w:jc w:val="center"/>
      <w:spacing w:line="360" w:lineRule="auto"/>
    </w:pPr>
    <w:rPr>
      <w:b/>
      <w:sz w:val="32"/>
      <w:szCs w:val="32"/>
    </w:rPr>
  </w:style>
  <w:style w:type="paragraph" w:styleId="1631" w:customStyle="1">
    <w:name w:val="附录标识"/>
    <w:basedOn w:val="1603"/>
    <w:uiPriority w:val="0"/>
    <w:qFormat/>
    <w:pPr>
      <w:spacing w:after="200"/>
      <w:tabs>
        <w:tab w:val="left" w:pos="6405" w:leader="none"/>
      </w:tabs>
    </w:pPr>
    <w:rPr>
      <w:sz w:val="21"/>
    </w:rPr>
  </w:style>
  <w:style w:type="paragraph" w:styleId="1632" w:customStyle="1">
    <w:name w:val="列表编号 41"/>
    <w:basedOn w:val="812"/>
    <w:uiPriority w:val="0"/>
    <w:qFormat/>
    <w:pPr>
      <w:ind w:left="1620" w:hanging="360"/>
      <w:jc w:val="left"/>
      <w:spacing w:line="360" w:lineRule="auto"/>
      <w:tabs>
        <w:tab w:val="left" w:pos="1620" w:leader="none"/>
      </w:tabs>
    </w:pPr>
    <w:rPr>
      <w:b/>
      <w:sz w:val="32"/>
      <w:szCs w:val="20"/>
    </w:rPr>
  </w:style>
  <w:style w:type="paragraph" w:styleId="1633" w:customStyle="1">
    <w:name w:val="首行缩进"/>
    <w:basedOn w:val="812"/>
    <w:uiPriority w:val="0"/>
    <w:qFormat/>
    <w:pPr>
      <w:ind w:firstLine="480"/>
      <w:jc w:val="left"/>
      <w:spacing w:line="360" w:lineRule="auto"/>
    </w:pPr>
    <w:rPr>
      <w:rFonts w:ascii="宋体" w:hAnsi="宋体"/>
      <w:sz w:val="24"/>
      <w:szCs w:val="24"/>
    </w:rPr>
  </w:style>
  <w:style w:type="paragraph" w:styleId="1634" w:customStyle="1">
    <w:name w:val="Char Char1 Char Char Char Char Char Char Char Char Char Char Char Char Char Char Char Char Char Char Char Char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635" w:customStyle="1">
    <w:name w:val="Body Text(ch)"/>
    <w:basedOn w:val="812"/>
    <w:next w:val="1034"/>
    <w:uiPriority w:val="0"/>
    <w:qFormat/>
    <w:pPr>
      <w:spacing w:after="120"/>
    </w:pPr>
    <w:rPr>
      <w:rFonts w:hAnsi="Arial"/>
      <w:bCs/>
      <w:iCs/>
      <w:sz w:val="21"/>
    </w:rPr>
  </w:style>
  <w:style w:type="paragraph" w:styleId="1636" w:customStyle="1">
    <w:name w:val="xl7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637" w:customStyle="1">
    <w:name w:val="GP正文(首行缩进)"/>
    <w:basedOn w:val="812"/>
    <w:uiPriority w:val="0"/>
    <w:qFormat/>
    <w:pPr>
      <w:ind w:firstLine="200"/>
      <w:jc w:val="left"/>
      <w:spacing w:line="360" w:lineRule="auto"/>
    </w:pPr>
    <w:rPr>
      <w:rFonts w:ascii="Times New Roman" w:hAnsi="Times New Roman"/>
      <w:szCs w:val="21"/>
    </w:rPr>
  </w:style>
  <w:style w:type="paragraph" w:styleId="1638" w:customStyle="1">
    <w:name w:val="Bullet"/>
    <w:basedOn w:val="1639"/>
    <w:uiPriority w:val="0"/>
    <w:qFormat/>
    <w:pPr>
      <w:tabs>
        <w:tab w:val="left" w:pos="900" w:leader="none"/>
      </w:tabs>
    </w:pPr>
  </w:style>
  <w:style w:type="paragraph" w:styleId="1639" w:customStyle="1">
    <w:name w:val="Body"/>
    <w:uiPriority w:val="0"/>
    <w:qFormat/>
    <w:pPr>
      <w:ind w:left="567" w:right="2835"/>
      <w:spacing w:after="60"/>
    </w:pPr>
    <w:rPr>
      <w:rFonts w:hint="default" w:ascii="Helvetica" w:hAnsi="Helvetica" w:eastAsia="宋体" w:cs="Times New Roman"/>
      <w:sz w:val="21"/>
      <w:szCs w:val="24"/>
      <w:lang w:val="en-US" w:eastAsia="de-CH" w:bidi="ar-SA"/>
    </w:rPr>
  </w:style>
  <w:style w:type="paragraph" w:styleId="1640" w:customStyle="1">
    <w:name w:val="列表编号 21"/>
    <w:basedOn w:val="812"/>
    <w:uiPriority w:val="0"/>
    <w:qFormat/>
    <w:pPr>
      <w:jc w:val="left"/>
      <w:spacing w:line="360" w:lineRule="auto"/>
    </w:pPr>
    <w:rPr>
      <w:b/>
      <w:sz w:val="32"/>
      <w:szCs w:val="20"/>
    </w:rPr>
  </w:style>
  <w:style w:type="paragraph" w:styleId="1641" w:customStyle="1">
    <w:name w:val="目录3"/>
    <w:basedOn w:val="812"/>
    <w:next w:val="812"/>
    <w:uiPriority w:val="0"/>
    <w:qFormat/>
    <w:pPr>
      <w:ind w:firstLine="419"/>
      <w:spacing w:line="317" w:lineRule="atLeast"/>
      <w:widowControl/>
      <w:tabs>
        <w:tab w:val="left" w:pos="8503" w:leader="dot"/>
      </w:tabs>
    </w:pPr>
    <w:rPr>
      <w:rFonts w:ascii="Times New Roman" w:hAnsi="Times New Roman"/>
      <w:color w:val="000000"/>
      <w:sz w:val="21"/>
      <w:szCs w:val="20"/>
    </w:rPr>
  </w:style>
  <w:style w:type="paragraph" w:styleId="1642" w:customStyle="1">
    <w:name w:val="列出段落2"/>
    <w:basedOn w:val="812"/>
    <w:uiPriority w:val="34"/>
    <w:qFormat/>
    <w:pPr>
      <w:ind w:firstLine="420"/>
    </w:pPr>
    <w:rPr>
      <w:rFonts w:ascii="Calibri" w:hAnsi="Calibri"/>
      <w:sz w:val="21"/>
    </w:rPr>
  </w:style>
  <w:style w:type="paragraph" w:styleId="1643" w:customStyle="1">
    <w:name w:val="表后文"/>
    <w:basedOn w:val="812"/>
    <w:uiPriority w:val="0"/>
    <w:qFormat/>
    <w:pPr>
      <w:ind w:firstLine="601"/>
      <w:spacing w:before="120" w:line="400" w:lineRule="exact"/>
    </w:pPr>
    <w:rPr>
      <w:rFonts w:ascii="Times New Roman" w:hAnsi="Times New Roman" w:eastAsia="楷体_GB2312"/>
      <w:spacing w:val="8"/>
      <w:sz w:val="28"/>
      <w:szCs w:val="20"/>
    </w:rPr>
  </w:style>
  <w:style w:type="paragraph" w:styleId="1644" w:customStyle="1">
    <w:name w:val="标准段落正文"/>
    <w:basedOn w:val="812"/>
    <w:uiPriority w:val="0"/>
    <w:qFormat/>
    <w:pPr>
      <w:spacing w:line="312" w:lineRule="auto"/>
    </w:pPr>
    <w:rPr>
      <w:rFonts w:ascii="Times New Roman" w:hAnsi="Times New Roman" w:cs="宋体"/>
      <w:szCs w:val="20"/>
    </w:rPr>
  </w:style>
  <w:style w:type="paragraph" w:styleId="1645" w:customStyle="1">
    <w:name w:val="xl88"/>
    <w:basedOn w:val="8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46" w:customStyle="1">
    <w:name w:val="CM53"/>
    <w:basedOn w:val="1368"/>
    <w:next w:val="1368"/>
    <w:uiPriority w:val="99"/>
    <w:qFormat/>
  </w:style>
  <w:style w:type="paragraph" w:styleId="1647" w:customStyle="1">
    <w:name w:val="样式 标题 2 + Times New Roman 四号 非加粗 段前: 5 磅 段后: 0 磅 行距: 固定值 20..."/>
    <w:basedOn w:val="1004"/>
    <w:uiPriority w:val="0"/>
    <w:qFormat/>
    <w:pPr>
      <w:numPr>
        <w:ilvl w:val="0"/>
        <w:numId w:val="0"/>
      </w:numPr>
      <w:spacing w:before="100" w:after="0" w:line="400" w:lineRule="exact"/>
    </w:pPr>
    <w:rPr>
      <w:rFonts w:ascii="Times New Roman" w:hAnsi="Times New Roman" w:cs="宋体"/>
      <w:b w:val="0"/>
      <w:sz w:val="28"/>
    </w:rPr>
  </w:style>
  <w:style w:type="paragraph" w:styleId="1648" w:customStyle="1">
    <w:name w:val="Char Char Char Char Char Char Char Char Char Char Char Char Char Char Char Char"/>
    <w:basedOn w:val="812"/>
    <w:uiPriority w:val="0"/>
    <w:qFormat/>
    <w:pPr>
      <w:ind w:left="482" w:firstLine="200"/>
      <w:spacing w:line="360" w:lineRule="auto"/>
      <w:tabs>
        <w:tab w:val="left" w:pos="360" w:leader="none"/>
      </w:tabs>
    </w:pPr>
    <w:rPr>
      <w:rFonts w:hAnsi="Times New Roman"/>
    </w:rPr>
  </w:style>
  <w:style w:type="paragraph" w:styleId="1649" w:customStyle="1">
    <w:name w:val="列表接续 31"/>
    <w:basedOn w:val="812"/>
    <w:uiPriority w:val="0"/>
    <w:qFormat/>
    <w:pPr>
      <w:ind w:left="1260"/>
      <w:spacing w:after="120"/>
    </w:pPr>
    <w:rPr>
      <w:rFonts w:ascii="Times New Roman" w:hAnsi="Times New Roman"/>
      <w:sz w:val="21"/>
    </w:rPr>
  </w:style>
  <w:style w:type="paragraph" w:styleId="1650" w:customStyle="1">
    <w:name w:val="Char Char1 Char Char Char Char Char Char Char Char Char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651" w:customStyle="1">
    <w:name w:val="索引 71"/>
    <w:basedOn w:val="812"/>
    <w:next w:val="812"/>
    <w:uiPriority w:val="0"/>
    <w:qFormat/>
    <w:pPr>
      <w:ind w:left="1200"/>
      <w:jc w:val="center"/>
      <w:spacing w:line="360" w:lineRule="auto"/>
    </w:pPr>
    <w:rPr>
      <w:b/>
      <w:sz w:val="32"/>
      <w:szCs w:val="32"/>
    </w:rPr>
  </w:style>
  <w:style w:type="paragraph" w:styleId="1652" w:customStyle="1">
    <w:name w:val="1.1.1 标题"/>
    <w:basedOn w:val="1003"/>
    <w:uiPriority w:val="0"/>
    <w:qFormat/>
    <w:pPr>
      <w:numPr>
        <w:ilvl w:val="2"/>
        <w:numId w:val="17"/>
      </w:numPr>
      <w:jc w:val="left"/>
      <w:spacing w:before="0" w:after="0" w:line="240" w:lineRule="auto"/>
      <w:tabs>
        <w:tab w:val="clear" w:pos="432" w:leader="none"/>
      </w:tabs>
      <w:outlineLvl w:val="2"/>
    </w:pPr>
    <w:rPr>
      <w:rFonts w:eastAsia="黑体"/>
      <w:b w:val="0"/>
      <w:sz w:val="24"/>
      <w:lang w:val="en-US" w:eastAsia="zh-CN"/>
    </w:rPr>
  </w:style>
  <w:style w:type="paragraph" w:styleId="1653" w:customStyle="1">
    <w:name w:val="CM13"/>
    <w:basedOn w:val="1368"/>
    <w:next w:val="1368"/>
    <w:uiPriority w:val="99"/>
    <w:qFormat/>
  </w:style>
  <w:style w:type="paragraph" w:styleId="1654" w:customStyle="1">
    <w:name w:val="五级条标题"/>
    <w:basedOn w:val="1387"/>
    <w:next w:val="854"/>
    <w:uiPriority w:val="0"/>
    <w:qFormat/>
    <w:pPr>
      <w:outlineLvl w:val="6"/>
    </w:pPr>
  </w:style>
  <w:style w:type="paragraph" w:styleId="1655" w:customStyle="1">
    <w:name w:val="xl3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56" w:customStyle="1">
    <w:name w:val="无间隔1"/>
    <w:uiPriority w:val="1"/>
    <w:qFormat/>
    <w:pPr>
      <w:ind w:firstLine="480"/>
      <w:jc w:val="both"/>
      <w:widowControl w:val="off"/>
    </w:pPr>
    <w:rPr>
      <w:rFonts w:hint="default" w:ascii="宋体" w:hAnsi="宋体" w:eastAsia="宋体" w:cs="Times New Roman"/>
      <w:sz w:val="24"/>
      <w:szCs w:val="24"/>
      <w:lang w:val="en-US" w:eastAsia="zh-CN" w:bidi="ar-SA"/>
    </w:rPr>
  </w:style>
  <w:style w:type="paragraph" w:styleId="1657" w:customStyle="1">
    <w:name w:val="样式 标题 3一1h33rd levelBold HeadbhH3level_3PIM 3Level 3 H...2"/>
    <w:basedOn w:val="1005"/>
    <w:uiPriority w:val="0"/>
    <w:qFormat/>
    <w:pPr>
      <w:numPr>
        <w:ilvl w:val="2"/>
        <w:numId w:val="0"/>
      </w:numPr>
      <w:ind w:left="1996" w:hanging="720"/>
      <w:keepNext w:val="0"/>
      <w:spacing w:before="0" w:after="0" w:line="240" w:lineRule="auto"/>
      <w:tabs>
        <w:tab w:val="clear" w:pos="1080" w:leader="none"/>
      </w:tabs>
    </w:pPr>
    <w:rPr>
      <w:rFonts w:ascii="宋体" w:hAnsi="宋体" w:cs="宋体"/>
      <w:bCs/>
      <w:sz w:val="24"/>
      <w:szCs w:val="24"/>
      <w:lang w:val="en-US" w:eastAsia="zh-CN"/>
    </w:rPr>
  </w:style>
  <w:style w:type="paragraph" w:styleId="1658" w:customStyle="1">
    <w:name w:val="afont"/>
    <w:basedOn w:val="812"/>
    <w:uiPriority w:val="0"/>
    <w:qFormat/>
    <w:pPr>
      <w:jc w:val="left"/>
      <w:spacing w:before="100" w:after="100" w:line="285" w:lineRule="atLeast"/>
      <w:widowControl/>
    </w:pPr>
    <w:rPr>
      <w:sz w:val="18"/>
      <w:szCs w:val="20"/>
    </w:rPr>
  </w:style>
  <w:style w:type="paragraph" w:styleId="1659" w:customStyle="1">
    <w:name w:val="xl28"/>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60" w:customStyle="1">
    <w:name w:val="CM57"/>
    <w:basedOn w:val="1368"/>
    <w:next w:val="1368"/>
    <w:uiPriority w:val="99"/>
    <w:qFormat/>
  </w:style>
  <w:style w:type="paragraph" w:styleId="1661" w:customStyle="1">
    <w:name w:val="正文编号"/>
    <w:basedOn w:val="812"/>
    <w:uiPriority w:val="0"/>
    <w:qFormat/>
    <w:pPr>
      <w:numPr>
        <w:ilvl w:val="0"/>
        <w:numId w:val="26"/>
      </w:numPr>
      <w:spacing w:line="400" w:lineRule="exact"/>
    </w:pPr>
    <w:rPr>
      <w:rFonts w:ascii="Times New Roman" w:hAnsi="Times New Roman" w:eastAsia="楷体_GB2312"/>
      <w:spacing w:val="8"/>
      <w:sz w:val="28"/>
      <w:szCs w:val="20"/>
    </w:rPr>
  </w:style>
  <w:style w:type="paragraph" w:styleId="1662" w:customStyle="1">
    <w:name w:val="表格文字"/>
    <w:basedOn w:val="830"/>
    <w:next w:val="828"/>
    <w:uiPriority w:val="0"/>
    <w:qFormat/>
  </w:style>
  <w:style w:type="paragraph" w:styleId="1663" w:customStyle="1">
    <w:name w:val="Char Char Char Char Char Char1 Char Char Char1 Char"/>
    <w:basedOn w:val="812"/>
    <w:uiPriority w:val="0"/>
    <w:qFormat/>
    <w:rPr>
      <w:rFonts w:ascii="Tahoma" w:hAnsi="Tahoma"/>
      <w:szCs w:val="20"/>
    </w:rPr>
  </w:style>
  <w:style w:type="paragraph" w:styleId="1664" w:customStyle="1">
    <w:name w:val="Item List in Table"/>
    <w:basedOn w:val="812"/>
    <w:uiPriority w:val="0"/>
    <w:qFormat/>
    <w:pPr>
      <w:numPr>
        <w:ilvl w:val="0"/>
        <w:numId w:val="27"/>
      </w:numPr>
      <w:ind w:left="284" w:hanging="284"/>
      <w:jc w:val="left"/>
      <w:spacing w:before="80" w:after="80" w:line="240" w:lineRule="atLeast"/>
      <w:widowControl/>
      <w:tabs>
        <w:tab w:val="left" w:pos="284" w:leader="none"/>
      </w:tabs>
    </w:pPr>
    <w:rPr>
      <w:rFonts w:ascii="Times New Roman" w:hAnsi="Times New Roman" w:cs="Arial"/>
      <w:sz w:val="21"/>
      <w:szCs w:val="21"/>
    </w:rPr>
  </w:style>
  <w:style w:type="paragraph" w:styleId="1665" w:customStyle="1">
    <w:name w:val="附录五级条标题"/>
    <w:basedOn w:val="1666"/>
    <w:next w:val="854"/>
    <w:uiPriority w:val="0"/>
    <w:qFormat/>
    <w:pPr>
      <w:numPr>
        <w:ilvl w:val="6"/>
        <w:numId w:val="12"/>
      </w:numPr>
      <w:tabs>
        <w:tab w:val="left" w:pos="360" w:leader="none"/>
      </w:tabs>
      <w:outlineLvl w:val="6"/>
    </w:pPr>
  </w:style>
  <w:style w:type="paragraph" w:styleId="1666" w:customStyle="1">
    <w:name w:val="附录四级条标题"/>
    <w:basedOn w:val="1495"/>
    <w:next w:val="854"/>
    <w:uiPriority w:val="0"/>
    <w:qFormat/>
    <w:pPr>
      <w:numPr>
        <w:ilvl w:val="5"/>
        <w:numId w:val="12"/>
      </w:numPr>
      <w:outlineLvl w:val="5"/>
    </w:pPr>
  </w:style>
  <w:style w:type="paragraph" w:styleId="1667" w:customStyle="1">
    <w:name w:val="xl30"/>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68" w:customStyle="1">
    <w:name w:val="CM3"/>
    <w:basedOn w:val="1368"/>
    <w:next w:val="1368"/>
    <w:uiPriority w:val="99"/>
    <w:qFormat/>
  </w:style>
  <w:style w:type="paragraph" w:styleId="1669" w:customStyle="1">
    <w:name w:val="样式10"/>
    <w:basedOn w:val="812"/>
    <w:uiPriority w:val="0"/>
    <w:qFormat/>
    <w:pPr>
      <w:numPr>
        <w:ilvl w:val="0"/>
        <w:numId w:val="28"/>
      </w:numPr>
      <w:ind w:firstLine="200"/>
      <w:spacing w:line="300" w:lineRule="auto"/>
      <w:tabs>
        <w:tab w:val="left" w:pos="360" w:leader="none"/>
      </w:tabs>
    </w:pPr>
    <w:rPr>
      <w:rFonts w:hAnsi="Times New Roman"/>
      <w:szCs w:val="20"/>
    </w:rPr>
  </w:style>
  <w:style w:type="paragraph" w:styleId="1670" w:customStyle="1">
    <w:name w:val="CM59"/>
    <w:basedOn w:val="1368"/>
    <w:next w:val="1368"/>
    <w:uiPriority w:val="99"/>
    <w:qFormat/>
  </w:style>
  <w:style w:type="paragraph" w:styleId="1671" w:customStyle="1">
    <w:name w:val="目录1"/>
    <w:basedOn w:val="812"/>
    <w:next w:val="812"/>
    <w:uiPriority w:val="0"/>
    <w:qFormat/>
    <w:pPr>
      <w:jc w:val="left"/>
      <w:spacing w:after="136" w:line="289" w:lineRule="atLeast"/>
      <w:widowControl/>
      <w:tabs>
        <w:tab w:val="left" w:pos="8503" w:leader="dot"/>
      </w:tabs>
    </w:pPr>
    <w:rPr>
      <w:rFonts w:ascii="Arial" w:hAnsi="Times New Roman" w:eastAsia="黑体"/>
      <w:color w:val="000000"/>
      <w:sz w:val="28"/>
      <w:szCs w:val="20"/>
    </w:rPr>
  </w:style>
  <w:style w:type="paragraph" w:styleId="1672" w:customStyle="1">
    <w:name w:val="xl90"/>
    <w:basedOn w:val="812"/>
    <w:uiPriority w:val="0"/>
    <w:qFormat/>
    <w:pPr>
      <w:jc w:val="left"/>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673" w:customStyle="1">
    <w:name w:val="Char Char1 Char Char Char Char Char Char Char"/>
    <w:basedOn w:val="812"/>
    <w:uiPriority w:val="0"/>
    <w:qFormat/>
    <w:rPr>
      <w:rFonts w:ascii="Times New Roman" w:hAnsi="Times New Roman"/>
      <w:sz w:val="21"/>
      <w:szCs w:val="20"/>
    </w:rPr>
  </w:style>
  <w:style w:type="paragraph" w:styleId="1674" w:customStyle="1">
    <w:name w:val="1.1.1.1 标题"/>
    <w:basedOn w:val="1503"/>
    <w:uiPriority w:val="0"/>
    <w:qFormat/>
    <w:pPr>
      <w:numPr>
        <w:ilvl w:val="3"/>
        <w:numId w:val="17"/>
      </w:numPr>
      <w:spacing w:before="0" w:after="0" w:line="240" w:lineRule="atLeast"/>
      <w:tabs>
        <w:tab w:val="left" w:pos="360" w:leader="none"/>
      </w:tabs>
      <w:outlineLvl w:val="3"/>
    </w:pPr>
    <w:rPr>
      <w:rFonts w:eastAsia="宋体"/>
      <w:b w:val="0"/>
      <w:sz w:val="24"/>
    </w:rPr>
  </w:style>
  <w:style w:type="paragraph" w:styleId="1675" w:customStyle="1">
    <w:name w:val="样式 样式 标题 2 + 宋体 小四 + 行距: 1.5 倍行距"/>
    <w:basedOn w:val="812"/>
    <w:uiPriority w:val="0"/>
    <w:qFormat/>
    <w:pPr>
      <w:ind w:firstLine="200"/>
      <w:keepLines/>
      <w:keepNext/>
      <w:spacing w:before="260" w:after="260" w:line="360" w:lineRule="auto"/>
      <w:outlineLvl w:val="1"/>
    </w:pPr>
    <w:rPr>
      <w:rFonts w:cs="宋体"/>
      <w:b/>
      <w:bCs/>
      <w:szCs w:val="20"/>
    </w:rPr>
  </w:style>
  <w:style w:type="paragraph" w:styleId="1676" w:customStyle="1">
    <w:name w:val="章标题"/>
    <w:next w:val="854"/>
    <w:uiPriority w:val="0"/>
    <w:qFormat/>
    <w:pPr>
      <w:numPr>
        <w:ilvl w:val="1"/>
        <w:numId w:val="12"/>
      </w:numPr>
      <w:jc w:val="both"/>
      <w:outlineLvl w:val="1"/>
    </w:pPr>
    <w:rPr>
      <w:rFonts w:hint="default" w:ascii="黑体" w:hAnsi="Times New Roman" w:eastAsia="黑体" w:cs="Times New Roman"/>
      <w:sz w:val="21"/>
      <w:lang w:val="en-US" w:eastAsia="zh-CN" w:bidi="ar-SA"/>
    </w:rPr>
  </w:style>
  <w:style w:type="paragraph" w:styleId="1677" w:customStyle="1">
    <w:name w:val="正文样式2"/>
    <w:basedOn w:val="812"/>
    <w:uiPriority w:val="0"/>
    <w:qFormat/>
    <w:pPr>
      <w:ind w:firstLine="420"/>
      <w:spacing w:before="156" w:after="156" w:line="360" w:lineRule="auto"/>
    </w:pPr>
    <w:rPr>
      <w:rFonts w:ascii="Times New Roman" w:hAnsi="Times New Roman" w:eastAsia="楷体_GB2312"/>
    </w:rPr>
  </w:style>
  <w:style w:type="paragraph" w:styleId="1678" w:customStyle="1">
    <w:name w:val="xl6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679" w:customStyle="1">
    <w:name w:val="bz_正文缩进"/>
    <w:basedOn w:val="1006"/>
    <w:uiPriority w:val="0"/>
    <w:qFormat/>
  </w:style>
  <w:style w:type="paragraph" w:styleId="1680" w:customStyle="1">
    <w:name w:val="Char Char Char Char Char Char1 Char Char Char Char Char Char1 Char Char Char"/>
    <w:basedOn w:val="812"/>
    <w:uiPriority w:val="0"/>
    <w:qFormat/>
    <w:rPr>
      <w:rFonts w:ascii="Tahoma" w:hAnsi="Tahoma"/>
      <w:szCs w:val="20"/>
    </w:rPr>
  </w:style>
  <w:style w:type="paragraph" w:styleId="1681" w:customStyle="1">
    <w:name w:val="表题"/>
    <w:basedOn w:val="812"/>
    <w:uiPriority w:val="0"/>
    <w:qFormat/>
    <w:pPr>
      <w:ind w:firstLine="200"/>
      <w:jc w:val="center"/>
      <w:spacing w:after="40" w:line="360" w:lineRule="auto"/>
      <w:tabs>
        <w:tab w:val="left" w:pos="8550" w:leader="none"/>
      </w:tabs>
    </w:pPr>
    <w:rPr>
      <w:rFonts w:ascii="Arial" w:hAnsi="Arial" w:eastAsia="黑体"/>
      <w:color w:val="000000"/>
      <w:sz w:val="18"/>
      <w:szCs w:val="20"/>
      <w:lang w:val="en-GB"/>
    </w:rPr>
  </w:style>
  <w:style w:type="paragraph" w:styleId="1682" w:customStyle="1">
    <w:name w:val="列表编号 51"/>
    <w:basedOn w:val="812"/>
    <w:uiPriority w:val="0"/>
    <w:qFormat/>
    <w:pPr>
      <w:ind w:left="900" w:hanging="420"/>
      <w:jc w:val="left"/>
      <w:spacing w:line="360" w:lineRule="auto"/>
      <w:tabs>
        <w:tab w:val="left" w:pos="900" w:leader="none"/>
      </w:tabs>
    </w:pPr>
    <w:rPr>
      <w:b/>
      <w:sz w:val="32"/>
      <w:szCs w:val="20"/>
    </w:rPr>
  </w:style>
  <w:style w:type="paragraph" w:styleId="1683" w:customStyle="1">
    <w:name w:val="正文缩进1"/>
    <w:basedOn w:val="812"/>
    <w:next w:val="1175"/>
    <w:uiPriority w:val="0"/>
    <w:qFormat/>
    <w:pPr>
      <w:ind w:left="200" w:firstLine="480"/>
      <w:spacing w:after="120" w:line="360" w:lineRule="auto"/>
    </w:pPr>
    <w:rPr>
      <w:rFonts w:ascii="Times New Roman" w:hAnsi="Times New Roman"/>
      <w:szCs w:val="21"/>
    </w:rPr>
  </w:style>
  <w:style w:type="paragraph" w:styleId="1684" w:customStyle="1">
    <w:name w:val="索引 21"/>
    <w:basedOn w:val="812"/>
    <w:next w:val="812"/>
    <w:uiPriority w:val="0"/>
    <w:qFormat/>
    <w:pPr>
      <w:ind w:left="200"/>
      <w:jc w:val="center"/>
      <w:spacing w:line="360" w:lineRule="auto"/>
    </w:pPr>
    <w:rPr>
      <w:b/>
      <w:sz w:val="32"/>
      <w:szCs w:val="32"/>
    </w:rPr>
  </w:style>
  <w:style w:type="paragraph" w:styleId="1685" w:customStyle="1">
    <w:name w:val="项目符号3"/>
    <w:basedOn w:val="812"/>
    <w:uiPriority w:val="0"/>
    <w:qFormat/>
    <w:pPr>
      <w:ind w:left="482" w:hanging="425"/>
      <w:spacing w:line="360" w:lineRule="auto"/>
    </w:pPr>
    <w:rPr>
      <w:rFonts w:ascii="Times New Roman" w:hAnsi="Times New Roman" w:cs="Arial Unicode MS"/>
      <w:lang w:bidi="zh-CN"/>
    </w:rPr>
  </w:style>
  <w:style w:type="paragraph" w:styleId="1686" w:customStyle="1">
    <w:name w:val="Char Char Char Char Char Char1 Char Char Char Char Char Char1 Char Char Char Char Char Char Char Char Char"/>
    <w:basedOn w:val="812"/>
    <w:uiPriority w:val="0"/>
    <w:qFormat/>
    <w:rPr>
      <w:rFonts w:ascii="Tahoma" w:hAnsi="Tahoma"/>
      <w:szCs w:val="20"/>
    </w:rPr>
  </w:style>
  <w:style w:type="paragraph" w:styleId="1687" w:customStyle="1">
    <w:name w:val="Pa0"/>
    <w:basedOn w:val="812"/>
    <w:next w:val="812"/>
    <w:uiPriority w:val="0"/>
    <w:qFormat/>
    <w:pPr>
      <w:jc w:val="left"/>
      <w:spacing w:line="241" w:lineRule="atLeast"/>
    </w:pPr>
    <w:rPr>
      <w:rFonts w:ascii="HPFutura Light" w:hAnsi="Times New Roman" w:eastAsia="Times New Roman"/>
    </w:rPr>
  </w:style>
  <w:style w:type="paragraph" w:styleId="1688" w:customStyle="1">
    <w:name w:val="CM40"/>
    <w:basedOn w:val="1368"/>
    <w:next w:val="1368"/>
    <w:uiPriority w:val="99"/>
    <w:qFormat/>
  </w:style>
  <w:style w:type="paragraph" w:styleId="1689" w:customStyle="1">
    <w:name w:val="font8"/>
    <w:basedOn w:val="812"/>
    <w:uiPriority w:val="0"/>
    <w:qFormat/>
    <w:pPr>
      <w:jc w:val="left"/>
      <w:spacing w:before="100" w:beforeAutospacing="1" w:after="100" w:afterAutospacing="1"/>
      <w:widowControl/>
    </w:pPr>
    <w:rPr>
      <w:rFonts w:cs="宋体"/>
      <w:sz w:val="18"/>
      <w:szCs w:val="18"/>
    </w:rPr>
  </w:style>
  <w:style w:type="paragraph" w:styleId="1690" w:customStyle="1">
    <w:name w:val="二级节标题"/>
    <w:basedOn w:val="812"/>
    <w:uiPriority w:val="0"/>
    <w:qFormat/>
    <w:pPr>
      <w:ind w:firstLine="200"/>
      <w:spacing w:line="360" w:lineRule="auto"/>
    </w:pPr>
    <w:rPr>
      <w:rFonts w:ascii="Calibri" w:hAnsi="Calibri"/>
      <w:szCs w:val="22"/>
    </w:rPr>
  </w:style>
  <w:style w:type="paragraph" w:styleId="1691" w:customStyle="1">
    <w:name w:val="xl71"/>
    <w:basedOn w:val="812"/>
    <w:uiPriority w:val="0"/>
    <w:qFormat/>
    <w:pPr>
      <w:jc w:val="left"/>
      <w:spacing w:before="100" w:beforeAutospacing="1" w:after="100" w:afterAutospacing="1"/>
      <w:widowControl/>
    </w:pPr>
    <w:rPr>
      <w:rFonts w:cs="宋体"/>
      <w:b/>
      <w:bCs/>
    </w:rPr>
  </w:style>
  <w:style w:type="paragraph" w:styleId="1692" w:customStyle="1">
    <w:name w:val="Char Char1 Char Char Char"/>
    <w:basedOn w:val="1106"/>
    <w:uiPriority w:val="0"/>
    <w:qFormat/>
    <w:pPr>
      <w:shd w:val="clear" w:color="auto" w:fill="auto"/>
    </w:pPr>
    <w:rPr>
      <w:lang w:val="en-US" w:eastAsia="zh-CN"/>
    </w:rPr>
  </w:style>
  <w:style w:type="paragraph" w:styleId="1693" w:customStyle="1">
    <w:name w:val="BOC正文"/>
    <w:basedOn w:val="812"/>
    <w:uiPriority w:val="0"/>
    <w:qFormat/>
    <w:pPr>
      <w:ind w:firstLine="720"/>
      <w:spacing w:line="360" w:lineRule="atLeast"/>
    </w:pPr>
    <w:rPr>
      <w:szCs w:val="20"/>
    </w:rPr>
  </w:style>
  <w:style w:type="paragraph" w:styleId="1694" w:customStyle="1">
    <w:name w:val="一级条标题"/>
    <w:basedOn w:val="1676"/>
    <w:next w:val="854"/>
    <w:uiPriority w:val="0"/>
    <w:qFormat/>
    <w:pPr>
      <w:numPr>
        <w:ilvl w:val="2"/>
        <w:numId w:val="12"/>
      </w:numPr>
      <w:outlineLvl w:val="2"/>
    </w:pPr>
  </w:style>
  <w:style w:type="paragraph" w:styleId="1695" w:customStyle="1">
    <w:name w:val="正文 New New New New New New New New New New New New New New New New New New"/>
    <w:uiPriority w:val="0"/>
    <w:qFormat/>
    <w:pPr>
      <w:jc w:val="both"/>
      <w:widowControl w:val="off"/>
    </w:pPr>
    <w:rPr>
      <w:rFonts w:hint="default" w:ascii="Times New Roman" w:hAnsi="Times New Roman" w:eastAsia="宋体" w:cs="Times New Roman"/>
      <w:sz w:val="28"/>
      <w:lang w:val="en-US" w:eastAsia="zh-CN" w:bidi="ar-SA"/>
    </w:rPr>
  </w:style>
  <w:style w:type="paragraph" w:styleId="1696" w:customStyle="1">
    <w:name w:val="四号 居中"/>
    <w:basedOn w:val="812"/>
    <w:uiPriority w:val="0"/>
    <w:qFormat/>
    <w:pPr>
      <w:jc w:val="center"/>
      <w:spacing w:line="360" w:lineRule="auto"/>
    </w:pPr>
    <w:rPr>
      <w:rFonts w:ascii="黑体" w:eastAsia="黑体" w:cs="宋体"/>
      <w:b/>
      <w:spacing w:val="1"/>
      <w:sz w:val="28"/>
      <w:szCs w:val="20"/>
    </w:rPr>
  </w:style>
  <w:style w:type="paragraph" w:styleId="1697" w:customStyle="1">
    <w:name w:val="xl3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98" w:customStyle="1">
    <w:name w:val="Item Step in Table"/>
    <w:uiPriority w:val="0"/>
    <w:qFormat/>
    <w:pPr>
      <w:numPr>
        <w:ilvl w:val="0"/>
        <w:numId w:val="29"/>
      </w:numPr>
      <w:jc w:val="both"/>
      <w:spacing w:before="40" w:after="40"/>
    </w:pPr>
    <w:rPr>
      <w:rFonts w:hint="default" w:ascii="Arial" w:hAnsi="Arial" w:eastAsia="宋体" w:cs="Arial"/>
      <w:sz w:val="18"/>
      <w:szCs w:val="18"/>
      <w:lang w:val="en-US" w:eastAsia="zh-CN" w:bidi="ar-SA"/>
    </w:rPr>
  </w:style>
  <w:style w:type="paragraph" w:styleId="1699" w:customStyle="1">
    <w:name w:val="列表编号 31"/>
    <w:basedOn w:val="812"/>
    <w:uiPriority w:val="0"/>
    <w:qFormat/>
    <w:pPr>
      <w:ind w:left="1200" w:hanging="360"/>
      <w:jc w:val="left"/>
      <w:spacing w:line="360" w:lineRule="auto"/>
      <w:tabs>
        <w:tab w:val="left" w:pos="1200" w:leader="none"/>
      </w:tabs>
    </w:pPr>
    <w:rPr>
      <w:b/>
      <w:sz w:val="32"/>
      <w:szCs w:val="20"/>
    </w:rPr>
  </w:style>
  <w:style w:type="paragraph" w:styleId="1700" w:customStyle="1">
    <w:name w:val="1.1"/>
    <w:basedOn w:val="1425"/>
    <w:uiPriority w:val="0"/>
    <w:qFormat/>
    <w:rPr>
      <w:rFonts w:eastAsia="黑体"/>
      <w:sz w:val="36"/>
    </w:rPr>
  </w:style>
  <w:style w:type="paragraph" w:styleId="1701" w:customStyle="1">
    <w:name w:val="msolistparagraph"/>
    <w:basedOn w:val="812"/>
    <w:uiPriority w:val="0"/>
    <w:qFormat/>
    <w:pPr>
      <w:ind w:firstLine="420"/>
    </w:pPr>
    <w:rPr>
      <w:rFonts w:ascii="Times New Roman" w:hAnsi="Times New Roman"/>
      <w:sz w:val="21"/>
    </w:rPr>
  </w:style>
  <w:style w:type="paragraph" w:styleId="1702" w:customStyle="1">
    <w:name w:val="正文4"/>
    <w:basedOn w:val="812"/>
    <w:uiPriority w:val="0"/>
    <w:qFormat/>
    <w:pPr>
      <w:ind w:firstLine="601"/>
      <w:spacing w:line="440" w:lineRule="exact"/>
    </w:pPr>
    <w:rPr>
      <w:rFonts w:ascii="Times New Roman" w:hAnsi="Times New Roman" w:eastAsia="楷体_GB2312"/>
      <w:spacing w:val="8"/>
      <w:sz w:val="28"/>
      <w:szCs w:val="20"/>
    </w:rPr>
  </w:style>
  <w:style w:type="paragraph" w:styleId="1703" w:customStyle="1">
    <w:name w:val="xl78"/>
    <w:basedOn w:val="8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704" w:customStyle="1">
    <w:name w:val="样式 样式 正文文本缩进 + 仿宋_GB2312 小四 首行缩进:  0 厘米 行距: 1.5 倍行距 + (中文) 仿宋_GB... Char Char"/>
    <w:basedOn w:val="1574"/>
    <w:uiPriority w:val="0"/>
    <w:qFormat/>
    <w:pPr>
      <w:ind w:firstLine="480"/>
    </w:pPr>
  </w:style>
  <w:style w:type="paragraph" w:styleId="1705" w:customStyle="1">
    <w:name w:val="列表框2"/>
    <w:basedOn w:val="1163"/>
    <w:uiPriority w:val="0"/>
    <w:qFormat/>
    <w:pPr>
      <w:numPr>
        <w:ilvl w:val="0"/>
        <w:numId w:val="30"/>
      </w:numPr>
      <w:ind w:left="0" w:firstLine="0"/>
      <w:tabs>
        <w:tab w:val="left" w:pos="360" w:leader="none"/>
        <w:tab w:val="left" w:pos="425" w:leader="none"/>
      </w:tabs>
    </w:pPr>
  </w:style>
  <w:style w:type="paragraph" w:styleId="1706" w:customStyle="1">
    <w:name w:val="1正文"/>
    <w:basedOn w:val="812"/>
    <w:uiPriority w:val="0"/>
    <w:qFormat/>
    <w:pPr>
      <w:ind w:firstLine="480"/>
      <w:spacing w:line="300" w:lineRule="auto"/>
    </w:pPr>
    <w:rPr>
      <w:rFonts w:ascii="Times New Roman" w:hAnsi="Times New Roman"/>
      <w:szCs w:val="20"/>
    </w:rPr>
  </w:style>
  <w:style w:type="paragraph" w:styleId="1707" w:customStyle="1">
    <w:name w:val="Table Paragraph"/>
    <w:basedOn w:val="812"/>
    <w:uiPriority w:val="1"/>
    <w:qFormat/>
    <w:pPr>
      <w:jc w:val="left"/>
    </w:pPr>
    <w:rPr>
      <w:rFonts w:ascii="宋体" w:hAnsi="宋体" w:cs="宋体"/>
      <w:sz w:val="22"/>
      <w:szCs w:val="22"/>
      <w:lang w:val="zh-CN" w:bidi="zh-CN"/>
    </w:rPr>
  </w:style>
  <w:style w:type="paragraph" w:styleId="1708" w:customStyle="1">
    <w:name w:val="nr Char Char Char Char Char Char Char Char Char Char Char Char"/>
    <w:basedOn w:val="812"/>
    <w:uiPriority w:val="0"/>
    <w:qFormat/>
    <w:pPr>
      <w:ind w:firstLine="200"/>
      <w:spacing w:line="360" w:lineRule="auto"/>
    </w:pPr>
    <w:rPr>
      <w:rFonts w:ascii="Times New Roman" w:hAnsi="Times New Roman" w:eastAsia="楷体_GB2312" w:cs="宋体"/>
      <w:sz w:val="32"/>
    </w:rPr>
  </w:style>
  <w:style w:type="paragraph" w:styleId="1709" w:customStyle="1">
    <w:name w:val="leaidx"/>
    <w:basedOn w:val="812"/>
    <w:uiPriority w:val="0"/>
    <w:qFormat/>
    <w:pPr>
      <w:jc w:val="left"/>
      <w:spacing w:before="100" w:beforeAutospacing="1" w:after="100" w:afterAutospacing="1"/>
      <w:widowControl/>
    </w:pPr>
    <w:rPr>
      <w:rFonts w:cs="宋体"/>
    </w:rPr>
  </w:style>
  <w:style w:type="paragraph" w:styleId="1710" w:customStyle="1">
    <w:name w:val="3333333333333333"/>
    <w:basedOn w:val="812"/>
    <w:uiPriority w:val="0"/>
    <w:qFormat/>
    <w:pPr>
      <w:numPr>
        <w:ilvl w:val="2"/>
        <w:numId w:val="13"/>
      </w:numPr>
      <w:ind w:left="1826" w:hanging="420"/>
      <w:keepLines/>
      <w:keepNext/>
      <w:spacing w:line="360" w:lineRule="auto"/>
      <w:outlineLvl w:val="2"/>
    </w:pPr>
    <w:rPr>
      <w:rFonts w:ascii="Times New Roman" w:hAnsi="Times New Roman" w:cs="Times New Roman"/>
      <w:b/>
      <w:bCs/>
      <w:sz w:val="32"/>
      <w:szCs w:val="32"/>
    </w:rPr>
  </w:style>
  <w:style w:type="paragraph" w:styleId="1711" w:customStyle="1">
    <w:name w:val="文字内容"/>
    <w:basedOn w:val="1182"/>
    <w:uiPriority w:val="0"/>
    <w:qFormat/>
    <w:pPr>
      <w:ind w:firstLine="420"/>
      <w:widowControl w:val="off"/>
    </w:pPr>
    <w:rPr>
      <w:rFonts w:ascii="Times New Roman" w:hAnsi="Times New Roman" w:eastAsia="宋体"/>
      <w:sz w:val="24"/>
      <w:szCs w:val="24"/>
    </w:rPr>
  </w:style>
  <w:style w:type="paragraph" w:styleId="1712" w:customStyle="1">
    <w:name w:val="Char2 Char Char Char Char Char Char Char Char Char Char Char Char"/>
    <w:basedOn w:val="812"/>
    <w:uiPriority w:val="0"/>
    <w:qFormat/>
    <w:pPr>
      <w:ind w:firstLine="200"/>
      <w:spacing w:line="360" w:lineRule="auto"/>
    </w:pPr>
    <w:rPr>
      <w:rFonts w:ascii="Times New Roman" w:hAnsi="Times New Roman"/>
      <w:sz w:val="21"/>
    </w:rPr>
  </w:style>
  <w:style w:type="paragraph" w:styleId="1713" w:customStyle="1">
    <w:name w:val="Char Char"/>
    <w:basedOn w:val="1106"/>
    <w:uiPriority w:val="0"/>
    <w:qFormat/>
    <w:pPr>
      <w:spacing w:line="360" w:lineRule="auto"/>
    </w:pPr>
    <w:rPr>
      <w:rFonts w:ascii="Times New Roman" w:hAnsi="Times New Roman"/>
      <w:sz w:val="21"/>
    </w:rPr>
  </w:style>
  <w:style w:type="paragraph" w:styleId="1714" w:customStyle="1">
    <w:name w:val="正文格式"/>
    <w:basedOn w:val="812"/>
    <w:uiPriority w:val="0"/>
    <w:qFormat/>
    <w:pPr>
      <w:ind w:firstLine="482"/>
      <w:spacing w:line="360" w:lineRule="atLeast"/>
      <w:widowControl/>
    </w:pPr>
    <w:rPr>
      <w:rFonts w:ascii="Times New Roman" w:hAnsi="Times New Roman"/>
      <w:szCs w:val="20"/>
    </w:rPr>
  </w:style>
  <w:style w:type="paragraph" w:styleId="1715" w:customStyle="1">
    <w:name w:val="样式 标题 1 + 段前: 16 磅 段后: 16 磅"/>
    <w:basedOn w:val="1003"/>
    <w:uiPriority w:val="0"/>
    <w:qFormat/>
    <w:pPr>
      <w:numPr>
        <w:ilvl w:val="0"/>
        <w:numId w:val="0"/>
      </w:numPr>
      <w:ind w:left="-288" w:firstLine="288"/>
      <w:jc w:val="center"/>
      <w:keepLines w:val="0"/>
      <w:keepNext w:val="0"/>
      <w:spacing w:before="120" w:after="0" w:line="360" w:lineRule="auto"/>
      <w:tabs>
        <w:tab w:val="left" w:pos="0" w:leader="none"/>
      </w:tabs>
    </w:pPr>
    <w:rPr>
      <w:rFonts w:ascii="宋体" w:hAnsi="宋体" w:cs="宋体"/>
      <w:b w:val="0"/>
      <w:sz w:val="30"/>
    </w:rPr>
  </w:style>
  <w:style w:type="paragraph" w:styleId="1716" w:customStyle="1">
    <w:name w:val="1。1。1"/>
    <w:basedOn w:val="1005"/>
    <w:uiPriority w:val="0"/>
    <w:qFormat/>
    <w:pPr>
      <w:numPr>
        <w:ilvl w:val="0"/>
        <w:numId w:val="0"/>
      </w:numPr>
      <w:ind w:left="540"/>
      <w:spacing w:before="0" w:after="0" w:line="480" w:lineRule="exact"/>
      <w:tabs>
        <w:tab w:val="clear" w:pos="1080" w:leader="none"/>
      </w:tabs>
    </w:pPr>
    <w:rPr>
      <w:rFonts w:cs="宋体"/>
      <w:bCs/>
      <w:lang w:val="en-US" w:eastAsia="zh-CN"/>
    </w:rPr>
  </w:style>
  <w:style w:type="paragraph" w:styleId="1717" w:customStyle="1">
    <w:name w:val="xl54"/>
    <w:basedOn w:val="812"/>
    <w:uiPriority w:val="0"/>
    <w:qFormat/>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color w:val="000000"/>
      <w:sz w:val="21"/>
      <w:szCs w:val="21"/>
    </w:rPr>
  </w:style>
  <w:style w:type="paragraph" w:styleId="1718" w:customStyle="1">
    <w:name w:val="修订"/>
    <w:uiPriority w:val="99"/>
    <w:semiHidden/>
    <w:qFormat/>
    <w:rPr>
      <w:rFonts w:hint="default" w:ascii="宋体" w:hAnsi="宋体" w:eastAsia="宋体" w:cs="宋体"/>
      <w:sz w:val="24"/>
      <w:szCs w:val="24"/>
      <w:lang w:val="en-US" w:eastAsia="zh-CN" w:bidi="ar-SA"/>
    </w:rPr>
  </w:style>
  <w:style w:type="paragraph" w:styleId="1719" w:customStyle="1">
    <w:name w:val="标题 31"/>
    <w:basedOn w:val="812"/>
    <w:next w:val="812"/>
    <w:uiPriority w:val="9"/>
    <w:qFormat/>
    <w:pPr>
      <w:ind w:right="280" w:firstLine="200"/>
      <w:keepLines/>
      <w:keepNext/>
      <w:spacing w:after="260" w:line="416" w:lineRule="auto"/>
      <w:outlineLvl w:val="2"/>
    </w:pPr>
    <w:rPr>
      <w:rFonts w:ascii="Calibri" w:hAnsi="Calibri"/>
      <w:b/>
      <w:bCs/>
      <w:sz w:val="32"/>
      <w:szCs w:val="32"/>
    </w:rPr>
  </w:style>
  <w:style w:type="paragraph" w:styleId="1720" w:customStyle="1">
    <w:name w:val="+正文"/>
    <w:basedOn w:val="812"/>
    <w:uiPriority w:val="0"/>
    <w:qFormat/>
    <w:pPr>
      <w:ind w:firstLine="200"/>
      <w:spacing w:line="360" w:lineRule="auto"/>
    </w:pPr>
    <w:rPr>
      <w:rFonts w:ascii="Times New Roman" w:hAnsi="Times New Roman"/>
      <w:szCs w:val="28"/>
    </w:rPr>
  </w:style>
  <w:style w:type="paragraph" w:styleId="1721" w:customStyle="1">
    <w:name w:val="xl85"/>
    <w:basedOn w:val="812"/>
    <w:uiPriority w:val="0"/>
    <w:qFormat/>
    <w:pPr>
      <w:jc w:val="center"/>
      <w:spacing w:before="100" w:beforeAutospacing="1" w:after="100" w:afterAutospacing="1"/>
      <w:widowControl/>
    </w:pPr>
    <w:rPr>
      <w:rFonts w:cs="宋体"/>
      <w:sz w:val="18"/>
      <w:szCs w:val="18"/>
    </w:rPr>
  </w:style>
  <w:style w:type="paragraph" w:styleId="1722" w:customStyle="1">
    <w:name w:val="Char Char Char Char Char Char1 Char Char Char Char Char Char1 Char Char Char1"/>
    <w:basedOn w:val="812"/>
    <w:uiPriority w:val="0"/>
    <w:qFormat/>
    <w:rPr>
      <w:rFonts w:ascii="Tahoma" w:hAnsi="Tahoma"/>
      <w:szCs w:val="20"/>
    </w:rPr>
  </w:style>
  <w:style w:type="paragraph" w:styleId="1723" w:customStyle="1">
    <w:name w:val="正文文本缩进 31"/>
    <w:basedOn w:val="812"/>
    <w:uiPriority w:val="0"/>
    <w:qFormat/>
    <w:pPr>
      <w:ind w:left="720" w:firstLine="480"/>
      <w:jc w:val="left"/>
      <w:spacing w:before="120" w:line="22" w:lineRule="atLeast"/>
    </w:pPr>
    <w:rPr>
      <w:rFonts w:hAnsi="Times New Roman"/>
      <w:szCs w:val="20"/>
    </w:rPr>
  </w:style>
  <w:style w:type="paragraph" w:styleId="1724" w:customStyle="1">
    <w:name w:val="Normal0"/>
    <w:uiPriority w:val="0"/>
    <w:qFormat/>
    <w:rPr>
      <w:rFonts w:hint="default" w:ascii="Times New Roman" w:hAnsi="Times New Roman" w:eastAsia="宋体" w:cs="Times New Roman"/>
      <w:lang w:val="en-US" w:eastAsia="en-US" w:bidi="ar-SA"/>
    </w:rPr>
  </w:style>
  <w:style w:type="paragraph" w:styleId="1725" w:customStyle="1">
    <w:name w:val="xl65"/>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w:hAnsi="Wingdings" w:cs="宋体"/>
      <w:color w:val="000000"/>
      <w:sz w:val="18"/>
      <w:szCs w:val="18"/>
    </w:rPr>
  </w:style>
  <w:style w:type="paragraph" w:styleId="1726" w:customStyle="1">
    <w:name w:val="表内正文"/>
    <w:basedOn w:val="812"/>
    <w:uiPriority w:val="0"/>
    <w:qFormat/>
    <w:pPr>
      <w:ind w:firstLine="200"/>
      <w:jc w:val="left"/>
      <w:spacing w:line="340" w:lineRule="exact"/>
    </w:pPr>
    <w:rPr>
      <w:rFonts w:ascii="Times New Roman" w:hAnsi="Times New Roman"/>
    </w:rPr>
  </w:style>
  <w:style w:type="paragraph" w:styleId="1727" w:customStyle="1">
    <w:name w:val="1.1.1.1"/>
    <w:basedOn w:val="812"/>
    <w:uiPriority w:val="0"/>
    <w:qFormat/>
    <w:pPr>
      <w:ind w:left="1134" w:hanging="1134"/>
      <w:spacing w:before="60" w:after="60" w:line="360" w:lineRule="atLeast"/>
      <w:tabs>
        <w:tab w:val="left" w:pos="26875" w:leader="none"/>
      </w:tabs>
    </w:pPr>
    <w:rPr>
      <w:rFonts w:hAnsi="Times New Roman"/>
      <w:szCs w:val="20"/>
    </w:rPr>
  </w:style>
  <w:style w:type="paragraph" w:styleId="1728" w:customStyle="1">
    <w:name w:val="Default Paragraph Font Para Char"/>
    <w:basedOn w:val="812"/>
    <w:uiPriority w:val="0"/>
    <w:qFormat/>
    <w:pPr>
      <w:jc w:val="left"/>
      <w:spacing w:after="160" w:line="240" w:lineRule="exact"/>
      <w:widowControl/>
    </w:pPr>
    <w:rPr>
      <w:rFonts w:ascii="Times New Roman" w:hAnsi="Times New Roman"/>
      <w:sz w:val="21"/>
      <w:szCs w:val="20"/>
    </w:rPr>
  </w:style>
  <w:style w:type="paragraph" w:styleId="1729" w:customStyle="1">
    <w:name w:val="无间隔11"/>
    <w:uiPriority w:val="1"/>
    <w:qFormat/>
    <w:pPr>
      <w:ind w:firstLine="480"/>
      <w:jc w:val="both"/>
      <w:widowControl w:val="off"/>
    </w:pPr>
    <w:rPr>
      <w:rFonts w:hint="default" w:ascii="仿宋_GB2312" w:hAnsi="宋体" w:eastAsia="仿宋_GB2312" w:cs="Times New Roman"/>
      <w:sz w:val="24"/>
      <w:szCs w:val="24"/>
      <w:lang w:val="en-US" w:eastAsia="zh-CN" w:bidi="ar-SA"/>
    </w:rPr>
  </w:style>
  <w:style w:type="paragraph" w:styleId="1730" w:customStyle="1">
    <w:name w:val="font5"/>
    <w:basedOn w:val="812"/>
    <w:uiPriority w:val="0"/>
    <w:qFormat/>
    <w:pPr>
      <w:jc w:val="left"/>
      <w:spacing w:before="100" w:beforeAutospacing="1" w:after="100" w:afterAutospacing="1"/>
      <w:widowControl/>
    </w:pPr>
    <w:rPr>
      <w:rFonts w:ascii="Times New Roman" w:hAnsi="Times New Roman"/>
      <w:color w:val="000000"/>
      <w:sz w:val="18"/>
      <w:szCs w:val="18"/>
    </w:rPr>
  </w:style>
  <w:style w:type="paragraph" w:styleId="1731" w:customStyle="1">
    <w:name w:val="Char Char Char Char Char Char1 Char Char Char Char Char Char"/>
    <w:basedOn w:val="812"/>
    <w:uiPriority w:val="0"/>
    <w:qFormat/>
    <w:rPr>
      <w:rFonts w:ascii="Tahoma" w:hAnsi="Tahoma"/>
      <w:szCs w:val="20"/>
    </w:rPr>
  </w:style>
  <w:style w:type="paragraph" w:styleId="1732" w:customStyle="1">
    <w:name w:val="项目符号：一级"/>
    <w:basedOn w:val="812"/>
    <w:next w:val="812"/>
    <w:uiPriority w:val="0"/>
    <w:qFormat/>
    <w:pPr>
      <w:ind w:left="425" w:hanging="425"/>
      <w:jc w:val="left"/>
      <w:spacing w:line="360" w:lineRule="auto"/>
      <w:widowControl/>
      <w:tabs>
        <w:tab w:val="left" w:pos="425" w:leader="none"/>
        <w:tab w:val="left" w:pos="900" w:leader="none"/>
      </w:tabs>
    </w:pPr>
    <w:rPr>
      <w:szCs w:val="28"/>
    </w:rPr>
  </w:style>
  <w:style w:type="paragraph" w:styleId="1733" w:customStyle="1">
    <w:name w:val="表内文字"/>
    <w:basedOn w:val="812"/>
    <w:uiPriority w:val="0"/>
    <w:qFormat/>
    <w:pPr>
      <w:jc w:val="center"/>
      <w:spacing w:before="50" w:after="50"/>
    </w:pPr>
    <w:rPr>
      <w:rFonts w:ascii="仿宋_GB2312" w:eastAsia="仿宋_GB2312"/>
      <w:b/>
      <w:color w:val="000000"/>
      <w:sz w:val="21"/>
      <w:szCs w:val="21"/>
    </w:rPr>
  </w:style>
  <w:style w:type="paragraph" w:styleId="1734" w:customStyle="1">
    <w:name w:val="Item List"/>
    <w:uiPriority w:val="0"/>
    <w:qFormat/>
    <w:pPr>
      <w:ind w:left="1145" w:hanging="425"/>
      <w:spacing w:before="80" w:after="80" w:line="240" w:lineRule="atLeast"/>
      <w:tabs>
        <w:tab w:val="left" w:pos="1145" w:leader="none"/>
      </w:tabs>
    </w:pPr>
    <w:rPr>
      <w:rFonts w:hint="default" w:ascii="等线" w:hAnsi="等线" w:eastAsia="等线" w:cs="Arial"/>
      <w:sz w:val="21"/>
      <w:szCs w:val="21"/>
      <w:lang w:val="en-US" w:eastAsia="zh-CN" w:bidi="ar-SA"/>
    </w:rPr>
  </w:style>
  <w:style w:type="paragraph" w:styleId="1735" w:customStyle="1">
    <w:name w:val="Char2"/>
    <w:basedOn w:val="812"/>
    <w:uiPriority w:val="0"/>
    <w:qFormat/>
    <w:pPr>
      <w:jc w:val="left"/>
      <w:spacing w:after="160" w:line="240" w:lineRule="exact"/>
      <w:widowControl/>
    </w:pPr>
    <w:rPr>
      <w:rFonts w:ascii="Verdana" w:hAnsi="Verdana"/>
      <w:sz w:val="21"/>
      <w:szCs w:val="20"/>
      <w:lang w:eastAsia="en-US"/>
    </w:rPr>
  </w:style>
  <w:style w:type="paragraph" w:styleId="1736" w:customStyle="1">
    <w:name w:val="正文段"/>
    <w:basedOn w:val="812"/>
    <w:uiPriority w:val="0"/>
    <w:qFormat/>
    <w:pPr>
      <w:ind w:firstLine="454"/>
      <w:spacing w:after="240" w:line="240" w:lineRule="atLeast"/>
      <w:widowControl/>
    </w:pPr>
    <w:rPr>
      <w:rFonts w:hAnsi="Times New Roman"/>
      <w:szCs w:val="20"/>
    </w:rPr>
  </w:style>
  <w:style w:type="paragraph" w:styleId="1737" w:customStyle="1">
    <w:name w:val="正文--样式 (西文) 宋体 行距: 1.5 倍行距 首行缩进:  2 字符"/>
    <w:basedOn w:val="812"/>
    <w:uiPriority w:val="0"/>
    <w:qFormat/>
    <w:pPr>
      <w:ind w:firstLine="480"/>
      <w:spacing w:line="360" w:lineRule="auto"/>
    </w:pPr>
    <w:rPr>
      <w:rFonts w:cs="宋体"/>
      <w:szCs w:val="20"/>
    </w:rPr>
  </w:style>
  <w:style w:type="paragraph" w:styleId="1738" w:customStyle="1">
    <w:name w:val="nr Char Char Char Char Char Char Char Char Char Char Char Char Char Char"/>
    <w:basedOn w:val="812"/>
    <w:uiPriority w:val="0"/>
    <w:qFormat/>
    <w:pPr>
      <w:ind w:firstLine="200"/>
      <w:spacing w:line="360" w:lineRule="auto"/>
    </w:pPr>
    <w:rPr>
      <w:rFonts w:ascii="Times New Roman" w:hAnsi="Times New Roman" w:eastAsia="楷体_GB2312" w:cs="宋体"/>
      <w:sz w:val="28"/>
      <w:szCs w:val="20"/>
    </w:rPr>
  </w:style>
  <w:style w:type="paragraph" w:styleId="1739" w:customStyle="1">
    <w:name w:val="xl82"/>
    <w:basedOn w:val="812"/>
    <w:uiPriority w:val="0"/>
    <w:qFormat/>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740" w:customStyle="1">
    <w:name w:val="Char Char4 Char Char"/>
    <w:basedOn w:val="812"/>
    <w:uiPriority w:val="0"/>
    <w:qFormat/>
    <w:rPr>
      <w:rFonts w:ascii="Tahoma" w:hAnsi="Tahoma"/>
      <w:szCs w:val="20"/>
    </w:rPr>
  </w:style>
  <w:style w:type="paragraph" w:styleId="1741" w:customStyle="1">
    <w:name w:val="xl84"/>
    <w:basedOn w:val="812"/>
    <w:uiPriority w:val="0"/>
    <w:qFormat/>
    <w:pPr>
      <w:jc w:val="center"/>
      <w:spacing w:before="100" w:beforeAutospacing="1" w:after="100" w:afterAutospacing="1"/>
      <w:widowControl/>
      <w:pBdr>
        <w:top w:val="single" w:color="000000" w:sz="4" w:space="0"/>
      </w:pBdr>
    </w:pPr>
    <w:rPr>
      <w:rFonts w:cs="宋体"/>
      <w:sz w:val="18"/>
      <w:szCs w:val="18"/>
    </w:rPr>
  </w:style>
  <w:style w:type="paragraph" w:styleId="1742" w:customStyle="1">
    <w:name w:val="索引 41"/>
    <w:basedOn w:val="812"/>
    <w:next w:val="812"/>
    <w:uiPriority w:val="0"/>
    <w:qFormat/>
    <w:pPr>
      <w:ind w:left="600"/>
      <w:jc w:val="center"/>
      <w:spacing w:line="360" w:lineRule="auto"/>
    </w:pPr>
    <w:rPr>
      <w:b/>
      <w:sz w:val="32"/>
      <w:szCs w:val="32"/>
    </w:rPr>
  </w:style>
  <w:style w:type="paragraph" w:styleId="1743" w:customStyle="1">
    <w:name w:val="样式1"/>
    <w:basedOn w:val="812"/>
    <w:uiPriority w:val="0"/>
    <w:qFormat/>
    <w:pPr>
      <w:spacing w:before="120" w:after="120" w:line="300" w:lineRule="auto"/>
    </w:pPr>
    <w:rPr>
      <w:b/>
      <w:szCs w:val="20"/>
    </w:rPr>
  </w:style>
  <w:style w:type="paragraph" w:styleId="1744" w:customStyle="1">
    <w:name w:val="CM20"/>
    <w:basedOn w:val="1368"/>
    <w:next w:val="1368"/>
    <w:uiPriority w:val="99"/>
    <w:qFormat/>
  </w:style>
  <w:style w:type="paragraph" w:styleId="1745" w:customStyle="1">
    <w:name w:val="xl70"/>
    <w:basedOn w:val="812"/>
    <w:uiPriority w:val="0"/>
    <w:qFormat/>
    <w:pPr>
      <w:jc w:val="left"/>
      <w:spacing w:before="100" w:beforeAutospacing="1" w:after="100" w:afterAutospacing="1"/>
      <w:widowControl/>
    </w:pPr>
    <w:rPr>
      <w:rFonts w:cs="宋体"/>
    </w:rPr>
  </w:style>
  <w:style w:type="paragraph" w:styleId="1746" w:customStyle="1">
    <w:name w:val="编号1"/>
    <w:basedOn w:val="812"/>
    <w:uiPriority w:val="0"/>
    <w:qFormat/>
    <w:pPr>
      <w:numPr>
        <w:ilvl w:val="0"/>
        <w:numId w:val="31"/>
      </w:numPr>
      <w:ind w:right="210"/>
    </w:pPr>
    <w:rPr>
      <w:spacing w:val="10"/>
      <w:sz w:val="21"/>
    </w:rPr>
  </w:style>
  <w:style w:type="paragraph" w:styleId="1747" w:customStyle="1">
    <w:name w:val="样式 标题 2 + (西文) 宋体 非加粗 居中"/>
    <w:basedOn w:val="1004"/>
    <w:uiPriority w:val="0"/>
    <w:qFormat/>
    <w:pPr>
      <w:numPr>
        <w:ilvl w:val="0"/>
        <w:numId w:val="0"/>
      </w:numPr>
      <w:jc w:val="center"/>
      <w:spacing w:line="412" w:lineRule="auto"/>
    </w:pPr>
    <w:rPr>
      <w:rFonts w:ascii="宋体" w:hAnsi="宋体" w:cs="宋体"/>
      <w:b w:val="0"/>
      <w:spacing w:val="2"/>
      <w:sz w:val="28"/>
    </w:rPr>
  </w:style>
  <w:style w:type="paragraph" w:styleId="1748" w:customStyle="1">
    <w:name w:val="msonormalcxspmiddle"/>
    <w:basedOn w:val="812"/>
    <w:uiPriority w:val="0"/>
    <w:qFormat/>
    <w:pPr>
      <w:jc w:val="left"/>
      <w:spacing w:before="100" w:beforeAutospacing="1" w:after="100" w:afterAutospacing="1"/>
      <w:widowControl/>
    </w:pPr>
    <w:rPr>
      <w:rFonts w:cs="宋体"/>
    </w:rPr>
  </w:style>
  <w:style w:type="paragraph" w:styleId="1749" w:customStyle="1">
    <w:name w:val="xl79"/>
    <w:basedOn w:val="812"/>
    <w:uiPriority w:val="0"/>
    <w:qFormat/>
    <w:pPr>
      <w:jc w:val="center"/>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750" w:customStyle="1">
    <w:name w:val="纯文本11"/>
    <w:basedOn w:val="812"/>
    <w:uiPriority w:val="0"/>
    <w:qFormat/>
    <w:pPr>
      <w:jc w:val="left"/>
      <w:widowControl/>
    </w:pPr>
    <w:rPr>
      <w:rFonts w:hAnsi="Courier New" w:eastAsia="楷体_GB2312"/>
      <w:sz w:val="26"/>
      <w:szCs w:val="20"/>
    </w:rPr>
  </w:style>
  <w:style w:type="paragraph" w:styleId="1751" w:customStyle="1">
    <w:name w:val="zhang"/>
    <w:basedOn w:val="812"/>
    <w:uiPriority w:val="0"/>
    <w:qFormat/>
    <w:pPr>
      <w:ind w:firstLine="200"/>
      <w:jc w:val="center"/>
      <w:spacing w:line="360" w:lineRule="auto"/>
    </w:pPr>
    <w:rPr>
      <w:rFonts w:eastAsia="黑体" w:cs="宋体"/>
      <w:b/>
      <w:bCs/>
      <w:sz w:val="44"/>
      <w:szCs w:val="20"/>
    </w:rPr>
  </w:style>
  <w:style w:type="paragraph" w:styleId="1752" w:customStyle="1">
    <w:name w:val="行文"/>
    <w:basedOn w:val="812"/>
    <w:uiPriority w:val="0"/>
    <w:qFormat/>
    <w:pPr>
      <w:ind w:firstLine="624"/>
      <w:spacing w:line="480" w:lineRule="exact"/>
    </w:pPr>
    <w:rPr>
      <w:rFonts w:ascii="Times New Roman" w:hAnsi="Times New Roman" w:eastAsia="仿宋_GB2312"/>
      <w:spacing w:val="8"/>
      <w:sz w:val="30"/>
      <w:szCs w:val="20"/>
    </w:rPr>
  </w:style>
  <w:style w:type="paragraph" w:styleId="1753" w:customStyle="1">
    <w:name w:val="Char1"/>
    <w:basedOn w:val="812"/>
    <w:uiPriority w:val="0"/>
    <w:qFormat/>
    <w:rPr>
      <w:rFonts w:ascii="Tahoma" w:hAnsi="Tahoma"/>
      <w:szCs w:val="20"/>
    </w:rPr>
  </w:style>
  <w:style w:type="paragraph" w:styleId="1754" w:customStyle="1">
    <w:name w:val="xl22"/>
    <w:basedOn w:val="812"/>
    <w:uiPriority w:val="0"/>
    <w:qFormat/>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55" w:customStyle="1">
    <w:name w:val="默认段落字体 Para Char Char Char Char Char Char Char Char Char Char"/>
    <w:basedOn w:val="812"/>
    <w:uiPriority w:val="0"/>
    <w:qFormat/>
    <w:pPr>
      <w:spacing w:line="360" w:lineRule="auto"/>
    </w:pPr>
    <w:rPr>
      <w:rFonts w:ascii="Times New Roman" w:hAnsi="Times New Roman"/>
      <w:szCs w:val="20"/>
    </w:rPr>
  </w:style>
  <w:style w:type="paragraph" w:styleId="1756" w:customStyle="1">
    <w:name w:val="大写"/>
    <w:basedOn w:val="812"/>
    <w:uiPriority w:val="0"/>
    <w:qFormat/>
    <w:pPr>
      <w:numPr>
        <w:ilvl w:val="0"/>
        <w:numId w:val="13"/>
      </w:numPr>
      <w:ind w:left="425" w:hanging="425"/>
      <w:keepLines/>
      <w:keepNext/>
      <w:spacing w:line="360" w:lineRule="auto"/>
      <w:outlineLvl w:val="0"/>
    </w:pPr>
    <w:rPr>
      <w:rFonts w:ascii="Arial" w:hAnsi="Arial"/>
      <w:b/>
      <w:bCs/>
      <w:sz w:val="36"/>
      <w:szCs w:val="44"/>
    </w:rPr>
  </w:style>
  <w:style w:type="paragraph" w:styleId="1757" w:customStyle="1">
    <w:name w:val="CM17"/>
    <w:basedOn w:val="1368"/>
    <w:next w:val="1368"/>
    <w:uiPriority w:val="99"/>
    <w:qFormat/>
  </w:style>
  <w:style w:type="paragraph" w:styleId="1758" w:customStyle="1">
    <w:name w:val="xl3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59" w:customStyle="1">
    <w:name w:val="默认段落字体 Para Char"/>
    <w:basedOn w:val="812"/>
    <w:uiPriority w:val="0"/>
    <w:qFormat/>
    <w:rPr>
      <w:rFonts w:ascii="Times New Roman" w:hAnsi="Times New Roman"/>
      <w:sz w:val="30"/>
    </w:rPr>
  </w:style>
  <w:style w:type="paragraph" w:styleId="1760" w:customStyle="1">
    <w:name w:val="列出段落11"/>
    <w:basedOn w:val="812"/>
    <w:uiPriority w:val="34"/>
    <w:qFormat/>
    <w:pPr>
      <w:ind w:firstLine="420"/>
    </w:pPr>
    <w:rPr>
      <w:rFonts w:ascii="Times New Roman" w:hAnsi="Times New Roman"/>
      <w:sz w:val="21"/>
    </w:rPr>
  </w:style>
  <w:style w:type="paragraph" w:styleId="1761" w:customStyle="1">
    <w:name w:val="4级标"/>
    <w:basedOn w:val="1046"/>
    <w:uiPriority w:val="0"/>
    <w:qFormat/>
    <w:pPr>
      <w:numPr>
        <w:ilvl w:val="2"/>
        <w:numId w:val="2"/>
      </w:numPr>
      <w:outlineLvl w:val="3"/>
    </w:pPr>
    <w:rPr>
      <w:sz w:val="30"/>
      <w:szCs w:val="30"/>
      <w:lang w:val="en-US" w:eastAsia="zh-CN"/>
    </w:rPr>
  </w:style>
  <w:style w:type="paragraph" w:styleId="1762" w:customStyle="1">
    <w:name w:val="111"/>
    <w:basedOn w:val="1580"/>
    <w:uiPriority w:val="0"/>
    <w:qFormat/>
    <w:pPr>
      <w:ind w:firstLine="480"/>
      <w:spacing w:after="0" w:line="440" w:lineRule="exact"/>
    </w:pPr>
  </w:style>
  <w:style w:type="paragraph" w:styleId="1763" w:customStyle="1">
    <w:name w:val="xl83"/>
    <w:basedOn w:val="8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table" w:styleId="1764" w:customStyle="1">
    <w:name w:val="中等深浅底纹 11"/>
    <w:basedOn w:val="1014"/>
    <w:uiPriority w:val="0"/>
    <w:qFormat/>
    <w:rPr>
      <w:rFonts w:ascii="Calibri" w:hAnsi="Calibri"/>
    </w:rPr>
    <w:tblPr/>
  </w:style>
  <w:style w:type="table" w:styleId="1765" w:customStyle="1">
    <w:name w:val="中等深浅列表 11"/>
    <w:basedOn w:val="1014"/>
    <w:uiPriority w:val="0"/>
    <w:qFormat/>
    <w:rPr>
      <w:rFonts w:ascii="Calibri" w:hAnsi="Calibri"/>
      <w:color w:val="000000"/>
    </w:rPr>
    <w:tblPr/>
  </w:style>
  <w:style w:type="table" w:styleId="1766" w:customStyle="1">
    <w:name w:val="深色列表 - 强调文字颜色 41"/>
    <w:basedOn w:val="1014"/>
    <w:uiPriority w:val="0"/>
    <w:qFormat/>
    <w:rPr>
      <w:rFonts w:ascii="Calibri" w:hAnsi="Calibri"/>
    </w:rPr>
    <w:tblPr/>
  </w:style>
  <w:style w:type="table" w:styleId="1767" w:customStyle="1">
    <w:name w:val="深色列表 - 强调文字颜色 21"/>
    <w:basedOn w:val="1014"/>
    <w:uiPriority w:val="0"/>
    <w:qFormat/>
    <w:rPr>
      <w:rFonts w:ascii="Calibri" w:hAnsi="Calibri"/>
    </w:rPr>
    <w:tblPr/>
  </w:style>
  <w:style w:type="table" w:styleId="1768" w:customStyle="1">
    <w:name w:val="浅色网格 - 强调文字颜色 11"/>
    <w:basedOn w:val="1014"/>
    <w:uiPriority w:val="0"/>
    <w:qFormat/>
    <w:rPr>
      <w:rFonts w:ascii="Calibri" w:hAnsi="Calibri"/>
    </w:rPr>
    <w:tblPr/>
  </w:style>
  <w:style w:type="table" w:styleId="1769" w:customStyle="1">
    <w:name w:val="浅色列表 - 强调文字颜色 13"/>
    <w:basedOn w:val="1014"/>
    <w:uiPriority w:val="0"/>
    <w:qFormat/>
    <w:rPr>
      <w:rFonts w:ascii="Calibri" w:hAnsi="Calibri"/>
    </w:rPr>
    <w:tblPr/>
  </w:style>
  <w:style w:type="table" w:styleId="1770" w:customStyle="1">
    <w:name w:val="网格型1111"/>
    <w:basedOn w:val="1014"/>
    <w:uiPriority w:val="0"/>
    <w:qFormat/>
    <w:pPr>
      <w:jc w:val="both"/>
      <w:widowControl w:val="off"/>
    </w:pPr>
    <w:tblPr/>
  </w:style>
  <w:style w:type="table" w:styleId="1771" w:customStyle="1">
    <w:name w:val="中等深浅底纹 1 - 强调文字颜色 11"/>
    <w:basedOn w:val="1014"/>
    <w:uiPriority w:val="0"/>
    <w:qFormat/>
    <w:rPr>
      <w:rFonts w:ascii="Calibri" w:hAnsi="Calibri"/>
    </w:rPr>
    <w:tblPr/>
  </w:style>
  <w:style w:type="table" w:styleId="1772" w:customStyle="1">
    <w:name w:val="浅色列表 - 强调文字颜色 12"/>
    <w:basedOn w:val="1014"/>
    <w:uiPriority w:val="0"/>
    <w:qFormat/>
    <w:rPr>
      <w:rFonts w:ascii="Calibri" w:hAnsi="Calibri"/>
    </w:rPr>
    <w:tblPr/>
  </w:style>
  <w:style w:type="table" w:styleId="1773" w:customStyle="1">
    <w:name w:val="浅色列表1"/>
    <w:basedOn w:val="1014"/>
    <w:uiPriority w:val="0"/>
    <w:qFormat/>
    <w:rPr>
      <w:rFonts w:ascii="Calibri" w:hAnsi="Calibri"/>
    </w:rPr>
    <w:tblPr/>
  </w:style>
  <w:style w:type="table" w:styleId="1774" w:customStyle="1">
    <w:name w:val="网格型2"/>
    <w:basedOn w:val="1014"/>
    <w:uiPriority w:val="0"/>
    <w:qFormat/>
    <w:rPr>
      <w:rFonts w:ascii="Calibri" w:hAnsi="Calibri"/>
    </w:rPr>
    <w:tblPr/>
  </w:style>
  <w:style w:type="table" w:styleId="1775" w:customStyle="1">
    <w:name w:val="中等深浅列表 2 - 强调文字颜色 61"/>
    <w:basedOn w:val="1014"/>
    <w:uiPriority w:val="0"/>
    <w:qFormat/>
    <w:rPr>
      <w:rFonts w:ascii="Calibri" w:hAnsi="Calibri"/>
      <w:color w:val="000000"/>
    </w:rPr>
    <w:tblPr/>
  </w:style>
  <w:style w:type="table" w:styleId="1776" w:customStyle="1">
    <w:name w:val="中等深浅网格 3 - 强调文字颜色 61"/>
    <w:basedOn w:val="1014"/>
    <w:uiPriority w:val="0"/>
    <w:qFormat/>
    <w:rPr>
      <w:rFonts w:ascii="Calibri" w:hAnsi="Calibri"/>
      <w:color w:val="e36c0a"/>
    </w:rPr>
    <w:tblPr/>
  </w:style>
  <w:style w:type="table" w:styleId="1777" w:customStyle="1">
    <w:name w:val="浅色列表2"/>
    <w:basedOn w:val="1014"/>
    <w:uiPriority w:val="0"/>
    <w:qFormat/>
    <w:rPr>
      <w:rFonts w:ascii="Calibri" w:hAnsi="Calibri"/>
    </w:rPr>
    <w:tblPr/>
  </w:style>
  <w:style w:type="table" w:styleId="1778" w:customStyle="1">
    <w:name w:val="专业型1"/>
    <w:basedOn w:val="1014"/>
    <w:uiPriority w:val="0"/>
    <w:qFormat/>
    <w:pPr>
      <w:jc w:val="both"/>
      <w:widowControl w:val="off"/>
    </w:pPr>
    <w:tblPr/>
  </w:style>
  <w:style w:type="table" w:styleId="1779" w:customStyle="1">
    <w:name w:val="网格型 11"/>
    <w:basedOn w:val="1014"/>
    <w:uiPriority w:val="0"/>
    <w:qFormat/>
    <w:pPr>
      <w:ind w:firstLine="601"/>
      <w:jc w:val="both"/>
      <w:spacing w:line="400" w:lineRule="exact"/>
      <w:widowControl w:val="off"/>
    </w:pPr>
    <w:tblPr/>
  </w:style>
  <w:style w:type="table" w:styleId="1780" w:customStyle="1">
    <w:name w:val="浅色底纹1"/>
    <w:basedOn w:val="1014"/>
    <w:uiPriority w:val="0"/>
    <w:qFormat/>
    <w:rPr>
      <w:rFonts w:ascii="Calibri" w:hAnsi="Calibri"/>
      <w:color w:val="000000"/>
    </w:rPr>
    <w:tblPr/>
  </w:style>
  <w:style w:type="table" w:styleId="1781" w:customStyle="1">
    <w:name w:val="浅色网格1"/>
    <w:basedOn w:val="1014"/>
    <w:uiPriority w:val="0"/>
    <w:qFormat/>
    <w:rPr>
      <w:rFonts w:ascii="Calibri" w:hAnsi="Calibri"/>
    </w:rPr>
    <w:tblPr/>
  </w:style>
  <w:style w:type="table" w:styleId="1782" w:customStyle="1">
    <w:name w:val="网格型1"/>
    <w:basedOn w:val="1014"/>
    <w:uiPriority w:val="59"/>
    <w:qFormat/>
    <w:rPr>
      <w:rFonts w:ascii="等线" w:hAnsi="等线" w:eastAsia="等线" w:cs="Times New Roman"/>
      <w:sz w:val="21"/>
      <w:szCs w:val="22"/>
    </w:rPr>
    <w:tblPr/>
  </w:style>
  <w:style w:type="table" w:styleId="1783" w:customStyle="1">
    <w:name w:val="深色列表 - 强调文字颜色 31"/>
    <w:basedOn w:val="1014"/>
    <w:uiPriority w:val="0"/>
    <w:qFormat/>
    <w:rPr>
      <w:rFonts w:ascii="Calibri" w:hAnsi="Calibri"/>
    </w:rPr>
    <w:tblPr/>
  </w:style>
  <w:style w:type="table" w:styleId="1784" w:customStyle="1">
    <w:name w:val="中等深浅网格 1 - 着色 31"/>
    <w:uiPriority w:val="1"/>
    <w:qFormat/>
    <w:rPr>
      <w:sz w:val="22"/>
      <w:szCs w:val="22"/>
      <w:lang w:val="en-US" w:eastAsia="zh-CN" w:bidi="ar-SA"/>
    </w:rPr>
    <w:tblPr/>
  </w:style>
  <w:style w:type="table" w:styleId="1785" w:customStyle="1">
    <w:name w:val="中等深浅底纹 1 - 着色 21"/>
    <w:uiPriority w:val="1"/>
    <w:qFormat/>
    <w:pPr>
      <w:jc w:val="both"/>
      <w:widowControl w:val="off"/>
    </w:pPr>
    <w:rPr>
      <w:rFonts w:eastAsia="仿宋"/>
      <w:sz w:val="28"/>
      <w:szCs w:val="22"/>
      <w:lang w:val="en-US" w:eastAsia="zh-CN" w:bidi="ar-SA"/>
    </w:rPr>
    <w:tblPr/>
  </w:style>
  <w:style w:type="table" w:styleId="1786" w:customStyle="1">
    <w:name w:val="浅色网格2"/>
    <w:basedOn w:val="1014"/>
    <w:uiPriority w:val="0"/>
    <w:qFormat/>
    <w:rPr>
      <w:rFonts w:ascii="Calibri" w:hAnsi="Calibri"/>
    </w:rPr>
    <w:tblPr/>
  </w:style>
  <w:style w:type="table" w:styleId="1787" w:customStyle="1">
    <w:name w:val="网格型21"/>
    <w:basedOn w:val="1014"/>
    <w:uiPriority w:val="39"/>
    <w:qFormat/>
    <w:rPr>
      <w:rFonts w:ascii="仿宋" w:hAnsi="仿宋" w:eastAsia="仿宋"/>
    </w:rPr>
    <w:tblPr/>
  </w:style>
  <w:style w:type="table" w:styleId="1788" w:customStyle="1">
    <w:name w:val="网格型22"/>
    <w:basedOn w:val="1014"/>
    <w:uiPriority w:val="39"/>
    <w:qFormat/>
    <w:rPr>
      <w:rFonts w:ascii="仿宋" w:hAnsi="仿宋" w:eastAsia="仿宋"/>
    </w:rPr>
    <w:tblPr/>
  </w:style>
  <w:style w:type="table" w:styleId="1789" w:customStyle="1">
    <w:name w:val="浅色列表 - 着色 51"/>
    <w:uiPriority w:val="34"/>
    <w:qFormat/>
    <w:pPr>
      <w:ind w:firstLine="420"/>
    </w:pPr>
    <w:rPr>
      <w:lang w:val="en-US" w:eastAsia="zh-CN" w:bidi="ar-SA"/>
    </w:rPr>
    <w:tblPr/>
  </w:style>
  <w:style w:type="table" w:styleId="1790" w:customStyle="1">
    <w:name w:val="网格型3"/>
    <w:basedOn w:val="1014"/>
    <w:uiPriority w:val="0"/>
    <w:qFormat/>
    <w:rPr>
      <w:rFonts w:ascii="Calibri" w:hAnsi="Calibri"/>
    </w:rPr>
    <w:tblPr/>
  </w:style>
  <w:style w:type="table" w:styleId="1791" w:customStyle="1">
    <w:name w:val="网格型 81"/>
    <w:basedOn w:val="1014"/>
    <w:uiPriority w:val="0"/>
    <w:qFormat/>
    <w:pPr>
      <w:ind w:firstLine="601"/>
      <w:jc w:val="both"/>
      <w:spacing w:line="400" w:lineRule="exact"/>
      <w:widowControl w:val="off"/>
    </w:pPr>
    <w:tblPr/>
  </w:style>
  <w:style w:type="table" w:styleId="1792" w:customStyle="1">
    <w:name w:val="浅色列表 - 强调文字颜色 51"/>
    <w:uiPriority w:val="34"/>
    <w:qFormat/>
    <w:pPr>
      <w:ind w:firstLine="420"/>
    </w:pPr>
    <w:rPr>
      <w:lang w:val="en-US" w:eastAsia="zh-CN" w:bidi="ar-SA"/>
    </w:rPr>
    <w:tblPr/>
  </w:style>
  <w:style w:type="table" w:styleId="1793" w:customStyle="1">
    <w:name w:val="中等深浅底纹 1 - 强调文字颜色 21"/>
    <w:uiPriority w:val="1"/>
    <w:qFormat/>
    <w:pPr>
      <w:jc w:val="both"/>
      <w:widowControl w:val="off"/>
    </w:pPr>
    <w:rPr>
      <w:rFonts w:eastAsia="仿宋"/>
      <w:sz w:val="28"/>
      <w:szCs w:val="22"/>
      <w:lang w:val="en-US" w:eastAsia="zh-CN" w:bidi="ar-SA"/>
    </w:rPr>
    <w:tblPr/>
  </w:style>
  <w:style w:type="table" w:styleId="1794" w:customStyle="1">
    <w:name w:val="中等深浅网格 1 - 强调文字颜色 31"/>
    <w:uiPriority w:val="1"/>
    <w:qFormat/>
    <w:rPr>
      <w:sz w:val="22"/>
      <w:szCs w:val="22"/>
      <w:lang w:val="en-US" w:eastAsia="zh-CN" w:bidi="ar-SA"/>
    </w:rPr>
    <w:tblPr/>
  </w:style>
  <w:style w:type="table" w:styleId="1795" w:customStyle="1">
    <w:name w:val="浅色底纹 - 强调文字颜色 11"/>
    <w:basedOn w:val="1014"/>
    <w:uiPriority w:val="0"/>
    <w:qFormat/>
    <w:rPr>
      <w:rFonts w:ascii="Calibri" w:hAnsi="Calibri"/>
      <w:color w:val="365f91"/>
    </w:rPr>
    <w:tblPr/>
  </w:style>
  <w:style w:type="table" w:styleId="1796" w:customStyle="1">
    <w:name w:val="浅色网格3"/>
    <w:basedOn w:val="1014"/>
    <w:uiPriority w:val="0"/>
    <w:qFormat/>
    <w:rPr>
      <w:rFonts w:ascii="Calibri" w:hAnsi="Calibri"/>
    </w:rPr>
    <w:tblPr/>
  </w:style>
  <w:style w:type="table" w:styleId="1797" w:customStyle="1">
    <w:name w:val="Table Normal"/>
    <w:uiPriority w:val="2"/>
    <w:unhideWhenUsed/>
    <w:qFormat/>
    <w:rPr>
      <w:lang w:val="en-US" w:eastAsia="zh-CN" w:bidi="ar-SA"/>
    </w:rPr>
    <w:tblPr/>
  </w:style>
  <w:style w:type="table" w:styleId="1798" w:customStyle="1">
    <w:name w:val="浅色列表 - 强调文字颜色 11"/>
    <w:basedOn w:val="1014"/>
    <w:uiPriority w:val="0"/>
    <w:qFormat/>
    <w:tblPr/>
  </w:style>
  <w:style w:type="table" w:styleId="1799" w:customStyle="1">
    <w:name w:val="彩色列表 - 强调文字颜色 51"/>
    <w:basedOn w:val="1014"/>
    <w:uiPriority w:val="0"/>
    <w:qFormat/>
    <w:rPr>
      <w:rFonts w:ascii="Calibri" w:hAnsi="Calibri"/>
    </w:rPr>
    <w:tblPr/>
  </w:style>
  <w:style w:type="table" w:styleId="1800" w:customStyle="1">
    <w:name w:val="网格型11"/>
    <w:basedOn w:val="1014"/>
    <w:uiPriority w:val="0"/>
    <w:qFormat/>
    <w:pPr>
      <w:jc w:val="both"/>
      <w:widowControl w:val="off"/>
    </w:pPr>
    <w:tblPr/>
  </w:style>
  <w:style w:type="table" w:styleId="1801" w:customStyle="1">
    <w:name w:val="深色列表 - 强调文字颜色 51"/>
    <w:basedOn w:val="1014"/>
    <w:uiPriority w:val="0"/>
    <w:qFormat/>
    <w:rPr>
      <w:rFonts w:ascii="Calibri" w:hAnsi="Calibri"/>
    </w:rPr>
    <w:tblPr/>
  </w:style>
  <w:style w:type="table" w:styleId="1802" w:customStyle="1">
    <w:name w:val="彩色底纹 - 强调文字颜色 51"/>
    <w:basedOn w:val="1014"/>
    <w:uiPriority w:val="0"/>
    <w:qFormat/>
    <w:rPr>
      <w:rFonts w:ascii="Calibri" w:hAnsi="Calibri"/>
    </w:rPr>
    <w:tblPr/>
  </w:style>
  <w:style w:type="table" w:styleId="1803" w:customStyle="1">
    <w:name w:val="网格型111"/>
    <w:basedOn w:val="1014"/>
    <w:uiPriority w:val="59"/>
    <w:qFormat/>
    <w:rPr>
      <w:rFonts w:ascii="Calibri" w:hAnsi="Calibri"/>
    </w:rPr>
    <w:tblPr/>
  </w:style>
  <w:style w:type="table" w:styleId="1804" w:customStyle="1">
    <w:name w:val="浅色列表 - 强调文字颜色 14"/>
    <w:basedOn w:val="1014"/>
    <w:uiPriority w:val="0"/>
    <w:qFormat/>
    <w:rPr>
      <w:rFonts w:ascii="Calibri" w:hAnsi="Calibri"/>
    </w:rPr>
    <w:tblPr/>
  </w:style>
  <w:style w:type="table" w:styleId="1805" w:customStyle="1">
    <w:name w:val="浅色列表 - 强调文字颜色 15"/>
    <w:basedOn w:val="1014"/>
    <w:uiPriority w:val="0"/>
    <w:qFormat/>
    <w:rPr>
      <w:rFonts w:ascii="Calibri" w:hAnsi="Calibri"/>
    </w:rPr>
    <w:tblPr/>
  </w:style>
  <w:style w:type="table" w:styleId="1806" w:customStyle="1">
    <w:name w:val="网格型12"/>
    <w:basedOn w:val="1014"/>
    <w:uiPriority w:val="59"/>
    <w:qFormat/>
    <w:rPr>
      <w:rFonts w:ascii="Calibri" w:hAnsi="Calibri"/>
    </w:rPr>
    <w:tblPr/>
  </w:style>
  <w:style w:type="table" w:styleId="1807" w:customStyle="1">
    <w:name w:val="浅色底纹2"/>
    <w:basedOn w:val="1014"/>
    <w:uiPriority w:val="0"/>
    <w:qFormat/>
    <w:rPr>
      <w:rFonts w:ascii="Calibri" w:hAnsi="Calibri"/>
      <w:color w:val="000000"/>
    </w:rPr>
    <w:tblPr/>
  </w:style>
  <w:style w:type="numbering" w:styleId="18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wmf"/><Relationship Id="rId15" Type="http://schemas.openxmlformats.org/officeDocument/2006/relationships/oleObject" Target="embeddings/oleObject2.bin"/><Relationship Id="rId16" Type="http://schemas.openxmlformats.org/officeDocument/2006/relationships/image" Target="media/image3.wmf"/><Relationship Id="rId17" Type="http://schemas.openxmlformats.org/officeDocument/2006/relationships/oleObject" Target="embeddings/oleObject3.bin"/><Relationship Id="rId18" Type="http://schemas.openxmlformats.org/officeDocument/2006/relationships/image" Target="media/image4.png"/><Relationship Id="rId19" Type="http://schemas.openxmlformats.org/officeDocument/2006/relationships/image" Target="media/image5.wmf"/><Relationship Id="rId20" Type="http://schemas.openxmlformats.org/officeDocument/2006/relationships/oleObject" Target="embeddings/oleObject4.bin"/><Relationship Id="rId21" Type="http://schemas.openxmlformats.org/officeDocument/2006/relationships/image" Target="media/image6.wmf"/><Relationship Id="rId22" Type="http://schemas.openxmlformats.org/officeDocument/2006/relationships/oleObject" Target="embeddings/oleObject5.bin"/><Relationship Id="rId23" Type="http://schemas.openxmlformats.org/officeDocument/2006/relationships/image" Target="media/image7.wmf"/><Relationship Id="rId24" Type="http://schemas.openxmlformats.org/officeDocument/2006/relationships/oleObject" Target="embeddings/oleObject6.bin"/><Relationship Id="rId25" Type="http://schemas.openxmlformats.org/officeDocument/2006/relationships/image" Target="media/image8.wmf"/><Relationship Id="rId26" Type="http://schemas.openxmlformats.org/officeDocument/2006/relationships/oleObject" Target="embeddings/oleObject7.bin"/><Relationship Id="rId27" Type="http://schemas.openxmlformats.org/officeDocument/2006/relationships/image" Target="media/image9.wmf"/><Relationship Id="rId28" Type="http://schemas.openxmlformats.org/officeDocument/2006/relationships/oleObject" Target="embeddings/oleObject8.bin"/><Relationship Id="rId29" Type="http://schemas.openxmlformats.org/officeDocument/2006/relationships/image" Target="media/image10.wmf"/><Relationship Id="rId30" Type="http://schemas.openxmlformats.org/officeDocument/2006/relationships/oleObject" Target="embeddings/oleObject9.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商婧</cp:lastModifiedBy>
  <cp:revision>10</cp:revision>
  <dcterms:created xsi:type="dcterms:W3CDTF">2024-03-29T01:38:00Z</dcterms:created>
  <dcterms:modified xsi:type="dcterms:W3CDTF">2026-05-14T05:01:41Z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eyJoZGlkIjoiYWFkMmZjM2I4MWEyYzFlZmYzMzJiYjVmNDUyM2Q0OTgiLCJ1c2VySWQiOiIxMzQ5ODAxOTgwIn0=</vt:lpwstr>
  </property>
  <property fmtid="{D5CDD505-2E9C-101B-9397-08002B2CF9AE}" pid="3" name="KSOProductBuildVer">
    <vt:lpwstr>2052-12.1.0.25865</vt:lpwstr>
  </property>
  <property fmtid="{D5CDD505-2E9C-101B-9397-08002B2CF9AE}" pid="4" name="ICV">
    <vt:lpwstr>77E604FF7A0E42ACBB7C8B8B7E78EE10_13</vt:lpwstr>
  </property>
</Properties>
</file>