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Cs/>
          <w:color w:val="auto"/>
          <w:spacing w:val="20"/>
          <w:sz w:val="44"/>
          <w:szCs w:val="44"/>
          <w:highlight w:val="none"/>
          <w:lang w:eastAsia="zh-CN"/>
        </w:rPr>
        <w:outlineLvl w:val="0"/>
      </w:pPr>
      <w:r>
        <w:rPr>
          <w:rFonts w:hint="eastAsia" w:ascii="宋体" w:hAnsi="宋体" w:cs="宋体"/>
          <w:b/>
          <w:color w:val="auto"/>
          <w:spacing w:val="20"/>
          <w:sz w:val="44"/>
          <w:szCs w:val="44"/>
          <w:highlight w:val="none"/>
          <w:lang w:eastAsia="zh-CN"/>
        </w:rPr>
        <w:t xml:space="preserve">江苏航运职业技术学院学生宿舍E楼家具更新采购项目</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outlineLvl w:val="0"/>
      </w:pPr>
      <w:r/>
      <w:bookmarkStart w:id="0" w:name="_Toc24819"/>
      <w:r/>
      <w:bookmarkStart w:id="1" w:name="_Toc5695"/>
      <w:r/>
      <w:r/>
    </w:p>
    <w:p>
      <w:pPr>
        <w:jc w:val="center"/>
        <w:spacing w:line="1000" w:lineRule="exact"/>
        <w:rPr>
          <w:rFonts w:ascii="宋体" w:hAnsi="宋体" w:cs="宋体"/>
          <w:bCs/>
          <w:color w:val="auto"/>
          <w:sz w:val="100"/>
          <w:szCs w:val="100"/>
          <w:highlight w:val="none"/>
        </w:rPr>
        <w:outlineLvl w:val="0"/>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ascii="宋体" w:hAnsi="宋体" w:cs="宋体"/>
          <w:b/>
          <w:color w:val="auto"/>
          <w:sz w:val="36"/>
          <w:highlight w:val="none"/>
        </w:rPr>
      </w:pPr>
      <w:r>
        <w:rPr>
          <w:rFonts w:hint="eastAsia" w:ascii="宋体" w:hAnsi="宋体" w:cs="宋体"/>
          <w:bCs/>
          <w:color w:val="auto"/>
          <w:sz w:val="36"/>
          <w:szCs w:val="36"/>
          <w:highlight w:val="none"/>
        </w:rPr>
        <w:t xml:space="preserve">招标文件编号：JSZC-320690-ZRJS-G2026-0013</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pStyle w:val="1018"/>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2"/>
          <w:szCs w:val="32"/>
          <w:highlight w:val="none"/>
          <w:lang w:eastAsia="zh-CN"/>
        </w:rPr>
        <w:outlineLvl w:val="0"/>
      </w:pPr>
      <w:r>
        <w:rPr>
          <w:rFonts w:hint="eastAsia" w:ascii="宋体" w:hAnsi="宋体" w:cs="宋体"/>
          <w:b/>
          <w:bCs/>
          <w:color w:val="auto"/>
          <w:sz w:val="32"/>
          <w:szCs w:val="32"/>
          <w:highlight w:val="none"/>
          <w:lang w:eastAsia="zh-CN"/>
        </w:rPr>
        <w:t xml:space="preserve">江苏航运职业技术学院</w:t>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年4</w:t>
      </w:r>
      <w:r>
        <w:rPr>
          <w:rFonts w:hint="eastAsia" w:ascii="宋体" w:hAnsi="宋体" w:cs="宋体"/>
          <w:b/>
          <w:bCs/>
          <w:color w:val="auto"/>
          <w:sz w:val="32"/>
          <w:szCs w:val="32"/>
          <w:highlight w:val="none"/>
        </w:rPr>
        <w:t xml:space="preserve">月</w:t>
      </w:r>
      <w:r/>
    </w:p>
    <w:p>
      <w:pPr>
        <w:jc w:val="center"/>
        <w:spacing w:line="1000" w:lineRule="exact"/>
        <w:rPr>
          <w:rFonts w:ascii="宋体" w:hAnsi="宋体" w:cs="宋体"/>
          <w:color w:val="auto"/>
          <w:sz w:val="56"/>
          <w:szCs w:val="56"/>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817"/>
        <w:spacing w:line="720" w:lineRule="auto"/>
        <w:tabs>
          <w:tab w:val="right" w:pos="8307"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817"/>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17"/>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17"/>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17"/>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_Toc30320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17"/>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3</w:t>
      </w:r>
      <w:r/>
    </w:p>
    <w:p>
      <w:pPr>
        <w:pStyle w:val="817"/>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7</w:t>
      </w:r>
      <w:r/>
    </w:p>
    <w:p>
      <w:pPr>
        <w:spacing w:line="720" w:lineRule="auto"/>
        <w:rPr>
          <w:rFonts w:ascii="宋体" w:hAnsi="宋体" w:cs="宋体"/>
          <w:color w:val="auto"/>
          <w:highlight w:val="none"/>
        </w:rPr>
      </w:pPr>
      <w:r>
        <w:rPr>
          <w:rFonts w:hint="eastAsia" w:ascii="宋体" w:hAnsi="宋体" w:cs="宋体"/>
          <w:color w:val="auto"/>
          <w:sz w:val="24"/>
          <w:szCs w:val="32"/>
          <w:highlight w:val="none"/>
        </w:rPr>
        <w:fldChar w:fldCharType="end"/>
      </w:r>
      <w:r/>
    </w:p>
    <w:p>
      <w:pPr>
        <w:pStyle w:val="802"/>
        <w:rPr>
          <w:rFonts w:ascii="宋体" w:hAnsi="宋体" w:eastAsia="宋体" w:cs="宋体"/>
          <w:color w:val="auto"/>
          <w:highlight w:val="none"/>
        </w:rPr>
      </w:pPr>
      <w:r>
        <w:rPr>
          <w:rFonts w:ascii="宋体" w:hAnsi="宋体" w:eastAsia="宋体" w:cs="宋体"/>
          <w:color w:val="auto"/>
          <w:highlight w:val="none"/>
        </w:rPr>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 w:name="_Toc21799"/>
      <w:r/>
      <w:bookmarkStart w:id="3" w:name="_Toc29789"/>
      <w:r>
        <w:rPr>
          <w:rFonts w:hint="eastAsia" w:ascii="宋体" w:hAnsi="宋体" w:cs="宋体"/>
          <w:bCs/>
          <w:color w:val="auto"/>
          <w:sz w:val="36"/>
          <w:szCs w:val="36"/>
          <w:highlight w:val="none"/>
        </w:rPr>
        <w:t xml:space="preserve">第一部分  </w:t>
      </w:r>
      <w:bookmarkStart w:id="4" w:name="OLE_LINK5"/>
      <w:r/>
      <w:bookmarkStart w:id="5" w:name="OLE_LINK7"/>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江苏航运职业技术学院</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eastAsia="zh-CN"/>
        </w:rPr>
        <w:t xml:space="preserve">江苏航运职业技术学院学生宿舍E楼家具更新采购项目</w:t>
      </w:r>
      <w:r>
        <w:rPr>
          <w:rFonts w:hint="eastAsia" w:ascii="宋体" w:hAnsi="宋体" w:cs="宋体"/>
          <w:color w:val="auto"/>
          <w:sz w:val="28"/>
          <w:szCs w:val="28"/>
          <w:highlight w:val="none"/>
        </w:rPr>
        <w:t xml:space="preserve">](项目编号:JSZC-320690-ZRJS-G2026-0013 )进行公开招标采购，欢迎符合条件的投标人投标。</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江苏航运职业技术学院学生宿舍E楼家具更新</w:t>
      </w:r>
      <w:r>
        <w:rPr>
          <w:rFonts w:hint="eastAsia" w:ascii="宋体" w:hAnsi="宋体" w:cs="宋体"/>
          <w:color w:val="auto"/>
          <w:sz w:val="28"/>
          <w:szCs w:val="28"/>
          <w:highlight w:val="none"/>
          <w:lang w:val="en-US" w:eastAsia="zh-CN"/>
        </w:rPr>
        <w:t xml:space="preserve">采购</w:t>
      </w:r>
      <w:r>
        <w:rPr>
          <w:rFonts w:hint="eastAsia" w:ascii="宋体" w:hAnsi="宋体" w:cs="宋体"/>
          <w:color w:val="auto"/>
          <w:sz w:val="28"/>
          <w:szCs w:val="28"/>
          <w:highlight w:val="none"/>
        </w:rPr>
        <w:t xml:space="preserve">）招标项目的潜在投标人应在（苏采云系统内免费）获取招标文件，并于202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25</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1.项目编号：JSZC-320690-ZRJS-G2026-0013</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2.项目名称：</w:t>
      </w:r>
      <w:bookmarkStart w:id="188" w:name="_GoBack"/>
      <w:r>
        <w:rPr>
          <w:rFonts w:hint="eastAsia" w:ascii="宋体" w:hAnsi="宋体" w:cs="宋体"/>
          <w:color w:val="auto"/>
          <w:sz w:val="28"/>
          <w:szCs w:val="28"/>
          <w:highlight w:val="none"/>
          <w:lang w:eastAsia="zh-CN"/>
        </w:rPr>
        <w:t xml:space="preserve">江苏航运职业技术学院学生宿舍E楼家具更新采购项目</w:t>
      </w:r>
      <w:bookmarkEnd w:id="188"/>
      <w:r>
        <w:rPr>
          <w:rFonts w:hint="eastAsia" w:ascii="宋体" w:hAnsi="宋体" w:cs="宋体"/>
          <w:color w:val="auto"/>
          <w:sz w:val="28"/>
          <w:szCs w:val="28"/>
          <w:highlight w:val="none"/>
        </w:rPr>
        <w:t xml:space="preserve">。</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3.预算金额：261.999864万元。</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4.最高限价：261.999864万元，投标报价高于最高限价的作无效标处理。</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5.采购需求：详见招标文件，请仔细研究。</w:t>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6.合同履行期限：自合同签定之日起</w:t>
      </w:r>
      <w:r>
        <w:rPr>
          <w:rFonts w:hint="eastAsia" w:ascii="宋体" w:hAnsi="宋体" w:cs="宋体"/>
          <w:color w:val="auto"/>
          <w:sz w:val="28"/>
          <w:szCs w:val="28"/>
          <w:highlight w:val="none"/>
          <w:lang w:val="en-US" w:eastAsia="zh-CN"/>
        </w:rPr>
        <w:t xml:space="preserve">30天完成生产，接到招标人通知后15天内完成运输及安装。</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7.本项目是否接受联合体投标：否。</w:t>
      </w:r>
      <w:r/>
    </w:p>
    <w:p>
      <w:pPr>
        <w:ind w:firstLine="562"/>
        <w:spacing w:line="440" w:lineRule="exact"/>
        <w:rPr>
          <w:rFonts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2.本项目的特定资格要求：无；</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3.落实政府采购政策需满足的资格要求：</w:t>
      </w:r>
      <w:r>
        <w:rPr>
          <w:rFonts w:hint="eastAsia" w:ascii="宋体" w:hAnsi="宋体" w:cs="宋体"/>
          <w:color w:val="auto"/>
          <w:sz w:val="28"/>
          <w:szCs w:val="28"/>
          <w:highlight w:val="none"/>
          <w:u w:val="single"/>
          <w:lang w:val="en-US" w:eastAsia="zh-CN"/>
        </w:rPr>
        <w:t xml:space="preserve">本项目专门面向中小微型企业采购。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auto"/>
          <w:sz w:val="28"/>
          <w:szCs w:val="28"/>
          <w:highlight w:val="none"/>
          <w:u w:val="single"/>
        </w:rPr>
        <w:t xml:space="preserve">； </w:t>
      </w:r>
      <w:r/>
    </w:p>
    <w:p>
      <w:pPr>
        <w:ind w:firstLine="560"/>
        <w:spacing w:line="440" w:lineRule="exact"/>
        <w:rPr>
          <w:rFonts w:ascii="宋体" w:hAnsi="宋体" w:cs="宋体"/>
          <w:color w:val="auto"/>
          <w:sz w:val="28"/>
          <w:szCs w:val="28"/>
          <w:highlight w:val="none"/>
        </w:rPr>
        <w:outlineLvl w:val="1"/>
      </w:pPr>
      <w:r/>
      <w:bookmarkStart w:id="9" w:name="_Toc13052"/>
      <w:r>
        <w:rPr>
          <w:rFonts w:hint="eastAsia" w:ascii="宋体" w:hAnsi="宋体" w:cs="宋体"/>
          <w:color w:val="auto"/>
          <w:sz w:val="28"/>
          <w:szCs w:val="28"/>
          <w:highlight w:val="none"/>
        </w:rPr>
        <w:t xml:space="preserve">三、获取招标文件</w:t>
      </w:r>
      <w:bookmarkEnd w:id="9"/>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3.5招标人或采购代理机构将数据电文形式的招标文件加载至“苏采云”系统，供潜在投标人下载或者查阅。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078"/>
          <w:rFonts w:ascii="宋体" w:hAnsi="宋体" w:cs="宋体"/>
          <w:color w:val="auto"/>
          <w:sz w:val="28"/>
          <w:szCs w:val="28"/>
          <w:highlight w:val="none"/>
        </w:rPr>
      </w:pPr>
      <w:r>
        <w:rPr>
          <w:rStyle w:val="1078"/>
          <w:rFonts w:hint="eastAsia" w:ascii="宋体" w:hAnsi="宋体" w:cs="宋体"/>
          <w:color w:val="auto"/>
          <w:sz w:val="28"/>
          <w:szCs w:val="28"/>
          <w:highlight w:val="none"/>
        </w:rPr>
        <w:t xml:space="preserve">1.投标文件接收截止及开标时间：</w:t>
      </w:r>
      <w:r>
        <w:rPr>
          <w:rStyle w:val="1078"/>
          <w:rFonts w:hint="eastAsia" w:ascii="宋体" w:hAnsi="宋体" w:cs="宋体"/>
          <w:b/>
          <w:bCs/>
          <w:color w:val="auto"/>
          <w:sz w:val="28"/>
          <w:szCs w:val="28"/>
          <w:highlight w:val="none"/>
        </w:rPr>
        <w:t xml:space="preserve">202</w:t>
      </w:r>
      <w:r>
        <w:rPr>
          <w:rStyle w:val="1078"/>
          <w:rFonts w:hint="eastAsia" w:ascii="宋体" w:hAnsi="宋体" w:cs="宋体"/>
          <w:b/>
          <w:bCs/>
          <w:color w:val="auto"/>
          <w:sz w:val="28"/>
          <w:szCs w:val="28"/>
          <w:highlight w:val="none"/>
          <w:lang w:val="en-US" w:eastAsia="zh-CN"/>
        </w:rPr>
        <w:t xml:space="preserve">6</w:t>
      </w:r>
      <w:r>
        <w:rPr>
          <w:rStyle w:val="1078"/>
          <w:rFonts w:hint="eastAsia" w:ascii="宋体" w:hAnsi="宋体" w:cs="宋体"/>
          <w:b/>
          <w:bCs/>
          <w:color w:val="auto"/>
          <w:sz w:val="28"/>
          <w:szCs w:val="28"/>
          <w:highlight w:val="none"/>
        </w:rPr>
        <w:t xml:space="preserve">年</w:t>
      </w:r>
      <w:r>
        <w:rPr>
          <w:rStyle w:val="1078"/>
          <w:rFonts w:hint="eastAsia" w:ascii="宋体" w:hAnsi="宋体" w:cs="宋体"/>
          <w:b/>
          <w:bCs/>
          <w:color w:val="auto"/>
          <w:sz w:val="28"/>
          <w:szCs w:val="28"/>
          <w:highlight w:val="none"/>
          <w:lang w:val="en-US" w:eastAsia="zh-CN"/>
        </w:rPr>
        <w:t xml:space="preserve">5</w:t>
      </w:r>
      <w:r>
        <w:rPr>
          <w:rStyle w:val="1078"/>
          <w:rFonts w:hint="eastAsia" w:ascii="宋体" w:hAnsi="宋体" w:cs="宋体"/>
          <w:b/>
          <w:bCs/>
          <w:color w:val="auto"/>
          <w:sz w:val="28"/>
          <w:szCs w:val="28"/>
          <w:highlight w:val="none"/>
        </w:rPr>
        <w:t xml:space="preserve">月</w:t>
      </w:r>
      <w:r>
        <w:rPr>
          <w:rStyle w:val="1078"/>
          <w:rFonts w:hint="eastAsia" w:ascii="宋体" w:hAnsi="宋体" w:cs="宋体"/>
          <w:b/>
          <w:bCs/>
          <w:color w:val="auto"/>
          <w:sz w:val="28"/>
          <w:szCs w:val="28"/>
          <w:highlight w:val="none"/>
          <w:lang w:val="en-US" w:eastAsia="zh-CN"/>
        </w:rPr>
        <w:t xml:space="preserve">25</w:t>
      </w:r>
      <w:r>
        <w:rPr>
          <w:rStyle w:val="1078"/>
          <w:rFonts w:hint="eastAsia" w:ascii="宋体" w:hAnsi="宋体" w:cs="宋体"/>
          <w:b/>
          <w:bCs/>
          <w:color w:val="auto"/>
          <w:sz w:val="28"/>
          <w:szCs w:val="28"/>
          <w:highlight w:val="none"/>
        </w:rPr>
        <w:t xml:space="preserve">日</w:t>
      </w:r>
      <w:r>
        <w:rPr>
          <w:rStyle w:val="1078"/>
          <w:rFonts w:hint="eastAsia" w:ascii="宋体" w:hAnsi="宋体" w:cs="宋体"/>
          <w:b/>
          <w:bCs/>
          <w:color w:val="auto"/>
          <w:sz w:val="28"/>
          <w:szCs w:val="28"/>
          <w:highlight w:val="none"/>
          <w:lang w:val="en-US" w:eastAsia="zh-CN"/>
        </w:rPr>
        <w:t xml:space="preserve">9</w:t>
      </w:r>
      <w:r>
        <w:rPr>
          <w:rStyle w:val="1078"/>
          <w:rFonts w:hint="eastAsia" w:ascii="宋体" w:hAnsi="宋体" w:cs="宋体"/>
          <w:b/>
          <w:bCs/>
          <w:color w:val="auto"/>
          <w:sz w:val="28"/>
          <w:szCs w:val="28"/>
          <w:highlight w:val="none"/>
        </w:rPr>
        <w:t xml:space="preserve">点</w:t>
      </w:r>
      <w:r>
        <w:rPr>
          <w:rStyle w:val="1078"/>
          <w:rFonts w:hint="eastAsia" w:ascii="宋体" w:hAnsi="宋体" w:cs="宋体"/>
          <w:b/>
          <w:bCs/>
          <w:color w:val="auto"/>
          <w:sz w:val="28"/>
          <w:szCs w:val="28"/>
          <w:highlight w:val="none"/>
          <w:lang w:val="en-US" w:eastAsia="zh-CN"/>
        </w:rPr>
        <w:t xml:space="preserve">30</w:t>
      </w:r>
      <w:r>
        <w:rPr>
          <w:rStyle w:val="1078"/>
          <w:rFonts w:hint="eastAsia" w:ascii="宋体" w:hAnsi="宋体" w:cs="宋体"/>
          <w:b/>
          <w:bCs/>
          <w:color w:val="auto"/>
          <w:sz w:val="28"/>
          <w:szCs w:val="28"/>
          <w:highlight w:val="none"/>
        </w:rPr>
        <w:t xml:space="preserve">分（北京时间）</w:t>
      </w:r>
      <w:r>
        <w:rPr>
          <w:rStyle w:val="1078"/>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78"/>
          <w:rFonts w:ascii="宋体" w:hAnsi="宋体" w:cs="宋体"/>
          <w:color w:val="auto"/>
          <w:sz w:val="28"/>
          <w:szCs w:val="28"/>
          <w:highlight w:val="none"/>
          <w:lang w:eastAsia="en-US"/>
        </w:rPr>
        <w:outlineLvl w:val="2"/>
      </w:pPr>
      <w:r/>
      <w:bookmarkStart w:id="13" w:name="_Toc24646"/>
      <w:r>
        <w:rPr>
          <w:rStyle w:val="1078"/>
          <w:rFonts w:hint="eastAsia" w:ascii="宋体" w:hAnsi="宋体" w:cs="宋体"/>
          <w:color w:val="auto"/>
          <w:sz w:val="28"/>
          <w:szCs w:val="28"/>
          <w:highlight w:val="none"/>
          <w:lang w:eastAsia="en-US"/>
        </w:rPr>
        <w:t xml:space="preserve">2.地点：“苏采云”系统（网址：http://jszfcg.jsczt.cn/）</w:t>
      </w:r>
      <w:bookmarkEnd w:id="13"/>
      <w:r>
        <w:rPr>
          <w:rStyle w:val="1078"/>
          <w:rFonts w:hint="eastAsia" w:ascii="宋体" w:hAnsi="宋体" w:cs="宋体"/>
          <w:color w:val="auto"/>
          <w:sz w:val="28"/>
          <w:szCs w:val="28"/>
          <w:highlight w:val="none"/>
        </w:rPr>
        <w:t xml:space="preserve">。</w:t>
      </w:r>
      <w:r/>
    </w:p>
    <w:p>
      <w:pPr>
        <w:ind w:firstLine="420"/>
        <w:spacing w:line="460" w:lineRule="exact"/>
        <w:rPr>
          <w:rStyle w:val="1078"/>
          <w:rFonts w:ascii="宋体" w:hAnsi="宋体" w:cs="宋体"/>
          <w:color w:val="auto"/>
          <w:sz w:val="28"/>
          <w:szCs w:val="28"/>
          <w:highlight w:val="none"/>
          <w:u w:val="single"/>
        </w:rPr>
      </w:pPr>
      <w:r>
        <w:rPr>
          <w:rStyle w:val="1078"/>
          <w:rFonts w:hint="eastAsia" w:ascii="宋体" w:hAnsi="宋体" w:cs="宋体"/>
          <w:color w:val="auto"/>
          <w:sz w:val="28"/>
          <w:szCs w:val="28"/>
          <w:highlight w:val="none"/>
        </w:rPr>
        <w:t xml:space="preserve">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078"/>
          <w:rFonts w:hint="eastAsia" w:ascii="宋体" w:hAnsi="宋体" w:cs="宋体"/>
          <w:b/>
          <w:bCs/>
          <w:color w:val="auto"/>
          <w:sz w:val="28"/>
          <w:szCs w:val="28"/>
          <w:highlight w:val="none"/>
        </w:rPr>
        <w:t xml:space="preserve">投标人解密限定在开标后30分钟之内完成</w:t>
      </w:r>
      <w:r>
        <w:rPr>
          <w:rStyle w:val="1078"/>
          <w:rFonts w:hint="eastAsia" w:ascii="宋体" w:hAnsi="宋体" w:cs="宋体"/>
          <w:color w:val="auto"/>
          <w:sz w:val="28"/>
          <w:szCs w:val="28"/>
          <w:highlight w:val="none"/>
        </w:rPr>
        <w:t xml:space="preserve">。</w:t>
      </w:r>
      <w:r>
        <w:rPr>
          <w:rStyle w:val="1078"/>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spacing w:line="440" w:lineRule="exact"/>
        <w:rPr>
          <w:rFonts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078"/>
          <w:rFonts w:hint="eastAsia" w:ascii="宋体" w:hAnsi="宋体" w:cs="宋体"/>
          <w:color w:val="auto"/>
          <w:sz w:val="28"/>
          <w:szCs w:val="28"/>
          <w:highlight w:val="none"/>
        </w:rPr>
        <w:t xml:space="preserve">。</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eastAsia="zh-CN"/>
        </w:rPr>
        <w:t xml:space="preserve">样品</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详见招标文件</w:t>
      </w:r>
      <w:r>
        <w:rPr>
          <w:rFonts w:hint="eastAsia" w:ascii="宋体" w:hAnsi="宋体" w:cs="宋体"/>
          <w:color w:val="auto"/>
          <w:sz w:val="28"/>
          <w:szCs w:val="28"/>
          <w:highlight w:val="none"/>
        </w:rPr>
        <w:t xml:space="preserve">。</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4.对招标</w:t>
      </w:r>
      <w:r>
        <w:rPr>
          <w:rFonts w:hint="eastAsia" w:ascii="宋体" w:hAnsi="宋体" w:cs="宋体"/>
          <w:color w:val="auto"/>
          <w:sz w:val="28"/>
          <w:szCs w:val="28"/>
          <w:highlight w:val="none"/>
          <w:lang w:eastAsia="zh-CN"/>
        </w:rPr>
        <w:t xml:space="preserve">方</w:t>
      </w:r>
      <w:r>
        <w:rPr>
          <w:rFonts w:hint="eastAsia" w:ascii="宋体" w:hAnsi="宋体" w:cs="宋体"/>
          <w:color w:val="auto"/>
          <w:sz w:val="28"/>
          <w:szCs w:val="28"/>
          <w:highlight w:val="none"/>
        </w:rPr>
        <w:t xml:space="preserve">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ascii="宋体" w:hAnsi="宋体" w:cs="宋体"/>
          <w:color w:val="auto"/>
          <w:sz w:val="28"/>
          <w:szCs w:val="28"/>
          <w:highlight w:val="none"/>
        </w:rPr>
      </w:pPr>
      <w:r/>
      <w:bookmarkStart w:id="18" w:name="_Toc20676"/>
      <w:r>
        <w:rPr>
          <w:rFonts w:hint="eastAsia" w:ascii="宋体" w:hAnsi="宋体" w:cs="宋体"/>
          <w:color w:val="auto"/>
          <w:sz w:val="28"/>
          <w:szCs w:val="28"/>
          <w:highlight w:val="none"/>
        </w:rPr>
        <w:t xml:space="preserve">1.招标人信息</w:t>
      </w:r>
      <w:bookmarkEnd w:id="18"/>
      <w:r/>
      <w:r/>
    </w:p>
    <w:p>
      <w:pPr>
        <w:ind w:firstLine="560"/>
        <w:spacing w:line="440" w:lineRule="exact"/>
        <w:rPr>
          <w:rFonts w:ascii="宋体" w:hAnsi="宋体" w:cs="宋体"/>
          <w:color w:val="auto"/>
          <w:sz w:val="28"/>
          <w:szCs w:val="28"/>
          <w:highlight w:val="none"/>
        </w:rPr>
      </w:pPr>
      <w:r/>
      <w:bookmarkStart w:id="19" w:name="_Toc28359020"/>
      <w:r/>
      <w:bookmarkStart w:id="20" w:name="_Toc35393638"/>
      <w:r/>
      <w:bookmarkStart w:id="21" w:name="_Toc35393807"/>
      <w:r/>
      <w:bookmarkStart w:id="22" w:name="_Toc28359097"/>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江苏航运职业技术学院</w:t>
      </w:r>
      <w:r>
        <w:rPr>
          <w:rFonts w:hint="eastAsia" w:ascii="宋体" w:hAnsi="宋体" w:cs="宋体"/>
          <w:color w:val="auto"/>
          <w:sz w:val="28"/>
          <w:szCs w:val="28"/>
          <w:highlight w:val="none"/>
        </w:rPr>
        <w:t xml:space="preserve">　　　　　　　　　　　　</w:t>
      </w:r>
      <w:bookmarkEnd w:id="19"/>
      <w:r/>
      <w:bookmarkEnd w:id="20"/>
      <w:r/>
      <w:bookmarkEnd w:id="21"/>
      <w:r/>
      <w:bookmarkEnd w:id="22"/>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地址：南通市崇川区通盛大道185号 </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联系人：</w:t>
      </w:r>
      <w:r>
        <w:rPr>
          <w:rFonts w:hint="eastAsia" w:ascii="宋体" w:hAnsi="宋体" w:cs="宋体"/>
          <w:color w:val="auto"/>
          <w:sz w:val="28"/>
          <w:szCs w:val="28"/>
          <w:highlight w:val="none"/>
          <w:lang w:eastAsia="zh-CN"/>
        </w:rPr>
        <w:t xml:space="preserve">宋老师</w:t>
      </w:r>
      <w:r>
        <w:rPr>
          <w:rFonts w:hint="eastAsia" w:ascii="宋体" w:hAnsi="宋体" w:cs="宋体"/>
          <w:color w:val="auto"/>
          <w:sz w:val="28"/>
          <w:szCs w:val="28"/>
          <w:highlight w:val="none"/>
          <w:lang w:val="en-US" w:eastAsia="zh-CN"/>
        </w:rPr>
        <w:t xml:space="preserve"> </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13862917236</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2.代理机构信息</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1.公开招标文件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2.招标人信用承诺书</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3.公平竞争审查二维码</w:t>
      </w:r>
      <w:r/>
    </w:p>
    <w:p>
      <w:pPr>
        <w:ind w:firstLine="720"/>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12269"/>
      <w:r/>
      <w:bookmarkStart w:id="24" w:name="_Toc28364"/>
      <w:r>
        <w:rPr>
          <w:rFonts w:hint="eastAsia" w:ascii="宋体" w:hAnsi="宋体" w:cs="宋体"/>
          <w:bCs/>
          <w:color w:val="auto"/>
          <w:sz w:val="36"/>
          <w:szCs w:val="36"/>
          <w:highlight w:val="none"/>
        </w:rPr>
        <w:t xml:space="preserve">第二部分  投标须知</w:t>
      </w:r>
      <w:bookmarkEnd w:id="23"/>
      <w:r/>
      <w:bookmarkEnd w:id="24"/>
      <w:r/>
      <w:r/>
    </w:p>
    <w:p>
      <w:pPr>
        <w:pStyle w:val="784"/>
        <w:ind w:firstLine="562"/>
        <w:spacing w:before="0" w:after="0" w:line="460" w:lineRule="exact"/>
        <w:rPr>
          <w:rFonts w:ascii="宋体" w:hAnsi="宋体" w:eastAsia="宋体" w:cs="宋体"/>
          <w:color w:val="auto"/>
          <w:sz w:val="28"/>
          <w:szCs w:val="28"/>
          <w:highlight w:val="none"/>
        </w:rPr>
      </w:pPr>
      <w:r/>
      <w:bookmarkStart w:id="25" w:name="_Toc16938519"/>
      <w:r/>
      <w:bookmarkStart w:id="26" w:name="_Toc120614214"/>
      <w:r/>
      <w:bookmarkStart w:id="27" w:name="_Toc2896"/>
      <w:r/>
      <w:bookmarkStart w:id="28" w:name="_Toc20823275"/>
      <w:r/>
      <w:bookmarkStart w:id="29" w:name="_Toc513029203"/>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ascii="宋体" w:hAnsi="宋体" w:cs="宋体"/>
          <w:b/>
          <w:bCs/>
          <w:color w:val="auto"/>
          <w:sz w:val="28"/>
          <w:szCs w:val="28"/>
          <w:highlight w:val="none"/>
        </w:rPr>
        <w:outlineLvl w:val="2"/>
      </w:pPr>
      <w:r/>
      <w:bookmarkStart w:id="30" w:name="_Hlt16619475"/>
      <w:r/>
      <w:bookmarkEnd w:id="30"/>
      <w:r/>
      <w:bookmarkStart w:id="31" w:name="_Toc458694821"/>
      <w:r/>
      <w:bookmarkStart w:id="32" w:name="_Toc2940"/>
      <w:r/>
      <w:bookmarkStart w:id="33" w:name="_Toc20823276"/>
      <w:r/>
      <w:bookmarkStart w:id="34" w:name="_Toc16938520"/>
      <w:r/>
      <w:bookmarkStart w:id="35" w:name="_Toc513029204"/>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ascii="宋体" w:hAnsi="宋体" w:cs="宋体"/>
          <w:b/>
          <w:bCs/>
          <w:color w:val="auto"/>
          <w:sz w:val="28"/>
          <w:szCs w:val="28"/>
          <w:highlight w:val="none"/>
        </w:rPr>
        <w:outlineLvl w:val="2"/>
      </w:pPr>
      <w:r/>
      <w:bookmarkStart w:id="36" w:name="_Toc513029205"/>
      <w:r/>
      <w:bookmarkStart w:id="37" w:name="_Toc20823277"/>
      <w:r/>
      <w:bookmarkStart w:id="38" w:name="_Toc16938521"/>
      <w:r/>
      <w:bookmarkStart w:id="39" w:name="_Toc32621"/>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b/>
          <w:bCs/>
          <w:color w:val="auto"/>
          <w:sz w:val="28"/>
          <w:szCs w:val="28"/>
          <w:highlight w:val="none"/>
        </w:rPr>
        <w:outlineLvl w:val="2"/>
      </w:pPr>
      <w:r/>
      <w:bookmarkStart w:id="40" w:name="_Toc16938522"/>
      <w:r/>
      <w:bookmarkStart w:id="41" w:name="_Toc1005"/>
      <w:r/>
      <w:bookmarkStart w:id="42" w:name="_Toc513029206"/>
      <w:r/>
      <w:bookmarkStart w:id="43" w:name="_Toc20823278"/>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b/>
          <w:bCs/>
          <w:color w:val="auto"/>
          <w:sz w:val="28"/>
          <w:szCs w:val="28"/>
          <w:highlight w:val="none"/>
        </w:rPr>
        <w:outlineLvl w:val="2"/>
      </w:pPr>
      <w:r/>
      <w:bookmarkStart w:id="44" w:name="_Toc513029207"/>
      <w:r/>
      <w:bookmarkStart w:id="45" w:name="_Toc16938523"/>
      <w:r/>
      <w:bookmarkStart w:id="46" w:name="_Toc20823279"/>
      <w:r/>
      <w:bookmarkStart w:id="47" w:name="_Toc462564067"/>
      <w:r/>
      <w:bookmarkStart w:id="48" w:name="_Toc2364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（以下简称招标代理机构）在任何情况下均无义务和责任承担这些费用。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4.2本项目采购代理服务费参照发改价格〔2011〕534号文标准的70%计收，由中标人承担。投标人报价时应综合考虑（不单列）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lang w:val="zh-CN"/>
        </w:rPr>
        <w:t xml:space="preserve">代理费定标后由</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候选人支付给代理机构。因</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原因导致</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结果变更或取消</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资格等，代理费不予退还。</w:t>
      </w:r>
      <w:r/>
    </w:p>
    <w:p>
      <w:pPr>
        <w:ind w:firstLine="560"/>
        <w:spacing w:line="460" w:lineRule="exact"/>
        <w:rPr>
          <w:rFonts w:ascii="宋体" w:hAnsi="宋体" w:cs="宋体"/>
          <w:b/>
          <w:bCs/>
          <w:color w:val="auto"/>
          <w:sz w:val="28"/>
          <w:szCs w:val="28"/>
          <w:highlight w:val="none"/>
        </w:rPr>
        <w:outlineLvl w:val="2"/>
      </w:pPr>
      <w:r/>
      <w:bookmarkStart w:id="49" w:name="_Toc19559"/>
      <w:r>
        <w:rPr>
          <w:rFonts w:hint="eastAsia" w:ascii="宋体" w:hAnsi="宋体" w:cs="宋体"/>
          <w:color w:val="auto"/>
          <w:sz w:val="28"/>
          <w:szCs w:val="28"/>
          <w:highlight w:val="none"/>
        </w:rPr>
        <w:t xml:space="preserve">5.招标文件的约束力</w:t>
      </w:r>
      <w:bookmarkEnd w:id="49"/>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招标文件需求部分（投标人资格要求、项目需求、商务技术评分标准）由招标人解释，其他部分由代理机构解释。</w:t>
      </w:r>
      <w:r/>
    </w:p>
    <w:p>
      <w:pPr>
        <w:pStyle w:val="784"/>
        <w:ind w:firstLine="562"/>
        <w:spacing w:before="0" w:after="0" w:line="460" w:lineRule="exact"/>
        <w:rPr>
          <w:rFonts w:ascii="宋体" w:hAnsi="宋体" w:eastAsia="宋体" w:cs="宋体"/>
          <w:color w:val="auto"/>
          <w:sz w:val="28"/>
          <w:szCs w:val="28"/>
          <w:highlight w:val="none"/>
        </w:rPr>
      </w:pPr>
      <w:r/>
      <w:bookmarkStart w:id="51" w:name="_Toc513029209"/>
      <w:r/>
      <w:bookmarkStart w:id="52" w:name="_Toc16938525"/>
      <w:r/>
      <w:bookmarkStart w:id="53" w:name="_Toc20823281"/>
      <w:r/>
      <w:bookmarkStart w:id="54" w:name="_Toc21896"/>
      <w:r/>
      <w:bookmarkStart w:id="55" w:name="_Toc120614215"/>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ascii="宋体" w:hAnsi="宋体" w:cs="宋体"/>
          <w:b/>
          <w:bCs/>
          <w:color w:val="auto"/>
          <w:sz w:val="28"/>
          <w:szCs w:val="28"/>
          <w:highlight w:val="none"/>
        </w:rPr>
        <w:outlineLvl w:val="2"/>
      </w:pPr>
      <w:r/>
      <w:bookmarkStart w:id="56" w:name="_Toc18925"/>
      <w:r/>
      <w:bookmarkStart w:id="57" w:name="_Toc16938526"/>
      <w:r/>
      <w:bookmarkStart w:id="58" w:name="_Toc513029210"/>
      <w:r/>
      <w:bookmarkStart w:id="59" w:name="_Toc20823282"/>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b/>
          <w:bCs/>
          <w:color w:val="auto"/>
          <w:sz w:val="28"/>
          <w:szCs w:val="28"/>
          <w:highlight w:val="none"/>
        </w:rPr>
        <w:outlineLvl w:val="2"/>
      </w:pPr>
      <w:r/>
      <w:bookmarkStart w:id="60" w:name="_Toc31712"/>
      <w:r/>
      <w:bookmarkStart w:id="61" w:name="_Toc20823283"/>
      <w:r/>
      <w:bookmarkStart w:id="62" w:name="_Toc16938527"/>
      <w:r/>
      <w:bookmarkStart w:id="63" w:name="_Toc462564070"/>
      <w:r/>
      <w:bookmarkStart w:id="64" w:name="_Toc513029211"/>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任何要求对招标文件进行澄清的投标人，应在投标截止期十日前按招标公告中的通讯地址，以书面形式通知招标人。招标人有权对发出的招标文件进行必要的澄清或修改</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2.2招标人视情组织答疑会</w:t>
      </w:r>
      <w:r/>
    </w:p>
    <w:p>
      <w:pPr>
        <w:ind w:firstLine="560"/>
        <w:spacing w:line="460" w:lineRule="exact"/>
        <w:rPr>
          <w:rFonts w:ascii="宋体" w:hAnsi="宋体" w:cs="宋体"/>
          <w:b/>
          <w:bCs/>
          <w:color w:val="auto"/>
          <w:sz w:val="28"/>
          <w:szCs w:val="28"/>
          <w:highlight w:val="none"/>
        </w:rPr>
        <w:outlineLvl w:val="2"/>
      </w:pPr>
      <w:r/>
      <w:bookmarkStart w:id="65" w:name="_Toc16938528"/>
      <w:r/>
      <w:bookmarkStart w:id="66" w:name="_Toc31249"/>
      <w:r/>
      <w:bookmarkStart w:id="67" w:name="_Toc513029212"/>
      <w:r/>
      <w:bookmarkStart w:id="68" w:name="_Toc462564071"/>
      <w:r/>
      <w:bookmarkStart w:id="69" w:name="_Toc20823284"/>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ascii="宋体" w:hAnsi="宋体" w:cs="宋体"/>
          <w:b/>
          <w:bCs/>
          <w:color w:val="auto"/>
          <w:sz w:val="28"/>
          <w:szCs w:val="28"/>
          <w:highlight w:val="none"/>
          <w:u w:val="single"/>
        </w:rPr>
      </w:pPr>
      <w:r/>
      <w:bookmarkStart w:id="70" w:name="_Toc513029213"/>
      <w:r/>
      <w:bookmarkStart w:id="71" w:name="_Toc16938529"/>
      <w:r/>
      <w:bookmarkStart w:id="72" w:name="_Toc20823285"/>
      <w:r/>
      <w:bookmarkStart w:id="73" w:name="_Toc462564072"/>
      <w:r/>
      <w:bookmarkStart w:id="74" w:name="_Toc120614216"/>
      <w:r>
        <w:rPr>
          <w:rFonts w:hint="eastAsia" w:ascii="宋体" w:hAnsi="宋体" w:cs="宋体"/>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ascii="宋体" w:hAnsi="宋体" w:cs="宋体"/>
          <w:color w:val="auto"/>
          <w:sz w:val="24"/>
          <w:highlight w:val="none"/>
        </w:rPr>
      </w:pPr>
      <w:r>
        <w:rPr>
          <w:rFonts w:hint="eastAsia" w:ascii="宋体" w:hAnsi="宋体" w:cs="宋体"/>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pStyle w:val="784"/>
        <w:ind w:firstLine="562"/>
        <w:spacing w:before="0" w:after="0" w:line="460" w:lineRule="exact"/>
        <w:rPr>
          <w:rFonts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ascii="宋体" w:hAnsi="宋体" w:cs="宋体"/>
          <w:bCs/>
          <w:color w:val="auto"/>
          <w:sz w:val="28"/>
          <w:szCs w:val="28"/>
          <w:highlight w:val="none"/>
        </w:rPr>
        <w:outlineLvl w:val="2"/>
      </w:pPr>
      <w:r/>
      <w:bookmarkStart w:id="76" w:name="_Toc462564073"/>
      <w:r/>
      <w:bookmarkStart w:id="77" w:name="_Toc513029214"/>
      <w:r/>
      <w:bookmarkStart w:id="78" w:name="_Toc32352"/>
      <w:r/>
      <w:bookmarkStart w:id="79" w:name="_Toc20823286"/>
      <w:r/>
      <w:bookmarkStart w:id="80" w:name="_Toc16938530"/>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ascii="宋体" w:hAnsi="宋体" w:cs="宋体"/>
          <w:b/>
          <w:bCs/>
          <w:color w:val="auto"/>
          <w:sz w:val="28"/>
          <w:szCs w:val="28"/>
          <w:highlight w:val="none"/>
        </w:rPr>
        <w:outlineLvl w:val="2"/>
      </w:pPr>
      <w:r/>
      <w:bookmarkStart w:id="81" w:name="_Toc28358"/>
      <w:r/>
      <w:bookmarkStart w:id="82" w:name="_Toc513029215"/>
      <w:r/>
      <w:bookmarkStart w:id="83" w:name="_Toc20823287"/>
      <w:r/>
      <w:bookmarkStart w:id="84" w:name="_Toc462564074"/>
      <w:r/>
      <w:bookmarkStart w:id="85" w:name="_Toc16938531"/>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ascii="宋体" w:hAnsi="宋体" w:cs="宋体"/>
          <w:b/>
          <w:bCs/>
          <w:color w:val="auto"/>
          <w:sz w:val="28"/>
          <w:szCs w:val="28"/>
          <w:highlight w:val="none"/>
        </w:rPr>
        <w:outlineLvl w:val="2"/>
      </w:pPr>
      <w:r/>
      <w:bookmarkStart w:id="86" w:name="_Hlt26670360"/>
      <w:r/>
      <w:bookmarkEnd w:id="86"/>
      <w:r/>
      <w:bookmarkStart w:id="87" w:name="_Hlt26954838"/>
      <w:r/>
      <w:bookmarkEnd w:id="87"/>
      <w:r/>
      <w:bookmarkStart w:id="88" w:name="_Hlt26668975"/>
      <w:r/>
      <w:bookmarkEnd w:id="88"/>
      <w:r/>
      <w:bookmarkStart w:id="89" w:name="_Toc49090511"/>
      <w:r/>
      <w:bookmarkStart w:id="90" w:name="_Toc18141"/>
      <w:r/>
      <w:bookmarkStart w:id="91" w:name="_Toc14577360"/>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outlineLvl w:val="2"/>
      </w:pPr>
      <w:r/>
      <w:bookmarkStart w:id="93" w:name="_Hlt26954852"/>
      <w:r/>
      <w:bookmarkEnd w:id="93"/>
      <w:r/>
      <w:bookmarkStart w:id="94" w:name="_Hlt26954739"/>
      <w:r/>
      <w:bookmarkEnd w:id="94"/>
      <w:r/>
      <w:bookmarkStart w:id="95" w:name="_Toc27948"/>
      <w:r/>
      <w:bookmarkStart w:id="96" w:name="_Toc20823296"/>
      <w:r/>
      <w:bookmarkStart w:id="97" w:name="_Toc16938540"/>
      <w:r/>
      <w:bookmarkStart w:id="98" w:name="_Toc120614217"/>
      <w:r/>
      <w:bookmarkStart w:id="99" w:name="_Toc513029224"/>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784"/>
        <w:ind w:firstLine="562"/>
        <w:spacing w:before="0" w:after="0" w:line="460" w:lineRule="exact"/>
        <w:rPr>
          <w:rFonts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ascii="宋体" w:hAnsi="宋体" w:cs="宋体"/>
          <w:bCs/>
          <w:color w:val="auto"/>
          <w:sz w:val="28"/>
          <w:szCs w:val="28"/>
          <w:highlight w:val="none"/>
        </w:rPr>
        <w:outlineLvl w:val="2"/>
      </w:pPr>
      <w:r/>
      <w:bookmarkStart w:id="101" w:name="_Toc513029225"/>
      <w:r/>
      <w:bookmarkStart w:id="102" w:name="_Toc20823297"/>
      <w:r/>
      <w:bookmarkStart w:id="103" w:name="_Toc462564084"/>
      <w:r/>
      <w:bookmarkStart w:id="104" w:name="_Toc16938541"/>
      <w:r/>
      <w:bookmarkStart w:id="105" w:name="_Toc28087"/>
      <w:r/>
      <w:bookmarkStart w:id="106" w:name="_Toc20823301"/>
      <w:r/>
      <w:bookmarkStart w:id="107" w:name="_Toc16938545"/>
      <w:r/>
      <w:bookmarkStart w:id="108" w:name="_Toc120614218"/>
      <w:r/>
      <w:bookmarkStart w:id="109" w:name="_Toc513029229"/>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4.1招标代理机构拒绝接收在其规定的投标文件提交截止时间后上传的任何投标文件。</w:t>
      </w:r>
      <w:r/>
    </w:p>
    <w:p>
      <w:pPr>
        <w:ind w:firstLine="560"/>
        <w:spacing w:line="460" w:lineRule="exact"/>
        <w:rPr>
          <w:rFonts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784"/>
        <w:ind w:firstLine="562"/>
        <w:spacing w:before="0" w:after="0" w:line="460" w:lineRule="exact"/>
        <w:rPr>
          <w:rFonts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ascii="宋体" w:hAnsi="宋体" w:cs="宋体"/>
          <w:bCs/>
          <w:color w:val="auto"/>
          <w:sz w:val="28"/>
          <w:szCs w:val="28"/>
          <w:highlight w:val="none"/>
        </w:rPr>
        <w:outlineLvl w:val="2"/>
      </w:pPr>
      <w:r/>
      <w:bookmarkStart w:id="115" w:name="_Toc20724"/>
      <w:r/>
      <w:bookmarkStart w:id="116" w:name="_Toc20823303"/>
      <w:r/>
      <w:bookmarkStart w:id="117" w:name="_Toc513029231"/>
      <w:r/>
      <w:bookmarkStart w:id="118" w:name="_Toc16938547"/>
      <w:r>
        <w:rPr>
          <w:rFonts w:hint="eastAsia" w:ascii="宋体" w:hAnsi="宋体" w:cs="宋体"/>
          <w:bCs/>
          <w:color w:val="auto"/>
          <w:sz w:val="28"/>
          <w:szCs w:val="28"/>
          <w:highlight w:val="none"/>
        </w:rPr>
        <w:t xml:space="preserve">1.开标</w:t>
      </w:r>
      <w:bookmarkEnd w:id="115"/>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48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rPr>
        <w:t xml:space="preserve">招标代理机构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2.1开标后，招标代理机构将立即组织评标委员会（以下简称评委会）进行评审。</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2.2评委会由招标人代表和有关技术、经济等方面的专家组成，且人员构成符合政府采购有关规定。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48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3.5在评审期间，招标代理机构将设专门人员与投标人联系。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3.6招标人、招标代理机构和评标委员会不向未中标的投标人解释未中标原因，也不公布评审过程中的相关细节。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5.1.1资格性检查：依据法律法规和招标文件的规定，由招标人对投标文件中的资格证明文件进行审查。资格审查的结论，招标人以书面形式向评委会进行反馈。</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5.1.2招标人在进行资格性审查的同时，将在“信用中国”网站（www.creditchina.gov.cn）查询投标人的信用记录，以确定投标人是否具备投标资格,查询结果留存并归档。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w:t>
      </w:r>
      <w:r>
        <w:rPr>
          <w:rFonts w:hint="eastAsia" w:ascii="宋体" w:hAnsi="宋体" w:cs="宋体"/>
          <w:bCs/>
          <w:color w:val="auto"/>
          <w:sz w:val="28"/>
          <w:szCs w:val="28"/>
          <w:highlight w:val="none"/>
          <w:lang w:eastAsia="zh-CN"/>
        </w:rPr>
        <w:t xml:space="preserve">信用记录</w:t>
      </w:r>
      <w:r>
        <w:rPr>
          <w:rFonts w:hint="eastAsia" w:ascii="宋体" w:hAnsi="宋体" w:cs="宋体"/>
          <w:bCs/>
          <w:color w:val="auto"/>
          <w:sz w:val="28"/>
          <w:szCs w:val="28"/>
          <w:highlight w:val="none"/>
        </w:rPr>
        <w:t xml:space="preserve">。</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5.1.5未通过资格审查或符合性审查的投标人，招标代理机构将在苏采云系统中告知未通过资格审查或符合性审查的原因，评审结束后，招标代理机构将不再告知未通过资格审查或符合性审查的原因。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5.2</w:t>
      </w:r>
      <w:r>
        <w:rPr>
          <w:rFonts w:hint="eastAsia" w:ascii="宋体" w:hAnsi="宋体" w:cs="宋体"/>
          <w:bCs/>
          <w:color w:val="auto"/>
          <w:sz w:val="28"/>
          <w:szCs w:val="28"/>
          <w:highlight w:val="none"/>
        </w:rPr>
        <w:t xml:space="preserve">异常低价审查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（1）根据财库〔2026〕2号文件,政府采购评审中出现下列情形之一的，评审委员会应当启动异常低价投标（响应）审查程序：</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①</w:t>
      </w:r>
      <w:r>
        <w:rPr>
          <w:rFonts w:hint="eastAsia" w:ascii="宋体" w:hAnsi="宋体" w:cs="宋体"/>
          <w:bCs/>
          <w:color w:val="auto"/>
          <w:sz w:val="28"/>
          <w:szCs w:val="28"/>
          <w:highlight w:val="none"/>
        </w:rPr>
        <w:t xml:space="preserve">投标（响应）报价低于全部通过符合性审查供应商投标（响应）报价平均值50%的，即投标（响应）报价&lt;全部通过符合性审查供应商投标（响应）报价平均值×50%；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②</w:t>
      </w:r>
      <w:r>
        <w:rPr>
          <w:rFonts w:hint="eastAsia" w:ascii="宋体" w:hAnsi="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③</w:t>
      </w:r>
      <w:r>
        <w:rPr>
          <w:rFonts w:hint="eastAsia" w:ascii="宋体" w:hAnsi="宋体" w:cs="宋体"/>
          <w:bCs/>
          <w:color w:val="auto"/>
          <w:sz w:val="28"/>
          <w:szCs w:val="28"/>
          <w:highlight w:val="none"/>
        </w:rPr>
        <w:t xml:space="preserve">投标（响应）报价低于采购项目最高限价</w:t>
      </w:r>
      <w:r>
        <w:rPr>
          <w:rFonts w:hint="eastAsia" w:ascii="宋体" w:hAnsi="宋体" w:cs="宋体"/>
          <w:bCs/>
          <w:color w:val="auto"/>
          <w:sz w:val="28"/>
          <w:szCs w:val="28"/>
          <w:highlight w:val="none"/>
          <w:lang w:val="en-US" w:eastAsia="zh-CN"/>
        </w:rPr>
        <w:t xml:space="preserve">45</w:t>
      </w:r>
      <w:r>
        <w:rPr>
          <w:rFonts w:hint="eastAsia" w:ascii="宋体" w:hAnsi="宋体" w:cs="宋体"/>
          <w:bCs/>
          <w:color w:val="auto"/>
          <w:sz w:val="28"/>
          <w:szCs w:val="28"/>
          <w:highlight w:val="none"/>
        </w:rPr>
        <w:t xml:space="preserve">%的，即投标（响应）报价&lt;采购项目最高限价×</w:t>
      </w:r>
      <w:r>
        <w:rPr>
          <w:rFonts w:hint="eastAsia" w:ascii="宋体" w:hAnsi="宋体" w:cs="宋体"/>
          <w:bCs/>
          <w:color w:val="auto"/>
          <w:sz w:val="28"/>
          <w:szCs w:val="28"/>
          <w:highlight w:val="none"/>
          <w:lang w:val="en-US" w:eastAsia="zh-CN"/>
        </w:rPr>
        <w:t xml:space="preserve">45</w:t>
      </w:r>
      <w:r>
        <w:rPr>
          <w:rFonts w:hint="eastAsia" w:ascii="宋体" w:hAnsi="宋体" w:cs="宋体"/>
          <w:bCs/>
          <w:color w:val="auto"/>
          <w:sz w:val="28"/>
          <w:szCs w:val="28"/>
          <w:highlight w:val="none"/>
        </w:rPr>
        <w:t xml:space="preserve">%；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④</w:t>
      </w:r>
      <w:r>
        <w:rPr>
          <w:rFonts w:hint="eastAsia" w:ascii="宋体" w:hAnsi="宋体" w:cs="宋体"/>
          <w:bCs/>
          <w:color w:val="auto"/>
          <w:sz w:val="28"/>
          <w:szCs w:val="28"/>
          <w:highlight w:val="none"/>
        </w:rPr>
        <w:t xml:space="preserve">评审委员会基于专业判断，认为供应商报价过低，有可能影响产品质量或者不能诚信履约的其他情形。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highlight w:val="none"/>
          <w:lang w:eastAsia="zh-CN"/>
        </w:rPr>
        <w:t xml:space="preserve">③</w:t>
      </w:r>
      <w:r>
        <w:rPr>
          <w:rFonts w:hint="eastAsia" w:ascii="宋体" w:hAnsi="宋体" w:cs="宋体"/>
          <w:bCs/>
          <w:color w:val="auto"/>
          <w:sz w:val="28"/>
          <w:szCs w:val="28"/>
          <w:highlight w:val="none"/>
        </w:rPr>
        <w:t xml:space="preserve">项情形，投标人已随投标（响应）文件一并提交相关书面说明及必要的证明材料的，在评审现场可不再重复提交。</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投标人在开、评标全过程中应保持通讯畅通，及时登录苏采云系统查阅、答复相关信息，并安排专人与招标人或招标代理机构及评标委员会联系。</w:t>
      </w:r>
      <w:r/>
    </w:p>
    <w:p>
      <w:pPr>
        <w:ind w:firstLine="480"/>
        <w:spacing w:line="460" w:lineRule="exact"/>
        <w:rPr>
          <w:rFonts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ascii="宋体" w:hAnsi="宋体" w:cs="宋体"/>
          <w:bCs/>
          <w:color w:val="auto"/>
          <w:sz w:val="28"/>
          <w:szCs w:val="28"/>
          <w:highlight w:val="none"/>
        </w:rPr>
      </w:pPr>
      <w:r/>
      <w:bookmarkStart w:id="125" w:name="_Toc513029235"/>
      <w:r/>
      <w:bookmarkStart w:id="126" w:name="_Toc20823307"/>
      <w:r/>
      <w:bookmarkStart w:id="127" w:name="_Toc16938551"/>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7.1.7投标文件含有招标人不能接受的附加条件的 。</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7.1.</w:t>
      </w:r>
      <w:r>
        <w:rPr>
          <w:rFonts w:hint="eastAsia" w:ascii="宋体" w:hAnsi="宋体" w:cs="宋体"/>
          <w:b/>
          <w:color w:val="auto"/>
          <w:sz w:val="28"/>
          <w:szCs w:val="28"/>
          <w:highlight w:val="none"/>
          <w:lang w:val="en-US" w:eastAsia="zh-CN"/>
        </w:rPr>
        <w:t xml:space="preserve">9</w:t>
      </w:r>
      <w:r>
        <w:rPr>
          <w:rFonts w:hint="eastAsia" w:ascii="宋体" w:hAnsi="宋体" w:cs="宋体"/>
          <w:b/>
          <w:color w:val="auto"/>
          <w:sz w:val="28"/>
          <w:szCs w:val="28"/>
          <w:highlight w:val="none"/>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0</w:t>
      </w:r>
      <w:r>
        <w:rPr>
          <w:rFonts w:hint="eastAsia" w:ascii="宋体" w:hAnsi="宋体" w:cs="宋体"/>
          <w:bCs/>
          <w:color w:val="auto"/>
          <w:sz w:val="28"/>
          <w:szCs w:val="28"/>
          <w:highlight w:val="none"/>
        </w:rPr>
        <w:t xml:space="preserve">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投标人的商务技术部分得分相差悬殊，评标委员会认为得分畸低者（投标人商务技术得分低于商务技术总分50%的）没有实质性响应的。</w:t>
      </w:r>
      <w:r/>
    </w:p>
    <w:p>
      <w:pPr>
        <w:pStyle w:val="1102"/>
        <w:ind w:left="0" w:firstLine="560"/>
        <w:rPr>
          <w:rFonts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w:t>
      </w:r>
      <w:r>
        <w:rPr>
          <w:rFonts w:hint="eastAsia" w:ascii="宋体" w:hAnsi="宋体" w:eastAsia="宋体" w:cs="宋体"/>
          <w:bCs/>
          <w:color w:val="auto"/>
          <w:szCs w:val="28"/>
          <w:highlight w:val="none"/>
          <w:lang w:val="en-US" w:eastAsia="zh-CN"/>
        </w:rPr>
        <w:t xml:space="preserve">2</w:t>
      </w:r>
      <w:r>
        <w:rPr>
          <w:rFonts w:hint="eastAsia" w:ascii="宋体" w:hAnsi="宋体" w:eastAsia="宋体" w:cs="宋体"/>
          <w:bCs/>
          <w:color w:val="auto"/>
          <w:szCs w:val="28"/>
          <w:highlight w:val="none"/>
        </w:rPr>
        <w:t xml:space="preserve">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784"/>
        <w:ind w:firstLine="562"/>
        <w:spacing w:before="0" w:after="0" w:line="460" w:lineRule="exact"/>
        <w:rPr>
          <w:rFonts w:ascii="宋体" w:hAnsi="宋体" w:eastAsia="宋体" w:cs="宋体"/>
          <w:color w:val="auto"/>
          <w:sz w:val="28"/>
          <w:szCs w:val="28"/>
          <w:highlight w:val="none"/>
        </w:rPr>
      </w:pPr>
      <w:r/>
      <w:bookmarkStart w:id="128" w:name="_Toc27597"/>
      <w:r/>
      <w:bookmarkStart w:id="129" w:name="_Toc120614219"/>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ascii="宋体" w:hAnsi="宋体" w:cs="宋体"/>
          <w:b/>
          <w:color w:val="auto"/>
          <w:sz w:val="28"/>
          <w:szCs w:val="28"/>
          <w:highlight w:val="none"/>
        </w:rPr>
        <w:outlineLvl w:val="2"/>
      </w:pPr>
      <w:r/>
      <w:bookmarkStart w:id="130" w:name="_Toc20823310"/>
      <w:r/>
      <w:bookmarkStart w:id="131" w:name="_Toc16938554"/>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1.2招标人授权评委会在中标候选人中直接确定中标人。</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1.4.2向招标人、代理机构行贿或者提供其他不正当利益的。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1.4.5与招标人或者其他投标人恶意串通的。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2.4对招标</w:t>
      </w:r>
      <w:r>
        <w:rPr>
          <w:rFonts w:hint="eastAsia" w:ascii="宋体" w:hAnsi="宋体" w:cs="宋体"/>
          <w:color w:val="auto"/>
          <w:sz w:val="28"/>
          <w:szCs w:val="28"/>
          <w:highlight w:val="none"/>
          <w:lang w:eastAsia="zh-CN"/>
        </w:rPr>
        <w:t xml:space="preserve">方式</w:t>
      </w:r>
      <w:r>
        <w:rPr>
          <w:rFonts w:hint="eastAsia" w:ascii="宋体" w:hAnsi="宋体" w:cs="宋体"/>
          <w:color w:val="auto"/>
          <w:sz w:val="28"/>
          <w:szCs w:val="28"/>
          <w:highlight w:val="none"/>
        </w:rPr>
        <w:t xml:space="preserve">、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招标人及代理机构质疑接收人及联系方式，见招标文件第一部分。</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3.2中标通知书将是合同的一个组成部分。对招标人和中标人均具有法律效力。中标通知书发出后，招标人改变中标结果的，或者中标人放弃中标项目的，应当依法承担法律责任。</w:t>
      </w:r>
      <w:r/>
    </w:p>
    <w:p>
      <w:pPr>
        <w:pStyle w:val="784"/>
        <w:ind w:firstLine="562"/>
        <w:spacing w:before="0" w:after="0" w:line="460" w:lineRule="exact"/>
        <w:rPr>
          <w:rFonts w:ascii="宋体" w:hAnsi="宋体" w:eastAsia="宋体" w:cs="宋体"/>
          <w:color w:val="auto"/>
          <w:sz w:val="28"/>
          <w:szCs w:val="28"/>
          <w:highlight w:val="none"/>
        </w:rPr>
      </w:pPr>
      <w:r/>
      <w:bookmarkStart w:id="136" w:name="_Toc120614220"/>
      <w:r/>
      <w:bookmarkStart w:id="137" w:name="_Toc16938552"/>
      <w:r/>
      <w:bookmarkStart w:id="138" w:name="_Toc513029236"/>
      <w:r/>
      <w:bookmarkStart w:id="139" w:name="_Toc20823308"/>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4套</w:t>
      </w:r>
      <w:r>
        <w:rPr>
          <w:rFonts w:hint="eastAsia" w:ascii="宋体" w:hAnsi="宋体" w:eastAsia="宋体" w:cs="宋体"/>
          <w:color w:val="auto"/>
          <w:sz w:val="28"/>
          <w:szCs w:val="28"/>
          <w:highlight w:val="none"/>
        </w:rPr>
        <w:t xml:space="preserve">加盖红章的系统内打印的纸质响应文件给招标代理机构。</w:t>
      </w:r>
      <w:r/>
    </w:p>
    <w:p>
      <w:pPr>
        <w:pStyle w:val="784"/>
        <w:ind w:firstLine="562"/>
        <w:spacing w:before="0" w:after="0" w:line="420" w:lineRule="exact"/>
        <w:rPr>
          <w:rFonts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w:t>
      </w:r>
      <w:r>
        <w:rPr>
          <w:rFonts w:hint="eastAsia" w:ascii="宋体" w:hAnsi="宋体" w:cs="宋体"/>
          <w:color w:val="auto"/>
          <w:sz w:val="28"/>
          <w:szCs w:val="28"/>
          <w:highlight w:val="none"/>
          <w:lang w:val="en-US" w:eastAsia="zh-CN"/>
        </w:rPr>
        <w:t xml:space="preserve">三十</w:t>
      </w:r>
      <w:r>
        <w:rPr>
          <w:rFonts w:hint="eastAsia" w:ascii="宋体" w:hAnsi="宋体" w:cs="宋体"/>
          <w:color w:val="auto"/>
          <w:sz w:val="28"/>
          <w:szCs w:val="28"/>
          <w:highlight w:val="none"/>
        </w:rPr>
        <w:t xml:space="preserve">日内，按照招标文件确定的事项与招标人签订政府采购合同。</w:t>
      </w:r>
      <w:r/>
    </w:p>
    <w:p>
      <w:pPr>
        <w:ind w:firstLine="422"/>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r/>
    </w:p>
    <w:p>
      <w:pPr>
        <w:ind w:firstLine="560"/>
        <w:spacing w:line="42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1.4如中标人为产品销售商，则在中标后、签订合同前，中标人须提供产品生产商有关资质文件及授权书核验。如果无法提供，则招示人拒签合同。招标人可以按照评标委员会提出的中标候选人名单排字依次确定其他中标候选人为中标人，也可以重新招标。</w:t>
      </w:r>
      <w:r/>
    </w:p>
    <w:p>
      <w:pPr>
        <w:ind w:firstLine="560"/>
        <w:keepNext/>
        <w:spacing w:line="420" w:lineRule="exact"/>
        <w:rPr>
          <w:rFonts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21690"/>
      <w:r/>
      <w:bookmarkStart w:id="146" w:name="_Toc8914"/>
      <w:r>
        <w:rPr>
          <w:rFonts w:hint="eastAsia" w:ascii="宋体" w:hAnsi="宋体" w:cs="宋体"/>
          <w:bCs/>
          <w:color w:val="auto"/>
          <w:sz w:val="36"/>
          <w:szCs w:val="36"/>
          <w:highlight w:val="none"/>
        </w:rPr>
        <w:t xml:space="preserve">第三部分  项目需求</w:t>
      </w:r>
      <w:bookmarkEnd w:id="145"/>
      <w:r/>
      <w:bookmarkEnd w:id="14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ind w:firstLine="562"/>
        <w:spacing w:line="460" w:lineRule="exact"/>
        <w:rPr>
          <w:b/>
          <w:bCs/>
          <w:color w:val="auto"/>
          <w:highlight w:val="none"/>
        </w:rPr>
      </w:pPr>
      <w:r>
        <w:rPr>
          <w:rFonts w:hint="eastAsia" w:ascii="宋体" w:hAnsi="宋体" w:cs="宋体"/>
          <w:b/>
          <w:bCs/>
          <w:color w:val="auto"/>
          <w:sz w:val="28"/>
          <w:szCs w:val="28"/>
          <w:highlight w:val="none"/>
        </w:rPr>
        <w:t xml:space="preserve">一、项目属性：货物类项目。</w:t>
      </w:r>
      <w:r/>
    </w:p>
    <w:p>
      <w:pPr>
        <w:pStyle w:val="1014"/>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二、采购清单</w:t>
      </w:r>
      <w:r/>
    </w:p>
    <w:tbl>
      <w:tblPr>
        <w:tblStyle w:val="793"/>
        <w:tblW w:w="551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 w:type="dxa"/>
          <w:top w:w="0" w:type="dxa"/>
          <w:right w:w="10" w:type="dxa"/>
          <w:bottom w:w="0" w:type="dxa"/>
        </w:tblCellMar>
        <w:tblLook w:val="04A0" w:firstRow="1" w:lastRow="0" w:firstColumn="1" w:lastColumn="0" w:noHBand="0" w:noVBand="1"/>
      </w:tblPr>
      <w:tblGrid>
        <w:gridCol w:w="654"/>
        <w:gridCol w:w="851"/>
        <w:gridCol w:w="1838"/>
        <w:gridCol w:w="2093"/>
        <w:gridCol w:w="633"/>
        <w:gridCol w:w="592"/>
        <w:gridCol w:w="840"/>
        <w:gridCol w:w="826"/>
        <w:gridCol w:w="888"/>
      </w:tblGrid>
      <w:tr>
        <w:trPr>
          <w:jc w:val="center"/>
          <w:trHeight w:val="1266"/>
        </w:trPr>
        <w:tc>
          <w:tcPr>
            <w:tcMar>
              <w:left w:w="20" w:type="dxa"/>
              <w:top w:w="20" w:type="dxa"/>
              <w:right w:w="20" w:type="dxa"/>
              <w:bottom w:w="20" w:type="dxa"/>
            </w:tcMar>
            <w:tcW w:w="354"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序号</w:t>
            </w:r>
            <w:r/>
          </w:p>
        </w:tc>
        <w:tc>
          <w:tcPr>
            <w:tcMar>
              <w:left w:w="20" w:type="dxa"/>
              <w:top w:w="20" w:type="dxa"/>
              <w:right w:w="20" w:type="dxa"/>
              <w:bottom w:w="20" w:type="dxa"/>
            </w:tcMar>
            <w:tcW w:w="461"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采购标的</w:t>
            </w:r>
            <w:r/>
          </w:p>
        </w:tc>
        <w:tc>
          <w:tcPr>
            <w:tcMar>
              <w:left w:w="20" w:type="dxa"/>
              <w:top w:w="20" w:type="dxa"/>
              <w:right w:w="20" w:type="dxa"/>
              <w:bottom w:w="20" w:type="dxa"/>
            </w:tcMar>
            <w:tcW w:w="997"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对应中小企业划分标准所属行业</w:t>
            </w:r>
            <w:r/>
          </w:p>
        </w:tc>
        <w:tc>
          <w:tcPr>
            <w:tcBorders>
              <w:right w:val="single" w:color="auto" w:sz="4" w:space="0"/>
            </w:tcBorders>
            <w:tcMar>
              <w:left w:w="20" w:type="dxa"/>
              <w:top w:w="20" w:type="dxa"/>
              <w:right w:w="20" w:type="dxa"/>
              <w:bottom w:w="20" w:type="dxa"/>
            </w:tcMar>
            <w:tcW w:w="1135"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规格尺寸</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Mar>
              <w:left w:w="20" w:type="dxa"/>
              <w:top w:w="20" w:type="dxa"/>
              <w:right w:w="20" w:type="dxa"/>
              <w:bottom w:w="20" w:type="dxa"/>
            </w:tcMar>
            <w:tcW w:w="321"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单位</w:t>
            </w:r>
            <w:r/>
          </w:p>
        </w:tc>
        <w:tc>
          <w:tcPr>
            <w:tcMar>
              <w:left w:w="20" w:type="dxa"/>
              <w:top w:w="20" w:type="dxa"/>
              <w:right w:w="20" w:type="dxa"/>
              <w:bottom w:w="20" w:type="dxa"/>
            </w:tcMar>
            <w:tcW w:w="455"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是否主要标的</w:t>
            </w:r>
            <w:r/>
          </w:p>
        </w:tc>
        <w:tc>
          <w:tcPr>
            <w:tcMar>
              <w:left w:w="20" w:type="dxa"/>
              <w:top w:w="20" w:type="dxa"/>
              <w:right w:w="20" w:type="dxa"/>
              <w:bottom w:w="20" w:type="dxa"/>
            </w:tcMar>
            <w:tcW w:w="448" w:type="pct"/>
            <w:vAlign w:val="center"/>
            <w:textDirection w:val="lrTb"/>
            <w:noWrap w:val="false"/>
          </w:tcPr>
          <w:p>
            <w:pPr>
              <w:jc w:val="center"/>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是否核心产品</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是否强制节能</w:t>
            </w:r>
            <w:r/>
          </w:p>
        </w:tc>
      </w:tr>
      <w:tr>
        <w:trPr>
          <w:jc w:val="center"/>
          <w:trHeight w:val="692"/>
        </w:trPr>
        <w:tc>
          <w:tcPr>
            <w:tcMar>
              <w:left w:w="20" w:type="dxa"/>
              <w:top w:w="20" w:type="dxa"/>
              <w:right w:w="20" w:type="dxa"/>
              <w:bottom w:w="20" w:type="dxa"/>
            </w:tcMar>
            <w:tcW w:w="354"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仿宋"/>
                <w:color w:val="auto"/>
                <w:sz w:val="24"/>
                <w:szCs w:val="24"/>
                <w:highlight w:val="none"/>
                <w:lang w:val="zh-CN"/>
              </w:rPr>
              <w:t xml:space="preserve">1</w:t>
            </w:r>
            <w:r/>
          </w:p>
        </w:tc>
        <w:tc>
          <w:tcPr>
            <w:tcMar>
              <w:left w:w="20" w:type="dxa"/>
              <w:top w:w="20" w:type="dxa"/>
              <w:right w:w="20" w:type="dxa"/>
              <w:bottom w:w="20" w:type="dxa"/>
            </w:tcMar>
            <w:tcW w:w="461" w:type="pct"/>
            <w:vAlign w:val="center"/>
            <w:textDirection w:val="lrTb"/>
            <w:noWrap w:val="false"/>
          </w:tcPr>
          <w:p>
            <w:pPr>
              <w:jc w:val="center"/>
              <w:spacing w:line="460" w:lineRule="exact"/>
              <w:rPr>
                <w:rFonts w:hint="eastAsia" w:ascii="宋体" w:hAnsi="宋体" w:eastAsia="宋体" w:cs="宋体"/>
                <w:color w:val="auto"/>
                <w:sz w:val="24"/>
                <w:szCs w:val="24"/>
                <w:highlight w:val="none"/>
                <w:lang w:val="en-US" w:eastAsia="zh-CN"/>
              </w:rPr>
            </w:pPr>
            <w:r>
              <w:rPr>
                <w:rFonts w:ascii="宋体" w:hAnsi="宋体" w:cs="宋体"/>
                <w:bCs/>
                <w:color w:val="auto"/>
                <w:sz w:val="24"/>
                <w:szCs w:val="24"/>
                <w:highlight w:val="none"/>
              </w:rPr>
              <w:t xml:space="preserve">上下铺铁床</w:t>
            </w:r>
            <w:r/>
          </w:p>
        </w:tc>
        <w:tc>
          <w:tcPr>
            <w:tcMar>
              <w:left w:w="20" w:type="dxa"/>
              <w:top w:w="20" w:type="dxa"/>
              <w:right w:w="20" w:type="dxa"/>
              <w:bottom w:w="20" w:type="dxa"/>
            </w:tcMar>
            <w:tcW w:w="997" w:type="pct"/>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right w:val="single" w:color="auto" w:sz="4" w:space="0"/>
            </w:tcBorders>
            <w:tcMar>
              <w:left w:w="20" w:type="dxa"/>
              <w:top w:w="20" w:type="dxa"/>
              <w:right w:w="20" w:type="dxa"/>
              <w:bottom w:w="20" w:type="dxa"/>
            </w:tcMar>
            <w:tcW w:w="1135" w:type="pct"/>
            <w:vAlign w:val="center"/>
            <w:textDirection w:val="lrTb"/>
            <w:noWrap w:val="false"/>
          </w:tcPr>
          <w:p>
            <w:pPr>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1980*900*1970mm，蚊帐支架高800mm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仿宋"/>
                <w:color w:val="auto"/>
                <w:sz w:val="24"/>
                <w:szCs w:val="24"/>
                <w:highlight w:val="none"/>
                <w:lang w:val="en-US" w:eastAsia="zh-CN"/>
              </w:rPr>
              <w:t xml:space="preserve">3</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套</w:t>
            </w:r>
            <w:r/>
          </w:p>
        </w:tc>
        <w:tc>
          <w:tcPr>
            <w:tcMar>
              <w:left w:w="20" w:type="dxa"/>
              <w:top w:w="20" w:type="dxa"/>
              <w:right w:w="20" w:type="dxa"/>
              <w:bottom w:w="20" w:type="dxa"/>
            </w:tcMar>
            <w:tcW w:w="455"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否</w:t>
            </w:r>
            <w:r/>
          </w:p>
        </w:tc>
        <w:tc>
          <w:tcPr>
            <w:tcMar>
              <w:left w:w="20" w:type="dxa"/>
              <w:top w:w="20" w:type="dxa"/>
              <w:right w:w="20" w:type="dxa"/>
              <w:bottom w:w="20" w:type="dxa"/>
            </w:tcMar>
            <w:tcW w:w="448" w:type="pct"/>
            <w:vAlign w:val="center"/>
            <w:textDirection w:val="lrTb"/>
            <w:noWrap w:val="false"/>
          </w:tcPr>
          <w:p>
            <w:pPr>
              <w:jc w:val="cente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否</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 xml:space="preserve">否</w:t>
            </w:r>
            <w:r/>
          </w:p>
        </w:tc>
      </w:tr>
      <w:tr>
        <w:trPr>
          <w:jc w:val="center"/>
          <w:trHeight w:val="710"/>
        </w:trPr>
        <w:tc>
          <w:tcPr>
            <w:tcMar>
              <w:left w:w="20" w:type="dxa"/>
              <w:top w:w="20" w:type="dxa"/>
              <w:right w:w="20" w:type="dxa"/>
              <w:bottom w:w="20" w:type="dxa"/>
            </w:tcMar>
            <w:tcW w:w="354" w:type="pct"/>
            <w:vAlign w:val="center"/>
            <w:textDirection w:val="lrTb"/>
            <w:noWrap w:val="false"/>
          </w:tcPr>
          <w:p>
            <w:pPr>
              <w:jc w:val="center"/>
              <w:spacing w:line="460" w:lineRule="exact"/>
              <w:rPr>
                <w:rFonts w:hint="eastAsia"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zh-CN"/>
              </w:rPr>
              <w:t xml:space="preserve">2</w:t>
            </w:r>
            <w:r/>
          </w:p>
        </w:tc>
        <w:tc>
          <w:tcPr>
            <w:tcMar>
              <w:left w:w="20" w:type="dxa"/>
              <w:top w:w="20" w:type="dxa"/>
              <w:right w:w="20" w:type="dxa"/>
              <w:bottom w:w="20" w:type="dxa"/>
            </w:tcMar>
            <w:tcW w:w="461" w:type="pct"/>
            <w:vAlign w:val="center"/>
            <w:textDirection w:val="lrTb"/>
            <w:noWrap w:val="false"/>
          </w:tcPr>
          <w:p>
            <w:pPr>
              <w:jc w:val="center"/>
              <w:spacing w:line="460" w:lineRule="exact"/>
              <w:rPr>
                <w:rFonts w:hint="default" w:ascii="宋体" w:hAnsi="宋体" w:cs="宋体"/>
                <w:color w:val="auto"/>
                <w:sz w:val="24"/>
                <w:szCs w:val="24"/>
                <w:highlight w:val="none"/>
                <w:lang w:val="en-US"/>
              </w:rPr>
            </w:pPr>
            <w:r>
              <w:rPr>
                <w:rFonts w:ascii="宋体" w:hAnsi="宋体" w:cs="宋体"/>
                <w:bCs/>
                <w:color w:val="auto"/>
                <w:sz w:val="24"/>
                <w:szCs w:val="24"/>
                <w:highlight w:val="none"/>
              </w:rPr>
              <w:t xml:space="preserve">书桌</w:t>
            </w:r>
            <w:r/>
          </w:p>
        </w:tc>
        <w:tc>
          <w:tcPr>
            <w:tcMar>
              <w:left w:w="20" w:type="dxa"/>
              <w:top w:w="20" w:type="dxa"/>
              <w:right w:w="20" w:type="dxa"/>
              <w:bottom w:w="20" w:type="dxa"/>
            </w:tcMar>
            <w:tcW w:w="997" w:type="pct"/>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right w:val="single" w:color="auto" w:sz="4" w:space="0"/>
            </w:tcBorders>
            <w:tcMar>
              <w:left w:w="20" w:type="dxa"/>
              <w:top w:w="20" w:type="dxa"/>
              <w:right w:w="20" w:type="dxa"/>
              <w:bottom w:w="20" w:type="dxa"/>
            </w:tcMar>
            <w:tcW w:w="1135" w:type="pct"/>
            <w:vAlign w:val="center"/>
            <w:textDirection w:val="lrTb"/>
            <w:noWrap w:val="false"/>
          </w:tcPr>
          <w:p>
            <w:pPr>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1000*600*1868mm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仿宋"/>
                <w:color w:val="auto"/>
                <w:sz w:val="24"/>
                <w:szCs w:val="24"/>
                <w:highlight w:val="none"/>
                <w:lang w:val="en-US" w:eastAsia="zh-CN"/>
              </w:rPr>
              <w:t xml:space="preserve">6</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张</w:t>
            </w:r>
            <w:r/>
          </w:p>
        </w:tc>
        <w:tc>
          <w:tcPr>
            <w:tcMar>
              <w:left w:w="20" w:type="dxa"/>
              <w:top w:w="20" w:type="dxa"/>
              <w:right w:w="20" w:type="dxa"/>
              <w:bottom w:w="20" w:type="dxa"/>
            </w:tcMar>
            <w:tcW w:w="455"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否</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否</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否</w:t>
            </w:r>
            <w:r/>
          </w:p>
        </w:tc>
      </w:tr>
      <w:tr>
        <w:trPr>
          <w:jc w:val="center"/>
          <w:trHeight w:val="710"/>
        </w:trPr>
        <w:tc>
          <w:tcPr>
            <w:tcMar>
              <w:left w:w="20" w:type="dxa"/>
              <w:top w:w="20" w:type="dxa"/>
              <w:right w:w="20" w:type="dxa"/>
              <w:bottom w:w="20" w:type="dxa"/>
            </w:tcMar>
            <w:tcW w:w="354" w:type="pct"/>
            <w:vAlign w:val="center"/>
            <w:textDirection w:val="lrTb"/>
            <w:noWrap w:val="false"/>
          </w:tcPr>
          <w:p>
            <w:pPr>
              <w:jc w:val="center"/>
              <w:spacing w:line="46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3</w:t>
            </w:r>
            <w:r/>
          </w:p>
        </w:tc>
        <w:tc>
          <w:tcPr>
            <w:tcMar>
              <w:left w:w="20" w:type="dxa"/>
              <w:top w:w="20" w:type="dxa"/>
              <w:right w:w="20" w:type="dxa"/>
              <w:bottom w:w="20" w:type="dxa"/>
            </w:tcMar>
            <w:tcW w:w="461" w:type="pct"/>
            <w:vAlign w:val="center"/>
            <w:textDirection w:val="lrTb"/>
            <w:noWrap w:val="false"/>
          </w:tcPr>
          <w:p>
            <w:pPr>
              <w:jc w:val="center"/>
              <w:spacing w:line="46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衣柜</w:t>
            </w:r>
            <w:r/>
          </w:p>
        </w:tc>
        <w:tc>
          <w:tcPr>
            <w:tcMar>
              <w:left w:w="20" w:type="dxa"/>
              <w:top w:w="20" w:type="dxa"/>
              <w:right w:w="20" w:type="dxa"/>
              <w:bottom w:w="20" w:type="dxa"/>
            </w:tcMar>
            <w:tcW w:w="997" w:type="pct"/>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right w:val="single" w:color="auto" w:sz="4" w:space="0"/>
            </w:tcBorders>
            <w:tcMar>
              <w:left w:w="20" w:type="dxa"/>
              <w:top w:w="20" w:type="dxa"/>
              <w:right w:w="20" w:type="dxa"/>
              <w:bottom w:w="20" w:type="dxa"/>
            </w:tcMar>
            <w:tcW w:w="1135" w:type="pct"/>
            <w:vAlign w:val="center"/>
            <w:textDirection w:val="lrTb"/>
            <w:noWrap w:val="false"/>
          </w:tcPr>
          <w:p>
            <w:pPr>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1500*600*1780mm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default"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张</w:t>
            </w:r>
            <w:r/>
          </w:p>
        </w:tc>
        <w:tc>
          <w:tcPr>
            <w:tcMar>
              <w:left w:w="20" w:type="dxa"/>
              <w:top w:w="20" w:type="dxa"/>
              <w:right w:w="20" w:type="dxa"/>
              <w:bottom w:w="20" w:type="dxa"/>
            </w:tcMar>
            <w:tcW w:w="455" w:type="pct"/>
            <w:vAlign w:val="center"/>
            <w:textDirection w:val="lrTb"/>
            <w:noWrap w:val="false"/>
          </w:tcPr>
          <w:p>
            <w:pPr>
              <w:jc w:val="center"/>
              <w:spacing w:line="4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否</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否</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否</w:t>
            </w:r>
            <w:r/>
          </w:p>
        </w:tc>
      </w:tr>
      <w:tr>
        <w:trPr>
          <w:jc w:val="center"/>
          <w:trHeight w:val="710"/>
        </w:trPr>
        <w:tc>
          <w:tcPr>
            <w:tcMar>
              <w:left w:w="20" w:type="dxa"/>
              <w:top w:w="20" w:type="dxa"/>
              <w:right w:w="20" w:type="dxa"/>
              <w:bottom w:w="20" w:type="dxa"/>
            </w:tcMar>
            <w:tcW w:w="354" w:type="pct"/>
            <w:vAlign w:val="center"/>
            <w:vMerge w:val="restart"/>
            <w:textDirection w:val="lrTb"/>
            <w:noWrap w:val="false"/>
          </w:tcPr>
          <w:p>
            <w:pPr>
              <w:jc w:val="center"/>
              <w:spacing w:line="460" w:lineRule="exact"/>
              <w:rPr>
                <w:rFonts w:hint="eastAsia"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4</w:t>
            </w:r>
            <w:r/>
          </w:p>
        </w:tc>
        <w:tc>
          <w:tcPr>
            <w:tcMar>
              <w:left w:w="20" w:type="dxa"/>
              <w:top w:w="20" w:type="dxa"/>
              <w:right w:w="20" w:type="dxa"/>
              <w:bottom w:w="20" w:type="dxa"/>
            </w:tcMar>
            <w:tcW w:w="461" w:type="pct"/>
            <w:vAlign w:val="center"/>
            <w:vMerge w:val="restart"/>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 xml:space="preserve">公寓床</w:t>
            </w:r>
            <w:r/>
          </w:p>
        </w:tc>
        <w:tc>
          <w:tcPr>
            <w:tcMar>
              <w:left w:w="20" w:type="dxa"/>
              <w:top w:w="20" w:type="dxa"/>
              <w:right w:w="20" w:type="dxa"/>
              <w:bottom w:w="20" w:type="dxa"/>
            </w:tcMar>
            <w:tcW w:w="997" w:type="pct"/>
            <w:vAlign w:val="center"/>
            <w:vMerge w:val="restart"/>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right w:val="single" w:color="auto" w:sz="4" w:space="0"/>
            </w:tcBorders>
            <w:tcMar>
              <w:left w:w="20" w:type="dxa"/>
              <w:top w:w="20" w:type="dxa"/>
              <w:right w:w="20" w:type="dxa"/>
              <w:bottom w:w="20" w:type="dxa"/>
            </w:tcMar>
            <w:tcW w:w="1135" w:type="pct"/>
            <w:vAlign w:val="top"/>
            <w:textDirection w:val="lrTb"/>
            <w:noWrap w:val="false"/>
          </w:tcPr>
          <w:p>
            <w:pPr>
              <w:jc w:val="left"/>
              <w:spacing w:line="4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两联3950*900*2150mm，蚊帐支架高800mm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仿宋"/>
                <w:color w:val="auto"/>
                <w:sz w:val="24"/>
                <w:szCs w:val="24"/>
                <w:highlight w:val="none"/>
                <w:lang w:val="en-US" w:eastAsia="zh-CN"/>
              </w:rPr>
              <w:t xml:space="preserve">296</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张</w:t>
            </w:r>
            <w:r/>
          </w:p>
        </w:tc>
        <w:tc>
          <w:tcPr>
            <w:tcMar>
              <w:left w:w="20" w:type="dxa"/>
              <w:top w:w="20" w:type="dxa"/>
              <w:right w:w="20" w:type="dxa"/>
              <w:bottom w:w="20" w:type="dxa"/>
            </w:tcMar>
            <w:tcW w:w="455" w:type="pct"/>
            <w:vAlign w:val="center"/>
            <w:textDirection w:val="lrTb"/>
            <w:noWrap w:val="false"/>
          </w:tcPr>
          <w:p>
            <w:pPr>
              <w:jc w:val="center"/>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是</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是</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val="0"/>
                <w:bCs/>
                <w:color w:val="auto"/>
                <w:sz w:val="24"/>
                <w:szCs w:val="24"/>
                <w:highlight w:val="none"/>
              </w:rPr>
            </w:pPr>
            <w:r>
              <w:rPr>
                <w:rFonts w:hint="eastAsia" w:ascii="宋体" w:hAnsi="宋体" w:cs="宋体"/>
                <w:color w:val="auto"/>
                <w:sz w:val="24"/>
                <w:szCs w:val="24"/>
                <w:highlight w:val="none"/>
                <w:lang w:eastAsia="zh-CN"/>
              </w:rPr>
              <w:t xml:space="preserve">否</w:t>
            </w:r>
            <w:r/>
          </w:p>
        </w:tc>
      </w:tr>
      <w:tr>
        <w:trPr>
          <w:jc w:val="center"/>
          <w:trHeight w:val="710"/>
        </w:trPr>
        <w:tc>
          <w:tcPr>
            <w:tcMar>
              <w:left w:w="20" w:type="dxa"/>
              <w:top w:w="20" w:type="dxa"/>
              <w:right w:w="20" w:type="dxa"/>
              <w:bottom w:w="20" w:type="dxa"/>
            </w:tcMar>
            <w:tcW w:w="354" w:type="pct"/>
            <w:vAlign w:val="center"/>
            <w:vMerge w:val="continue"/>
            <w:textDirection w:val="lrTb"/>
            <w:noWrap w:val="false"/>
          </w:tcPr>
          <w:p>
            <w:pPr>
              <w:jc w:val="center"/>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Mar>
              <w:left w:w="20" w:type="dxa"/>
              <w:top w:w="20" w:type="dxa"/>
              <w:right w:w="20" w:type="dxa"/>
              <w:bottom w:w="20" w:type="dxa"/>
            </w:tcMar>
            <w:tcW w:w="461" w:type="pct"/>
            <w:vAlign w:val="center"/>
            <w:vMerge w:val="continue"/>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Mar>
              <w:left w:w="20" w:type="dxa"/>
              <w:top w:w="20" w:type="dxa"/>
              <w:right w:w="20" w:type="dxa"/>
              <w:bottom w:w="20" w:type="dxa"/>
            </w:tcMar>
            <w:tcW w:w="997" w:type="pct"/>
            <w:vAlign w:val="center"/>
            <w:vMerge w:val="continue"/>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right w:val="single" w:color="auto" w:sz="4" w:space="0"/>
            </w:tcBorders>
            <w:tcMar>
              <w:left w:w="20" w:type="dxa"/>
              <w:top w:w="20" w:type="dxa"/>
              <w:right w:w="20" w:type="dxa"/>
              <w:bottom w:w="20" w:type="dxa"/>
            </w:tcMar>
            <w:tcW w:w="1135" w:type="pct"/>
            <w:vAlign w:val="top"/>
            <w:textDirection w:val="lrTb"/>
            <w:noWrap w:val="false"/>
          </w:tcPr>
          <w:p>
            <w:pPr>
              <w:jc w:val="left"/>
              <w:spacing w:line="4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单联1996*900*2150mm，蚊帐支架高800mm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仿宋"/>
                <w:color w:val="auto"/>
                <w:sz w:val="24"/>
                <w:szCs w:val="24"/>
                <w:highlight w:val="none"/>
                <w:lang w:val="en-US" w:eastAsia="zh-CN"/>
              </w:rPr>
              <w:t xml:space="preserve">284</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张</w:t>
            </w:r>
            <w:r/>
          </w:p>
        </w:tc>
        <w:tc>
          <w:tcPr>
            <w:tcMar>
              <w:left w:w="20" w:type="dxa"/>
              <w:top w:w="20" w:type="dxa"/>
              <w:right w:w="20" w:type="dxa"/>
              <w:bottom w:w="20" w:type="dxa"/>
            </w:tcMar>
            <w:tcW w:w="455" w:type="pct"/>
            <w:vAlign w:val="center"/>
            <w:textDirection w:val="lrTb"/>
            <w:noWrap w:val="false"/>
          </w:tcPr>
          <w:p>
            <w:pPr>
              <w:jc w:val="cente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是</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是</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val="0"/>
                <w:bCs/>
                <w:color w:val="auto"/>
                <w:sz w:val="24"/>
                <w:szCs w:val="24"/>
                <w:highlight w:val="none"/>
              </w:rPr>
            </w:pPr>
            <w:r>
              <w:rPr>
                <w:rFonts w:hint="eastAsia" w:ascii="宋体" w:hAnsi="宋体" w:cs="宋体"/>
                <w:color w:val="auto"/>
                <w:sz w:val="24"/>
                <w:szCs w:val="24"/>
                <w:highlight w:val="none"/>
                <w:lang w:eastAsia="zh-CN"/>
              </w:rPr>
              <w:t xml:space="preserve">否</w:t>
            </w:r>
            <w:r/>
          </w:p>
        </w:tc>
      </w:tr>
      <w:tr>
        <w:trPr>
          <w:jc w:val="center"/>
          <w:trHeight w:val="710"/>
        </w:trPr>
        <w:tc>
          <w:tcPr>
            <w:tcMar>
              <w:left w:w="20" w:type="dxa"/>
              <w:top w:w="20" w:type="dxa"/>
              <w:right w:w="20" w:type="dxa"/>
              <w:bottom w:w="20" w:type="dxa"/>
            </w:tcMar>
            <w:tcW w:w="354" w:type="pct"/>
            <w:vAlign w:val="center"/>
            <w:textDirection w:val="lrTb"/>
            <w:noWrap w:val="false"/>
          </w:tcPr>
          <w:p>
            <w:pPr>
              <w:jc w:val="center"/>
              <w:spacing w:line="460" w:lineRule="exact"/>
              <w:rPr>
                <w:rFonts w:hint="eastAsia"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5</w:t>
            </w:r>
            <w:r/>
          </w:p>
        </w:tc>
        <w:tc>
          <w:tcPr>
            <w:tcMar>
              <w:left w:w="20" w:type="dxa"/>
              <w:top w:w="20" w:type="dxa"/>
              <w:right w:w="20" w:type="dxa"/>
              <w:bottom w:w="20" w:type="dxa"/>
            </w:tcMar>
            <w:tcW w:w="461"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 xml:space="preserve">组合书桌</w:t>
            </w:r>
            <w:r/>
          </w:p>
        </w:tc>
        <w:tc>
          <w:tcPr>
            <w:tcMar>
              <w:left w:w="20" w:type="dxa"/>
              <w:top w:w="20" w:type="dxa"/>
              <w:right w:w="20" w:type="dxa"/>
              <w:bottom w:w="20" w:type="dxa"/>
            </w:tcMar>
            <w:tcW w:w="997" w:type="pct"/>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right w:val="single" w:color="auto" w:sz="4" w:space="0"/>
            </w:tcBorders>
            <w:tcMar>
              <w:left w:w="20" w:type="dxa"/>
              <w:top w:w="20" w:type="dxa"/>
              <w:right w:w="20" w:type="dxa"/>
              <w:bottom w:w="20" w:type="dxa"/>
            </w:tcMar>
            <w:tcW w:w="1135" w:type="pct"/>
            <w:vAlign w:val="center"/>
            <w:textDirection w:val="lrTb"/>
            <w:noWrap w:val="false"/>
          </w:tcPr>
          <w:p>
            <w:pPr>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1890*820*1680mm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仿宋"/>
                <w:color w:val="auto"/>
                <w:sz w:val="24"/>
                <w:szCs w:val="24"/>
                <w:highlight w:val="none"/>
                <w:lang w:val="en-US" w:eastAsia="zh-CN"/>
              </w:rPr>
              <w:t xml:space="preserve">876</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张</w:t>
            </w:r>
            <w:r/>
          </w:p>
        </w:tc>
        <w:tc>
          <w:tcPr>
            <w:tcMar>
              <w:left w:w="20" w:type="dxa"/>
              <w:top w:w="20" w:type="dxa"/>
              <w:right w:w="20" w:type="dxa"/>
              <w:bottom w:w="20" w:type="dxa"/>
            </w:tcMar>
            <w:tcW w:w="455"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是</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是</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val="0"/>
                <w:bCs/>
                <w:color w:val="auto"/>
                <w:sz w:val="24"/>
                <w:szCs w:val="24"/>
                <w:highlight w:val="none"/>
              </w:rPr>
            </w:pPr>
            <w:r>
              <w:rPr>
                <w:rFonts w:hint="eastAsia" w:ascii="宋体" w:hAnsi="宋体" w:cs="宋体"/>
                <w:color w:val="auto"/>
                <w:sz w:val="24"/>
                <w:szCs w:val="24"/>
                <w:highlight w:val="none"/>
                <w:lang w:eastAsia="zh-CN"/>
              </w:rPr>
              <w:t xml:space="preserve">否</w:t>
            </w:r>
            <w:r/>
          </w:p>
        </w:tc>
      </w:tr>
      <w:tr>
        <w:trPr>
          <w:jc w:val="center"/>
          <w:trHeight w:val="710"/>
        </w:trPr>
        <w:tc>
          <w:tcPr>
            <w:tcMar>
              <w:left w:w="20" w:type="dxa"/>
              <w:top w:w="20" w:type="dxa"/>
              <w:right w:w="20" w:type="dxa"/>
              <w:bottom w:w="20" w:type="dxa"/>
            </w:tcMar>
            <w:tcW w:w="354" w:type="pct"/>
            <w:vAlign w:val="center"/>
            <w:textDirection w:val="lrTb"/>
            <w:noWrap w:val="false"/>
          </w:tcPr>
          <w:p>
            <w:pPr>
              <w:jc w:val="center"/>
              <w:spacing w:line="46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6</w:t>
            </w:r>
            <w:r/>
          </w:p>
        </w:tc>
        <w:tc>
          <w:tcPr>
            <w:tcMar>
              <w:left w:w="20" w:type="dxa"/>
              <w:top w:w="20" w:type="dxa"/>
              <w:right w:w="20" w:type="dxa"/>
              <w:bottom w:w="20" w:type="dxa"/>
            </w:tcMar>
            <w:tcW w:w="461" w:type="pct"/>
            <w:vAlign w:val="center"/>
            <w:textDirection w:val="lrTb"/>
            <w:noWrap w:val="false"/>
          </w:tcPr>
          <w:p>
            <w:pPr>
              <w:jc w:val="center"/>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铝合金方凳</w:t>
            </w:r>
            <w:r/>
          </w:p>
        </w:tc>
        <w:tc>
          <w:tcPr>
            <w:tcMar>
              <w:left w:w="20" w:type="dxa"/>
              <w:top w:w="20" w:type="dxa"/>
              <w:right w:w="20" w:type="dxa"/>
              <w:bottom w:w="20" w:type="dxa"/>
            </w:tcMar>
            <w:tcW w:w="997" w:type="pct"/>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right w:val="single" w:color="auto" w:sz="4" w:space="0"/>
            </w:tcBorders>
            <w:tcMar>
              <w:left w:w="20" w:type="dxa"/>
              <w:top w:w="20" w:type="dxa"/>
              <w:right w:w="20" w:type="dxa"/>
              <w:bottom w:w="20" w:type="dxa"/>
            </w:tcMar>
            <w:tcW w:w="1135" w:type="pct"/>
            <w:vAlign w:val="center"/>
            <w:textDirection w:val="lrTb"/>
            <w:noWrap w:val="false"/>
          </w:tcPr>
          <w:p>
            <w:pPr>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不低于3</w:t>
            </w:r>
            <w:r>
              <w:rPr>
                <w:rFonts w:ascii="宋体" w:hAnsi="宋体" w:cs="宋体"/>
                <w:color w:val="auto"/>
                <w:sz w:val="24"/>
                <w:szCs w:val="24"/>
                <w:highlight w:val="none"/>
              </w:rPr>
              <w:t xml:space="preserve">80*280*450mm</w:t>
            </w:r>
            <w:r/>
          </w:p>
        </w:tc>
        <w:tc>
          <w:tcPr>
            <w:tcBorders>
              <w:left w:val="single" w:color="auto" w:sz="4" w:space="0"/>
            </w:tcBorders>
            <w:tcMar>
              <w:left w:w="20" w:type="dxa"/>
              <w:top w:w="20" w:type="dxa"/>
              <w:right w:w="20" w:type="dxa"/>
              <w:bottom w:w="20" w:type="dxa"/>
            </w:tcMar>
            <w:tcW w:w="343"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仿宋"/>
                <w:color w:val="auto"/>
                <w:sz w:val="24"/>
                <w:szCs w:val="24"/>
                <w:highlight w:val="none"/>
                <w:lang w:val="en-US" w:eastAsia="zh-CN"/>
              </w:rPr>
              <w:t xml:space="preserve">900</w:t>
            </w:r>
            <w:r/>
          </w:p>
        </w:tc>
        <w:tc>
          <w:tcPr>
            <w:tcMar>
              <w:left w:w="20" w:type="dxa"/>
              <w:top w:w="20" w:type="dxa"/>
              <w:right w:w="20" w:type="dxa"/>
              <w:bottom w:w="20" w:type="dxa"/>
            </w:tcMar>
            <w:tcW w:w="321" w:type="pct"/>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张</w:t>
            </w:r>
            <w:r/>
          </w:p>
        </w:tc>
        <w:tc>
          <w:tcPr>
            <w:tcMar>
              <w:left w:w="20" w:type="dxa"/>
              <w:top w:w="20" w:type="dxa"/>
              <w:right w:w="20" w:type="dxa"/>
              <w:bottom w:w="20" w:type="dxa"/>
            </w:tcMar>
            <w:tcW w:w="455"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否</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否</w:t>
            </w:r>
            <w:r/>
          </w:p>
        </w:tc>
        <w:tc>
          <w:tcPr>
            <w:tcMar>
              <w:left w:w="20" w:type="dxa"/>
              <w:top w:w="20" w:type="dxa"/>
              <w:right w:w="20" w:type="dxa"/>
              <w:bottom w:w="20" w:type="dxa"/>
            </w:tcMar>
            <w:tcW w:w="481" w:type="pct"/>
            <w:vAlign w:val="center"/>
            <w:textDirection w:val="lrTb"/>
            <w:noWrap w:val="false"/>
          </w:tcPr>
          <w:p>
            <w:pPr>
              <w:jc w:val="center"/>
              <w:spacing w:line="460" w:lineRule="exact"/>
              <w:rPr>
                <w:rFonts w:hint="eastAsia" w:ascii="宋体" w:hAnsi="宋体" w:cs="宋体"/>
                <w:b w:val="0"/>
                <w:bCs/>
                <w:color w:val="auto"/>
                <w:sz w:val="24"/>
                <w:szCs w:val="24"/>
                <w:highlight w:val="none"/>
              </w:rPr>
            </w:pPr>
            <w:r>
              <w:rPr>
                <w:rFonts w:hint="eastAsia" w:ascii="宋体" w:hAnsi="宋体" w:cs="宋体"/>
                <w:color w:val="auto"/>
                <w:sz w:val="24"/>
                <w:szCs w:val="24"/>
                <w:highlight w:val="none"/>
                <w:lang w:eastAsia="zh-CN"/>
              </w:rPr>
              <w:t xml:space="preserve">否</w:t>
            </w:r>
            <w:r/>
          </w:p>
        </w:tc>
      </w:tr>
    </w:tbl>
    <w:p>
      <w:pPr>
        <w:ind w:firstLine="281"/>
        <w:spacing w:line="460" w:lineRule="exact"/>
        <w:tabs>
          <w:tab w:val="left" w:pos="42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3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spacing w:line="460" w:lineRule="exact"/>
        <w:tabs>
          <w:tab w:val="left" w:pos="420" w:leader="none"/>
        </w:tabs>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三、</w:t>
      </w:r>
      <w:r>
        <w:rPr>
          <w:rFonts w:hint="eastAsia" w:ascii="宋体" w:hAnsi="宋体" w:cs="宋体"/>
          <w:b/>
          <w:bCs/>
          <w:color w:val="auto"/>
          <w:sz w:val="28"/>
          <w:szCs w:val="28"/>
          <w:highlight w:val="none"/>
          <w:lang w:val="en-US" w:eastAsia="zh-CN"/>
        </w:rPr>
        <w:t xml:space="preserve">项目说明及技术要求</w:t>
      </w:r>
      <w:r/>
    </w:p>
    <w:p>
      <w:pPr>
        <w:ind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1.技术要求是指对采购标的功能和质量要求，包括性能、材料、结构、外观、安全，或者服务内容和标准等。</w:t>
      </w:r>
      <w:r/>
    </w:p>
    <w:p>
      <w:pPr>
        <w:ind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3.品目清单见《关于印发环境标志产品政府采购品目清单的通知》（财库〔2019〕18号）、《关于印发节能产品政府采购品目清单的通知》（财库〔2019〕19号）。</w:t>
      </w:r>
      <w:r/>
    </w:p>
    <w:p>
      <w:pPr>
        <w:ind w:firstLine="560"/>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4.需求标准见《商品包装政府采购需求标准（试行）》《快递包装政府采购需求标准（试行）》（财办库〔2020〕123号）、《绿色数据中心政府采购需求标准（试行）》（财库〔2023〕7号）。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5.具体需求如下：</w:t>
      </w:r>
      <w:r/>
    </w:p>
    <w:p>
      <w:pPr>
        <w:ind w:firstLine="482"/>
        <w:spacing w:line="460" w:lineRule="exact"/>
        <w:rPr>
          <w:rFonts w:hint="eastAsia" w:ascii="宋体" w:hAnsi="宋体" w:cs="宋体"/>
          <w:b/>
          <w:color w:val="auto"/>
          <w:sz w:val="28"/>
          <w:szCs w:val="28"/>
          <w:highlight w:val="none"/>
        </w:rPr>
      </w:pPr>
      <w:r/>
      <w:bookmarkStart w:id="147" w:name="_Toc462564139"/>
      <w:r/>
      <w:bookmarkStart w:id="148" w:name="_Toc479757211"/>
      <w:r/>
      <w:bookmarkStart w:id="149" w:name="_Toc49090575"/>
      <w:r/>
      <w:bookmarkStart w:id="150" w:name="_Toc26554093"/>
      <w:r>
        <w:rPr>
          <w:rFonts w:ascii="宋体" w:hAnsi="宋体" w:cs="宋体"/>
          <w:b/>
          <w:color w:val="auto"/>
          <w:sz w:val="28"/>
          <w:szCs w:val="28"/>
          <w:highlight w:val="none"/>
        </w:rPr>
        <w:t xml:space="preserve">5.1技术参数</w:t>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w:t>
      </w:r>
      <w:r>
        <w:rPr>
          <w:rFonts w:ascii="宋体" w:hAnsi="宋体" w:cs="宋体"/>
          <w:b/>
          <w:color w:val="auto"/>
          <w:sz w:val="28"/>
          <w:szCs w:val="28"/>
          <w:highlight w:val="none"/>
        </w:rPr>
        <w:t xml:space="preserve">.1.1上下铺铁床</w:t>
      </w:r>
      <w:r/>
    </w:p>
    <w:p>
      <w:pPr>
        <w:ind w:firstLine="482"/>
        <w:spacing w:line="460" w:lineRule="exact"/>
        <w:rPr>
          <w:rFonts w:hint="eastAsia" w:ascii="宋体" w:hAnsi="宋体" w:eastAsia="宋体" w:cs="宋体"/>
          <w:b/>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所有钢材均采用国家标准钢，各钢件经除油、防锈等工序处理,外层采用塑粉静电喷塑处理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采用二氧化碳保护焊，自动焊机进行双面焊接，焊接表面波纹均匀,焊接处无夹渣、气孔、焊瘤、焊丝头咬边飞溅，无脱焊、虚焊及焊穿等现象。</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（1）规格尺寸：1980*900*1970mm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±10mm,确保能整体安装</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，蚊帐支架高800mm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（2）立柱：</w:t>
      </w:r>
      <w:r>
        <w:rPr>
          <w:rFonts w:hint="eastAsia" w:ascii="宋体" w:hAnsi="宋体" w:cs="宋体"/>
          <w:color w:val="auto"/>
          <w:sz w:val="28"/>
          <w:szCs w:val="28"/>
          <w:highlight w:val="none"/>
          <w:lang w:val="en-US" w:eastAsia="zh-CN"/>
        </w:rPr>
        <w:t xml:space="preserve">尺寸</w:t>
      </w:r>
      <w:r>
        <w:rPr>
          <w:rFonts w:hint="eastAsia" w:ascii="宋体" w:hAnsi="宋体" w:cs="宋体"/>
          <w:color w:val="auto"/>
          <w:sz w:val="28"/>
          <w:szCs w:val="28"/>
          <w:highlight w:val="none"/>
        </w:rPr>
        <w:t xml:space="preserve">不低于5</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0</w:t>
      </w:r>
      <w:r>
        <w:rPr>
          <w:rFonts w:hint="eastAsia" w:ascii="宋体" w:hAnsi="宋体" w:cs="宋体"/>
          <w:color w:val="auto"/>
          <w:sz w:val="28"/>
          <w:szCs w:val="28"/>
          <w:highlight w:val="none"/>
          <w:lang w:val="en-US" w:eastAsia="zh-CN"/>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壁厚不低于</w:t>
      </w:r>
      <w:r>
        <w:rPr>
          <w:rFonts w:hint="eastAsia" w:ascii="宋体" w:hAnsi="宋体" w:cs="宋体"/>
          <w:color w:val="auto"/>
          <w:sz w:val="28"/>
          <w:szCs w:val="28"/>
          <w:highlight w:val="none"/>
        </w:rPr>
        <w:t xml:space="preserve">1.5mm。外部为圆弧造型，减少碰撞带来的伤害。</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（3）前后床梃：</w:t>
      </w:r>
      <w:r>
        <w:rPr>
          <w:rFonts w:hint="eastAsia" w:ascii="宋体" w:hAnsi="宋体" w:cs="宋体"/>
          <w:color w:val="auto"/>
          <w:sz w:val="28"/>
          <w:szCs w:val="28"/>
          <w:highlight w:val="none"/>
          <w:lang w:val="en-US" w:eastAsia="zh-CN"/>
        </w:rPr>
        <w:t xml:space="preserve">尺寸不低于</w:t>
      </w:r>
      <w:r>
        <w:rPr>
          <w:rFonts w:hint="eastAsia" w:ascii="宋体" w:hAnsi="宋体" w:cs="宋体"/>
          <w:color w:val="auto"/>
          <w:sz w:val="28"/>
          <w:szCs w:val="28"/>
          <w:highlight w:val="none"/>
        </w:rPr>
        <w:t xml:space="preserve">30*70</w:t>
      </w:r>
      <w:r>
        <w:rPr>
          <w:rFonts w:hint="eastAsia" w:ascii="宋体" w:hAnsi="宋体" w:cs="宋体"/>
          <w:color w:val="auto"/>
          <w:sz w:val="28"/>
          <w:szCs w:val="28"/>
          <w:highlight w:val="none"/>
          <w:lang w:val="en-US" w:eastAsia="zh-CN"/>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壁厚不低于</w:t>
      </w:r>
      <w:r>
        <w:rPr>
          <w:rFonts w:hint="eastAsia" w:ascii="宋体" w:hAnsi="宋体" w:cs="宋体"/>
          <w:color w:val="auto"/>
          <w:sz w:val="28"/>
          <w:szCs w:val="28"/>
          <w:highlight w:val="none"/>
        </w:rPr>
        <w:t xml:space="preserve">1.5mm</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床梃下部为圆弧造型防止使用碰伤，上部为直边使连接件与前床梃齐平整体美观。</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（4）卡式连接挂件：采用</w:t>
      </w:r>
      <w:r>
        <w:rPr>
          <w:rFonts w:hint="eastAsia" w:ascii="宋体" w:hAnsi="宋体" w:cs="宋体"/>
          <w:color w:val="auto"/>
          <w:sz w:val="28"/>
          <w:szCs w:val="28"/>
          <w:highlight w:val="none"/>
          <w:lang w:eastAsia="zh-CN"/>
        </w:rPr>
        <w:t xml:space="preserve">不低于</w:t>
      </w:r>
      <w:r>
        <w:rPr>
          <w:rFonts w:hint="eastAsia" w:ascii="宋体" w:hAnsi="宋体" w:cs="宋体"/>
          <w:color w:val="auto"/>
          <w:sz w:val="28"/>
          <w:szCs w:val="28"/>
          <w:highlight w:val="none"/>
        </w:rPr>
        <w:t xml:space="preserve">2.0mm钢板经冲压拉伸成型，成型后外形规格为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200*30mm，床梃与卡式连接挂件焊接为一个整体，正前方为满焊不能留缺口及缝隙；</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（5）床头短横梁：上横梁不低于25*25*1.2mm</w:t>
      </w:r>
      <w:r>
        <w:rPr>
          <w:rFonts w:hint="eastAsia" w:ascii="宋体" w:hAnsi="宋体" w:cs="宋体"/>
          <w:color w:val="auto"/>
          <w:sz w:val="28"/>
          <w:szCs w:val="28"/>
          <w:highlight w:val="none"/>
          <w:lang w:val="en-US" w:eastAsia="zh-CN"/>
        </w:rPr>
        <w:t xml:space="preserve">方管</w:t>
      </w:r>
      <w:r>
        <w:rPr>
          <w:rFonts w:hint="eastAsia" w:ascii="宋体" w:hAnsi="宋体" w:cs="宋体"/>
          <w:color w:val="auto"/>
          <w:sz w:val="28"/>
          <w:szCs w:val="28"/>
          <w:highlight w:val="none"/>
        </w:rPr>
        <w:t xml:space="preserve">，下横梁不低于25*50*1.2mm矩形管。</w:t>
      </w:r>
      <w:r/>
    </w:p>
    <w:p>
      <w:pPr>
        <w:ind w:firstLine="56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床枋</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不低于</w:t>
      </w:r>
      <w:r>
        <w:rPr>
          <w:rFonts w:ascii="宋体" w:hAnsi="宋体" w:cs="宋体"/>
          <w:color w:val="auto"/>
          <w:sz w:val="28"/>
          <w:szCs w:val="28"/>
          <w:highlight w:val="none"/>
        </w:rPr>
        <w:t xml:space="preserve">30</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30</w:t>
      </w:r>
      <w:r>
        <w:rPr>
          <w:rFonts w:hint="eastAsia" w:ascii="宋体" w:hAnsi="宋体" w:cs="宋体"/>
          <w:color w:val="auto"/>
          <w:sz w:val="28"/>
          <w:szCs w:val="28"/>
          <w:highlight w:val="none"/>
        </w:rPr>
        <w:t xml:space="preserve">*1.2mm优质方管，设置数量不小于5根。</w:t>
      </w:r>
      <w:r/>
    </w:p>
    <w:p>
      <w:pPr>
        <w:ind w:firstLine="480"/>
        <w:spacing w:line="46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（7）前床梃护栏：外框采用不低于25*25*1.2mm方管，竖料采用3根不低于φ19*1.0mm圆管，下方内嵌</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E0级三聚氰胺纸饰面多层板</w:t>
      </w:r>
      <w:r>
        <w:rPr>
          <w:rFonts w:hint="eastAsia"/>
          <w:color w:val="auto"/>
          <w:sz w:val="28"/>
          <w:szCs w:val="28"/>
          <w:highlight w:val="none"/>
        </w:rPr>
        <w:t xml:space="preserve">，</w:t>
      </w:r>
      <w:r>
        <w:rPr>
          <w:rFonts w:hint="eastAsia" w:ascii="宋体" w:hAnsi="宋体" w:cs="宋体"/>
          <w:color w:val="auto"/>
          <w:sz w:val="28"/>
          <w:szCs w:val="28"/>
          <w:highlight w:val="none"/>
        </w:rPr>
        <w:t xml:space="preserve">甲醛释放量≤0.05mg/m³。护栏透气孔3个，透气孔要求PP材质注塑成型装饰扣封边，自带圆弧角；表面光滑、平整立体感强。护栏板正反面均带有被褥安全警示线及警示数字（不允许粘贴方式）。护栏板上外加卡片槽，规格≥110*70mm，可穿插信息卡。</w:t>
      </w:r>
      <w:r>
        <w:rPr>
          <w:rFonts w:hint="eastAsia" w:ascii="宋体" w:hAnsi="宋体" w:cs="宋体"/>
          <w:color w:val="auto"/>
          <w:sz w:val="28"/>
          <w:szCs w:val="28"/>
          <w:highlight w:val="none"/>
          <w:lang w:val="en-US" w:eastAsia="zh-CN"/>
        </w:rPr>
        <w:t xml:space="preserve">护拦板上外加床铺编号信息（可使用粘贴方式），具体样式需经招标人确认。</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（8）床头、床尾护栏：</w:t>
      </w:r>
      <w:r>
        <w:rPr>
          <w:rFonts w:hint="eastAsia" w:ascii="宋体" w:hAnsi="宋体" w:eastAsia="宋体" w:cs="宋体"/>
          <w:color w:val="auto"/>
          <w:sz w:val="28"/>
          <w:szCs w:val="28"/>
          <w:highlight w:val="none"/>
        </w:rPr>
        <w:t xml:space="preserve">采用不低于 25*25*1.2mm方管</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护栏下方内嵌</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E0级三聚氰胺纸饰面多层板,甲醛释放量≤0.05mg/m³</w:t>
      </w:r>
      <w:r>
        <w:rPr>
          <w:rFonts w:hint="eastAsia" w:ascii="宋体" w:hAnsi="宋体" w:eastAsia="宋体" w:cs="宋体"/>
          <w:color w:val="auto"/>
          <w:sz w:val="28"/>
          <w:szCs w:val="28"/>
          <w:highlight w:val="none"/>
          <w:lang w:eastAsia="zh-CN"/>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（9）后床梃护栏：采用不低于20*20*1.2</w:t>
      </w:r>
      <w:r>
        <w:rPr>
          <w:rFonts w:hint="eastAsia" w:ascii="宋体" w:hAnsi="宋体" w:cs="宋体"/>
          <w:color w:val="auto"/>
          <w:sz w:val="28"/>
          <w:szCs w:val="28"/>
          <w:highlight w:val="none"/>
          <w:lang w:val="en-US" w:eastAsia="zh-CN"/>
        </w:rPr>
        <w:t xml:space="preserve">mm</w:t>
      </w:r>
      <w:r>
        <w:rPr>
          <w:rFonts w:hint="eastAsia" w:ascii="宋体" w:hAnsi="宋体" w:cs="宋体"/>
          <w:color w:val="auto"/>
          <w:sz w:val="28"/>
          <w:szCs w:val="28"/>
          <w:highlight w:val="none"/>
        </w:rPr>
        <w:t xml:space="preserve">方管，护栏下方内嵌</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E0级三聚氰胺纸饰面多层板,甲醛释放量≤0.05mg/m³,护栏高度</w:t>
      </w:r>
      <w:r>
        <w:rPr>
          <w:rFonts w:hint="eastAsia" w:ascii="宋体" w:hAnsi="宋体" w:cs="宋体"/>
          <w:color w:val="auto"/>
          <w:sz w:val="28"/>
          <w:szCs w:val="28"/>
          <w:highlight w:val="none"/>
          <w:lang w:eastAsia="zh-CN"/>
        </w:rPr>
        <w:t xml:space="preserve">不小于</w:t>
      </w:r>
      <w:r>
        <w:rPr>
          <w:rFonts w:hint="eastAsia" w:ascii="宋体" w:hAnsi="宋体" w:cs="宋体"/>
          <w:color w:val="auto"/>
          <w:sz w:val="28"/>
          <w:szCs w:val="28"/>
          <w:highlight w:val="none"/>
          <w:lang w:val="en-US" w:eastAsia="zh-CN"/>
        </w:rPr>
        <w:t xml:space="preserve">350</w:t>
      </w:r>
      <w:r>
        <w:rPr>
          <w:rFonts w:hint="eastAsia" w:ascii="宋体" w:hAnsi="宋体" w:cs="宋体"/>
          <w:color w:val="auto"/>
          <w:sz w:val="28"/>
          <w:szCs w:val="28"/>
          <w:highlight w:val="none"/>
        </w:rPr>
        <w:t xml:space="preserve">mm。</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（10）爬梯：爬梯采用不低于20*40*1.2mm的扁椭圆管</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扶手采用不低于φ</w:t>
      </w:r>
      <w:r>
        <w:rPr>
          <w:rFonts w:hint="eastAsia" w:ascii="宋体" w:hAnsi="宋体" w:eastAsia="宋体" w:cs="宋体"/>
          <w:color w:val="auto"/>
          <w:sz w:val="28"/>
          <w:szCs w:val="28"/>
          <w:highlight w:val="none"/>
          <w:lang w:val="en-US" w:eastAsia="zh-CN"/>
        </w:rPr>
        <w:t xml:space="preserve">19*1.2mm圆管制作</w:t>
      </w:r>
      <w:r>
        <w:rPr>
          <w:rFonts w:hint="eastAsia" w:ascii="宋体" w:hAnsi="宋体" w:cs="宋体"/>
          <w:color w:val="auto"/>
          <w:sz w:val="28"/>
          <w:szCs w:val="28"/>
          <w:highlight w:val="none"/>
        </w:rPr>
        <w:t xml:space="preserve">。踏步为一次性中空吹塑成型防滑踏板，外观尺寸不低于350*100*3</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mm，踏步板面设置防滑条纹及荧光点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直径不小于20mm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，确保学生上下床铺时的安全。爬梯与床架采用螺丝方式连接。</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（11）蚊帐支架：采用不低于φ19*1.0mm圆管，蚊帐支架竖管与床脚采用一次成型PP塑料脚套连接，上带螺纹式旋钮，通过螺纹式旋钮胀紧蚊帐杆，锁定后受力不滑动。</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（12）床板：采用1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厚杉木制作，床板条宽度60-80mm，经烘干、正反双面抛光处理，床板背面采用4根不低于</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40</w:t>
      </w:r>
      <w:r>
        <w:rPr>
          <w:rFonts w:hint="eastAsia" w:ascii="宋体" w:hAnsi="宋体" w:cs="宋体"/>
          <w:color w:val="auto"/>
          <w:sz w:val="28"/>
          <w:szCs w:val="28"/>
          <w:highlight w:val="none"/>
        </w:rPr>
        <w:t xml:space="preserve">mm松木方条横杠钉制加固，床板缝隙≤10mm。</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（13）床脚脚套：采用塑料环保超高分子量PP材料制作，脚套与床脚应结合紧密，牢靠，不脱落。</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（14）工艺说明：钢管经除锈除油后进行焊接制作，钢管焊接表面波纹均匀，焊接处无夹渣、气孔、焊瘤、焊丝咬边和飞溅，无脱焊，虚焊和焊空的现象。喷塑表面光亮平整，无颗粒渣点，颜色均匀。</w:t>
      </w:r>
      <w:r/>
    </w:p>
    <w:p>
      <w:pPr>
        <w:ind w:firstLine="482"/>
        <w:spacing w:line="460" w:lineRule="exact"/>
        <w:widowControl/>
        <w:rPr>
          <w:rFonts w:hint="eastAsia" w:ascii="宋体" w:hAnsi="宋体" w:cs="宋体"/>
          <w:b/>
          <w:bCs/>
          <w:color w:val="auto"/>
          <w:sz w:val="28"/>
          <w:szCs w:val="28"/>
          <w:highlight w:val="none"/>
        </w:rPr>
      </w:pPr>
      <w:r>
        <w:rPr>
          <w:rFonts w:ascii="宋体" w:hAnsi="宋体" w:cs="宋体"/>
          <w:b/>
          <w:bCs/>
          <w:color w:val="auto"/>
          <w:sz w:val="28"/>
          <w:szCs w:val="28"/>
          <w:highlight w:val="none"/>
        </w:rPr>
        <w:t xml:space="preserve">5.1.2</w:t>
      </w:r>
      <w:r>
        <w:rPr>
          <w:rFonts w:hint="eastAsia" w:ascii="宋体" w:hAnsi="宋体" w:cs="宋体"/>
          <w:b/>
          <w:bCs/>
          <w:color w:val="auto"/>
          <w:sz w:val="28"/>
          <w:szCs w:val="28"/>
          <w:highlight w:val="none"/>
        </w:rPr>
        <w:t xml:space="preserve">书桌</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（1）规格：1000*600*1868mm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±10mm,确保能整体安装</w:t>
      </w:r>
      <w:r>
        <w:rPr>
          <w:rFonts w:hint="eastAsia" w:ascii="宋体" w:hAnsi="宋体" w:cs="宋体"/>
          <w:color w:val="auto"/>
          <w:sz w:val="28"/>
          <w:szCs w:val="28"/>
          <w:highlight w:val="none"/>
          <w:lang w:eastAsia="zh-CN"/>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（2）书桌全部采用E0级三聚氰胺纸饰面实木多层板，甲醛释放量≤0.05mg/m³,桌面厚度</w:t>
      </w:r>
      <w:r>
        <w:rPr>
          <w:rFonts w:hint="eastAsia" w:ascii="宋体" w:hAnsi="宋体" w:cs="宋体"/>
          <w:color w:val="auto"/>
          <w:sz w:val="28"/>
          <w:szCs w:val="28"/>
          <w:highlight w:val="none"/>
          <w:lang w:val="en-US" w:eastAsia="zh-CN"/>
        </w:rPr>
        <w:t xml:space="preserve">25mm(±5%）</w:t>
      </w:r>
      <w:r>
        <w:rPr>
          <w:rFonts w:hint="eastAsia" w:ascii="宋体" w:hAnsi="宋体" w:cs="宋体"/>
          <w:color w:val="auto"/>
          <w:sz w:val="28"/>
          <w:szCs w:val="28"/>
          <w:highlight w:val="none"/>
        </w:rPr>
        <w:t xml:space="preserve">，抽屉底板厚度</w:t>
      </w:r>
      <w:r>
        <w:rPr>
          <w:rFonts w:hint="eastAsia" w:ascii="宋体" w:hAnsi="宋体" w:cs="宋体"/>
          <w:color w:val="auto"/>
          <w:sz w:val="28"/>
          <w:szCs w:val="28"/>
          <w:highlight w:val="none"/>
          <w:lang w:eastAsia="zh-CN"/>
        </w:rPr>
        <w:t xml:space="preserve">5mm(±5%）</w:t>
      </w:r>
      <w:r>
        <w:rPr>
          <w:rFonts w:hint="eastAsia" w:ascii="宋体" w:hAnsi="宋体" w:cs="宋体"/>
          <w:color w:val="auto"/>
          <w:sz w:val="28"/>
          <w:szCs w:val="28"/>
          <w:highlight w:val="none"/>
        </w:rPr>
        <w:t xml:space="preserve">，其余板材厚度</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（3）所有部件采用PVC封边条封边，封边条颜色与板材同色，不低于1.2mm厚。封边条应厚度均匀，柔韧性好，无划痕、毛刺等缺陷，要求采用PUR封边工艺，粘贴性牢固，无脱落。</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（4）五金件：导轨宽度不得低于45mm，壁厚不低于1mm三节静音阻尼导轨，阻尼铰链。拉手采用铝合金材质内嵌拉手，整体规格不低于13</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*50*2</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mm，拉手分上下盖两个部分；上盖尺寸不低于13</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*50*</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mm，下盖尺寸不低于13</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*50*</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mm。可选配加装不锈钢锁扣，内置挂锁</w:t>
      </w:r>
      <w:r>
        <w:rPr>
          <w:rFonts w:hint="eastAsia" w:ascii="宋体" w:hAnsi="宋体" w:cs="宋体"/>
          <w:color w:val="auto"/>
          <w:sz w:val="28"/>
          <w:szCs w:val="28"/>
          <w:highlight w:val="none"/>
          <w:lang w:eastAsia="zh-CN"/>
        </w:rPr>
        <w:t xml:space="preserve">位</w:t>
      </w:r>
      <w:r>
        <w:rPr>
          <w:rFonts w:hint="eastAsia" w:ascii="宋体" w:hAnsi="宋体" w:cs="宋体"/>
          <w:color w:val="auto"/>
          <w:sz w:val="28"/>
          <w:szCs w:val="28"/>
          <w:highlight w:val="none"/>
        </w:rPr>
        <w:t xml:space="preserve">。</w:t>
      </w:r>
      <w:r/>
    </w:p>
    <w:p>
      <w:pPr>
        <w:ind w:firstLine="482"/>
        <w:spacing w:line="460" w:lineRule="exact"/>
        <w:widowControl/>
        <w:rPr>
          <w:rFonts w:hint="eastAsia" w:ascii="宋体" w:hAnsi="宋体" w:cs="宋体"/>
          <w:b/>
          <w:color w:val="auto"/>
          <w:sz w:val="28"/>
          <w:szCs w:val="28"/>
          <w:highlight w:val="none"/>
          <w:u w:val="none"/>
        </w:rPr>
      </w:pPr>
      <w:r>
        <w:rPr>
          <w:rFonts w:hint="eastAsia" w:ascii="宋体" w:hAnsi="宋体" w:cs="宋体"/>
          <w:b/>
          <w:color w:val="auto"/>
          <w:sz w:val="28"/>
          <w:szCs w:val="28"/>
          <w:highlight w:val="none"/>
          <w:u w:val="none"/>
          <w:lang w:val="en-US" w:eastAsia="zh-CN"/>
        </w:rPr>
        <w:t xml:space="preserve">5.1.3</w:t>
      </w:r>
      <w:r>
        <w:rPr>
          <w:rFonts w:hint="eastAsia" w:ascii="宋体" w:hAnsi="宋体" w:cs="宋体"/>
          <w:b/>
          <w:color w:val="auto"/>
          <w:sz w:val="28"/>
          <w:szCs w:val="28"/>
          <w:highlight w:val="none"/>
          <w:u w:val="none"/>
          <w:lang w:eastAsia="zh-CN"/>
        </w:rPr>
        <w:t xml:space="preserve">衣柜</w:t>
      </w:r>
      <w:r>
        <w:rPr>
          <w:rFonts w:hint="eastAsia" w:ascii="宋体" w:hAnsi="宋体" w:cs="宋体"/>
          <w:b/>
          <w:color w:val="auto"/>
          <w:sz w:val="28"/>
          <w:szCs w:val="28"/>
          <w:highlight w:val="none"/>
          <w:u w:val="none"/>
        </w:rPr>
        <w:t xml:space="preserve">：</w:t>
      </w:r>
      <w:r/>
    </w:p>
    <w:p>
      <w:pPr>
        <w:ind w:firstLine="482"/>
        <w:spacing w:line="46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（1）规格：</w:t>
      </w:r>
      <w:r>
        <w:rPr>
          <w:rFonts w:hint="eastAsia" w:ascii="宋体" w:hAnsi="宋体" w:cs="宋体"/>
          <w:color w:val="auto"/>
          <w:sz w:val="28"/>
          <w:szCs w:val="28"/>
          <w:highlight w:val="none"/>
          <w:u w:val="none"/>
          <w:lang w:val="en-US" w:eastAsia="zh-CN"/>
        </w:rPr>
        <w:t xml:space="preserve">1500*600*1780</w:t>
      </w:r>
      <w:r>
        <w:rPr>
          <w:rFonts w:hint="eastAsia" w:ascii="宋体" w:hAnsi="宋体" w:cs="宋体"/>
          <w:color w:val="auto"/>
          <w:sz w:val="28"/>
          <w:szCs w:val="28"/>
          <w:highlight w:val="none"/>
          <w:u w:val="none"/>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±10mm,确保能整体安装</w:t>
      </w:r>
      <w:r>
        <w:rPr>
          <w:rFonts w:hint="eastAsia" w:ascii="宋体" w:hAnsi="宋体" w:cs="宋体"/>
          <w:color w:val="auto"/>
          <w:sz w:val="28"/>
          <w:szCs w:val="28"/>
          <w:highlight w:val="none"/>
          <w:lang w:eastAsia="zh-CN"/>
        </w:rPr>
        <w:t xml:space="preserve">）</w:t>
      </w:r>
      <w:r/>
    </w:p>
    <w:p>
      <w:pPr>
        <w:ind w:firstLine="482"/>
        <w:spacing w:line="46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（2）</w:t>
      </w:r>
      <w:r>
        <w:rPr>
          <w:rFonts w:hint="eastAsia" w:ascii="宋体" w:hAnsi="宋体" w:cs="宋体"/>
          <w:color w:val="auto"/>
          <w:sz w:val="28"/>
          <w:szCs w:val="28"/>
          <w:highlight w:val="none"/>
          <w:u w:val="none"/>
          <w:lang w:eastAsia="zh-CN"/>
        </w:rPr>
        <w:t xml:space="preserve">衣柜</w:t>
      </w:r>
      <w:r>
        <w:rPr>
          <w:rFonts w:hint="eastAsia" w:ascii="宋体" w:hAnsi="宋体" w:cs="宋体"/>
          <w:color w:val="auto"/>
          <w:sz w:val="28"/>
          <w:szCs w:val="28"/>
          <w:highlight w:val="none"/>
          <w:u w:val="none"/>
        </w:rPr>
        <w:t xml:space="preserve">全部采用E0级三聚氰胺纸饰面实木多层板，甲醛释放量≤0.05mg/m³,板材厚度</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u w:val="none"/>
        </w:rPr>
        <w:t xml:space="preserve">。采用PVC封边条封边，封边条颜色与板材同色，不低于1.2mm厚。封边条应厚度均匀，柔韧性好，无划痕、毛刺等缺陷，要求采用PUR封边工艺，粘贴性牢固，无脱落。</w:t>
      </w:r>
      <w:r/>
    </w:p>
    <w:p>
      <w:pPr>
        <w:ind w:firstLine="482"/>
        <w:spacing w:line="460" w:lineRule="exact"/>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none"/>
          <w:lang w:val="en-US" w:eastAsia="zh-CN"/>
        </w:rPr>
        <w:t xml:space="preserve">3</w:t>
      </w:r>
      <w:r>
        <w:rPr>
          <w:rFonts w:hint="eastAsia" w:ascii="宋体" w:hAnsi="宋体" w:cs="宋体"/>
          <w:color w:val="auto"/>
          <w:sz w:val="28"/>
          <w:szCs w:val="28"/>
          <w:highlight w:val="none"/>
          <w:u w:val="none"/>
        </w:rPr>
        <w:t xml:space="preserve">）五金件：</w:t>
      </w:r>
      <w:r>
        <w:rPr>
          <w:rFonts w:hint="eastAsia" w:ascii="宋体" w:hAnsi="宋体" w:cs="宋体"/>
          <w:color w:val="auto"/>
          <w:sz w:val="28"/>
          <w:szCs w:val="28"/>
          <w:highlight w:val="none"/>
          <w:u w:val="none"/>
          <w:lang w:eastAsia="zh-CN"/>
        </w:rPr>
        <w:t xml:space="preserve">优质缓冲铰链，锌合金拉手，配锁扣，柜内安装</w:t>
      </w:r>
      <w:r>
        <w:rPr>
          <w:rFonts w:hint="eastAsia" w:ascii="宋体" w:hAnsi="宋体" w:cs="宋体"/>
          <w:color w:val="auto"/>
          <w:sz w:val="28"/>
          <w:szCs w:val="28"/>
          <w:highlight w:val="none"/>
          <w:u w:val="none"/>
          <w:lang w:val="en-US" w:eastAsia="zh-CN"/>
        </w:rPr>
        <w:t xml:space="preserve">304不锈钢挂衣杆，不小于</w:t>
      </w:r>
      <w:r>
        <w:rPr>
          <w:rFonts w:hint="eastAsia" w:ascii="宋体" w:hAnsi="宋体" w:cs="宋体"/>
          <w:color w:val="auto"/>
          <w:sz w:val="28"/>
          <w:szCs w:val="28"/>
          <w:highlight w:val="none"/>
          <w:u w:val="none"/>
          <w:lang w:eastAsia="zh-CN"/>
        </w:rPr>
        <w:t xml:space="preserve">φ</w:t>
      </w:r>
      <w:r>
        <w:rPr>
          <w:rFonts w:hint="eastAsia" w:ascii="宋体" w:hAnsi="宋体" w:cs="宋体"/>
          <w:color w:val="auto"/>
          <w:sz w:val="28"/>
          <w:szCs w:val="28"/>
          <w:highlight w:val="none"/>
          <w:u w:val="none"/>
          <w:lang w:val="en-US" w:eastAsia="zh-CN"/>
        </w:rPr>
        <w:t xml:space="preserve">25*1.0mm</w:t>
      </w:r>
      <w:r>
        <w:rPr>
          <w:rFonts w:hint="eastAsia" w:ascii="宋体" w:hAnsi="宋体" w:cs="宋体"/>
          <w:color w:val="auto"/>
          <w:sz w:val="28"/>
          <w:szCs w:val="28"/>
          <w:highlight w:val="none"/>
          <w:u w:val="none"/>
          <w:lang w:eastAsia="zh-CN"/>
        </w:rPr>
        <w:t xml:space="preserve">。衣柜下部安装≥</w:t>
      </w:r>
      <w:r>
        <w:rPr>
          <w:rFonts w:hint="eastAsia" w:ascii="宋体" w:hAnsi="宋体" w:cs="宋体"/>
          <w:color w:val="auto"/>
          <w:sz w:val="28"/>
          <w:szCs w:val="28"/>
          <w:highlight w:val="none"/>
          <w:u w:val="none"/>
          <w:lang w:val="en-US" w:eastAsia="zh-CN"/>
        </w:rPr>
        <w:t xml:space="preserve">60mm防潮脚垫。</w:t>
      </w:r>
      <w:r/>
    </w:p>
    <w:p>
      <w:pPr>
        <w:ind w:firstLine="48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w:t>
      </w:r>
      <w:r>
        <w:rPr>
          <w:rFonts w:ascii="宋体" w:hAnsi="宋体" w:cs="宋体"/>
          <w:b/>
          <w:bCs/>
          <w:color w:val="auto"/>
          <w:sz w:val="28"/>
          <w:szCs w:val="28"/>
          <w:highlight w:val="none"/>
        </w:rPr>
        <w:t xml:space="preserve">.1.</w:t>
      </w: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公寓床</w:t>
      </w:r>
      <w:r/>
    </w:p>
    <w:p>
      <w:pPr>
        <w:ind w:firstLine="482"/>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所有钢材均采用国家标准钢，各钢件经除油、防锈等工序处理,外层采用塑粉静电喷塑处理</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采用二氧化碳保护焊，自动焊机进行双面焊接，焊接表面波纹均匀,焊接处无夹渣、气孔、焊瘤、焊丝头咬边飞溅，无脱焊、虚焊及焊穿等现象。</w:t>
      </w:r>
      <w:r/>
    </w:p>
    <w:p>
      <w:pPr>
        <w:pStyle w:val="1014"/>
        <w:ind w:left="0" w:firstLine="480"/>
        <w:spacing w:line="460" w:lineRule="exact"/>
        <w:widowControl/>
        <w:rPr>
          <w:rFonts w:hint="eastAsia" w:ascii="宋体" w:hAnsi="宋体" w:eastAsia="宋体" w:cs="宋体"/>
          <w:color w:val="auto"/>
          <w:sz w:val="28"/>
          <w:szCs w:val="28"/>
          <w:highlight w:val="none"/>
          <w:lang w:eastAsia="zh-CN"/>
        </w:rPr>
      </w:pP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规格尺寸：两联3950*900*2150mm，蚊帐支架高800mm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±10mm,确保能整体安装</w:t>
      </w:r>
      <w:r>
        <w:rPr>
          <w:rFonts w:hint="eastAsia" w:ascii="宋体" w:hAnsi="宋体" w:cs="宋体"/>
          <w:color w:val="auto"/>
          <w:sz w:val="28"/>
          <w:szCs w:val="28"/>
          <w:highlight w:val="none"/>
          <w:lang w:eastAsia="zh-CN"/>
        </w:rPr>
        <w:t xml:space="preserve">）</w:t>
      </w:r>
      <w:r/>
    </w:p>
    <w:p>
      <w:pPr>
        <w:pStyle w:val="1014"/>
        <w:ind w:firstLine="168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单联1996*900*2150mm，蚊帐支架高800mm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±10mm,确保能整体安装</w:t>
      </w:r>
      <w:r>
        <w:rPr>
          <w:rFonts w:hint="eastAsia" w:ascii="宋体" w:hAnsi="宋体" w:cs="宋体"/>
          <w:color w:val="auto"/>
          <w:sz w:val="28"/>
          <w:szCs w:val="28"/>
          <w:highlight w:val="none"/>
          <w:lang w:eastAsia="zh-CN"/>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（2）立柱：</w:t>
      </w:r>
      <w:r>
        <w:rPr>
          <w:rFonts w:hint="eastAsia" w:ascii="宋体" w:hAnsi="宋体" w:cs="宋体"/>
          <w:color w:val="auto"/>
          <w:sz w:val="28"/>
          <w:szCs w:val="28"/>
          <w:highlight w:val="none"/>
          <w:lang w:val="en-US" w:eastAsia="zh-CN"/>
        </w:rPr>
        <w:t xml:space="preserve">尺寸</w:t>
      </w:r>
      <w:r>
        <w:rPr>
          <w:rFonts w:hint="eastAsia" w:ascii="宋体" w:hAnsi="宋体" w:cs="宋体"/>
          <w:color w:val="auto"/>
          <w:sz w:val="28"/>
          <w:szCs w:val="28"/>
          <w:highlight w:val="none"/>
        </w:rPr>
        <w:t xml:space="preserve">不低于5</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0</w:t>
      </w:r>
      <w:r>
        <w:rPr>
          <w:rFonts w:hint="eastAsia" w:ascii="宋体" w:hAnsi="宋体" w:cs="宋体"/>
          <w:color w:val="auto"/>
          <w:sz w:val="28"/>
          <w:szCs w:val="28"/>
          <w:highlight w:val="none"/>
          <w:lang w:val="en-US" w:eastAsia="zh-CN"/>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壁厚不低于</w:t>
      </w:r>
      <w:r>
        <w:rPr>
          <w:rFonts w:hint="eastAsia" w:ascii="宋体" w:hAnsi="宋体" w:cs="宋体"/>
          <w:color w:val="auto"/>
          <w:sz w:val="28"/>
          <w:szCs w:val="28"/>
          <w:highlight w:val="none"/>
        </w:rPr>
        <w:t xml:space="preserve">1.5mm。外部为圆弧造型，减少碰撞带来的伤害，两联床中立柱不低于</w:t>
      </w:r>
      <w:r>
        <w:rPr>
          <w:rFonts w:ascii="宋体" w:hAnsi="宋体" w:cs="宋体"/>
          <w:color w:val="auto"/>
          <w:sz w:val="28"/>
          <w:szCs w:val="28"/>
          <w:highlight w:val="none"/>
        </w:rPr>
        <w:t xml:space="preserve">6</w:t>
      </w:r>
      <w:r>
        <w:rPr>
          <w:rFonts w:hint="eastAsia" w:ascii="宋体" w:hAnsi="宋体" w:cs="宋体"/>
          <w:color w:val="auto"/>
          <w:sz w:val="28"/>
          <w:szCs w:val="28"/>
          <w:highlight w:val="none"/>
        </w:rPr>
        <w:t xml:space="preserve">0*60*1.5mm方管。</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（3）前后床梃：</w:t>
      </w:r>
      <w:r>
        <w:rPr>
          <w:rFonts w:hint="eastAsia" w:ascii="宋体" w:hAnsi="宋体" w:cs="宋体"/>
          <w:color w:val="auto"/>
          <w:sz w:val="28"/>
          <w:szCs w:val="28"/>
          <w:highlight w:val="none"/>
          <w:lang w:val="en-US" w:eastAsia="zh-CN"/>
        </w:rPr>
        <w:t xml:space="preserve">尺寸不低于</w:t>
      </w:r>
      <w:r>
        <w:rPr>
          <w:rFonts w:hint="eastAsia" w:ascii="宋体" w:hAnsi="宋体" w:cs="宋体"/>
          <w:color w:val="auto"/>
          <w:sz w:val="28"/>
          <w:szCs w:val="28"/>
          <w:highlight w:val="none"/>
        </w:rPr>
        <w:t xml:space="preserve">30*70</w:t>
      </w:r>
      <w:r>
        <w:rPr>
          <w:rFonts w:hint="eastAsia" w:ascii="宋体" w:hAnsi="宋体" w:cs="宋体"/>
          <w:color w:val="auto"/>
          <w:sz w:val="28"/>
          <w:szCs w:val="28"/>
          <w:highlight w:val="none"/>
          <w:lang w:val="en-US" w:eastAsia="zh-CN"/>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壁厚不低于</w:t>
      </w:r>
      <w:r>
        <w:rPr>
          <w:rFonts w:hint="eastAsia" w:ascii="宋体" w:hAnsi="宋体" w:cs="宋体"/>
          <w:color w:val="auto"/>
          <w:sz w:val="28"/>
          <w:szCs w:val="28"/>
          <w:highlight w:val="none"/>
        </w:rPr>
        <w:t xml:space="preserve">1.5mm</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床梃下部为圆边，上部为直边使连接件与前床梃齐平整体美观，下部为圆弧造型防止使用碰伤。</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（4）卡式连接挂件：采用</w:t>
      </w:r>
      <w:r>
        <w:rPr>
          <w:rFonts w:hint="eastAsia" w:ascii="宋体" w:hAnsi="宋体" w:cs="宋体"/>
          <w:color w:val="auto"/>
          <w:sz w:val="28"/>
          <w:szCs w:val="28"/>
          <w:highlight w:val="none"/>
          <w:lang w:eastAsia="zh-CN"/>
        </w:rPr>
        <w:t xml:space="preserve">不低于</w:t>
      </w:r>
      <w:r>
        <w:rPr>
          <w:rFonts w:hint="eastAsia" w:ascii="宋体" w:hAnsi="宋体" w:cs="宋体"/>
          <w:color w:val="auto"/>
          <w:sz w:val="28"/>
          <w:szCs w:val="28"/>
          <w:highlight w:val="none"/>
        </w:rPr>
        <w:t xml:space="preserve">2.0mm钢板经冲压拉伸成型，成型后外形规格为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200*30mm，床梃与卡式连接挂件焊接为一个整体，正前方为满焊不能留缺口及缝隙；</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（5）床头短横梁：上横梁</w:t>
      </w:r>
      <w:r>
        <w:rPr>
          <w:rFonts w:hint="eastAsia" w:ascii="宋体" w:hAnsi="宋体" w:cs="宋体"/>
          <w:color w:val="auto"/>
          <w:sz w:val="28"/>
          <w:szCs w:val="28"/>
          <w:highlight w:val="none"/>
          <w:lang w:val="en-US" w:eastAsia="zh-CN"/>
        </w:rPr>
        <w:t xml:space="preserve">尺寸</w:t>
      </w:r>
      <w:r>
        <w:rPr>
          <w:rFonts w:hint="eastAsia" w:ascii="宋体" w:hAnsi="宋体" w:cs="宋体"/>
          <w:color w:val="auto"/>
          <w:sz w:val="28"/>
          <w:szCs w:val="28"/>
          <w:highlight w:val="none"/>
        </w:rPr>
        <w:t xml:space="preserve">不低于25*25</w:t>
      </w:r>
      <w:r>
        <w:rPr>
          <w:rFonts w:hint="eastAsia" w:ascii="宋体" w:hAnsi="宋体" w:cs="宋体"/>
          <w:color w:val="auto"/>
          <w:sz w:val="28"/>
          <w:szCs w:val="28"/>
          <w:highlight w:val="none"/>
          <w:lang w:val="en-US" w:eastAsia="zh-CN"/>
        </w:rPr>
        <w:t xml:space="preserve">mm,壁厚不低于</w:t>
      </w:r>
      <w:r>
        <w:rPr>
          <w:rFonts w:hint="eastAsia" w:ascii="宋体" w:hAnsi="宋体" w:cs="宋体"/>
          <w:color w:val="auto"/>
          <w:sz w:val="28"/>
          <w:szCs w:val="28"/>
          <w:highlight w:val="none"/>
        </w:rPr>
        <w:t xml:space="preserve">1.2mm，下横梁</w:t>
      </w:r>
      <w:r>
        <w:rPr>
          <w:rFonts w:hint="eastAsia" w:ascii="宋体" w:hAnsi="宋体" w:cs="宋体"/>
          <w:color w:val="auto"/>
          <w:sz w:val="28"/>
          <w:szCs w:val="28"/>
          <w:highlight w:val="none"/>
          <w:lang w:val="en-US" w:eastAsia="zh-CN"/>
        </w:rPr>
        <w:t xml:space="preserve">尺寸</w:t>
      </w:r>
      <w:r>
        <w:rPr>
          <w:rFonts w:hint="eastAsia" w:ascii="宋体" w:hAnsi="宋体" w:cs="宋体"/>
          <w:color w:val="auto"/>
          <w:sz w:val="28"/>
          <w:szCs w:val="28"/>
          <w:highlight w:val="none"/>
        </w:rPr>
        <w:t xml:space="preserve">不低于25*50</w:t>
      </w:r>
      <w:r>
        <w:rPr>
          <w:rFonts w:hint="eastAsia" w:ascii="宋体" w:hAnsi="宋体" w:cs="宋体"/>
          <w:color w:val="auto"/>
          <w:sz w:val="28"/>
          <w:szCs w:val="28"/>
          <w:highlight w:val="none"/>
          <w:lang w:val="en-US" w:eastAsia="zh-CN"/>
        </w:rPr>
        <w:t xml:space="preserve">mm,壁厚</w:t>
      </w:r>
      <w:r>
        <w:rPr>
          <w:rFonts w:hint="eastAsia" w:ascii="宋体" w:hAnsi="宋体" w:cs="宋体"/>
          <w:color w:val="auto"/>
          <w:sz w:val="28"/>
          <w:szCs w:val="28"/>
          <w:highlight w:val="none"/>
        </w:rPr>
        <w:t xml:space="preserve">不低于1.2mm。</w:t>
      </w:r>
      <w:r/>
    </w:p>
    <w:p>
      <w:pPr>
        <w:ind w:firstLine="56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床枋</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尺寸</w:t>
      </w:r>
      <w:r>
        <w:rPr>
          <w:rFonts w:hint="eastAsia" w:ascii="宋体" w:hAnsi="宋体" w:cs="宋体"/>
          <w:color w:val="auto"/>
          <w:sz w:val="28"/>
          <w:szCs w:val="28"/>
          <w:highlight w:val="none"/>
        </w:rPr>
        <w:t xml:space="preserve">不低于</w:t>
      </w:r>
      <w:r>
        <w:rPr>
          <w:rFonts w:ascii="宋体" w:hAnsi="宋体" w:cs="宋体"/>
          <w:color w:val="auto"/>
          <w:sz w:val="28"/>
          <w:szCs w:val="28"/>
          <w:highlight w:val="none"/>
        </w:rPr>
        <w:t xml:space="preserve">30*30</w:t>
      </w:r>
      <w:r>
        <w:rPr>
          <w:rFonts w:hint="eastAsia" w:ascii="宋体" w:hAnsi="宋体" w:cs="宋体"/>
          <w:color w:val="auto"/>
          <w:sz w:val="28"/>
          <w:szCs w:val="28"/>
          <w:highlight w:val="none"/>
          <w:lang w:val="en-US" w:eastAsia="zh-CN"/>
        </w:rPr>
        <w:t xml:space="preserve">mm,壁厚不低于</w:t>
      </w:r>
      <w:r>
        <w:rPr>
          <w:rFonts w:hint="eastAsia" w:ascii="宋体" w:hAnsi="宋体" w:cs="宋体"/>
          <w:color w:val="auto"/>
          <w:sz w:val="28"/>
          <w:szCs w:val="28"/>
          <w:highlight w:val="none"/>
        </w:rPr>
        <w:t xml:space="preserve">1.2mm，设置数量不小于5根。</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（7）前床梃护栏：外框采用不低于25*25*1.2mm方管，竖料采用3根不低于φ19*1.0mm圆管，下方内嵌</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E0级三聚氰胺纸饰面多层板</w:t>
      </w:r>
      <w:r>
        <w:rPr>
          <w:rFonts w:hint="eastAsia"/>
          <w:color w:val="auto"/>
          <w:sz w:val="28"/>
          <w:szCs w:val="28"/>
          <w:highlight w:val="none"/>
        </w:rPr>
        <w:t xml:space="preserve">，</w:t>
      </w:r>
      <w:r>
        <w:rPr>
          <w:rFonts w:hint="eastAsia" w:ascii="宋体" w:hAnsi="宋体" w:cs="宋体"/>
          <w:color w:val="auto"/>
          <w:sz w:val="28"/>
          <w:szCs w:val="28"/>
          <w:highlight w:val="none"/>
        </w:rPr>
        <w:t xml:space="preserve">甲醛释放量≤0.05mg/m³。护栏透气孔3个，透气孔要求PP材质注塑成型装饰扣封边，自带圆弧角；表面光滑、平整立体感强。护栏板正反面均带有被褥安全警示线及警示数字（不允许粘贴方式）。护栏板上外加卡片槽，规格≥110*70mm，可穿插信息卡。</w:t>
      </w:r>
      <w:r>
        <w:rPr>
          <w:rFonts w:hint="eastAsia" w:ascii="宋体" w:hAnsi="宋体" w:cs="宋体"/>
          <w:color w:val="auto"/>
          <w:sz w:val="28"/>
          <w:szCs w:val="28"/>
          <w:highlight w:val="none"/>
          <w:lang w:val="en-US" w:eastAsia="zh-CN"/>
        </w:rPr>
        <w:t xml:space="preserve">护拦板上外加床铺编号信息（可使用粘贴方式），具体样式需经招标人确认。</w:t>
      </w:r>
      <w:r/>
    </w:p>
    <w:p>
      <w:pPr>
        <w:ind w:firstLine="48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（8）床头、床尾护栏：</w:t>
      </w:r>
      <w:r>
        <w:rPr>
          <w:rFonts w:hint="eastAsia" w:ascii="宋体" w:hAnsi="宋体" w:eastAsia="宋体" w:cs="宋体"/>
          <w:color w:val="auto"/>
          <w:sz w:val="28"/>
          <w:szCs w:val="28"/>
          <w:highlight w:val="none"/>
        </w:rPr>
        <w:t xml:space="preserve">采用不低于 25*25*1.2mm方管</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护栏下方内嵌</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E0级三聚氰胺纸饰面多层板,甲醛释放量≤0.05mg/m³</w:t>
      </w:r>
      <w:r>
        <w:rPr>
          <w:rFonts w:hint="eastAsia" w:ascii="宋体" w:hAnsi="宋体" w:eastAsia="宋体" w:cs="宋体"/>
          <w:color w:val="auto"/>
          <w:sz w:val="28"/>
          <w:szCs w:val="28"/>
          <w:highlight w:val="none"/>
          <w:lang w:eastAsia="zh-CN"/>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（9）后床梃护栏：采用不低于20*20*1.2</w:t>
      </w:r>
      <w:r>
        <w:rPr>
          <w:rFonts w:hint="eastAsia" w:ascii="宋体" w:hAnsi="宋体" w:cs="宋体"/>
          <w:color w:val="auto"/>
          <w:sz w:val="28"/>
          <w:szCs w:val="28"/>
          <w:highlight w:val="none"/>
          <w:lang w:val="en-US" w:eastAsia="zh-CN"/>
        </w:rPr>
        <w:t xml:space="preserve">mm</w:t>
      </w:r>
      <w:r>
        <w:rPr>
          <w:rFonts w:hint="eastAsia" w:ascii="宋体" w:hAnsi="宋体" w:cs="宋体"/>
          <w:color w:val="auto"/>
          <w:sz w:val="28"/>
          <w:szCs w:val="28"/>
          <w:highlight w:val="none"/>
        </w:rPr>
        <w:t xml:space="preserve">方管，护栏下方内嵌</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E0级三聚氰胺纸饰面多层板,甲醛释放量≤0.05mg/m³,护栏高度不低于</w:t>
      </w:r>
      <w:r>
        <w:rPr>
          <w:rFonts w:hint="eastAsia" w:ascii="宋体" w:hAnsi="宋体" w:cs="宋体"/>
          <w:color w:val="auto"/>
          <w:sz w:val="28"/>
          <w:szCs w:val="28"/>
          <w:highlight w:val="none"/>
          <w:lang w:val="en-US" w:eastAsia="zh-CN"/>
        </w:rPr>
        <w:t xml:space="preserve">350</w:t>
      </w:r>
      <w:r>
        <w:rPr>
          <w:rFonts w:hint="eastAsia" w:ascii="宋体" w:hAnsi="宋体" w:cs="宋体"/>
          <w:color w:val="auto"/>
          <w:sz w:val="28"/>
          <w:szCs w:val="28"/>
          <w:highlight w:val="none"/>
        </w:rPr>
        <w:t xml:space="preserve">mm。</w:t>
      </w:r>
      <w:r/>
    </w:p>
    <w:p>
      <w:pPr>
        <w:ind w:firstLine="48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（10）爬梯：爬梯采用不低于20*40*1.2mm的扁椭圆管</w:t>
      </w:r>
      <w:r>
        <w:rPr>
          <w:rFonts w:hint="eastAsia" w:ascii="宋体" w:hAnsi="宋体" w:cs="宋体"/>
          <w:color w:val="auto"/>
          <w:sz w:val="28"/>
          <w:szCs w:val="28"/>
          <w:highlight w:val="none"/>
          <w:lang w:eastAsia="zh-CN"/>
        </w:rPr>
        <w:t xml:space="preserve">，扶手采用不低于φ</w:t>
      </w:r>
      <w:r>
        <w:rPr>
          <w:rFonts w:hint="eastAsia" w:ascii="宋体" w:hAnsi="宋体" w:cs="宋体"/>
          <w:color w:val="auto"/>
          <w:sz w:val="28"/>
          <w:szCs w:val="28"/>
          <w:highlight w:val="none"/>
          <w:lang w:val="en-US" w:eastAsia="zh-CN"/>
        </w:rPr>
        <w:t xml:space="preserve">19*1.2mm圆管制作</w:t>
      </w:r>
      <w:r>
        <w:rPr>
          <w:rFonts w:hint="eastAsia" w:ascii="宋体" w:hAnsi="宋体" w:cs="宋体"/>
          <w:color w:val="auto"/>
          <w:sz w:val="28"/>
          <w:szCs w:val="28"/>
          <w:highlight w:val="none"/>
        </w:rPr>
        <w:t xml:space="preserve">。踏步为一次性中空吹塑成型防滑踏板，外观尺寸不低于350*100*30mm，踏步板面设置防滑条纹及荧光点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直径不小于20mm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，确保学生上下床铺时的安全。爬梯与床架采用螺丝方式连接。</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（11）蚊帐支架：采用不低于φ19*1.0mm圆管，蚊帐支架竖管与床脚采用一次成型PP塑料脚套连接，上带螺纹式旋钮，通过螺纹式旋钮胀紧蚊帐杆，锁定后受力不滑动。</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（12）床板：采用1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厚杉木制作，床板条宽度60-80mm，经烘干、正反双面抛光处理，床板背面采用4根不低于</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40</w:t>
      </w:r>
      <w:r>
        <w:rPr>
          <w:rFonts w:hint="eastAsia" w:ascii="宋体" w:hAnsi="宋体" w:cs="宋体"/>
          <w:color w:val="auto"/>
          <w:sz w:val="28"/>
          <w:szCs w:val="28"/>
          <w:highlight w:val="none"/>
        </w:rPr>
        <w:t xml:space="preserve">mm松木方条横杠钉制加固，床板缝隙≤10mm。</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（13）床脚脚套：采用塑料环保超高分子量PP材料制作，脚套与床脚应结合紧密，牢靠，不脱落。</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（14）工艺说明：钢管经除锈除油后进行焊接制作，钢管焊接表面波纹均匀，焊接处无夹渣、气孔、焊瘤、焊丝咬边和飞溅，无脱焊，虚焊和焊空的现象。喷塑表面光亮平整，无颗粒渣点，颜色均匀。</w:t>
      </w:r>
      <w:r/>
    </w:p>
    <w:p>
      <w:pPr>
        <w:ind w:firstLine="482"/>
        <w:spacing w:line="460" w:lineRule="exact"/>
        <w:widowControl/>
        <w:rPr>
          <w:rFonts w:hint="eastAsia" w:ascii="宋体" w:hAnsi="宋体" w:cs="宋体"/>
          <w:b/>
          <w:color w:val="auto"/>
          <w:sz w:val="28"/>
          <w:szCs w:val="28"/>
          <w:highlight w:val="none"/>
        </w:rPr>
      </w:pPr>
      <w:r>
        <w:rPr>
          <w:rFonts w:ascii="宋体" w:hAnsi="宋体" w:cs="宋体"/>
          <w:b/>
          <w:color w:val="auto"/>
          <w:sz w:val="28"/>
          <w:szCs w:val="28"/>
          <w:highlight w:val="none"/>
        </w:rPr>
        <w:t xml:space="preserve">5.1.</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组合书桌：</w:t>
      </w:r>
      <w:r/>
    </w:p>
    <w:p>
      <w:pPr>
        <w:ind w:firstLine="482"/>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（1）规格：1890*820</w:t>
      </w:r>
      <w:r>
        <w:rPr>
          <w:rFonts w:hint="eastAsia" w:ascii="宋体" w:hAnsi="宋体" w:cs="宋体"/>
          <w:color w:val="auto"/>
          <w:sz w:val="28"/>
          <w:szCs w:val="28"/>
          <w:highlight w:val="none"/>
          <w:lang w:val="en-US" w:eastAsia="zh-CN"/>
        </w:rPr>
        <w:t xml:space="preserve">/870</w:t>
      </w:r>
      <w:r>
        <w:rPr>
          <w:rFonts w:hint="eastAsia" w:ascii="宋体" w:hAnsi="宋体" w:cs="宋体"/>
          <w:color w:val="auto"/>
          <w:sz w:val="28"/>
          <w:szCs w:val="28"/>
          <w:highlight w:val="none"/>
        </w:rPr>
        <w:t xml:space="preserve">*1680mm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±10mm,确保能整体安装</w:t>
      </w:r>
      <w:r>
        <w:rPr>
          <w:rFonts w:hint="eastAsia" w:ascii="宋体" w:hAnsi="宋体" w:cs="宋体"/>
          <w:color w:val="auto"/>
          <w:sz w:val="28"/>
          <w:szCs w:val="28"/>
          <w:highlight w:val="none"/>
          <w:lang w:eastAsia="zh-CN"/>
        </w:rPr>
        <w:t xml:space="preserve">）</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（2）书桌全部采用E0级三聚氰胺纸饰面实木多层板，甲醛释放量≤0.05mg/m³,桌面厚度</w:t>
      </w:r>
      <w:r>
        <w:rPr>
          <w:rFonts w:hint="eastAsia" w:ascii="宋体" w:hAnsi="宋体" w:cs="宋体"/>
          <w:color w:val="auto"/>
          <w:sz w:val="28"/>
          <w:szCs w:val="28"/>
          <w:highlight w:val="none"/>
          <w:lang w:eastAsia="zh-CN"/>
        </w:rPr>
        <w:t xml:space="preserve">25mm(±5%）</w:t>
      </w:r>
      <w:r>
        <w:rPr>
          <w:rFonts w:hint="eastAsia" w:ascii="宋体" w:hAnsi="宋体" w:cs="宋体"/>
          <w:color w:val="auto"/>
          <w:sz w:val="28"/>
          <w:szCs w:val="28"/>
          <w:highlight w:val="none"/>
        </w:rPr>
        <w:t xml:space="preserve">，抽屉底板厚度</w:t>
      </w:r>
      <w:r>
        <w:rPr>
          <w:rFonts w:hint="eastAsia" w:ascii="宋体" w:hAnsi="宋体" w:cs="宋体"/>
          <w:color w:val="auto"/>
          <w:sz w:val="28"/>
          <w:szCs w:val="28"/>
          <w:highlight w:val="none"/>
          <w:lang w:eastAsia="zh-CN"/>
        </w:rPr>
        <w:t xml:space="preserve">5mm(±5%）</w:t>
      </w:r>
      <w:r>
        <w:rPr>
          <w:rFonts w:hint="eastAsia" w:ascii="宋体" w:hAnsi="宋体" w:cs="宋体"/>
          <w:color w:val="auto"/>
          <w:sz w:val="28"/>
          <w:szCs w:val="28"/>
          <w:highlight w:val="none"/>
        </w:rPr>
        <w:t xml:space="preserve">，其余板材厚度</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p>
    <w:p>
      <w:pPr>
        <w:ind w:firstLine="480"/>
        <w:spacing w:line="46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（3）桌面：L型，基材为E0级三聚氰胺纸饰面实木多层板，甲醛释放量≤0.05mg/m³,</w:t>
      </w:r>
      <w:r>
        <w:rPr>
          <w:rFonts w:hint="eastAsia" w:ascii="宋体" w:hAnsi="宋体" w:eastAsia="宋体" w:cs="宋体"/>
          <w:color w:val="auto"/>
          <w:sz w:val="28"/>
          <w:szCs w:val="28"/>
          <w:highlight w:val="none"/>
          <w:lang w:val="en-US" w:eastAsia="zh-CN"/>
        </w:rPr>
        <w:t xml:space="preserve">桌面四周采用PP（聚丙烯）材质注塑封边一次成型工艺制作</w:t>
      </w:r>
      <w:r>
        <w:rPr>
          <w:rFonts w:hint="eastAsia" w:ascii="宋体" w:hAnsi="宋体" w:cs="宋体"/>
          <w:color w:val="auto"/>
          <w:sz w:val="28"/>
          <w:szCs w:val="28"/>
          <w:highlight w:val="none"/>
        </w:rPr>
        <w:t xml:space="preserve">且无接缝。桌面板必须为整块板材，不可拼接。尺寸</w:t>
      </w:r>
      <w:r>
        <w:rPr>
          <w:rFonts w:hint="eastAsia" w:ascii="宋体" w:hAnsi="宋体" w:cs="宋体"/>
          <w:color w:val="auto"/>
          <w:sz w:val="28"/>
          <w:szCs w:val="28"/>
          <w:highlight w:val="none"/>
          <w:lang w:val="en-US" w:eastAsia="zh-CN"/>
        </w:rPr>
        <w:t xml:space="preserve">为</w:t>
      </w: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20*820mm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±10mm</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为防止桌面物品掉落，桌面前端及侧边加装高度不低于</w:t>
      </w:r>
      <w:r>
        <w:rPr>
          <w:rFonts w:hint="eastAsia" w:ascii="宋体" w:hAnsi="宋体" w:cs="宋体"/>
          <w:color w:val="auto"/>
          <w:sz w:val="28"/>
          <w:szCs w:val="28"/>
          <w:highlight w:val="none"/>
          <w:lang w:val="en-US" w:eastAsia="zh-CN"/>
        </w:rPr>
        <w:t xml:space="preserve">200mm挡板。</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（4）除桌面外，其余部件采用PVC封边条封边，封边条颜色与板材同色，不低于1.2mm厚。封边条应厚度均匀，柔韧性好，无划痕、毛刺等缺陷，要求采用PUR封边工艺，粘贴性牢固，无脱落。</w:t>
      </w:r>
      <w:r/>
    </w:p>
    <w:p>
      <w:pPr>
        <w:ind w:firstLine="480"/>
        <w:spacing w:line="460" w:lineRule="exact"/>
        <w:widowControl/>
        <w:rPr>
          <w:rFonts w:hint="eastAsia" w:ascii="宋体" w:hAnsi="宋体" w:cs="宋体"/>
          <w:strike/>
          <w:color w:val="auto"/>
          <w:sz w:val="28"/>
          <w:szCs w:val="28"/>
          <w:highlight w:val="none"/>
        </w:rPr>
      </w:pPr>
      <w:r>
        <w:rPr>
          <w:rFonts w:hint="eastAsia" w:ascii="宋体" w:hAnsi="宋体" w:cs="宋体"/>
          <w:color w:val="auto"/>
          <w:sz w:val="28"/>
          <w:szCs w:val="28"/>
          <w:highlight w:val="none"/>
        </w:rPr>
        <w:t xml:space="preserve">（5）五金件：导轨宽度不得低于45mm，壁厚不低于1mm三节静音阻尼导轨，阻尼铰链。拉手采用铝合金材质内嵌拉手，整体规格不低于13</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*50*2</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mm，拉手分上下盖两个部分；上盖尺寸不低于13</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*50*</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mm，下盖尺寸不低于13</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*50*</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mm。可选配加装不锈钢锁扣，内置挂锁</w:t>
      </w:r>
      <w:r>
        <w:rPr>
          <w:rFonts w:hint="eastAsia" w:ascii="宋体" w:hAnsi="宋体" w:cs="宋体"/>
          <w:color w:val="auto"/>
          <w:sz w:val="28"/>
          <w:szCs w:val="28"/>
          <w:highlight w:val="none"/>
          <w:lang w:eastAsia="zh-CN"/>
        </w:rPr>
        <w:t xml:space="preserve">位</w:t>
      </w:r>
      <w:r>
        <w:rPr>
          <w:rFonts w:hint="eastAsia" w:ascii="宋体" w:hAnsi="宋体" w:cs="宋体"/>
          <w:color w:val="auto"/>
          <w:sz w:val="28"/>
          <w:szCs w:val="28"/>
          <w:highlight w:val="none"/>
        </w:rPr>
        <w:t xml:space="preserve">。</w:t>
      </w:r>
      <w:r/>
    </w:p>
    <w:p>
      <w:pPr>
        <w:ind w:firstLine="482"/>
        <w:spacing w:line="460" w:lineRule="exact"/>
        <w:widowControl/>
        <w:rPr>
          <w:rFonts w:hint="eastAsia" w:ascii="宋体" w:hAnsi="宋体" w:cs="宋体"/>
          <w:b/>
          <w:color w:val="auto"/>
          <w:sz w:val="28"/>
          <w:szCs w:val="28"/>
          <w:highlight w:val="none"/>
        </w:rPr>
      </w:pPr>
      <w:r>
        <w:rPr>
          <w:rFonts w:ascii="宋体" w:hAnsi="宋体" w:cs="宋体"/>
          <w:b/>
          <w:color w:val="auto"/>
          <w:sz w:val="28"/>
          <w:szCs w:val="28"/>
          <w:highlight w:val="none"/>
        </w:rPr>
        <w:t xml:space="preserve">5.1.</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铝合金方凳</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(1)规格：不低于380*280*4</w:t>
      </w:r>
      <w:r>
        <w:rPr>
          <w:rFonts w:ascii="宋体" w:hAnsi="宋体" w:cs="宋体"/>
          <w:color w:val="auto"/>
          <w:sz w:val="28"/>
          <w:szCs w:val="28"/>
          <w:highlight w:val="none"/>
        </w:rPr>
        <w:t xml:space="preserve">5</w:t>
      </w:r>
      <w:r>
        <w:rPr>
          <w:rFonts w:hint="eastAsia" w:ascii="宋体" w:hAnsi="宋体" w:cs="宋体"/>
          <w:color w:val="auto"/>
          <w:sz w:val="28"/>
          <w:szCs w:val="28"/>
          <w:highlight w:val="none"/>
        </w:rPr>
        <w:t xml:space="preserve">0mm</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(2)凳面框架</w:t>
      </w:r>
      <w:r>
        <w:rPr>
          <w:rFonts w:hint="eastAsia" w:ascii="宋体" w:hAnsi="宋体" w:cs="宋体"/>
          <w:color w:val="auto"/>
          <w:sz w:val="28"/>
          <w:szCs w:val="28"/>
          <w:highlight w:val="none"/>
          <w:lang w:val="en-US" w:eastAsia="zh-CN"/>
        </w:rPr>
        <w:t xml:space="preserve">及凳脚</w:t>
      </w:r>
      <w:r>
        <w:rPr>
          <w:rFonts w:hint="eastAsia" w:ascii="宋体" w:hAnsi="宋体" w:cs="宋体"/>
          <w:color w:val="auto"/>
          <w:sz w:val="28"/>
          <w:szCs w:val="28"/>
          <w:highlight w:val="none"/>
        </w:rPr>
        <w:t xml:space="preserve">：采用优质铝合金经模具一体压铸成型，具有足够的强度，表面经打磨、抛光、喷淋清洗、静电喷粉、高温焗炉等工序精制而成。</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(3)凳面：采用优质工程塑料，经模具一体中空吹塑成型，凳面表面设有开孔，符合人类工效学原理。</w:t>
      </w:r>
      <w:r/>
    </w:p>
    <w:p>
      <w:pPr>
        <w:ind w:firstLine="48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)防滑脚垫：每只椅腿支架附有防滑脚垫，采用PP（聚丙稀）材质，预防</w:t>
      </w:r>
      <w:r>
        <w:rPr>
          <w:rFonts w:hint="eastAsia" w:ascii="宋体" w:hAnsi="宋体" w:cs="宋体"/>
          <w:color w:val="auto"/>
          <w:sz w:val="28"/>
          <w:szCs w:val="28"/>
          <w:highlight w:val="none"/>
          <w:lang w:eastAsia="zh-CN"/>
        </w:rPr>
        <w:t xml:space="preserve">方凳</w:t>
      </w:r>
      <w:r>
        <w:rPr>
          <w:rFonts w:hint="eastAsia" w:ascii="宋体" w:hAnsi="宋体" w:cs="宋体"/>
          <w:color w:val="auto"/>
          <w:sz w:val="28"/>
          <w:szCs w:val="28"/>
          <w:highlight w:val="none"/>
        </w:rPr>
        <w:t xml:space="preserve">滑动、保护地面减少划痕和减少噪音产生。</w:t>
      </w:r>
      <w:r/>
    </w:p>
    <w:p>
      <w:pPr>
        <w:ind w:firstLine="480"/>
        <w:spacing w:line="460" w:lineRule="exact"/>
        <w:widowControl/>
        <w:rPr>
          <w:rFonts w:hint="eastAsia" w:ascii="宋体" w:hAnsi="宋体" w:cs="宋体"/>
          <w:color w:val="auto"/>
          <w:sz w:val="28"/>
          <w:szCs w:val="28"/>
          <w:highlight w:val="none"/>
        </w:rPr>
      </w:pPr>
      <w:r>
        <w:rPr>
          <w:rFonts w:ascii="宋体" w:hAnsi="宋体" w:cs="宋体"/>
          <w:color w:val="auto"/>
          <w:sz w:val="28"/>
          <w:szCs w:val="28"/>
          <w:highlight w:val="none"/>
        </w:rPr>
        <w:t xml:space="preserve">5.2</w:t>
      </w:r>
      <w:r>
        <w:rPr>
          <w:rFonts w:hint="eastAsia" w:ascii="宋体" w:hAnsi="宋体" w:cs="宋体"/>
          <w:color w:val="auto"/>
          <w:sz w:val="28"/>
          <w:szCs w:val="28"/>
          <w:highlight w:val="none"/>
        </w:rPr>
        <w:t xml:space="preserve">示意图</w:t>
      </w:r>
      <w:r/>
    </w:p>
    <w:p>
      <w:pPr>
        <w:ind w:firstLine="480"/>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.2.1上下铺铁床</w:t>
      </w:r>
      <w:r/>
    </w:p>
    <w:p>
      <w:pPr>
        <w:pStyle w:val="987"/>
        <w:rPr>
          <w:rFonts w:hint="eastAsia" w:eastAsia="黑体"/>
          <w:color w:val="auto"/>
          <w:highlight w:val="none"/>
          <w:lang w:eastAsia="zh-CN"/>
        </w:rPr>
      </w:pPr>
      <w:r>
        <w:rPr>
          <w:rFonts w:hint="eastAsia"/>
          <w:color w:val="auto"/>
          <w:highlight w:val="none"/>
          <w:lang w:val="en-US" w:eastAsia="zh-CN"/>
        </w:rPr>
        <mc:AlternateContent>
          <mc:Choice Requires="wpg">
            <w:drawing>
              <wp:inline xmlns:wp="http://schemas.openxmlformats.org/drawingml/2006/wordprocessingDrawing" distT="0" distB="0" distL="0" distR="0">
                <wp:extent cx="5680710" cy="8033385"/>
                <wp:effectExtent l="0" t="0" r="8890" b="5715"/>
                <wp:docPr id="3" name="图片 22" descr="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descr="2_01"/>
                        <pic:cNvPicPr>
                          <a:picLocks noChangeAspect="1"/>
                        </pic:cNvPicPr>
                        <pic:nvPr/>
                      </pic:nvPicPr>
                      <pic:blipFill>
                        <a:blip r:embed="rId18"/>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3pt;height:632.5pt;mso-wrap-distance-left:0.0pt;mso-wrap-distance-top:0.0pt;mso-wrap-distance-right:0.0pt;mso-wrap-distance-bottom:0.0pt;" stroked="false">
                <v:path textboxrect="0,0,0,0"/>
                <v:imagedata r:id="rId18" o:title=""/>
              </v:shape>
            </w:pict>
          </mc:Fallback>
        </mc:AlternateContent>
      </w:r>
      <w:r>
        <w:rPr>
          <w:rFonts w:hint="eastAsia"/>
          <w:color w:val="auto"/>
          <w:highlight w:val="none"/>
          <w:lang w:val="en-US" w:eastAsia="zh-CN"/>
        </w:rPr>
        <mc:AlternateContent>
          <mc:Choice Requires="wpg">
            <w:drawing>
              <wp:inline xmlns:wp="http://schemas.openxmlformats.org/drawingml/2006/wordprocessingDrawing" distT="0" distB="0" distL="0" distR="0">
                <wp:extent cx="5680710" cy="8033385"/>
                <wp:effectExtent l="0" t="0" r="8890" b="5715"/>
                <wp:docPr id="4" name="图片 23" descr="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3" descr="1_01"/>
                        <pic:cNvPicPr>
                          <a:picLocks noChangeAspect="1"/>
                        </pic:cNvPicPr>
                        <pic:nvPr/>
                      </pic:nvPicPr>
                      <pic:blipFill>
                        <a:blip r:embed="rId19"/>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3pt;height:632.5pt;mso-wrap-distance-left:0.0pt;mso-wrap-distance-top:0.0pt;mso-wrap-distance-right:0.0pt;mso-wrap-distance-bottom:0.0pt;" stroked="false">
                <v:path textboxrect="0,0,0,0"/>
                <v:imagedata r:id="rId19" o:title=""/>
              </v:shape>
            </w:pict>
          </mc:Fallback>
        </mc:AlternateContent>
      </w:r>
      <w:r>
        <w:rPr>
          <w:rFonts w:hint="eastAsia" w:eastAsia="黑体"/>
          <w:color w:val="auto"/>
          <w:highlight w:val="none"/>
          <w:lang w:eastAsia="zh-CN"/>
        </w:rPr>
        <mc:AlternateContent>
          <mc:Choice Requires="wpg">
            <w:drawing>
              <wp:inline xmlns:wp="http://schemas.openxmlformats.org/drawingml/2006/wordprocessingDrawing" distT="0" distB="0" distL="0" distR="0">
                <wp:extent cx="5680710" cy="8033385"/>
                <wp:effectExtent l="0" t="0" r="15240" b="5715"/>
                <wp:docPr id="5" name="图片 4" descr="PDF合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PDF合并_02"/>
                        <pic:cNvPicPr>
                          <a:picLocks noChangeAspect="1"/>
                        </pic:cNvPicPr>
                        <pic:nvPr/>
                      </pic:nvPicPr>
                      <pic:blipFill>
                        <a:blip r:embed="rId20"/>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7.3pt;height:632.5pt;mso-wrap-distance-left:0.0pt;mso-wrap-distance-top:0.0pt;mso-wrap-distance-right:0.0pt;mso-wrap-distance-bottom:0.0pt;" stroked="false">
                <v:path textboxrect="0,0,0,0"/>
                <v:imagedata r:id="rId20" o:title=""/>
              </v:shape>
            </w:pict>
          </mc:Fallback>
        </mc:AlternateContent>
      </w:r>
      <w:r>
        <w:rPr>
          <w:rFonts w:hint="eastAsia" w:eastAsia="黑体"/>
          <w:color w:val="auto"/>
          <w:highlight w:val="none"/>
          <w:lang w:eastAsia="zh-CN"/>
        </w:rPr>
        <mc:AlternateContent>
          <mc:Choice Requires="wpg">
            <w:drawing>
              <wp:inline xmlns:wp="http://schemas.openxmlformats.org/drawingml/2006/wordprocessingDrawing" distT="0" distB="0" distL="0" distR="0">
                <wp:extent cx="5680710" cy="8033385"/>
                <wp:effectExtent l="0" t="0" r="8890" b="5715"/>
                <wp:docPr id="6" name="图片 3" descr="PDF合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PDF合并_02"/>
                        <pic:cNvPicPr>
                          <a:picLocks noChangeAspect="1"/>
                        </pic:cNvPicPr>
                        <pic:nvPr/>
                      </pic:nvPicPr>
                      <pic:blipFill>
                        <a:blip r:embed="rId21"/>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7.3pt;height:632.5pt;mso-wrap-distance-left:0.0pt;mso-wrap-distance-top:0.0pt;mso-wrap-distance-right:0.0pt;mso-wrap-distance-bottom:0.0pt;" stroked="false">
                <v:path textboxrect="0,0,0,0"/>
                <v:imagedata r:id="rId21" o:title=""/>
              </v:shape>
            </w:pict>
          </mc:Fallback>
        </mc:AlternateContent>
      </w:r>
      <w:r>
        <w:rPr>
          <w:rFonts w:hint="eastAsia" w:eastAsia="黑体"/>
          <w:color w:val="auto"/>
          <w:highlight w:val="none"/>
          <w:lang w:eastAsia="zh-CN"/>
        </w:rPr>
        <mc:AlternateContent>
          <mc:Choice Requires="wpg">
            <w:drawing>
              <wp:inline xmlns:wp="http://schemas.openxmlformats.org/drawingml/2006/wordprocessingDrawing" distT="0" distB="0" distL="0" distR="0">
                <wp:extent cx="5439410" cy="3434080"/>
                <wp:effectExtent l="0" t="0" r="8890" b="13970"/>
                <wp:docPr id="7" name="图片 7" descr="PDF合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PDF合并_04"/>
                        <pic:cNvPicPr>
                          <a:picLocks noChangeAspect="1"/>
                        </pic:cNvPicPr>
                        <pic:nvPr/>
                      </pic:nvPicPr>
                      <pic:blipFill>
                        <a:blip r:embed="rId22"/>
                        <a:srcRect l="0" t="25366" r="0" b="27144"/>
                        <a:stretch/>
                      </pic:blipFill>
                      <pic:spPr bwMode="auto">
                        <a:xfrm>
                          <a:off x="0" y="0"/>
                          <a:ext cx="5439410" cy="34340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8.3pt;height:270.4pt;mso-wrap-distance-left:0.0pt;mso-wrap-distance-top:0.0pt;mso-wrap-distance-right:0.0pt;mso-wrap-distance-bottom:0.0pt;" stroked="false">
                <v:path textboxrect="0,0,0,0"/>
                <v:imagedata r:id="rId22" o:title=""/>
              </v:shape>
            </w:pict>
          </mc:Fallback>
        </mc:AlternateContent>
      </w:r>
      <w:r/>
    </w:p>
    <w:p>
      <w:pPr>
        <w:ind w:firstLine="56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.2.2</w:t>
      </w:r>
      <w:r>
        <w:rPr>
          <w:rFonts w:hint="eastAsia" w:ascii="宋体" w:hAnsi="宋体" w:cs="宋体"/>
          <w:color w:val="auto"/>
          <w:sz w:val="28"/>
          <w:szCs w:val="28"/>
          <w:highlight w:val="none"/>
        </w:rPr>
        <w:t xml:space="preserve">书桌</w:t>
      </w:r>
      <w:r/>
    </w:p>
    <w:p>
      <w:pPr>
        <w:jc w:val="center"/>
        <w:rPr>
          <w:rFonts w:hint="eastAsia" w:eastAsia="宋体"/>
          <w:color w:val="auto"/>
          <w:sz w:val="24"/>
          <w:szCs w:val="24"/>
          <w:highlight w:val="none"/>
          <w:lang w:eastAsia="zh-CN"/>
        </w:rPr>
      </w:pPr>
      <w:r>
        <w:rPr>
          <w:color w:val="auto"/>
          <w:highlight w:val="none"/>
        </w:rPr>
        <mc:AlternateContent>
          <mc:Choice Requires="wpg">
            <w:drawing>
              <wp:inline xmlns:wp="http://schemas.openxmlformats.org/drawingml/2006/wordprocessingDrawing" distT="0" distB="0" distL="0" distR="0">
                <wp:extent cx="3086100" cy="4669155"/>
                <wp:effectExtent l="0" t="0" r="0" b="171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3"/>
                        <a:stretch/>
                      </pic:blipFill>
                      <pic:spPr bwMode="auto">
                        <a:xfrm>
                          <a:off x="0" y="0"/>
                          <a:ext cx="3086100" cy="4669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43.0pt;height:367.6pt;mso-wrap-distance-left:0.0pt;mso-wrap-distance-top:0.0pt;mso-wrap-distance-right:0.0pt;mso-wrap-distance-bottom:0.0pt;" stroked="f">
                <v:path textboxrect="0,0,0,0"/>
                <v:imagedata r:id="rId23" o:title=""/>
              </v:shape>
            </w:pict>
          </mc:Fallback>
        </mc:AlternateContent>
      </w:r>
      <w:r>
        <w:rPr>
          <w:rFonts w:hint="eastAsia" w:eastAsia="宋体"/>
          <w:color w:val="auto"/>
          <w:sz w:val="24"/>
          <w:szCs w:val="24"/>
          <w:highlight w:val="none"/>
          <w:lang w:eastAsia="zh-CN"/>
        </w:rPr>
        <mc:AlternateContent>
          <mc:Choice Requires="wpg">
            <w:drawing>
              <wp:inline xmlns:wp="http://schemas.openxmlformats.org/drawingml/2006/wordprocessingDrawing" distT="0" distB="0" distL="0" distR="0">
                <wp:extent cx="5655310" cy="7997190"/>
                <wp:effectExtent l="0" t="0" r="8890" b="3810"/>
                <wp:docPr id="9" name="图片 5" descr="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3_01"/>
                        <pic:cNvPicPr>
                          <a:picLocks noChangeAspect="1"/>
                        </pic:cNvPicPr>
                        <pic:nvPr/>
                      </pic:nvPicPr>
                      <pic:blipFill>
                        <a:blip r:embed="rId24"/>
                        <a:stretch/>
                      </pic:blipFill>
                      <pic:spPr bwMode="auto">
                        <a:xfrm>
                          <a:off x="0" y="0"/>
                          <a:ext cx="5655310" cy="7997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5.3pt;height:629.7pt;mso-wrap-distance-left:0.0pt;mso-wrap-distance-top:0.0pt;mso-wrap-distance-right:0.0pt;mso-wrap-distance-bottom:0.0pt;" stroked="false">
                <v:path textboxrect="0,0,0,0"/>
                <v:imagedata r:id="rId24" o:title=""/>
              </v:shape>
            </w:pict>
          </mc:Fallback>
        </mc:AlternateConten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ind w:firstLine="56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.2.3</w:t>
      </w:r>
      <w:r>
        <w:rPr>
          <w:rFonts w:hint="eastAsia" w:ascii="宋体" w:hAnsi="宋体" w:cs="宋体"/>
          <w:color w:val="auto"/>
          <w:sz w:val="28"/>
          <w:szCs w:val="28"/>
          <w:highlight w:val="none"/>
          <w:lang w:eastAsia="zh-CN"/>
        </w:rPr>
        <w:t xml:space="preserve">衣柜</w:t>
      </w:r>
      <w:r/>
    </w:p>
    <w:p>
      <w:pPr>
        <w:pStyle w:val="987"/>
        <w:rPr>
          <w:rFonts w:hint="eastAsia" w:eastAsia="黑体"/>
          <w:color w:val="auto"/>
          <w:highlight w:val="none"/>
          <w:lang w:eastAsia="zh-CN"/>
        </w:rPr>
      </w:pPr>
      <w:r>
        <w:rPr>
          <w:rFonts w:hint="eastAsia" w:eastAsia="黑体"/>
          <w:color w:val="auto"/>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5680710" cy="8033385"/>
                <wp:effectExtent l="0" t="0" r="15240" b="5715"/>
                <wp:docPr id="10" name="图片 6" descr="PDF合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PDF合并_03"/>
                        <pic:cNvPicPr>
                          <a:picLocks noChangeAspect="1"/>
                        </pic:cNvPicPr>
                        <pic:nvPr/>
                      </pic:nvPicPr>
                      <pic:blipFill>
                        <a:blip r:embed="rId25"/>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7.3pt;height:632.5pt;mso-wrap-distance-left:0.0pt;mso-wrap-distance-top:0.0pt;mso-wrap-distance-right:0.0pt;mso-wrap-distance-bottom:0.0pt;" stroked="false">
                <v:path textboxrect="0,0,0,0"/>
                <v:imagedata r:id="rId25" o:title=""/>
              </v:shape>
            </w:pict>
          </mc:Fallback>
        </mc:AlternateConten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5680710" cy="8033385"/>
                <wp:effectExtent l="0" t="0" r="15240" b="5715"/>
                <wp:docPr id="11" name="图片 17" descr="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7" descr="1_01"/>
                        <pic:cNvPicPr>
                          <a:picLocks noChangeAspect="1"/>
                        </pic:cNvPicPr>
                        <pic:nvPr/>
                      </pic:nvPicPr>
                      <pic:blipFill>
                        <a:blip r:embed="rId26"/>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7.3pt;height:632.5pt;mso-wrap-distance-left:0.0pt;mso-wrap-distance-top:0.0pt;mso-wrap-distance-right:0.0pt;mso-wrap-distance-bottom:0.0pt;" stroked="false">
                <v:path textboxrect="0,0,0,0"/>
                <v:imagedata r:id="rId26" o:title=""/>
              </v:shape>
            </w:pict>
          </mc:Fallback>
        </mc:AlternateConten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5655310" cy="7997190"/>
                <wp:effectExtent l="0" t="0" r="8890" b="3810"/>
                <wp:docPr id="12" name="图片 21" descr="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descr="2_01"/>
                        <pic:cNvPicPr>
                          <a:picLocks noChangeAspect="1"/>
                        </pic:cNvPicPr>
                        <pic:nvPr/>
                      </pic:nvPicPr>
                      <pic:blipFill>
                        <a:blip r:embed="rId27"/>
                        <a:stretch/>
                      </pic:blipFill>
                      <pic:spPr bwMode="auto">
                        <a:xfrm>
                          <a:off x="0" y="0"/>
                          <a:ext cx="5655310" cy="7997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5.3pt;height:629.7pt;mso-wrap-distance-left:0.0pt;mso-wrap-distance-top:0.0pt;mso-wrap-distance-right:0.0pt;mso-wrap-distance-bottom:0.0pt;" stroked="false">
                <v:path textboxrect="0,0,0,0"/>
                <v:imagedata r:id="rId27" o:title=""/>
              </v:shape>
            </w:pict>
          </mc:Fallback>
        </mc:AlternateContent>
      </w:r>
      <w:r/>
    </w:p>
    <w:p>
      <w:pPr>
        <w:ind w:firstLine="56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ascii="宋体" w:hAnsi="宋体" w:cs="宋体"/>
          <w:color w:val="auto"/>
          <w:sz w:val="28"/>
          <w:szCs w:val="28"/>
          <w:highlight w:val="none"/>
        </w:rPr>
        <w:t xml:space="preserve">公寓床</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4937760" cy="6217920"/>
                <wp:effectExtent l="0" t="0" r="15240" b="11430"/>
                <wp:docPr id="13" name="图片 38" descr="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8" descr="1_01"/>
                        <pic:cNvPicPr>
                          <a:picLocks noChangeAspect="1"/>
                        </pic:cNvPicPr>
                        <pic:nvPr/>
                      </pic:nvPicPr>
                      <pic:blipFill>
                        <a:blip r:embed="rId28"/>
                        <a:srcRect l="0" t="4000" r="0" b="2599"/>
                        <a:stretch/>
                      </pic:blipFill>
                      <pic:spPr bwMode="auto">
                        <a:xfrm>
                          <a:off x="0" y="0"/>
                          <a:ext cx="4937760" cy="6217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88.8pt;height:489.6pt;mso-wrap-distance-left:0.0pt;mso-wrap-distance-top:0.0pt;mso-wrap-distance-right:0.0pt;mso-wrap-distance-bottom:0.0pt;" stroked="false">
                <v:path textboxrect="0,0,0,0"/>
                <v:imagedata r:id="rId28" o:title=""/>
              </v:shape>
            </w:pict>
          </mc:Fallback>
        </mc:AlternateContent>
      </w:r>
      <w:r/>
    </w:p>
    <w:p>
      <w:pPr>
        <w:jc w:val="cente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公寓床（单联）</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5680710" cy="8033385"/>
                <wp:effectExtent l="0" t="0" r="15240" b="5715"/>
                <wp:docPr id="14" name="图片 10" descr="PDF合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PDF合并_05"/>
                        <pic:cNvPicPr>
                          <a:picLocks noChangeAspect="1"/>
                        </pic:cNvPicPr>
                        <pic:nvPr/>
                      </pic:nvPicPr>
                      <pic:blipFill>
                        <a:blip r:embed="rId29"/>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7.3pt;height:632.5pt;mso-wrap-distance-left:0.0pt;mso-wrap-distance-top:0.0pt;mso-wrap-distance-right:0.0pt;mso-wrap-distance-bottom:0.0pt;" stroked="false">
                <v:path textboxrect="0,0,0,0"/>
                <v:imagedata r:id="rId29" o:title=""/>
              </v:shape>
            </w:pict>
          </mc:Fallback>
        </mc:AlternateConten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5680710" cy="8033385"/>
                <wp:effectExtent l="0" t="0" r="15240" b="5715"/>
                <wp:docPr id="15" name="图片 9" descr="PDF合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PDF合并_06"/>
                        <pic:cNvPicPr>
                          <a:picLocks noChangeAspect="1"/>
                        </pic:cNvPicPr>
                        <pic:nvPr/>
                      </pic:nvPicPr>
                      <pic:blipFill>
                        <a:blip r:embed="rId30"/>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7.3pt;height:632.5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5680710" cy="8033385"/>
                <wp:effectExtent l="0" t="0" r="15240" b="5715"/>
                <wp:docPr id="16" name="图片 11" descr="PDF合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PDF合并_07"/>
                        <pic:cNvPicPr>
                          <a:picLocks noChangeAspect="1"/>
                        </pic:cNvPicPr>
                        <pic:nvPr/>
                      </pic:nvPicPr>
                      <pic:blipFill>
                        <a:blip r:embed="rId31"/>
                        <a:stretch/>
                      </pic:blipFill>
                      <pic:spPr bwMode="auto">
                        <a:xfrm>
                          <a:off x="0" y="0"/>
                          <a:ext cx="568071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7.3pt;height:632.5pt;mso-wrap-distance-left:0.0pt;mso-wrap-distance-top:0.0pt;mso-wrap-distance-right:0.0pt;mso-wrap-distance-bottom:0.0pt;" stroked="false">
                <v:path textboxrect="0,0,0,0"/>
                <v:imagedata r:id="rId31" o:title=""/>
              </v:shape>
            </w:pict>
          </mc:Fallback>
        </mc:AlternateConten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5680710" cy="3238500"/>
                <wp:effectExtent l="0" t="0" r="15240" b="0"/>
                <wp:docPr id="17" name="图片 12" descr="PDF合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PDF合并_08"/>
                        <pic:cNvPicPr>
                          <a:picLocks noChangeAspect="1"/>
                        </pic:cNvPicPr>
                        <pic:nvPr/>
                      </pic:nvPicPr>
                      <pic:blipFill>
                        <a:blip r:embed="rId32"/>
                        <a:srcRect l="0" t="30353" r="0" b="29334"/>
                        <a:stretch/>
                      </pic:blipFill>
                      <pic:spPr bwMode="auto">
                        <a:xfrm>
                          <a:off x="0" y="0"/>
                          <a:ext cx="5680710" cy="3238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7.3pt;height:255.0pt;mso-wrap-distance-left:0.0pt;mso-wrap-distance-top:0.0pt;mso-wrap-distance-right:0.0pt;mso-wrap-distance-bottom:0.0pt;" stroked="false">
                <v:path textboxrect="0,0,0,0"/>
                <v:imagedata r:id="rId32" o:title=""/>
              </v:shape>
            </w:pict>
          </mc:Fallback>
        </mc:AlternateContent>
      </w:r>
      <w:r/>
    </w:p>
    <w:p>
      <w:pPr>
        <w:pStyle w:val="987"/>
        <w:rPr>
          <w:rFonts w:hint="eastAsia" w:eastAsia="黑体"/>
          <w:color w:val="auto"/>
          <w:highlight w:val="none"/>
          <w:lang w:eastAsia="zh-CN"/>
        </w:rPr>
      </w:pPr>
      <w:r>
        <w:rPr>
          <w:rFonts w:hint="eastAsia" w:eastAsia="黑体"/>
          <w:color w:val="auto"/>
          <w:highlight w:val="none"/>
          <w:lang w:eastAsia="zh-CN"/>
        </w:rPr>
      </w:r>
      <w:r/>
    </w:p>
    <w:p>
      <w:pPr>
        <w:rPr>
          <w:rFonts w:hint="eastAsia" w:eastAsia="黑体"/>
          <w:color w:val="auto"/>
          <w:highlight w:val="none"/>
          <w:lang w:eastAsia="zh-CN"/>
        </w:rPr>
      </w:pPr>
      <w:r>
        <w:rPr>
          <w:rFonts w:hint="eastAsia" w:eastAsia="黑体"/>
          <w:color w:val="auto"/>
          <w:highlight w:val="none"/>
          <w:lang w:eastAsia="zh-CN"/>
        </w:rPr>
      </w:r>
      <w:r/>
    </w:p>
    <w:p>
      <w:pPr>
        <w:pStyle w:val="987"/>
        <w:rPr>
          <w:rFonts w:hint="eastAsia" w:eastAsia="黑体"/>
          <w:color w:val="auto"/>
          <w:highlight w:val="none"/>
          <w:lang w:eastAsia="zh-CN"/>
        </w:rPr>
      </w:pPr>
      <w:r>
        <w:rPr>
          <w:rFonts w:hint="eastAsia" w:eastAsia="黑体"/>
          <w:color w:val="auto"/>
          <w:highlight w:val="none"/>
          <w:lang w:eastAsia="zh-CN"/>
        </w:rPr>
      </w:r>
      <w:r/>
    </w:p>
    <w:p>
      <w:pPr>
        <w:rPr>
          <w:rFonts w:hint="eastAsia" w:eastAsia="黑体"/>
          <w:color w:val="auto"/>
          <w:highlight w:val="none"/>
          <w:lang w:eastAsia="zh-CN"/>
        </w:rPr>
      </w:pPr>
      <w:r>
        <w:rPr>
          <w:rFonts w:hint="eastAsia" w:eastAsia="黑体"/>
          <w:color w:val="auto"/>
          <w:highlight w:val="none"/>
          <w:lang w:eastAsia="zh-CN"/>
        </w:rPr>
      </w:r>
      <w:r/>
    </w:p>
    <w:p>
      <w:pPr>
        <w:pStyle w:val="987"/>
        <w:jc w:val="center"/>
        <w:rPr>
          <w:rFonts w:hint="eastAsia"/>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299710" cy="6388735"/>
                <wp:effectExtent l="0" t="0" r="15240" b="12065"/>
                <wp:docPr id="18" name="图片 27" descr="PDF合并(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7" descr="PDF合并(1)_01"/>
                        <pic:cNvPicPr>
                          <a:picLocks noChangeAspect="1"/>
                        </pic:cNvPicPr>
                        <pic:nvPr/>
                      </pic:nvPicPr>
                      <pic:blipFill>
                        <a:blip r:embed="rId33"/>
                        <a:srcRect l="0" t="7462" r="0" b="7296"/>
                        <a:stretch/>
                      </pic:blipFill>
                      <pic:spPr bwMode="auto">
                        <a:xfrm>
                          <a:off x="0" y="0"/>
                          <a:ext cx="5299710" cy="6388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7.3pt;height:503.0pt;mso-wrap-distance-left:0.0pt;mso-wrap-distance-top:0.0pt;mso-wrap-distance-right:0.0pt;mso-wrap-distance-bottom:0.0pt;" stroked="false">
                <v:path textboxrect="0,0,0,0"/>
                <v:imagedata r:id="rId33" o:title=""/>
              </v:shape>
            </w:pict>
          </mc:Fallback>
        </mc:AlternateContent>
      </w:r>
      <w:r/>
    </w:p>
    <w:p>
      <w:pPr>
        <w:pStyle w:val="98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公寓床（两联）</w:t>
      </w:r>
      <w:r/>
    </w:p>
    <w:p>
      <w:pPr>
        <w:jc w:val="center"/>
        <w:rPr>
          <w:rFonts w:hint="eastAsia"/>
          <w:color w:val="auto"/>
          <w:highlight w:val="none"/>
          <w:lang w:val="en-US" w:eastAsia="zh-CN"/>
        </w:rPr>
      </w:pPr>
      <w:r>
        <w:rPr>
          <w:rFonts w:hint="eastAsia"/>
          <w:color w:val="auto"/>
          <w:highlight w:val="none"/>
          <w:lang w:val="en-US" w:eastAsia="zh-CN"/>
        </w:rPr>
        <mc:AlternateContent>
          <mc:Choice Requires="wpg">
            <w:drawing>
              <wp:inline xmlns:wp="http://schemas.openxmlformats.org/drawingml/2006/wordprocessingDrawing" distT="0" distB="0" distL="0" distR="0">
                <wp:extent cx="5680710" cy="4384675"/>
                <wp:effectExtent l="0" t="0" r="15240" b="15875"/>
                <wp:docPr id="19" name="图片 14" descr="PDF合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descr="PDF合并_10"/>
                        <pic:cNvPicPr>
                          <a:picLocks noChangeAspect="1"/>
                        </pic:cNvPicPr>
                        <pic:nvPr/>
                      </pic:nvPicPr>
                      <pic:blipFill>
                        <a:blip r:embed="rId34"/>
                        <a:srcRect l="0" t="21785" r="0" b="21855"/>
                        <a:stretch/>
                      </pic:blipFill>
                      <pic:spPr bwMode="auto">
                        <a:xfrm>
                          <a:off x="0" y="0"/>
                          <a:ext cx="5680710" cy="4384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7.3pt;height:345.2pt;mso-wrap-distance-left:0.0pt;mso-wrap-distance-top:0.0pt;mso-wrap-distance-right:0.0pt;mso-wrap-distance-bottom:0.0pt;" stroked="false">
                <v:path textboxrect="0,0,0,0"/>
                <v:imagedata r:id="rId34" o:title=""/>
              </v:shape>
            </w:pict>
          </mc:Fallback>
        </mc:AlternateContent>
      </w:r>
      <w:r>
        <w:rPr>
          <w:rFonts w:hint="eastAsia"/>
          <w:color w:val="auto"/>
          <w:highlight w:val="none"/>
          <w:lang w:val="en-US" w:eastAsia="zh-CN"/>
        </w:rPr>
        <mc:AlternateContent>
          <mc:Choice Requires="wpg">
            <w:drawing>
              <wp:inline xmlns:wp="http://schemas.openxmlformats.org/drawingml/2006/wordprocessingDrawing" distT="0" distB="0" distL="0" distR="0">
                <wp:extent cx="5680710" cy="4379595"/>
                <wp:effectExtent l="0" t="0" r="15240" b="1905"/>
                <wp:docPr id="20" name="图片 13" descr="PDF合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PDF合并_09"/>
                        <pic:cNvPicPr>
                          <a:picLocks noChangeAspect="1"/>
                        </pic:cNvPicPr>
                        <pic:nvPr/>
                      </pic:nvPicPr>
                      <pic:blipFill>
                        <a:blip r:embed="rId35"/>
                        <a:srcRect l="0" t="22496" r="0" b="21807"/>
                        <a:stretch/>
                      </pic:blipFill>
                      <pic:spPr bwMode="auto">
                        <a:xfrm>
                          <a:off x="0" y="0"/>
                          <a:ext cx="5680710" cy="4379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47.3pt;height:344.8pt;mso-wrap-distance-left:0.0pt;mso-wrap-distance-top:0.0pt;mso-wrap-distance-right:0.0pt;mso-wrap-distance-bottom:0.0pt;" stroked="false">
                <v:path textboxrect="0,0,0,0"/>
                <v:imagedata r:id="rId35" o:title=""/>
              </v:shape>
            </w:pict>
          </mc:Fallback>
        </mc:AlternateContent>
      </w:r>
      <w:r>
        <w:rPr>
          <w:rFonts w:hint="eastAsia"/>
          <w:color w:val="auto"/>
          <w:highlight w:val="none"/>
          <w:lang w:val="en-US" w:eastAsia="zh-CN"/>
        </w:rPr>
        <mc:AlternateContent>
          <mc:Choice Requires="wpg">
            <w:drawing>
              <wp:inline xmlns:wp="http://schemas.openxmlformats.org/drawingml/2006/wordprocessingDrawing" distT="0" distB="0" distL="0" distR="0">
                <wp:extent cx="4182110" cy="4495800"/>
                <wp:effectExtent l="0" t="0" r="8890" b="0"/>
                <wp:docPr id="21" name="图片 15" descr="PDF合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PDF合并_11"/>
                        <pic:cNvPicPr>
                          <a:picLocks noChangeAspect="1"/>
                        </pic:cNvPicPr>
                        <pic:nvPr/>
                      </pic:nvPicPr>
                      <pic:blipFill>
                        <a:blip r:embed="rId36"/>
                        <a:srcRect l="0" t="10971" r="0" b="13010"/>
                        <a:stretch/>
                      </pic:blipFill>
                      <pic:spPr bwMode="auto">
                        <a:xfrm>
                          <a:off x="0" y="0"/>
                          <a:ext cx="4182110" cy="4495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29.3pt;height:354.0pt;mso-wrap-distance-left:0.0pt;mso-wrap-distance-top:0.0pt;mso-wrap-distance-right:0.0pt;mso-wrap-distance-bottom:0.0pt;" stroked="false">
                <v:path textboxrect="0,0,0,0"/>
                <v:imagedata r:id="rId36" o:title=""/>
              </v:shape>
            </w:pict>
          </mc:Fallback>
        </mc:AlternateContent>
      </w:r>
      <w:r>
        <w:rPr>
          <w:rFonts w:hint="eastAsia"/>
          <w:color w:val="auto"/>
          <w:highlight w:val="none"/>
          <w:lang w:val="en-US" w:eastAsia="zh-CN"/>
        </w:rPr>
        <mc:AlternateContent>
          <mc:Choice Requires="wpg">
            <w:drawing>
              <wp:inline xmlns:wp="http://schemas.openxmlformats.org/drawingml/2006/wordprocessingDrawing" distT="0" distB="0" distL="0" distR="0">
                <wp:extent cx="5680710" cy="2582545"/>
                <wp:effectExtent l="0" t="0" r="15240" b="8255"/>
                <wp:docPr id="22" name="图片 16" descr="PDF合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descr="PDF合并_12"/>
                        <pic:cNvPicPr>
                          <a:picLocks noChangeAspect="1"/>
                        </pic:cNvPicPr>
                        <pic:nvPr/>
                      </pic:nvPicPr>
                      <pic:blipFill>
                        <a:blip r:embed="rId37"/>
                        <a:srcRect l="0" t="33902" r="0" b="33950"/>
                        <a:stretch/>
                      </pic:blipFill>
                      <pic:spPr bwMode="auto">
                        <a:xfrm>
                          <a:off x="0" y="0"/>
                          <a:ext cx="5680710" cy="2582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47.3pt;height:203.3pt;mso-wrap-distance-left:0.0pt;mso-wrap-distance-top:0.0pt;mso-wrap-distance-right:0.0pt;mso-wrap-distance-bottom:0.0pt;" stroked="false">
                <v:path textboxrect="0,0,0,0"/>
                <v:imagedata r:id="rId37" o:title=""/>
              </v:shape>
            </w:pict>
          </mc:Fallback>
        </mc:AlternateContent>
      </w:r>
      <w:r/>
    </w:p>
    <w:p>
      <w:pPr>
        <w:jc w:val="center"/>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组合书桌</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3747770" cy="5299710"/>
                <wp:effectExtent l="0" t="0" r="15240" b="5080"/>
                <wp:docPr id="23" name="图片 32" descr="PDF合并(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2" descr="PDF合并(1)_06"/>
                        <pic:cNvPicPr>
                          <a:picLocks noChangeAspect="1"/>
                        </pic:cNvPicPr>
                        <pic:nvPr/>
                      </pic:nvPicPr>
                      <pic:blipFill>
                        <a:blip r:embed="rId38"/>
                        <a:stretch/>
                      </pic:blipFill>
                      <pic:spPr bwMode="auto">
                        <a:xfrm rot="16199998">
                          <a:off x="0" y="0"/>
                          <a:ext cx="3747770" cy="5299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95.1pt;height:417.3pt;mso-wrap-distance-left:0.0pt;mso-wrap-distance-top:0.0pt;mso-wrap-distance-right:0.0pt;mso-wrap-distance-bottom:0.0pt;rotation:269;" stroked="false">
                <v:path textboxrect="0,0,0,0"/>
                <v:imagedata r:id="rId38" o:title=""/>
              </v:shape>
            </w:pict>
          </mc:Fallback>
        </mc:AlternateConten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4141470" cy="5856605"/>
                <wp:effectExtent l="0" t="0" r="10795" b="11430"/>
                <wp:docPr id="24" name="图片 19" descr="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2_01"/>
                        <pic:cNvPicPr>
                          <a:picLocks noChangeAspect="1"/>
                        </pic:cNvPicPr>
                        <pic:nvPr/>
                      </pic:nvPicPr>
                      <pic:blipFill>
                        <a:blip r:embed="rId39"/>
                        <a:stretch/>
                      </pic:blipFill>
                      <pic:spPr bwMode="auto">
                        <a:xfrm rot="16199998">
                          <a:off x="0" y="0"/>
                          <a:ext cx="4141470" cy="5856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26.1pt;height:461.1pt;mso-wrap-distance-left:0.0pt;mso-wrap-distance-top:0.0pt;mso-wrap-distance-right:0.0pt;mso-wrap-distance-bottom:0.0pt;rotation:269;" stroked="false">
                <v:path textboxrect="0,0,0,0"/>
                <v:imagedata r:id="rId39" o:title=""/>
              </v:shape>
            </w:pict>
          </mc:Fallback>
        </mc:AlternateContent>
      </w:r>
      <w:r/>
    </w:p>
    <w:p>
      <w:pPr>
        <w:ind w:firstLine="560"/>
        <w:spacing w:line="4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铝合金方凳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图片样式仅供参考</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spacing w:line="360" w:lineRule="auto"/>
        <w:rPr>
          <w:rFonts w:hint="eastAsia" w:ascii="宋体" w:hAnsi="宋体" w:cs="宋体"/>
          <w:color w:val="auto"/>
          <w:sz w:val="28"/>
          <w:szCs w:val="28"/>
          <w:highlight w:val="none"/>
        </w:rPr>
      </w:pPr>
      <w:r>
        <w:rPr>
          <w:rFonts w:ascii="宋体" w:hAnsi="宋体" w:cs="宋体"/>
          <w:color w:val="auto"/>
          <w:sz w:val="28"/>
          <w:szCs w:val="28"/>
          <w:highlight w:val="none"/>
        </w:rPr>
        <mc:AlternateContent>
          <mc:Choice Requires="wpg">
            <w:drawing>
              <wp:inline xmlns:wp="http://schemas.openxmlformats.org/drawingml/2006/wordprocessingDrawing" distT="0" distB="0" distL="0" distR="0">
                <wp:extent cx="5269865" cy="3077845"/>
                <wp:effectExtent l="0" t="0" r="6985" b="8255"/>
                <wp:docPr id="25" name="图片 20" descr="微信图片_2024051015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descr="微信图片_20240510155339"/>
                        <pic:cNvPicPr>
                          <a:picLocks noChangeAspect="1"/>
                        </pic:cNvPicPr>
                        <pic:nvPr/>
                      </pic:nvPicPr>
                      <pic:blipFill>
                        <a:blip r:embed="rId40"/>
                        <a:stretch/>
                      </pic:blipFill>
                      <pic:spPr bwMode="auto">
                        <a:xfrm>
                          <a:off x="0" y="0"/>
                          <a:ext cx="5269865" cy="307784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9pt;height:242.3pt;mso-wrap-distance-left:0.0pt;mso-wrap-distance-top:0.0pt;mso-wrap-distance-right:0.0pt;mso-wrap-distance-bottom:0.0pt;" stroked="f">
                <v:path textboxrect="0,0,0,0"/>
                <v:imagedata r:id="rId40" o:title=""/>
              </v:shape>
            </w:pict>
          </mc:Fallback>
        </mc:AlternateConten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2"/>
        <w:jc w:val="left"/>
        <w:spacing w:line="360" w:lineRule="auto"/>
        <w:rPr>
          <w:rFonts w:hint="eastAsia" w:ascii="宋体" w:hAnsi="宋体" w:cs="宋体"/>
          <w:b/>
          <w:bCs/>
          <w:color w:val="auto"/>
          <w:sz w:val="28"/>
          <w:szCs w:val="28"/>
          <w:highlight w:val="none"/>
          <w:lang w:val="en-US" w:eastAsia="zh-CN"/>
        </w:rPr>
      </w:pPr>
      <w:r>
        <w:rPr>
          <w:rFonts w:ascii="宋体" w:hAnsi="宋体" w:cs="宋体"/>
          <w:color w:val="auto"/>
          <w:sz w:val="24"/>
          <w:szCs w:val="24"/>
          <w:highlight w:val="none"/>
        </w:rPr>
        <w:t xml:space="preserve">5.3</w:t>
      </w:r>
      <w:r>
        <w:rPr>
          <w:rFonts w:hint="eastAsia" w:ascii="宋体" w:hAnsi="宋体" w:cs="宋体"/>
          <w:b/>
          <w:color w:val="auto"/>
          <w:sz w:val="24"/>
          <w:szCs w:val="24"/>
          <w:highlight w:val="none"/>
          <w:lang w:val="zh-CN"/>
        </w:rPr>
        <w:t xml:space="preserve">图纸和文字描述之间相互补充。</w:t>
      </w:r>
      <w:bookmarkEnd w:id="147"/>
      <w:r/>
      <w:bookmarkEnd w:id="148"/>
      <w:r/>
      <w:bookmarkEnd w:id="149"/>
      <w:r/>
      <w:bookmarkEnd w:id="150"/>
      <w:r/>
      <w:r/>
    </w:p>
    <w:p>
      <w:pPr>
        <w:ind w:firstLine="562"/>
        <w:keepLines w:val="0"/>
        <w:keepNext w:val="0"/>
        <w:pageBreakBefore w:val="0"/>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采购标的需满足的服务标准、期限、效率等要求</w:t>
      </w:r>
      <w:r/>
    </w:p>
    <w:p>
      <w:pPr>
        <w:ind w:firstLine="560"/>
        <w:keepLines w:val="0"/>
        <w:keepNext w:val="0"/>
        <w:pageBreakBefore w:val="0"/>
        <w:spacing w:line="50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.质保期限：</w:t>
      </w:r>
      <w:r>
        <w:rPr>
          <w:rFonts w:hint="eastAsia" w:ascii="宋体" w:hAnsi="宋体" w:cs="宋体"/>
          <w:color w:val="auto"/>
          <w:sz w:val="28"/>
          <w:szCs w:val="28"/>
          <w:highlight w:val="none"/>
          <w:lang w:val="en-US" w:eastAsia="zh-CN"/>
        </w:rPr>
        <w:t xml:space="preserve">五年，自项目验收合格之日起计</w:t>
      </w:r>
      <w:r>
        <w:rPr>
          <w:rFonts w:hint="eastAsia" w:ascii="宋体" w:hAnsi="宋体" w:cs="宋体"/>
          <w:color w:val="auto"/>
          <w:sz w:val="28"/>
          <w:szCs w:val="28"/>
          <w:highlight w:val="none"/>
        </w:rPr>
        <w:t xml:space="preserve">。</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 原材料与封样管理</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2.1本次采购所有核心原材料投标人须提供产品原材料配置表，明确主要原材料品牌，中标人须严格按品牌采购，不得擅自更换。核心原材料品牌需满足国家环保及质量强制标准，且具有相应资质的质量检测机构出具的有效期内检测报告。</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2.2封样管理要求：</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2.2.1中标人在收到中标通知书后5日内，须向招标人提交所有核心原材料及成品样品（按样品要求）进行双重封样，封样样品需标注品牌、规格、生产厂家，由招标人与中标人共同签字、盖章封存，一式两份，双方各执一份。</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2.2.2封样样品作为生产、验收、抽检的唯一依据，中标人生产过程中使用的原材料、成品质量必须与封样样品一致，封样样品至项目质保期满前由招标人保管，质保期满后按规定退还。</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2.3过程抽检要求：生产过程中，招标人或其委托的第三方可随时赴生产厂家进行抽检，抽检内容包括原材料品牌一致性、生产工艺合规性等，中标人需无条件配合，提供生产记录、原材料采购凭证等所有相关资料。</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2.4不合格退场与赔偿</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2.4.1若过程抽检、原材料核查发现原材料品牌与承诺不符、质量未达封样标准或技术参数要求，该批次原材料/半成品需立即无条件退场，中标人需在3日内更换为符合要求的产品，同时向招标人支付该批次产品金额2倍的违约金。</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2.4.2因不合格原材料/半成品退场导致工期延误的，按本招标文件“违约责任”相关条款加倍计取滞纳金，同时中标人需承担招标人因此产生的所有损失（含第三方检测费、工期延误损失费等）。</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2.4.3若累计出现2次及以上不合格退场情形，招标人有权单方面解除合同，没收全部履约保证金，同时要求中标人赔偿合同总金额30% 的违约金，不足弥补招标人损失的，中标人需另行补齐。</w:t>
      </w:r>
      <w:r/>
    </w:p>
    <w:p>
      <w:pPr>
        <w:ind w:firstLine="560"/>
        <w:keepLines w:val="0"/>
        <w:keepNext w:val="0"/>
        <w:pageBreakBefore w:val="0"/>
        <w:spacing w:line="50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.设计、制造相关问题</w:t>
      </w:r>
      <w:r/>
    </w:p>
    <w:p>
      <w:pPr>
        <w:ind w:firstLine="560"/>
        <w:keepLines w:val="0"/>
        <w:keepNext w:val="0"/>
        <w:pageBreakBefore w:val="0"/>
        <w:spacing w:line="500" w:lineRule="exact"/>
        <w:widowControl/>
        <w:rPr>
          <w:rFonts w:hint="eastAsia" w:ascii="宋体" w:hAnsi="宋体" w:cs="宋体"/>
          <w:b/>
          <w:bCs/>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.1招标文件所附的图样为业主确定的产品设计图样（部分家具造型细节可厂家深化）。正式生产前需提供面板小样，颜色由招标人确认，以上均需经招标人确认后</w:t>
      </w:r>
      <w:r>
        <w:rPr>
          <w:rFonts w:hint="eastAsia" w:ascii="宋体" w:hAnsi="宋体" w:cs="宋体"/>
          <w:b/>
          <w:bCs/>
          <w:color w:val="auto"/>
          <w:sz w:val="28"/>
          <w:szCs w:val="28"/>
          <w:highlight w:val="none"/>
        </w:rPr>
        <w:t xml:space="preserve">可组织生产。否则，由此产生的损失自负。</w:t>
      </w:r>
      <w:r/>
    </w:p>
    <w:p>
      <w:pPr>
        <w:pStyle w:val="988"/>
        <w:ind w:firstLine="560"/>
        <w:keepLines/>
        <w:keepNext/>
        <w:pageBreakBefore w:val="0"/>
        <w:spacing w:before="0" w:after="0" w:line="50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3.2房间顶部墙边存在石膏板及空调管路突出，厂家需在正式生产前对房间进行实地考察，优化安装方案，确保蚊帐杆正常安装。</w:t>
      </w:r>
      <w:r/>
    </w:p>
    <w:p>
      <w:pPr>
        <w:ind w:firstLine="560"/>
        <w:keepLines w:val="0"/>
        <w:keepNext w:val="0"/>
        <w:pageBreakBefore w:val="0"/>
        <w:spacing w:line="50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须说明家具在生产安装过程中，所采用的主要配件的名称及生产厂家，并提供相应的技术说明书。所有内部配件（螺丝等）必须进行防腐蚀处理。</w:t>
      </w:r>
      <w:r/>
    </w:p>
    <w:p>
      <w:pPr>
        <w:ind w:firstLine="560"/>
        <w:keepLines w:val="0"/>
        <w:keepNext w:val="0"/>
        <w:pageBreakBefore w:val="0"/>
        <w:spacing w:line="50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中标人应按国家相关强制标准或行业标准，结合本采购项目参数要求进行设计和制造。产品的原材料应符合国家规定的强制性环保要求，并符合本项目招标文件技术参数要求。</w:t>
      </w:r>
      <w:r/>
    </w:p>
    <w:p>
      <w:pPr>
        <w:pStyle w:val="832"/>
        <w:ind w:left="0" w:firstLine="560"/>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w:t>
      </w:r>
      <w:r>
        <w:rPr>
          <w:rFonts w:hint="default" w:ascii="宋体" w:hAnsi="宋体" w:eastAsia="宋体" w:cs="宋体"/>
          <w:color w:val="auto"/>
          <w:sz w:val="28"/>
          <w:szCs w:val="28"/>
          <w:highlight w:val="none"/>
          <w:lang w:val="en-US" w:eastAsia="zh-CN" w:bidi="ar-SA"/>
        </w:rPr>
        <w:t xml:space="preserve">.交货期：</w:t>
      </w:r>
      <w:r>
        <w:rPr>
          <w:rFonts w:hint="eastAsia" w:ascii="宋体" w:hAnsi="宋体" w:eastAsia="宋体" w:cs="宋体"/>
          <w:color w:val="auto"/>
          <w:sz w:val="28"/>
          <w:szCs w:val="28"/>
          <w:highlight w:val="none"/>
          <w:lang w:val="en-US" w:eastAsia="zh-CN" w:bidi="ar-SA"/>
        </w:rPr>
        <w:t xml:space="preserve">自合同签定之日起30天完成生产，接到招标人通知后15天内完成运输及安装。</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5.拟派项目人员</w:t>
      </w:r>
      <w:r/>
    </w:p>
    <w:p>
      <w:pPr>
        <w:ind w:firstLine="560"/>
        <w:keepLines w:val="0"/>
        <w:keepNext w:val="0"/>
        <w:pageBreakBefore w:val="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提供人员配置表，特别明确项目负责人及项目设计人员，具有类似项目从业经验，中标后能赴现场复核尺寸，并在细节方面给予采购人专业的沟通指导。</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.质量控制措施</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6.1</w:t>
      </w:r>
      <w:r>
        <w:rPr>
          <w:rFonts w:hint="eastAsia" w:ascii="宋体" w:hAnsi="宋体"/>
          <w:color w:val="auto"/>
          <w:sz w:val="28"/>
          <w:szCs w:val="28"/>
          <w:highlight w:val="none"/>
        </w:rPr>
        <w:t xml:space="preserve">投标人应提供针对本项目采购产品的质量控制措施、产品运输及存储期间的质量控制措施等，措施须完整、详细、有针对性和实用性。</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6.2</w:t>
      </w:r>
      <w:r>
        <w:rPr>
          <w:rFonts w:hint="eastAsia" w:ascii="宋体" w:hAnsi="宋体"/>
          <w:color w:val="auto"/>
          <w:sz w:val="28"/>
          <w:szCs w:val="28"/>
          <w:highlight w:val="none"/>
        </w:rPr>
        <w:t xml:space="preserve">生产过程中，原材料选择材质结实、环保无毒的木材、金属等，确保质量符合相关标准和法规要求。投标人提供产品原材料配置表，明确主要原材料品牌。</w:t>
      </w:r>
      <w:r/>
    </w:p>
    <w:p>
      <w:pPr>
        <w:ind w:firstLine="560"/>
        <w:keepLines w:val="0"/>
        <w:keepNext w:val="0"/>
        <w:pageBreakBefore w:val="0"/>
        <w:spacing w:line="500" w:lineRule="exact"/>
        <w:widowControl w:val="off"/>
        <w:rPr>
          <w:rFonts w:hint="eastAsia" w:ascii="宋体" w:hAnsi="宋体"/>
          <w:color w:val="auto"/>
          <w:sz w:val="28"/>
          <w:szCs w:val="28"/>
          <w:highlight w:val="none"/>
          <w:lang w:eastAsia="zh-CN"/>
        </w:rPr>
      </w:pPr>
      <w:r>
        <w:rPr>
          <w:rFonts w:ascii="宋体" w:hAnsi="宋体"/>
          <w:color w:val="auto"/>
          <w:sz w:val="28"/>
          <w:szCs w:val="28"/>
          <w:highlight w:val="none"/>
        </w:rPr>
        <w:t xml:space="preserve">6.3</w:t>
      </w:r>
      <w:r>
        <w:rPr>
          <w:rFonts w:hint="eastAsia" w:ascii="宋体" w:hAnsi="宋体"/>
          <w:color w:val="auto"/>
          <w:sz w:val="28"/>
          <w:szCs w:val="28"/>
          <w:highlight w:val="none"/>
        </w:rPr>
        <w:t xml:space="preserve">投标人提供原材料在采购及生产过程中的管控及检测措施，确保在后期生产过程中的产品质量。</w:t>
      </w:r>
      <w:r>
        <w:rPr>
          <w:rFonts w:hint="default" w:ascii="Times New Roman" w:hAnsi="Times New Roman"/>
          <w:color w:val="auto"/>
          <w:sz w:val="28"/>
          <w:szCs w:val="28"/>
          <w:highlight w:val="none"/>
        </w:rPr>
        <w:t xml:space="preserve">生产过程中</w:t>
      </w:r>
      <w:r>
        <w:rPr>
          <w:rFonts w:hint="eastAsia" w:ascii="宋体" w:hAnsi="宋体"/>
          <w:color w:val="auto"/>
          <w:sz w:val="28"/>
          <w:szCs w:val="28"/>
          <w:highlight w:val="none"/>
        </w:rPr>
        <w:t xml:space="preserve">，应进行多道质量检测，包括</w:t>
      </w:r>
      <w:r>
        <w:rPr>
          <w:rFonts w:hint="default" w:ascii="Times New Roman" w:hAnsi="Times New Roman"/>
          <w:color w:val="auto"/>
          <w:sz w:val="28"/>
          <w:szCs w:val="28"/>
          <w:highlight w:val="none"/>
        </w:rPr>
        <w:t xml:space="preserve">原材料检验、部件组装检验和成品质检</w:t>
      </w:r>
      <w:r>
        <w:rPr>
          <w:rFonts w:hint="eastAsia" w:ascii="宋体" w:hAnsi="宋体"/>
          <w:color w:val="auto"/>
          <w:sz w:val="28"/>
          <w:szCs w:val="28"/>
          <w:highlight w:val="none"/>
        </w:rPr>
        <w:t xml:space="preserve">等。通过对每个环节进行检验，及时发现和解决潜在的质量问题，确保产品符合质量要求</w:t>
      </w:r>
      <w:r>
        <w:rPr>
          <w:rFonts w:hint="eastAsia" w:ascii="宋体" w:hAnsi="宋体"/>
          <w:color w:val="auto"/>
          <w:sz w:val="28"/>
          <w:szCs w:val="28"/>
          <w:highlight w:val="none"/>
          <w:lang w:eastAsia="zh-CN"/>
        </w:rPr>
        <w:t xml:space="preserve">。</w:t>
      </w:r>
      <w:r/>
    </w:p>
    <w:p>
      <w:pPr>
        <w:ind w:firstLine="560"/>
        <w:keepLines w:val="0"/>
        <w:keepNext w:val="0"/>
        <w:pageBreakBefore w:val="0"/>
        <w:spacing w:line="500" w:lineRule="exact"/>
        <w:widowControl w:val="off"/>
        <w:rPr>
          <w:rFonts w:ascii="宋体" w:hAnsi="宋体" w:eastAsia="宋体"/>
          <w:color w:val="auto"/>
          <w:sz w:val="28"/>
          <w:szCs w:val="28"/>
          <w:highlight w:val="none"/>
        </w:rPr>
      </w:pPr>
      <w:r>
        <w:rPr>
          <w:rFonts w:ascii="宋体" w:hAnsi="宋体" w:eastAsia="宋体"/>
          <w:color w:val="auto"/>
          <w:sz w:val="28"/>
          <w:szCs w:val="28"/>
          <w:highlight w:val="none"/>
        </w:rPr>
        <w:t xml:space="preserve">6.4</w:t>
      </w:r>
      <w:r>
        <w:rPr>
          <w:rFonts w:hint="eastAsia" w:ascii="宋体" w:hAnsi="宋体" w:eastAsia="宋体"/>
          <w:color w:val="auto"/>
          <w:sz w:val="28"/>
          <w:szCs w:val="28"/>
          <w:highlight w:val="none"/>
        </w:rPr>
        <w:t xml:space="preserve">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6.5</w:t>
      </w:r>
      <w:r>
        <w:rPr>
          <w:rFonts w:hint="eastAsia" w:ascii="宋体" w:hAnsi="宋体"/>
          <w:color w:val="auto"/>
          <w:sz w:val="28"/>
          <w:szCs w:val="28"/>
          <w:highlight w:val="none"/>
        </w:rPr>
        <w:t xml:space="preserve">货物发运前对其进行满足运输距离、防潮、防震、防锈和防破损装卸等要求包装，以保证货物安全运达校方指定地点。验收交货前存放及保管概由中标人负责。产品材料的包装均应有良好的防湿、防锈、防潮、防雨、防腐及防碰撞的措施。凡由于包装不良造成的损失和由此产生的费用均由中标人承担。</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.进度控制措施</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7.1</w:t>
      </w:r>
      <w:r>
        <w:rPr>
          <w:rFonts w:hint="eastAsia" w:ascii="宋体" w:hAnsi="宋体"/>
          <w:color w:val="auto"/>
          <w:sz w:val="28"/>
          <w:szCs w:val="28"/>
          <w:highlight w:val="none"/>
        </w:rPr>
        <w:t xml:space="preserve">投标人应按照招标需求合理安排时间，制定科学、合理、有针对性的具体措施。</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7.2</w:t>
      </w:r>
      <w:r>
        <w:rPr>
          <w:rFonts w:hint="eastAsia" w:ascii="宋体" w:hAnsi="宋体"/>
          <w:color w:val="auto"/>
          <w:sz w:val="28"/>
          <w:szCs w:val="28"/>
          <w:highlight w:val="none"/>
        </w:rPr>
        <w:t xml:space="preserve">投标人提供项目进度表，协调生产、包装、运输、供货等各部门之间的合作，考虑家具的设计、生产、安装、供货等工序所需时间，确保按期交货。</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7.3</w:t>
      </w:r>
      <w:r>
        <w:rPr>
          <w:rFonts w:hint="eastAsia" w:ascii="宋体" w:hAnsi="宋体"/>
          <w:color w:val="auto"/>
          <w:sz w:val="28"/>
          <w:szCs w:val="28"/>
          <w:highlight w:val="none"/>
        </w:rPr>
        <w:t xml:space="preserve">中标人在接到采购人通知后，需根据采购人要求及现场具体情况，拟定家具进场安放的方案报采购人，征得采购人同意后方可安排产品进场。</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rPr>
        <w:t xml:space="preserve">针对本项目的具体的供货安装实施方案</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项目实施期间，中标人工作人员须遵守学校各项规章制度，进入项目现场的车辆、设备按指定的地点停放，不得妨碍其它施工和阻碍交通。项目结束后，及时清理现场，打扫干净，墙面、门窗如有损坏需恢复原状。</w:t>
      </w:r>
      <w:r/>
    </w:p>
    <w:p>
      <w:pPr>
        <w:ind w:firstLine="560"/>
        <w:keepLines w:val="0"/>
        <w:keepNext w:val="0"/>
        <w:pageBreakBefore w:val="0"/>
        <w:spacing w:line="500" w:lineRule="exact"/>
        <w:rPr>
          <w:rFonts w:ascii="宋体" w:hAnsi="宋体" w:cs="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项目实施期间，如发生安全事故、人身伤害和其它财产安全事故，由中标人全权负责处理，并承担全部责任。</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rPr>
        <w:t xml:space="preserve">.售后服务要求</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9.1</w:t>
      </w:r>
      <w:r>
        <w:rPr>
          <w:rFonts w:hint="eastAsia" w:ascii="宋体" w:hAnsi="宋体"/>
          <w:color w:val="auto"/>
          <w:sz w:val="28"/>
          <w:szCs w:val="28"/>
          <w:highlight w:val="none"/>
        </w:rPr>
        <w:t xml:space="preserve">投标人应在投标文件中明确售后服务能力（包括交货期、保修期时限、售后服务、维护响应时间等）。</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质保期内全免费上门质保，同一材料、同一质量问题连续两次维修仍无法正常使用，中标人应无条件给予全套更新或退货（所有产品质保时间为自验收合格之日起计）。</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p>
    <w:p>
      <w:pPr>
        <w:ind w:firstLine="560"/>
        <w:keepLines w:val="0"/>
        <w:keepNext w:val="0"/>
        <w:pageBreakBefore w:val="0"/>
        <w:spacing w:line="500" w:lineRule="exact"/>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中标人应免费对采购人技术人员进行操作、保养、维修等方面的培训，并且提供免费的技术咨询服务。</w:t>
      </w:r>
      <w:r/>
    </w:p>
    <w:p>
      <w:pPr>
        <w:ind w:firstLine="560"/>
        <w:keepLines w:val="0"/>
        <w:keepNext w:val="0"/>
        <w:pageBreakBefore w:val="0"/>
        <w:spacing w:line="500" w:lineRule="exact"/>
        <w:rPr>
          <w:rFonts w:hint="eastAsia" w:ascii="宋体" w:hAnsi="宋体" w:cs="宋体"/>
          <w:b/>
          <w:bCs/>
          <w:color w:val="auto"/>
          <w:sz w:val="28"/>
          <w:szCs w:val="28"/>
          <w:highlight w:val="none"/>
          <w:lang w:val="en-US" w:eastAsia="zh-CN"/>
        </w:rPr>
      </w:pPr>
      <w:r>
        <w:rPr>
          <w:rFonts w:ascii="宋体" w:hAnsi="宋体"/>
          <w:color w:val="auto"/>
          <w:sz w:val="28"/>
          <w:szCs w:val="28"/>
          <w:highlight w:val="none"/>
        </w:rPr>
        <w:t xml:space="preserve">9.</w:t>
      </w: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在免费质量保证期内，因产品制造原因出现的任何质量问题，中标人应负责更换或维修，由此产生的一切费用由中标人承担。</w:t>
      </w:r>
      <w:r/>
    </w:p>
    <w:p>
      <w:pPr>
        <w:ind w:firstLine="562"/>
        <w:keepLines w:val="0"/>
        <w:keepNext w:val="0"/>
        <w:pageBreakBefore w:val="0"/>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rPr>
        <w:t xml:space="preserve">验收标准</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rPr>
        <w:t xml:space="preserve">1.过程把关。中标人将生产计划告知招标人，招标人或其聘请的第三方将至厂家就原材料、五金件等选材与投标文件致的一性及生产进度等情况进行监督检查,费用招标人自理。中标人必须提供产品相应生产证明（包括但不限于原材料采购证明，生产单、下料单等相关资料）。若发现所供产品生产渠道不明确、原材料与投标文件不一致或供应商生产进度滞后等问题，招标人有权要求供应商按合同进行整改到位，并承担所有费用和责任。</w:t>
      </w:r>
      <w:r/>
    </w:p>
    <w:p>
      <w:pPr>
        <w:ind w:firstLine="560"/>
        <w:keepLines w:val="0"/>
        <w:keepNext w:val="0"/>
        <w:pageBreakBefore w:val="0"/>
        <w:spacing w:line="500" w:lineRule="exact"/>
        <w:shd w:val="clear" w:color="auto" w:fill="ffffff"/>
        <w:widowControl/>
        <w:rPr>
          <w:rFonts w:hint="default" w:ascii="宋体" w:hAnsi="宋体" w:eastAsia="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rPr>
        <w:t xml:space="preserve">2.</w:t>
      </w:r>
      <w:r>
        <w:rPr>
          <w:rFonts w:hint="eastAsia" w:ascii="宋体" w:hAnsi="宋体" w:cs="宋体"/>
          <w:b/>
          <w:color w:val="auto"/>
          <w:sz w:val="28"/>
          <w:szCs w:val="28"/>
          <w:highlight w:val="none"/>
          <w:shd w:val="clear" w:color="auto" w:fill="ffffff"/>
        </w:rPr>
        <w:t xml:space="preserve">中标人</w:t>
      </w:r>
      <w:r>
        <w:rPr>
          <w:rFonts w:hint="eastAsia" w:ascii="宋体" w:hAnsi="宋体" w:cs="宋体"/>
          <w:b/>
          <w:color w:val="auto"/>
          <w:sz w:val="28"/>
          <w:szCs w:val="28"/>
          <w:highlight w:val="none"/>
          <w:shd w:val="clear" w:color="auto" w:fill="ffffff"/>
          <w:lang w:val="en-US" w:eastAsia="zh-CN"/>
        </w:rPr>
        <w:t xml:space="preserve">生产完成后、供货前，招标人至中标人进行抽检，</w:t>
      </w:r>
      <w:r>
        <w:rPr>
          <w:rFonts w:hint="eastAsia" w:ascii="宋体" w:hAnsi="宋体" w:cs="宋体"/>
          <w:color w:val="auto"/>
          <w:sz w:val="28"/>
          <w:szCs w:val="28"/>
          <w:highlight w:val="none"/>
        </w:rPr>
        <w:t xml:space="preserve">检验机构为南通市产品质量监督检验所</w:t>
      </w:r>
      <w:r>
        <w:rPr>
          <w:rFonts w:hint="eastAsia" w:ascii="宋体" w:hAnsi="宋体" w:cs="宋体"/>
          <w:color w:val="auto"/>
          <w:sz w:val="28"/>
          <w:szCs w:val="28"/>
          <w:highlight w:val="none"/>
          <w:lang w:val="en-US" w:eastAsia="zh-CN"/>
        </w:rPr>
        <w:t xml:space="preserve">或同级检验所</w:t>
      </w:r>
      <w:r>
        <w:rPr>
          <w:rFonts w:hint="eastAsia" w:ascii="宋体" w:hAnsi="宋体" w:cs="宋体"/>
          <w:color w:val="auto"/>
          <w:sz w:val="24"/>
          <w:szCs w:val="24"/>
          <w:highlight w:val="none"/>
        </w:rPr>
        <w:t xml:space="preserve">。</w:t>
      </w:r>
      <w:r>
        <w:rPr>
          <w:rFonts w:hint="eastAsia" w:ascii="宋体" w:hAnsi="宋体" w:cs="宋体"/>
          <w:color w:val="auto"/>
          <w:sz w:val="28"/>
          <w:szCs w:val="28"/>
          <w:highlight w:val="none"/>
          <w:shd w:val="clear" w:color="auto" w:fill="ffffff"/>
        </w:rPr>
        <w:t xml:space="preserve">检测项</w:t>
      </w:r>
      <w:r>
        <w:rPr>
          <w:rFonts w:hint="eastAsia" w:ascii="宋体" w:hAnsi="宋体" w:cs="宋体"/>
          <w:color w:val="auto"/>
          <w:sz w:val="28"/>
          <w:szCs w:val="28"/>
          <w:highlight w:val="none"/>
          <w:shd w:val="clear" w:color="auto" w:fill="ffffff"/>
          <w:lang w:val="en-US" w:eastAsia="zh-CN"/>
        </w:rPr>
        <w:t xml:space="preserve">目</w:t>
      </w:r>
      <w:r>
        <w:rPr>
          <w:rFonts w:hint="eastAsia" w:ascii="宋体" w:hAnsi="宋体" w:cs="宋体"/>
          <w:color w:val="auto"/>
          <w:sz w:val="28"/>
          <w:szCs w:val="28"/>
          <w:highlight w:val="none"/>
          <w:shd w:val="clear" w:color="auto" w:fill="ffffff"/>
        </w:rPr>
        <w:t xml:space="preserve">及数据须满足</w:t>
      </w:r>
      <w:r>
        <w:rPr>
          <w:rFonts w:hint="eastAsia" w:ascii="宋体" w:hAnsi="宋体" w:cs="宋体"/>
          <w:color w:val="auto"/>
          <w:sz w:val="28"/>
          <w:szCs w:val="28"/>
          <w:highlight w:val="none"/>
          <w:shd w:val="clear" w:color="auto" w:fill="ffffff"/>
          <w:lang w:val="en-US" w:eastAsia="zh-CN"/>
        </w:rPr>
        <w:t xml:space="preserve">以下</w:t>
      </w:r>
      <w:r>
        <w:rPr>
          <w:rFonts w:hint="eastAsia" w:ascii="宋体" w:hAnsi="宋体" w:cs="宋体"/>
          <w:color w:val="auto"/>
          <w:sz w:val="28"/>
          <w:szCs w:val="28"/>
          <w:highlight w:val="none"/>
          <w:shd w:val="clear" w:color="auto" w:fill="ffffff"/>
        </w:rPr>
        <w:t xml:space="preserve">要求</w:t>
      </w:r>
      <w:r>
        <w:rPr>
          <w:rFonts w:hint="eastAsia" w:ascii="宋体" w:hAnsi="宋体" w:cs="宋体"/>
          <w:color w:val="auto"/>
          <w:sz w:val="28"/>
          <w:szCs w:val="28"/>
          <w:highlight w:val="none"/>
          <w:shd w:val="clear" w:color="auto" w:fill="ffffff"/>
          <w:lang w:eastAsia="zh-CN"/>
        </w:rPr>
        <w:t xml:space="preserve">（</w:t>
      </w:r>
      <w:r>
        <w:rPr>
          <w:rFonts w:hint="eastAsia" w:ascii="宋体" w:hAnsi="宋体" w:cs="宋体"/>
          <w:color w:val="auto"/>
          <w:sz w:val="28"/>
          <w:szCs w:val="28"/>
          <w:highlight w:val="none"/>
          <w:shd w:val="clear" w:color="auto" w:fill="ffffff"/>
        </w:rPr>
        <w:t xml:space="preserve">所有检测检验费用全部由中标人承担，供应商报价时应综合考虑</w:t>
      </w:r>
      <w:r>
        <w:rPr>
          <w:rFonts w:hint="eastAsia" w:ascii="宋体" w:hAnsi="宋体" w:cs="宋体"/>
          <w:color w:val="auto"/>
          <w:sz w:val="28"/>
          <w:szCs w:val="28"/>
          <w:highlight w:val="none"/>
          <w:shd w:val="clear" w:color="auto" w:fill="ffffff"/>
          <w:lang w:eastAsia="zh-CN"/>
        </w:rPr>
        <w:t xml:space="preserve">）。</w:t>
      </w:r>
      <w:r>
        <w:rPr>
          <w:rFonts w:hint="eastAsia" w:ascii="宋体" w:hAnsi="宋体" w:cs="宋体"/>
          <w:b/>
          <w:color w:val="auto"/>
          <w:sz w:val="28"/>
          <w:szCs w:val="28"/>
          <w:highlight w:val="none"/>
          <w:shd w:val="clear" w:color="auto" w:fill="ffffff"/>
          <w:lang w:val="en-US" w:eastAsia="zh-CN"/>
        </w:rPr>
        <w:t xml:space="preserve">如</w:t>
      </w:r>
      <w:r>
        <w:rPr>
          <w:rFonts w:hint="eastAsia" w:ascii="宋体" w:hAnsi="宋体" w:eastAsia="宋体" w:cs="宋体"/>
          <w:b w:val="0"/>
          <w:bCs w:val="0"/>
          <w:i w:val="0"/>
          <w:iCs w:val="0"/>
          <w:color w:val="auto"/>
          <w:sz w:val="28"/>
          <w:szCs w:val="28"/>
          <w:highlight w:val="none"/>
          <w:u w:val="single"/>
          <w:lang w:val="en-US" w:eastAsia="zh-CN" w:bidi="ar-SA"/>
        </w:rPr>
        <w:t xml:space="preserve">检验不合格，中标人除无条件退货、返工外，还应承担采购人的一切损失。</w:t>
      </w:r>
      <w:r/>
    </w:p>
    <w:p>
      <w:pPr>
        <w:numPr>
          <w:ilvl w:val="-1"/>
          <w:numId w:val="0"/>
        </w:numPr>
        <w:ind w:firstLine="560"/>
        <w:spacing w:line="500" w:lineRule="exact"/>
        <w:shd w:val="clear" w:color="auto" w:fill="ffffff"/>
        <w:widowControl/>
        <w:rPr>
          <w:rFonts w:hint="eastAsia" w:ascii="宋体" w:hAnsi="宋体" w:eastAsia="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（1）</w:t>
      </w:r>
      <w:r>
        <w:rPr>
          <w:rFonts w:hint="eastAsia" w:ascii="宋体" w:hAnsi="宋体" w:eastAsia="宋体" w:cs="宋体"/>
          <w:color w:val="auto"/>
          <w:sz w:val="28"/>
          <w:szCs w:val="28"/>
          <w:highlight w:val="none"/>
          <w:shd w:val="clear" w:color="auto" w:fill="ffffff"/>
          <w:lang w:val="en-US" w:eastAsia="zh-CN"/>
        </w:rPr>
        <w:t xml:space="preserve">铝合金方凳GB/T 3325-2024、GB/T 35607-2024、GB/T 10125-2021、GB/T 6461-2002主要尺寸及其偏差、形状和位置公差、外观、结构安全、力学性能（座面耐久性）、苯并[a]芘、乙酸盐雾试验达到10级</w:t>
      </w:r>
      <w:r>
        <w:rPr>
          <w:rFonts w:hint="eastAsia" w:ascii="宋体" w:hAnsi="宋体" w:cs="宋体"/>
          <w:color w:val="auto"/>
          <w:sz w:val="28"/>
          <w:szCs w:val="28"/>
          <w:highlight w:val="none"/>
          <w:shd w:val="clear" w:color="auto" w:fill="ffffff"/>
          <w:lang w:val="en-US" w:eastAsia="zh-CN"/>
        </w:rPr>
        <w:t xml:space="preserve">。</w:t>
      </w:r>
      <w:r/>
    </w:p>
    <w:p>
      <w:pPr>
        <w:numPr>
          <w:ilvl w:val="-1"/>
          <w:numId w:val="0"/>
        </w:numPr>
        <w:ind w:firstLine="560"/>
        <w:spacing w:line="500" w:lineRule="exact"/>
        <w:shd w:val="clear" w:color="auto" w:fill="ffffff"/>
        <w:widowControl/>
        <w:rPr>
          <w:rFonts w:hint="eastAsia" w:ascii="宋体" w:hAnsi="宋体" w:eastAsia="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（2）</w:t>
      </w:r>
      <w:r>
        <w:rPr>
          <w:rFonts w:hint="eastAsia" w:ascii="宋体" w:hAnsi="宋体" w:eastAsia="宋体" w:cs="宋体"/>
          <w:color w:val="auto"/>
          <w:sz w:val="28"/>
          <w:szCs w:val="28"/>
          <w:highlight w:val="none"/>
          <w:shd w:val="clear" w:color="auto" w:fill="ffffff"/>
          <w:lang w:val="en-US" w:eastAsia="zh-CN"/>
        </w:rPr>
        <w:t xml:space="preserve">钢管：GB/T</w:t>
      </w:r>
      <w:r>
        <w:rPr>
          <w:rFonts w:hint="eastAsia" w:ascii="宋体" w:hAnsi="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lang w:val="en-US" w:eastAsia="zh-CN"/>
        </w:rPr>
        <w:t xml:space="preserve">3325-2024、QB/T 4767-2014、GB/T 10125-2021、GB/T 6461-2002，硬度≥3H、冲击高度≥400mm无剥落、裂纹、皱纹）乙酸盐雾试验达到10级</w:t>
      </w:r>
      <w:r>
        <w:rPr>
          <w:rFonts w:hint="eastAsia" w:ascii="宋体" w:hAnsi="宋体" w:cs="宋体"/>
          <w:color w:val="auto"/>
          <w:sz w:val="28"/>
          <w:szCs w:val="28"/>
          <w:highlight w:val="none"/>
          <w:shd w:val="clear" w:color="auto" w:fill="ffffff"/>
          <w:lang w:val="en-US" w:eastAsia="zh-CN"/>
        </w:rPr>
        <w:t xml:space="preserve">。</w:t>
      </w:r>
      <w:r/>
    </w:p>
    <w:p>
      <w:pPr>
        <w:numPr>
          <w:ilvl w:val="-1"/>
          <w:numId w:val="0"/>
        </w:numPr>
        <w:ind w:firstLine="560"/>
        <w:spacing w:line="500" w:lineRule="exact"/>
        <w:shd w:val="clear" w:color="auto" w:fill="ffffff"/>
        <w:widowControl/>
        <w:rPr>
          <w:rFonts w:hint="eastAsia" w:ascii="宋体" w:hAnsi="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（3）实木多层板GB/T 34722-2025,GB18580-2017,HJ571-2010，GB/T 39600-2021，GB/T 44690-2024含水率合格，表面耐磨合格，甲醛释放量符合E0级要求≤0.05mg/m³、总挥发性有机化合物(TVOC)≤200ug/m³。</w:t>
      </w:r>
      <w:r/>
    </w:p>
    <w:p>
      <w:pPr>
        <w:numPr>
          <w:ilvl w:val="-1"/>
          <w:numId w:val="0"/>
        </w:numPr>
        <w:ind w:firstLine="560"/>
        <w:spacing w:line="500" w:lineRule="exact"/>
        <w:shd w:val="clear" w:color="auto" w:fill="ffffff"/>
        <w:widowControl/>
        <w:rPr>
          <w:rFonts w:hint="eastAsia" w:ascii="宋体" w:hAnsi="宋体" w:eastAsia="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（4）</w:t>
      </w:r>
      <w:r>
        <w:rPr>
          <w:rFonts w:hint="eastAsia" w:ascii="宋体" w:hAnsi="宋体" w:eastAsia="宋体" w:cs="宋体"/>
          <w:color w:val="auto"/>
          <w:sz w:val="28"/>
          <w:szCs w:val="28"/>
          <w:highlight w:val="none"/>
          <w:shd w:val="clear" w:color="auto" w:fill="ffffff"/>
          <w:lang w:val="en-US" w:eastAsia="zh-CN"/>
        </w:rPr>
        <w:t xml:space="preserve">粉末涂料HG/T 2006-2022 硬度≥3H 、耐碱性≥168h无异常，耐酸性≥240h无异常</w:t>
      </w:r>
      <w:r>
        <w:rPr>
          <w:rFonts w:hint="eastAsia" w:ascii="宋体" w:hAnsi="宋体" w:cs="宋体"/>
          <w:color w:val="auto"/>
          <w:sz w:val="28"/>
          <w:szCs w:val="28"/>
          <w:highlight w:val="none"/>
          <w:shd w:val="clear" w:color="auto" w:fill="ffffff"/>
          <w:lang w:val="en-US" w:eastAsia="zh-CN"/>
        </w:rPr>
        <w:t xml:space="preserve">。</w:t>
      </w:r>
      <w:r/>
    </w:p>
    <w:p>
      <w:pPr>
        <w:numPr>
          <w:ilvl w:val="-1"/>
          <w:numId w:val="0"/>
        </w:numPr>
        <w:ind w:firstLine="560"/>
        <w:spacing w:line="500" w:lineRule="exact"/>
        <w:shd w:val="clear" w:color="auto" w:fill="ffffff"/>
        <w:widowControl/>
        <w:rPr>
          <w:rFonts w:hint="eastAsia" w:ascii="宋体" w:hAnsi="宋体" w:eastAsia="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（5）</w:t>
      </w:r>
      <w:r>
        <w:rPr>
          <w:rFonts w:hint="eastAsia" w:ascii="宋体" w:hAnsi="宋体" w:eastAsia="宋体" w:cs="宋体"/>
          <w:color w:val="auto"/>
          <w:sz w:val="28"/>
          <w:szCs w:val="28"/>
          <w:highlight w:val="none"/>
          <w:shd w:val="clear" w:color="auto" w:fill="ffffff"/>
          <w:lang w:val="en-US" w:eastAsia="zh-CN"/>
        </w:rPr>
        <w:t xml:space="preserve">阻尼铰链QB/T 2189-2013过载</w:t>
      </w:r>
      <w:r>
        <w:rPr>
          <w:rFonts w:hint="eastAsia" w:ascii="宋体" w:hAnsi="宋体" w:cs="宋体"/>
          <w:color w:val="auto"/>
          <w:sz w:val="28"/>
          <w:szCs w:val="28"/>
          <w:highlight w:val="none"/>
          <w:shd w:val="clear" w:color="auto" w:fill="ffffff"/>
          <w:lang w:val="en-US" w:eastAsia="zh-CN"/>
        </w:rPr>
        <w:t xml:space="preserve">合格。</w:t>
      </w:r>
      <w:r/>
    </w:p>
    <w:p>
      <w:pPr>
        <w:numPr>
          <w:ilvl w:val="-1"/>
          <w:numId w:val="0"/>
        </w:numPr>
        <w:ind w:firstLine="560"/>
        <w:spacing w:line="500" w:lineRule="exact"/>
        <w:shd w:val="clear" w:color="auto" w:fill="ffffff"/>
        <w:widowControl/>
        <w:rPr>
          <w:rFonts w:hint="eastAsia" w:ascii="宋体" w:hAnsi="宋体" w:eastAsia="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（6）</w:t>
      </w:r>
      <w:r>
        <w:rPr>
          <w:rFonts w:hint="eastAsia" w:ascii="宋体" w:hAnsi="宋体" w:eastAsia="宋体" w:cs="宋体"/>
          <w:color w:val="auto"/>
          <w:sz w:val="28"/>
          <w:szCs w:val="28"/>
          <w:highlight w:val="none"/>
          <w:shd w:val="clear" w:color="auto" w:fill="ffffff"/>
          <w:lang w:val="en-US" w:eastAsia="zh-CN"/>
        </w:rPr>
        <w:t xml:space="preserve">封边条QB/T 4463-2025邻苯二甲酸脂未检出、多溴联苯未检出、多溴联苯醚未检出</w:t>
      </w:r>
      <w:r>
        <w:rPr>
          <w:rFonts w:hint="eastAsia" w:ascii="宋体" w:hAnsi="宋体" w:cs="宋体"/>
          <w:color w:val="auto"/>
          <w:sz w:val="28"/>
          <w:szCs w:val="28"/>
          <w:highlight w:val="none"/>
          <w:shd w:val="clear" w:color="auto" w:fill="ffffff"/>
          <w:lang w:val="en-US" w:eastAsia="zh-CN"/>
        </w:rPr>
        <w:t xml:space="preserve">。</w:t>
      </w:r>
      <w:r/>
    </w:p>
    <w:p>
      <w:pPr>
        <w:numPr>
          <w:ilvl w:val="0"/>
          <w:numId w:val="0"/>
        </w:numPr>
        <w:ind w:firstLine="560"/>
        <w:keepLines w:val="0"/>
        <w:keepNext w:val="0"/>
        <w:pageBreakBefore w:val="0"/>
        <w:spacing w:line="500" w:lineRule="exact"/>
        <w:shd w:val="clear" w:color="auto" w:fill="ffffff"/>
        <w:widowControl/>
        <w:rPr>
          <w:rFonts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lang w:val="en-US" w:eastAsia="zh-CN"/>
        </w:rPr>
        <w:t xml:space="preserve">（7）</w:t>
      </w:r>
      <w:r>
        <w:rPr>
          <w:rFonts w:hint="eastAsia" w:ascii="宋体" w:hAnsi="宋体" w:eastAsia="宋体" w:cs="宋体"/>
          <w:color w:val="auto"/>
          <w:sz w:val="28"/>
          <w:szCs w:val="28"/>
          <w:highlight w:val="none"/>
          <w:shd w:val="clear" w:color="auto" w:fill="ffffff"/>
          <w:lang w:val="en-US" w:eastAsia="zh-CN"/>
        </w:rPr>
        <w:t xml:space="preserve">铝合金拉手GB/T 3324-2024、GB/T 10125-2021、GB/T 6461-2002、100h乙酸盐雾试验达到10级</w:t>
      </w:r>
      <w:r>
        <w:rPr>
          <w:rFonts w:hint="eastAsia" w:ascii="宋体" w:hAnsi="宋体" w:cs="宋体"/>
          <w:color w:val="auto"/>
          <w:sz w:val="28"/>
          <w:szCs w:val="28"/>
          <w:highlight w:val="none"/>
          <w:shd w:val="clear" w:color="auto" w:fill="ffffff"/>
          <w:lang w:val="en-US" w:eastAsia="zh-CN"/>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shd w:val="clear" w:color="auto" w:fill="ffffff"/>
          <w:lang w:eastAsia="zh-CN"/>
        </w:rPr>
      </w:pPr>
      <w:r>
        <w:rPr>
          <w:rFonts w:hint="eastAsia" w:ascii="宋体" w:hAnsi="宋体" w:cs="宋体"/>
          <w:color w:val="auto"/>
          <w:sz w:val="28"/>
          <w:szCs w:val="28"/>
          <w:highlight w:val="none"/>
          <w:shd w:val="clear" w:color="auto" w:fill="ffffff"/>
          <w:lang w:val="en-US" w:eastAsia="zh-CN"/>
        </w:rPr>
        <w:t xml:space="preserve">3</w:t>
      </w:r>
      <w:r>
        <w:rPr>
          <w:rFonts w:hint="eastAsia" w:ascii="宋体" w:hAnsi="宋体" w:cs="宋体"/>
          <w:color w:val="auto"/>
          <w:sz w:val="28"/>
          <w:szCs w:val="28"/>
          <w:highlight w:val="none"/>
          <w:shd w:val="clear" w:color="auto" w:fill="ffffff"/>
        </w:rPr>
        <w:t xml:space="preserve">.</w:t>
      </w:r>
      <w:r>
        <w:rPr>
          <w:rFonts w:hint="eastAsia" w:ascii="宋体" w:hAnsi="宋体" w:cs="宋体"/>
          <w:color w:val="auto"/>
          <w:sz w:val="28"/>
          <w:szCs w:val="28"/>
          <w:highlight w:val="none"/>
          <w:shd w:val="clear" w:color="auto" w:fill="ffffff"/>
          <w:lang w:eastAsia="zh-CN"/>
        </w:rPr>
        <w:t xml:space="preserve">货物全部进场安装前，中标人需先行安装好一个房间</w:t>
      </w:r>
      <w:r>
        <w:rPr>
          <w:rFonts w:hint="eastAsia" w:ascii="宋体" w:hAnsi="宋体" w:cs="宋体"/>
          <w:color w:val="auto"/>
          <w:sz w:val="28"/>
          <w:szCs w:val="28"/>
          <w:highlight w:val="none"/>
          <w:shd w:val="clear" w:color="auto" w:fill="ffffff"/>
          <w:lang w:val="en-US" w:eastAsia="zh-CN"/>
        </w:rPr>
        <w:t xml:space="preserve">并</w:t>
      </w:r>
      <w:r>
        <w:rPr>
          <w:rFonts w:hint="eastAsia" w:ascii="宋体" w:hAnsi="宋体" w:cs="宋体"/>
          <w:color w:val="auto"/>
          <w:sz w:val="28"/>
          <w:szCs w:val="28"/>
          <w:highlight w:val="none"/>
          <w:shd w:val="clear" w:color="auto" w:fill="ffffff"/>
          <w:lang w:eastAsia="zh-CN"/>
        </w:rPr>
        <w:t xml:space="preserve">在招标人验收通过后方能全面进行安装调试工作。</w:t>
      </w:r>
      <w:r/>
    </w:p>
    <w:p>
      <w:pPr>
        <w:ind w:firstLine="560"/>
        <w:keepLines w:val="0"/>
        <w:keepNext w:val="0"/>
        <w:pageBreakBefore w:val="0"/>
        <w:spacing w:line="500" w:lineRule="exact"/>
        <w:rPr>
          <w:rFonts w:hint="default" w:ascii="宋体" w:hAnsi="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4.全部产品安装结束后，中标人需将全部房间进行开荒保洁，保洁成果必须经采购人验收通过，产生的费用由中标人承担。</w:t>
      </w:r>
      <w:r/>
    </w:p>
    <w:p>
      <w:pPr>
        <w:ind w:firstLine="560"/>
        <w:keepLines w:val="0"/>
        <w:keepNext w:val="0"/>
        <w:pageBreakBefore w:val="0"/>
        <w:spacing w:line="500" w:lineRule="exact"/>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lang w:val="en-US" w:eastAsia="zh-CN"/>
        </w:rPr>
        <w:t xml:space="preserve">5.全部产品安装结束并开荒保洁经采购人验收通过后，</w:t>
      </w:r>
      <w:r>
        <w:rPr>
          <w:rFonts w:hint="eastAsia" w:ascii="宋体" w:hAnsi="宋体" w:cs="宋体"/>
          <w:color w:val="auto"/>
          <w:sz w:val="28"/>
          <w:szCs w:val="28"/>
          <w:highlight w:val="none"/>
          <w:shd w:val="clear" w:color="auto" w:fill="ffffff"/>
        </w:rPr>
        <w:t xml:space="preserve">由供应商提出</w:t>
      </w:r>
      <w:r>
        <w:rPr>
          <w:rFonts w:hint="eastAsia" w:ascii="宋体" w:hAnsi="宋体" w:cs="宋体"/>
          <w:color w:val="auto"/>
          <w:sz w:val="28"/>
          <w:szCs w:val="28"/>
          <w:highlight w:val="none"/>
          <w:shd w:val="clear" w:color="auto" w:fill="ffffff"/>
          <w:lang w:eastAsia="zh-CN"/>
        </w:rPr>
        <w:t xml:space="preserve">最终</w:t>
      </w:r>
      <w:r>
        <w:rPr>
          <w:rFonts w:hint="eastAsia" w:ascii="宋体" w:hAnsi="宋体" w:cs="宋体"/>
          <w:color w:val="auto"/>
          <w:sz w:val="28"/>
          <w:szCs w:val="28"/>
          <w:highlight w:val="none"/>
          <w:shd w:val="clear" w:color="auto" w:fill="ffffff"/>
        </w:rPr>
        <w:t xml:space="preserve">验收申请（含相关资料和证明文件），招标人组织验收。</w:t>
      </w:r>
      <w:r/>
    </w:p>
    <w:p>
      <w:pPr>
        <w:ind w:firstLine="560"/>
        <w:keepLines w:val="0"/>
        <w:keepNext w:val="0"/>
        <w:pageBreakBefore w:val="0"/>
        <w:spacing w:line="500" w:lineRule="exact"/>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lang w:val="en-US" w:eastAsia="zh-CN"/>
        </w:rPr>
        <w:t xml:space="preserve">6</w:t>
      </w:r>
      <w:r>
        <w:rPr>
          <w:rFonts w:hint="eastAsia" w:ascii="宋体" w:hAnsi="宋体" w:cs="宋体"/>
          <w:color w:val="auto"/>
          <w:sz w:val="28"/>
          <w:szCs w:val="28"/>
          <w:highlight w:val="none"/>
          <w:shd w:val="clear" w:color="auto" w:fill="ffffff"/>
        </w:rPr>
        <w:t xml:space="preserve">.</w:t>
      </w:r>
      <w:r>
        <w:rPr>
          <w:rFonts w:hint="eastAsia" w:ascii="宋体" w:hAnsi="宋体" w:cs="宋体"/>
          <w:color w:val="auto"/>
          <w:sz w:val="28"/>
          <w:szCs w:val="28"/>
          <w:highlight w:val="none"/>
          <w:shd w:val="clear" w:color="auto" w:fill="ffffff"/>
          <w:lang w:val="en-US" w:eastAsia="zh-CN"/>
        </w:rPr>
        <w:t xml:space="preserve">室内空气质量检测</w:t>
      </w:r>
      <w:r>
        <w:rPr>
          <w:rFonts w:hint="eastAsia" w:ascii="宋体" w:hAnsi="宋体" w:cs="宋体"/>
          <w:color w:val="auto"/>
          <w:sz w:val="28"/>
          <w:szCs w:val="28"/>
          <w:highlight w:val="none"/>
          <w:shd w:val="clear" w:color="auto" w:fill="ffffff"/>
        </w:rPr>
        <w:t xml:space="preserve">要求。</w:t>
      </w:r>
      <w:r/>
    </w:p>
    <w:p>
      <w:pPr>
        <w:ind w:firstLine="560"/>
        <w:keepLines w:val="0"/>
        <w:keepNext w:val="0"/>
        <w:pageBreakBefore w:val="0"/>
        <w:spacing w:line="500" w:lineRule="exact"/>
        <w:shd w:val="clear" w:color="auto" w:fill="ffffff"/>
        <w:widowControl/>
        <w:rPr>
          <w:rFonts w:hint="default" w:ascii="宋体" w:hAnsi="宋体" w:cs="宋体"/>
          <w:color w:val="auto"/>
          <w:sz w:val="28"/>
          <w:szCs w:val="28"/>
          <w:highlight w:val="none"/>
          <w:shd w:val="clear" w:color="auto" w:fill="ffffff"/>
          <w:lang w:val="en-US" w:eastAsia="zh-CN"/>
        </w:rPr>
      </w:pPr>
      <w:r>
        <w:rPr>
          <w:rFonts w:hint="eastAsia" w:ascii="宋体" w:hAnsi="宋体" w:cs="宋体"/>
          <w:color w:val="auto"/>
          <w:sz w:val="28"/>
          <w:szCs w:val="28"/>
          <w:highlight w:val="none"/>
          <w:shd w:val="clear" w:color="auto" w:fill="ffffff"/>
          <w:lang w:val="en-US" w:eastAsia="zh-CN"/>
        </w:rPr>
        <w:t xml:space="preserve">家具安装完毕后，室内空气质量应达到国家环保标准，供应商委托具有相应资质的第三方检测机构进行室内环境空气质量检测，随机抽验不少于总房间数50%的房间进行检测，</w:t>
      </w:r>
      <w:r>
        <w:rPr>
          <w:rFonts w:hint="eastAsia" w:ascii="宋体" w:hAnsi="宋体" w:eastAsia="宋体" w:cs="宋体"/>
          <w:b w:val="0"/>
          <w:bCs w:val="0"/>
          <w:i w:val="0"/>
          <w:iCs w:val="0"/>
          <w:color w:val="auto"/>
          <w:sz w:val="28"/>
          <w:szCs w:val="28"/>
          <w:highlight w:val="none"/>
          <w:u w:val="none"/>
          <w:lang w:val="en-US" w:eastAsia="zh-CN" w:bidi="ar-SA"/>
        </w:rPr>
        <w:t xml:space="preserve">检测依据为GB50325-2020。</w:t>
      </w:r>
      <w:r>
        <w:rPr>
          <w:rFonts w:hint="eastAsia" w:ascii="宋体" w:hAnsi="宋体" w:cs="宋体"/>
          <w:color w:val="auto"/>
          <w:sz w:val="28"/>
          <w:szCs w:val="28"/>
          <w:highlight w:val="none"/>
          <w:shd w:val="clear" w:color="auto" w:fill="ffffff"/>
          <w:lang w:val="en-US" w:eastAsia="zh-CN"/>
        </w:rPr>
        <w:t xml:space="preserve">抽取样品和检</w:t>
      </w:r>
      <w:r>
        <w:rPr>
          <w:rFonts w:hint="eastAsia" w:ascii="宋体" w:hAnsi="宋体" w:cs="宋体"/>
          <w:color w:val="auto"/>
          <w:sz w:val="28"/>
          <w:szCs w:val="28"/>
          <w:highlight w:val="none"/>
          <w:shd w:val="clear" w:color="auto" w:fill="ffffff"/>
          <w:lang w:val="en-US" w:eastAsia="zh-CN"/>
        </w:rPr>
        <w:t xml:space="preserve">测时，供应商代表、检测中心专业人员、采购人代表三方同时在场的情况下方可进行，否则进行的检测视为无效；检测数据以具有相应资质的第三方检测机构出具的《检测报告》为准；检测费用由供应商承担；检测项目包括甲醛、苯、甲苯、二甲苯、TVOC这五项。达不到国家环保标准要求的，供应商必须在一周内整改处置到位，所有处置费用由供应商自行承担，采购人扣除中标人履约保证金的10%，如第二次抽检仍未达到以上要求，采购人扣除中标人履约保证金全部余额，由此造成一切损失均由供应商承担。不满足以上要求的检测报告或报告不全，项目不得竣工验收。</w:t>
      </w:r>
      <w:r/>
    </w:p>
    <w:p>
      <w:pPr>
        <w:numPr>
          <w:ilvl w:val="-1"/>
          <w:numId w:val="0"/>
        </w:numPr>
        <w:ind w:firstLine="560"/>
        <w:keepLines w:val="0"/>
        <w:keepNext w:val="0"/>
        <w:pageBreakBefore w:val="0"/>
        <w:spacing w:line="500" w:lineRule="exact"/>
        <w:shd w:val="clear" w:color="auto" w:fill="ffffff"/>
        <w:widowControl/>
        <w:rPr>
          <w:rFonts w:hint="eastAsia" w:ascii="宋体" w:hAnsi="宋体" w:cs="宋体"/>
          <w:b/>
          <w:bCs/>
          <w:color w:val="auto"/>
          <w:sz w:val="28"/>
          <w:szCs w:val="28"/>
          <w:highlight w:val="none"/>
          <w:lang w:val="en-US" w:eastAsia="zh-CN"/>
        </w:rPr>
      </w:pPr>
      <w:r>
        <w:rPr>
          <w:rFonts w:hint="eastAsia" w:ascii="宋体" w:hAnsi="宋体" w:cs="宋体"/>
          <w:color w:val="auto"/>
          <w:sz w:val="28"/>
          <w:szCs w:val="28"/>
          <w:highlight w:val="none"/>
          <w:shd w:val="clear" w:color="auto" w:fill="ffffff"/>
          <w:lang w:val="en-US" w:eastAsia="zh-CN"/>
        </w:rPr>
        <w:t xml:space="preserve">注：供应商委托的第三方检测机构需事先征得采购人同意。</w:t>
      </w:r>
      <w:r/>
    </w:p>
    <w:p>
      <w:pPr>
        <w:ind w:firstLine="562"/>
        <w:keepLines w:val="0"/>
        <w:keepNext w:val="0"/>
        <w:pageBreakBefore w:val="0"/>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六、其他</w:t>
      </w:r>
      <w:r>
        <w:rPr>
          <w:rFonts w:hint="eastAsia" w:ascii="宋体" w:hAnsi="宋体" w:cs="宋体"/>
          <w:b/>
          <w:bCs/>
          <w:color w:val="auto"/>
          <w:sz w:val="28"/>
          <w:szCs w:val="28"/>
          <w:highlight w:val="none"/>
        </w:rPr>
        <w:t xml:space="preserve">要求</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rPr>
        <w:t xml:space="preserve">1.中标人在合同规定的质保期限内对所提供的标的物实行现场维护，及时处理存在的故障。如现场不能维修解决的故障问题，须提供故障不能排除时的解决方案。处理时间不低于下列要求：中标人接到招标人通知后</w:t>
      </w:r>
      <w:r>
        <w:rPr>
          <w:rFonts w:ascii="宋体" w:hAnsi="宋体" w:cs="宋体"/>
          <w:color w:val="auto"/>
          <w:sz w:val="28"/>
          <w:szCs w:val="28"/>
          <w:highlight w:val="none"/>
          <w:shd w:val="clear" w:color="auto" w:fill="ffffff"/>
        </w:rPr>
        <w:t xml:space="preserve">2</w:t>
      </w:r>
      <w:r>
        <w:rPr>
          <w:rFonts w:hint="eastAsia" w:ascii="宋体" w:hAnsi="宋体" w:cs="宋体"/>
          <w:color w:val="auto"/>
          <w:sz w:val="28"/>
          <w:szCs w:val="28"/>
          <w:highlight w:val="none"/>
          <w:shd w:val="clear" w:color="auto" w:fill="ffffff"/>
        </w:rPr>
        <w:t xml:space="preserve">小时内响应，</w:t>
      </w:r>
      <w:r>
        <w:rPr>
          <w:rFonts w:hint="eastAsia" w:ascii="宋体" w:hAnsi="宋体" w:cs="宋体"/>
          <w:color w:val="auto"/>
          <w:sz w:val="28"/>
          <w:szCs w:val="28"/>
          <w:highlight w:val="none"/>
          <w:shd w:val="clear" w:color="auto" w:fill="ffffff"/>
          <w:lang w:val="en-US" w:eastAsia="zh-CN"/>
        </w:rPr>
        <w:t xml:space="preserve">24</w:t>
      </w:r>
      <w:r>
        <w:rPr>
          <w:rFonts w:hint="eastAsia" w:ascii="宋体" w:hAnsi="宋体" w:cs="宋体"/>
          <w:color w:val="auto"/>
          <w:sz w:val="28"/>
          <w:szCs w:val="28"/>
          <w:highlight w:val="none"/>
          <w:shd w:val="clear" w:color="auto" w:fill="ffffff"/>
        </w:rPr>
        <w:t xml:space="preserve">小时内上门服务，</w:t>
      </w:r>
      <w:r>
        <w:rPr>
          <w:rFonts w:hint="eastAsia" w:ascii="宋体" w:hAnsi="宋体" w:cs="宋体"/>
          <w:color w:val="auto"/>
          <w:sz w:val="28"/>
          <w:szCs w:val="28"/>
          <w:highlight w:val="none"/>
          <w:shd w:val="clear" w:color="auto" w:fill="ffffff"/>
          <w:lang w:val="en-US" w:eastAsia="zh-CN"/>
        </w:rPr>
        <w:t xml:space="preserve">48</w:t>
      </w:r>
      <w:r>
        <w:rPr>
          <w:rFonts w:hint="eastAsia" w:ascii="宋体" w:hAnsi="宋体" w:cs="宋体"/>
          <w:color w:val="auto"/>
          <w:sz w:val="28"/>
          <w:szCs w:val="28"/>
          <w:highlight w:val="none"/>
          <w:shd w:val="clear" w:color="auto" w:fill="ffffff"/>
        </w:rPr>
        <w:t xml:space="preserve">小时内解决好问题。</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rPr>
        <w:t xml:space="preserve">2.中标人须承诺质保期满后提供终身维修服务，保证零配件供应，维修费用按照材料成本收取。</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rPr>
        <w:t xml:space="preserve">3.中标人应进行维护、维修、培训，确保使用者了解维护方法和进行简单的维修操作。</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rPr>
        <w:t xml:space="preserve">4.中标人提供现场技术培训，保证招标人使用人员能够正常操作产品的各种功能。</w:t>
      </w:r>
      <w:r/>
    </w:p>
    <w:p>
      <w:pPr>
        <w:ind w:firstLine="560"/>
        <w:keepLines w:val="0"/>
        <w:keepNext w:val="0"/>
        <w:pageBreakBefore w:val="0"/>
        <w:spacing w:line="500" w:lineRule="exact"/>
        <w:widowControl/>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5</w:t>
      </w:r>
      <w:r>
        <w:rPr>
          <w:rFonts w:hint="eastAsia" w:ascii="宋体" w:hAnsi="宋体" w:cs="宋体"/>
          <w:b w:val="0"/>
          <w:bCs w:val="0"/>
          <w:color w:val="auto"/>
          <w:sz w:val="28"/>
          <w:szCs w:val="28"/>
          <w:highlight w:val="none"/>
        </w:rPr>
        <w:t xml:space="preserve">.投标报价</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lang w:val="en-US" w:eastAsia="zh-CN"/>
        </w:rPr>
        <w:t xml:space="preserve">5.</w:t>
      </w:r>
      <w:r>
        <w:rPr>
          <w:rFonts w:hint="eastAsia" w:ascii="宋体" w:hAnsi="宋体" w:cs="宋体"/>
          <w:color w:val="auto"/>
          <w:sz w:val="28"/>
          <w:szCs w:val="28"/>
          <w:highlight w:val="none"/>
          <w:shd w:val="clear" w:color="auto" w:fill="ffffff"/>
        </w:rPr>
        <w:t xml:space="preserve">1</w:t>
      </w:r>
      <w:r>
        <w:rPr>
          <w:rFonts w:hint="eastAsia" w:ascii="宋体" w:hAnsi="宋体" w:cs="宋体"/>
          <w:color w:val="auto"/>
          <w:sz w:val="28"/>
          <w:szCs w:val="28"/>
          <w:highlight w:val="none"/>
        </w:rPr>
        <w:t xml:space="preserve">本项目不接受任何有选择的报价。</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.2投标报价均以人民币为报价的币种。</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3投标报价（以人民币计价）包括但不限于：本项目所有产品的产品成本、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利润和税金、质保期内的维护保养费等。</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.4除非因特殊原因并经招标人和中标人双方协商同意，中标人不得再要求追加任何费用。</w:t>
      </w:r>
      <w:r/>
    </w:p>
    <w:p>
      <w:pPr>
        <w:ind w:firstLine="560"/>
        <w:keepLines w:val="0"/>
        <w:keepNext w:val="0"/>
        <w:pageBreakBefore w:val="0"/>
        <w:spacing w:line="500" w:lineRule="exact"/>
        <w:shd w:val="clear" w:color="auto" w:fill="ffffff"/>
        <w:widowControl/>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6</w:t>
      </w:r>
      <w:r>
        <w:rPr>
          <w:rFonts w:hint="eastAsia" w:ascii="宋体" w:hAnsi="宋体" w:cs="宋体"/>
          <w:b w:val="0"/>
          <w:bCs w:val="0"/>
          <w:color w:val="auto"/>
          <w:sz w:val="28"/>
          <w:szCs w:val="28"/>
          <w:highlight w:val="none"/>
        </w:rPr>
        <w:t xml:space="preserve">.产品包装、运输、交货、验收</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.1商品包装环保要求：应当按《关于印发〈商品包装政府采购需求标准（试行）〉、〈快递包装政府采购需求标准（试行）〉的通知》（财办库〔2020〕123号）文件执行。</w:t>
      </w:r>
      <w:r/>
    </w:p>
    <w:p>
      <w:pPr>
        <w:ind w:firstLine="560"/>
        <w:keepLines w:val="0"/>
        <w:keepNext w:val="0"/>
        <w:pageBreakBefore w:val="0"/>
        <w:spacing w:line="50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.2运输</w:t>
      </w:r>
      <w:r/>
    </w:p>
    <w:p>
      <w:pPr>
        <w:ind w:firstLine="560"/>
        <w:keepLines w:val="0"/>
        <w:keepNext w:val="0"/>
        <w:pageBreakBefore w:val="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本合同货物的运输及风险由中标人负责，运输费用及运输保险费用包含在合同价款中，招标人对此不负任何责任。</w:t>
      </w:r>
      <w:r/>
    </w:p>
    <w:p>
      <w:pPr>
        <w:ind w:firstLine="560"/>
        <w:keepLines w:val="0"/>
        <w:keepNext w:val="0"/>
        <w:pageBreakBefore w:val="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.3交货、安装</w:t>
      </w:r>
      <w:r/>
    </w:p>
    <w:p>
      <w:pPr>
        <w:ind w:firstLine="560"/>
        <w:keepLines w:val="0"/>
        <w:keepNext w:val="0"/>
        <w:pageBreakBefore w:val="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.3.1交货方式为中标人送货至招标人指定地点，除不可抗力因素外，中标人必须按合同规定的时间、地点安排交货并安装。</w:t>
      </w:r>
      <w:r/>
    </w:p>
    <w:p>
      <w:pPr>
        <w:ind w:firstLine="560"/>
        <w:keepLines w:val="0"/>
        <w:keepNext w:val="0"/>
        <w:pageBreakBefore w:val="0"/>
        <w:spacing w:line="500" w:lineRule="exact"/>
        <w:rPr>
          <w:rFonts w:hint="eastAsia" w:ascii="宋体" w:hAnsi="宋体" w:cs="宋体"/>
          <w:b w:val="0"/>
          <w:bCs w:val="0"/>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.3.2中标人接受招标人对供货期调整、暂停供货、恢复供货以及增加供货安装的要求，具体方式为：招标人提前十五天发出书面通知，中标人负责人进行书面确认后即可执行。对此招标人不承担违约责任。</w:t>
      </w:r>
      <w:r/>
    </w:p>
    <w:p>
      <w:pPr>
        <w:ind w:firstLine="560"/>
        <w:keepLines w:val="0"/>
        <w:keepNext w:val="0"/>
        <w:pageBreakBefore w:val="0"/>
        <w:spacing w:line="500" w:lineRule="exact"/>
        <w:widowControl/>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7</w:t>
      </w:r>
      <w:r>
        <w:rPr>
          <w:rFonts w:hint="eastAsia" w:ascii="宋体" w:hAnsi="宋体" w:cs="宋体"/>
          <w:b w:val="0"/>
          <w:bCs w:val="0"/>
          <w:color w:val="auto"/>
          <w:sz w:val="28"/>
          <w:szCs w:val="28"/>
          <w:highlight w:val="none"/>
        </w:rPr>
        <w:t xml:space="preserve">.违约责任</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.1招标人无正当理由未按合同规定的期限向中标人支付货款的，每逾期1天招标人向中标人支付该批次货款总额的0.04%滞纳金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.2中标人逾期交付货物的，每逾期1天，中标人向招标人</w:t>
      </w:r>
      <w:r>
        <w:rPr>
          <w:rFonts w:hint="eastAsia" w:ascii="宋体" w:hAnsi="宋体" w:cs="宋体"/>
          <w:color w:val="auto"/>
          <w:sz w:val="28"/>
          <w:szCs w:val="28"/>
          <w:highlight w:val="none"/>
          <w:lang w:val="en-US" w:eastAsia="zh-CN"/>
        </w:rPr>
        <w:t xml:space="preserve">支</w:t>
      </w:r>
      <w:r>
        <w:rPr>
          <w:rFonts w:hint="eastAsia" w:ascii="宋体" w:hAnsi="宋体" w:cs="宋体"/>
          <w:color w:val="auto"/>
          <w:sz w:val="28"/>
          <w:szCs w:val="28"/>
          <w:highlight w:val="none"/>
        </w:rPr>
        <w:t xml:space="preserve">付</w:t>
      </w:r>
      <w:r>
        <w:rPr>
          <w:rFonts w:hint="eastAsia" w:ascii="宋体" w:hAnsi="宋体" w:cs="宋体"/>
          <w:color w:val="auto"/>
          <w:sz w:val="28"/>
          <w:szCs w:val="28"/>
          <w:highlight w:val="none"/>
          <w:lang w:val="en-US" w:eastAsia="zh-CN"/>
        </w:rPr>
        <w:t xml:space="preserve">5000元</w:t>
      </w:r>
      <w:r>
        <w:rPr>
          <w:rFonts w:hint="eastAsia" w:ascii="宋体" w:hAnsi="宋体" w:cs="宋体"/>
          <w:color w:val="auto"/>
          <w:sz w:val="28"/>
          <w:szCs w:val="28"/>
          <w:highlight w:val="none"/>
        </w:rPr>
        <w:t xml:space="preserve">滞纳金。</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.3中标人所交付的货物品种、型号、规格不符合合同规定，中标人需在收到</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日内解决退换货问题，因退换货造成逾期交付的，中标人需交纳逾期滞纳金，逾期滞纳金按原收货截止日次日起计至合格货物收到之日止，每逾期1天，按</w:t>
      </w:r>
      <w:r>
        <w:rPr>
          <w:rFonts w:hint="eastAsia" w:ascii="宋体" w:hAnsi="宋体" w:cs="宋体"/>
          <w:color w:val="auto"/>
          <w:sz w:val="28"/>
          <w:szCs w:val="28"/>
          <w:highlight w:val="none"/>
          <w:lang w:val="en-US" w:eastAsia="zh-CN"/>
        </w:rPr>
        <w:t xml:space="preserve">5000元</w:t>
      </w:r>
      <w:r>
        <w:rPr>
          <w:rFonts w:hint="eastAsia" w:ascii="宋体" w:hAnsi="宋体" w:cs="宋体"/>
          <w:color w:val="auto"/>
          <w:sz w:val="28"/>
          <w:szCs w:val="28"/>
          <w:highlight w:val="none"/>
        </w:rPr>
        <w:t xml:space="preserve">计算。若中标人在</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日退换货期限内不能完成供货，支付每日1万元罚款，直至供货日止。若中标人在以上合计</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天期限内仍不能完成供货，招标人可采取必要的补救措施，但由此引发的风险和费用将由中标人承担。</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.4中标人未按合同规定的和“服务承诺”提供的售后服务的，应按合同总价款的8%向招标人承担违约责任。</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7.5 空气质量检测不合格责任界定：家具安装完毕后，室内空气质量检测若不符合GB50325-2020标准要求，除按原规定扣除履约保证金外，中标人需承担以下整改、退换、重做责任：</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7.5.1首次检测不合格的，中标人需在7日内完成全面整改，整改方式包括但不限于更换不合格家具、采用环保治理措施等，整改费用由中标人全额承担，同时扣除履约保证金的10%；整改完成后由招标人组织二次检测，二次检测费用仍由中标人承担。</w:t>
      </w:r>
      <w:r/>
    </w:p>
    <w:p>
      <w:pPr>
        <w:ind w:firstLine="560"/>
        <w:keepLines w:val="0"/>
        <w:keepNext w:val="0"/>
        <w:pageBreakBefore w:val="0"/>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7.5.2二次检测仍不合格的，中标人需在20日内对不合格房间的所有家具进行无条件全额退换重做，退换重做期间需保障招标人正常使用需求，招标人有权免费使用所有家具或要求乙方提供临时替代家具，相关费用由中标人承担，同时没收全部履约保证金。</w:t>
      </w:r>
      <w:r/>
    </w:p>
    <w:p>
      <w:pPr>
        <w:ind w:firstLine="560"/>
        <w:keepLines w:val="0"/>
        <w:keepNext w:val="0"/>
        <w:pageBreakBefore w:val="0"/>
        <w:spacing w:line="50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7.5.3因空气质量不合格导致招标人学生无法正常入住、产生住宿安置等费用的，所有费用由中标人承担；若造成人身损害的，中标人需承担全部民事赔偿责任及相应法律责任。</w:t>
      </w:r>
      <w:r/>
    </w:p>
    <w:p>
      <w:pPr>
        <w:ind w:firstLine="560"/>
        <w:keepLines w:val="0"/>
        <w:keepNext w:val="0"/>
        <w:pageBreakBefore w:val="0"/>
        <w:spacing w:line="50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7.5.4退换重做后仍无法达到空气质量标准的，招标人有权单方面解除合同，中标人需赔偿合同总金额50%的违约金，同时承担招标人因此产生的一切直接和间接损失。</w:t>
      </w:r>
      <w:r/>
    </w:p>
    <w:p>
      <w:pPr>
        <w:ind w:firstLine="560"/>
        <w:keepLines w:val="0"/>
        <w:keepNext w:val="0"/>
        <w:pageBreakBefore w:val="0"/>
        <w:spacing w:line="50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8.施工现场管理</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在安装过程中，中标人必须保证施工现场的整洁，做到地面、墙面等均无污染，施工垃圾必须及时清理离场。</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家具正式移交之前，中标人应已完项目的成品保护工作。如出现损坏、丢失等问题，招标人概不负责。</w:t>
      </w:r>
      <w:r/>
    </w:p>
    <w:p>
      <w:pPr>
        <w:ind w:firstLine="560"/>
        <w:keepLines w:val="0"/>
        <w:keepNext w:val="0"/>
        <w:pageBreakBefore w:val="0"/>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中标人在项目施工中必须严格遵守相关的法规、规范和招标人的规定，督促现场施工人员规范操作，采取严格有力的安全防护措施，做好安全防护工作（包括施工现场防护等），确保施工安装的人身安全，相关专业技术岗位必须持证上岗，一切安全责任均由中标人自负。</w:t>
      </w:r>
      <w:r/>
    </w:p>
    <w:p>
      <w:pPr>
        <w:contextualSpacing/>
        <w:ind w:firstLine="560"/>
        <w:keepLines w:val="0"/>
        <w:keepNext w:val="0"/>
        <w:pageBreakBefore w:val="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中标人必须遵守政府有关主管部门对施工噪音、环境保护和安全生产等的管理规定，如因中标人的原因，导致投诉及相关部门罚款的，均由中标人负责处理，费用自理。</w:t>
      </w:r>
      <w:r/>
    </w:p>
    <w:p>
      <w:pPr>
        <w:numPr>
          <w:ilvl w:val="0"/>
          <w:numId w:val="0"/>
        </w:num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七、</w:t>
      </w:r>
      <w:r>
        <w:rPr>
          <w:rFonts w:hint="eastAsia" w:ascii="宋体" w:hAnsi="宋体" w:cs="宋体"/>
          <w:b/>
          <w:bCs/>
          <w:color w:val="auto"/>
          <w:sz w:val="28"/>
          <w:szCs w:val="28"/>
          <w:highlight w:val="none"/>
          <w:lang w:val="en-US" w:eastAsia="zh-CN"/>
        </w:rPr>
        <w:t xml:space="preserve">样品（合同签订前提供）</w:t>
      </w:r>
      <w:r/>
    </w:p>
    <w:p>
      <w:pPr>
        <w:contextualSpacing/>
        <w:ind w:firstLine="4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1.项目要求</w:t>
      </w:r>
      <w:r>
        <w:rPr>
          <w:rFonts w:hint="eastAsia" w:ascii="宋体" w:hAnsi="宋体" w:cs="宋体"/>
          <w:color w:val="auto"/>
          <w:sz w:val="28"/>
          <w:szCs w:val="28"/>
          <w:highlight w:val="none"/>
          <w:lang w:val="en-US" w:eastAsia="zh-CN"/>
        </w:rPr>
        <w:t xml:space="preserve">中标人在收到中标通知书后5天内</w:t>
      </w:r>
      <w:r>
        <w:rPr>
          <w:rFonts w:hint="eastAsia" w:ascii="宋体" w:hAnsi="宋体" w:cs="宋体"/>
          <w:color w:val="auto"/>
          <w:sz w:val="28"/>
          <w:szCs w:val="28"/>
          <w:highlight w:val="none"/>
        </w:rPr>
        <w:t xml:space="preserve">提供样品，</w:t>
      </w:r>
      <w:r>
        <w:rPr>
          <w:rFonts w:hint="eastAsia" w:ascii="宋体" w:hAnsi="宋体" w:cs="宋体"/>
          <w:color w:val="auto"/>
          <w:sz w:val="28"/>
          <w:szCs w:val="28"/>
          <w:highlight w:val="none"/>
          <w:lang w:val="en-US" w:eastAsia="zh-CN"/>
        </w:rPr>
        <w:t xml:space="preserve">中标人提供的样品必须满足本次招标的要求，样品</w:t>
      </w:r>
      <w:r>
        <w:rPr>
          <w:rFonts w:hint="eastAsia" w:ascii="宋体" w:hAnsi="宋体" w:cs="宋体"/>
          <w:color w:val="auto"/>
          <w:sz w:val="28"/>
          <w:szCs w:val="28"/>
          <w:highlight w:val="none"/>
        </w:rPr>
        <w:t xml:space="preserve">由采购人</w:t>
      </w:r>
      <w:r>
        <w:rPr>
          <w:rFonts w:hint="eastAsia" w:ascii="宋体" w:hAnsi="宋体" w:cs="宋体"/>
          <w:color w:val="auto"/>
          <w:sz w:val="28"/>
          <w:szCs w:val="28"/>
          <w:highlight w:val="none"/>
          <w:lang w:val="en-US" w:eastAsia="zh-CN"/>
        </w:rPr>
        <w:t xml:space="preserve">验收通过后方能签订合同，验收通过的样品由招标人</w:t>
      </w:r>
      <w:r>
        <w:rPr>
          <w:rFonts w:hint="eastAsia" w:ascii="宋体" w:hAnsi="宋体" w:cs="宋体"/>
          <w:color w:val="auto"/>
          <w:sz w:val="28"/>
          <w:szCs w:val="28"/>
          <w:highlight w:val="none"/>
        </w:rPr>
        <w:t xml:space="preserve">保管、封存，并作为履约验收的参考。中标人的样品</w:t>
      </w:r>
      <w:r>
        <w:rPr>
          <w:rFonts w:hint="eastAsia" w:ascii="宋体" w:hAnsi="宋体" w:cs="宋体"/>
          <w:color w:val="auto"/>
          <w:sz w:val="28"/>
          <w:szCs w:val="28"/>
          <w:highlight w:val="none"/>
          <w:lang w:val="en-US" w:eastAsia="zh-CN"/>
        </w:rPr>
        <w:t xml:space="preserve">在本项目验收合格</w:t>
      </w:r>
      <w:r>
        <w:rPr>
          <w:rFonts w:hint="eastAsia" w:ascii="宋体" w:hAnsi="宋体" w:cs="宋体"/>
          <w:color w:val="auto"/>
          <w:sz w:val="28"/>
          <w:szCs w:val="28"/>
          <w:highlight w:val="none"/>
        </w:rPr>
        <w:t xml:space="preserve">后退还，</w:t>
      </w:r>
      <w:r>
        <w:rPr>
          <w:rFonts w:hint="eastAsia" w:ascii="宋体" w:hAnsi="宋体" w:eastAsia="宋体" w:cs="宋体"/>
          <w:color w:val="auto"/>
          <w:sz w:val="28"/>
          <w:szCs w:val="28"/>
          <w:highlight w:val="none"/>
        </w:rPr>
        <w:t xml:space="preserve">中标人需在验收合格后 15 日内自行搬走</w:t>
      </w:r>
      <w:r>
        <w:rPr>
          <w:rFonts w:hint="eastAsia" w:ascii="宋体" w:hAnsi="宋体" w:cs="宋体"/>
          <w:color w:val="auto"/>
          <w:sz w:val="28"/>
          <w:szCs w:val="28"/>
          <w:highlight w:val="none"/>
        </w:rPr>
        <w:t xml:space="preserve">，否则采购人将统一处理。</w:t>
      </w:r>
      <w:r/>
    </w:p>
    <w:p>
      <w:pPr>
        <w:contextualSpacing/>
        <w:ind w:firstLine="4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2.按采购清单中技术参数要求提供的实样，</w:t>
      </w:r>
      <w:r>
        <w:rPr>
          <w:rFonts w:hint="eastAsia" w:ascii="宋体" w:hAnsi="宋体" w:cs="宋体"/>
          <w:color w:val="auto"/>
          <w:sz w:val="28"/>
          <w:szCs w:val="28"/>
          <w:highlight w:val="none"/>
          <w:lang w:eastAsia="zh-CN"/>
        </w:rPr>
        <w:t xml:space="preserve">样品验收不合格的，限中标人</w:t>
      </w:r>
      <w:r>
        <w:rPr>
          <w:rFonts w:hint="eastAsia" w:ascii="宋体" w:hAnsi="宋体" w:cs="宋体"/>
          <w:color w:val="auto"/>
          <w:sz w:val="28"/>
          <w:szCs w:val="28"/>
          <w:highlight w:val="none"/>
          <w:lang w:val="en-US" w:eastAsia="zh-CN"/>
        </w:rPr>
        <w:t xml:space="preserve">3天内整改到位，未按要求整改到位</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rPr>
        <w:t xml:space="preserve">未提供样品的</w:t>
      </w:r>
      <w:r>
        <w:rPr>
          <w:rFonts w:hint="eastAsia" w:ascii="宋体" w:hAnsi="宋体" w:cs="宋体"/>
          <w:color w:val="auto"/>
          <w:sz w:val="28"/>
          <w:szCs w:val="28"/>
          <w:highlight w:val="none"/>
          <w:lang w:val="en-US" w:eastAsia="zh-CN"/>
        </w:rPr>
        <w:t xml:space="preserve">视作中标人主动放弃中标资格，采购人不予签订合同并没收全部履约保证金</w:t>
      </w:r>
      <w:r>
        <w:rPr>
          <w:rFonts w:hint="eastAsia" w:ascii="宋体" w:hAnsi="宋体" w:cs="宋体"/>
          <w:color w:val="auto"/>
          <w:sz w:val="28"/>
          <w:szCs w:val="28"/>
          <w:highlight w:val="none"/>
        </w:rPr>
        <w:t xml:space="preserve">。</w:t>
      </w:r>
      <w:r/>
    </w:p>
    <w:p>
      <w:pPr>
        <w:contextualSpacing/>
        <w:ind w:firstLine="480"/>
        <w:spacing w:line="460" w:lineRule="exact"/>
        <w:rPr>
          <w:rFonts w:ascii="宋体" w:hAnsi="宋体" w:cs="宋体"/>
          <w:color w:val="auto"/>
          <w:sz w:val="28"/>
          <w:szCs w:val="28"/>
          <w:highlight w:val="none"/>
        </w:rPr>
        <w:pBdr>
          <w:between w:val="single" w:color="000000" w:sz="2" w:space="0"/>
        </w:pBdr>
      </w:pPr>
      <w:r>
        <w:rPr>
          <w:rFonts w:hint="eastAsia" w:ascii="宋体" w:hAnsi="宋体" w:cs="宋体"/>
          <w:color w:val="auto"/>
          <w:sz w:val="28"/>
          <w:szCs w:val="28"/>
          <w:highlight w:val="none"/>
        </w:rPr>
        <w:t xml:space="preserve">3.请</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提供所</w:t>
      </w:r>
      <w:r>
        <w:rPr>
          <w:rFonts w:hint="eastAsia" w:ascii="宋体" w:hAnsi="宋体" w:cs="宋体"/>
          <w:color w:val="auto"/>
          <w:sz w:val="28"/>
          <w:szCs w:val="28"/>
          <w:highlight w:val="none"/>
          <w:lang w:val="en-US" w:eastAsia="zh-CN"/>
        </w:rPr>
        <w:t xml:space="preserve">供</w:t>
      </w:r>
      <w:r>
        <w:rPr>
          <w:rFonts w:hint="eastAsia" w:ascii="宋体" w:hAnsi="宋体" w:cs="宋体"/>
          <w:color w:val="auto"/>
          <w:sz w:val="28"/>
          <w:szCs w:val="28"/>
          <w:highlight w:val="none"/>
        </w:rPr>
        <w:t xml:space="preserve">货物（设备）的样品如下，包括：</w:t>
      </w:r>
      <w:r/>
    </w:p>
    <w:tbl>
      <w:tblPr>
        <w:tblStyle w:val="793"/>
        <w:tblpPr w:horzAnchor="text" w:tblpXSpec="center" w:vertAnchor="text" w:tblpY="1" w:leftFromText="180" w:topFromText="0" w:rightFromText="180" w:bottomFromText="0"/>
        <w:tblW w:w="8872" w:type="dxa"/>
        <w:tblCellSpacing w:w="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26"/>
        <w:gridCol w:w="945"/>
        <w:gridCol w:w="885"/>
        <w:gridCol w:w="2716"/>
      </w:tblGrid>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出样产品名称</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单位</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数量</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技术参数</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hint="default" w:ascii="宋体" w:hAnsi="宋体" w:eastAsia="宋体" w:cs="宋体"/>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公寓床（单联）</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张</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left"/>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组合书桌</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张</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left"/>
              <w:keepLines w:val="0"/>
              <w:keepNext w:val="0"/>
              <w:pageBreakBefore w:val="0"/>
              <w:spacing w:beforeAutospacing="0" w:afterAutospacing="0" w:line="380" w:lineRule="exac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立柱，不低于50*50*1.5mm</w:t>
            </w:r>
            <w:r>
              <w:rPr>
                <w:rFonts w:ascii="宋体" w:hAnsi="宋体" w:cs="宋体"/>
                <w:color w:val="auto"/>
                <w:sz w:val="28"/>
                <w:szCs w:val="28"/>
                <w:highlight w:val="none"/>
              </w:rPr>
              <w:t xml:space="preserve">，长度</w:t>
            </w:r>
            <w:r>
              <w:rPr>
                <w:rFonts w:hint="eastAsia" w:ascii="宋体" w:hAnsi="宋体" w:cs="宋体"/>
                <w:color w:val="auto"/>
                <w:sz w:val="28"/>
                <w:szCs w:val="28"/>
                <w:highlight w:val="none"/>
              </w:rPr>
              <w:t xml:space="preserve">不低于2</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0m</w:t>
            </w:r>
            <w:r>
              <w:rPr>
                <w:rFonts w:ascii="宋体" w:hAnsi="宋体" w:cs="宋体"/>
                <w:color w:val="auto"/>
                <w:sz w:val="28"/>
                <w:szCs w:val="28"/>
                <w:highlight w:val="none"/>
              </w:rPr>
              <w:t xml:space="preserve">m</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根</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left"/>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前后床梃：不低于30*70*1.</w:t>
            </w:r>
            <w:r>
              <w:rPr>
                <w:rFonts w:ascii="宋体" w:hAnsi="宋体" w:cs="宋体"/>
                <w:color w:val="auto"/>
                <w:sz w:val="28"/>
                <w:szCs w:val="28"/>
                <w:highlight w:val="none"/>
              </w:rPr>
              <w:t xml:space="preserve">5</w:t>
            </w:r>
            <w:r>
              <w:rPr>
                <w:rFonts w:hint="eastAsia" w:ascii="宋体" w:hAnsi="宋体" w:cs="宋体"/>
                <w:color w:val="auto"/>
                <w:sz w:val="28"/>
                <w:szCs w:val="28"/>
                <w:highlight w:val="none"/>
              </w:rPr>
              <w:t xml:space="preserve">mm 异形管，长度不低于2</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0m</w:t>
            </w:r>
            <w:r>
              <w:rPr>
                <w:rFonts w:ascii="宋体" w:hAnsi="宋体" w:cs="宋体"/>
                <w:color w:val="auto"/>
                <w:sz w:val="28"/>
                <w:szCs w:val="28"/>
                <w:highlight w:val="none"/>
              </w:rPr>
              <w:t xml:space="preserve">m</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根</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left"/>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Height w:val="1364"/>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E0级三聚氰胺纸饰面实木多层板,</w:t>
            </w:r>
            <w:r>
              <w:rPr>
                <w:rFonts w:ascii="宋体" w:hAnsi="宋体" w:cs="宋体"/>
                <w:color w:val="auto"/>
                <w:sz w:val="28"/>
                <w:szCs w:val="28"/>
                <w:highlight w:val="none"/>
              </w:rPr>
              <w:t xml:space="preserve">厚度</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mm</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w:t>
            </w:r>
            <w:r>
              <w:rPr>
                <w:rFonts w:ascii="宋体" w:hAnsi="宋体" w:cs="宋体"/>
                <w:color w:val="auto"/>
                <w:sz w:val="28"/>
                <w:szCs w:val="28"/>
                <w:highlight w:val="none"/>
              </w:rPr>
              <w:t xml:space="preserve">大小：</w:t>
            </w:r>
            <w:r>
              <w:rPr>
                <w:rFonts w:hint="eastAsia" w:ascii="宋体" w:hAnsi="宋体" w:cs="宋体"/>
                <w:color w:val="auto"/>
                <w:sz w:val="28"/>
                <w:szCs w:val="28"/>
                <w:highlight w:val="none"/>
              </w:rPr>
              <w:t xml:space="preserve">不低于2</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0</w:t>
            </w:r>
            <w:r>
              <w:rPr>
                <w:rFonts w:ascii="宋体" w:hAnsi="宋体" w:cs="宋体"/>
                <w:color w:val="auto"/>
                <w:sz w:val="28"/>
                <w:szCs w:val="28"/>
                <w:highlight w:val="none"/>
              </w:rPr>
              <w:t xml:space="preserve">*20</w:t>
            </w:r>
            <w:r>
              <w:rPr>
                <w:rFonts w:hint="eastAsia" w:ascii="宋体" w:hAnsi="宋体" w:cs="宋体"/>
                <w:color w:val="auto"/>
                <w:sz w:val="28"/>
                <w:szCs w:val="28"/>
                <w:highlight w:val="none"/>
              </w:rPr>
              <w:t xml:space="preserve">0m</w:t>
            </w:r>
            <w:r>
              <w:rPr>
                <w:rFonts w:ascii="宋体" w:hAnsi="宋体" w:cs="宋体"/>
                <w:color w:val="auto"/>
                <w:sz w:val="28"/>
                <w:szCs w:val="28"/>
                <w:highlight w:val="none"/>
              </w:rPr>
              <w:t xml:space="preserve">m</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块</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三节静音阻尼导轨</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付</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olor w:val="auto"/>
                <w:sz w:val="28"/>
                <w:szCs w:val="28"/>
                <w:highlight w:val="none"/>
              </w:rPr>
              <w:outlineLvl w:val="3"/>
            </w:pPr>
            <w:r>
              <w:rPr>
                <w:rFonts w:hint="eastAsia" w:ascii="宋体" w:hAnsi="宋体"/>
                <w:color w:val="auto"/>
                <w:sz w:val="28"/>
                <w:szCs w:val="28"/>
                <w:highlight w:val="none"/>
              </w:rPr>
              <w:t xml:space="preserve">拉手</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个</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olor w:val="auto"/>
                <w:sz w:val="28"/>
                <w:szCs w:val="28"/>
                <w:highlight w:val="none"/>
              </w:rPr>
              <w:outlineLvl w:val="3"/>
            </w:pPr>
            <w:r>
              <w:rPr>
                <w:rFonts w:hint="eastAsia" w:ascii="宋体" w:hAnsi="宋体"/>
                <w:color w:val="auto"/>
                <w:sz w:val="28"/>
                <w:szCs w:val="28"/>
                <w:highlight w:val="none"/>
              </w:rPr>
              <w:t xml:space="preserve">铰链</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个</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olor w:val="auto"/>
                <w:sz w:val="28"/>
                <w:szCs w:val="28"/>
                <w:highlight w:val="none"/>
              </w:rPr>
              <w:outlineLvl w:val="3"/>
            </w:pPr>
            <w:r>
              <w:rPr>
                <w:rFonts w:hint="eastAsia" w:ascii="宋体" w:hAnsi="宋体"/>
                <w:color w:val="auto"/>
                <w:sz w:val="28"/>
                <w:szCs w:val="28"/>
                <w:highlight w:val="none"/>
              </w:rPr>
              <w:t xml:space="preserve">连接件</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套</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olor w:val="auto"/>
                <w:sz w:val="28"/>
                <w:szCs w:val="28"/>
                <w:highlight w:val="none"/>
              </w:rPr>
              <w:outlineLvl w:val="3"/>
            </w:pPr>
            <w:r>
              <w:rPr>
                <w:rFonts w:hint="eastAsia" w:ascii="宋体" w:hAnsi="宋体"/>
                <w:color w:val="auto"/>
                <w:sz w:val="28"/>
                <w:szCs w:val="28"/>
                <w:highlight w:val="none"/>
              </w:rPr>
              <w:t xml:space="preserve">螺丝</w:t>
            </w:r>
            <w:r/>
          </w:p>
        </w:tc>
        <w:tc>
          <w:tcPr>
            <w:tcMar>
              <w:left w:w="108" w:type="dxa"/>
              <w:top w:w="0" w:type="dxa"/>
              <w:right w:w="108" w:type="dxa"/>
              <w:bottom w:w="0" w:type="dxa"/>
            </w:tcMar>
            <w:tcW w:w="94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套</w:t>
            </w:r>
            <w:r/>
          </w:p>
        </w:tc>
        <w:tc>
          <w:tcPr>
            <w:tcMar>
              <w:left w:w="108" w:type="dxa"/>
              <w:top w:w="0" w:type="dxa"/>
              <w:right w:w="108" w:type="dxa"/>
              <w:bottom w:w="0" w:type="dxa"/>
            </w:tcMar>
            <w:tcW w:w="885"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2716" w:type="dxa"/>
            <w:vAlign w:val="center"/>
            <w:textDirection w:val="lrTb"/>
            <w:noWrap w:val="false"/>
          </w:tcPr>
          <w:p>
            <w:pPr>
              <w:jc w:val="center"/>
              <w:keepLines w:val="0"/>
              <w:keepNext w:val="0"/>
              <w:pageBreakBefore w:val="0"/>
              <w:spacing w:beforeAutospacing="0" w:afterAutospacing="0"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bl>
    <w:p>
      <w:pPr>
        <w:numPr>
          <w:ilvl w:val="0"/>
          <w:numId w:val="2"/>
        </w:numPr>
        <w:ind w:firstLine="562"/>
        <w:spacing w:line="460" w:lineRule="exact"/>
        <w:tabs>
          <w:tab w:val="left" w:pos="420" w:leader="none"/>
        </w:tabs>
        <w:rPr>
          <w:rFonts w:hint="eastAsia" w:ascii="宋体" w:hAnsi="宋体" w:eastAsia="宋体" w:cs="宋体"/>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付款方式</w:t>
      </w:r>
      <w:r/>
    </w:p>
    <w:p>
      <w:pPr>
        <w:numPr>
          <w:ilvl w:val="0"/>
          <w:numId w:val="0"/>
        </w:numPr>
        <w:ind w:firstLine="560"/>
        <w:spacing w:line="460" w:lineRule="exact"/>
        <w:tabs>
          <w:tab w:val="left" w:pos="42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1.合同签订且货物（设备）安装结束后招标人组织对货物进行验收，项目验收合格后（以招标人签验收合格单为准）</w:t>
      </w:r>
      <w:r>
        <w:rPr>
          <w:rFonts w:hint="eastAsia" w:ascii="宋体" w:hAnsi="宋体" w:cs="宋体"/>
          <w:color w:val="auto"/>
          <w:sz w:val="28"/>
          <w:szCs w:val="28"/>
          <w:highlight w:val="none"/>
          <w:lang w:val="en-US" w:eastAsia="zh-CN"/>
        </w:rPr>
        <w:t xml:space="preserve">并审计后</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招标人2026年</w:t>
      </w:r>
      <w:r>
        <w:rPr>
          <w:rFonts w:hint="eastAsia" w:ascii="宋体" w:hAnsi="宋体" w:eastAsia="宋体" w:cs="宋体"/>
          <w:color w:val="auto"/>
          <w:sz w:val="28"/>
          <w:szCs w:val="28"/>
          <w:highlight w:val="none"/>
          <w:lang w:val="en-US" w:eastAsia="zh-CN"/>
        </w:rPr>
        <w:t xml:space="preserve">支付</w:t>
      </w:r>
      <w:r>
        <w:rPr>
          <w:rFonts w:hint="eastAsia" w:ascii="宋体" w:hAnsi="宋体" w:cs="宋体"/>
          <w:color w:val="auto"/>
          <w:sz w:val="28"/>
          <w:szCs w:val="28"/>
          <w:highlight w:val="none"/>
          <w:lang w:val="en-US" w:eastAsia="zh-CN"/>
        </w:rPr>
        <w:t xml:space="preserve">198</w:t>
      </w:r>
      <w:r>
        <w:rPr>
          <w:rFonts w:hint="eastAsia" w:ascii="宋体" w:hAnsi="宋体" w:eastAsia="宋体" w:cs="宋体"/>
          <w:color w:val="auto"/>
          <w:sz w:val="28"/>
          <w:szCs w:val="28"/>
          <w:highlight w:val="none"/>
          <w:lang w:val="en-US" w:eastAsia="zh-CN"/>
        </w:rPr>
        <w:t xml:space="preserve">万元</w:t>
      </w:r>
      <w:r>
        <w:rPr>
          <w:rFonts w:hint="eastAsia" w:ascii="宋体" w:hAnsi="宋体" w:cs="宋体"/>
          <w:color w:val="auto"/>
          <w:sz w:val="28"/>
          <w:szCs w:val="28"/>
          <w:highlight w:val="none"/>
          <w:lang w:val="en-US" w:eastAsia="zh-CN"/>
        </w:rPr>
        <w:t xml:space="preserve">（审计价低于198万元的按审计价全额支付；审计价</w:t>
      </w:r>
      <w:r>
        <w:rPr>
          <w:rFonts w:hint="eastAsia" w:ascii="宋体" w:hAnsi="宋体" w:eastAsia="宋体" w:cs="宋体"/>
          <w:color w:val="auto"/>
          <w:sz w:val="28"/>
          <w:szCs w:val="28"/>
          <w:highlight w:val="none"/>
          <w:lang w:val="en-US" w:eastAsia="zh-CN"/>
        </w:rPr>
        <w:t xml:space="preserve">超过</w:t>
      </w:r>
      <w:r>
        <w:rPr>
          <w:rFonts w:hint="eastAsia" w:ascii="宋体" w:hAnsi="宋体" w:cs="宋体"/>
          <w:color w:val="auto"/>
          <w:sz w:val="28"/>
          <w:szCs w:val="28"/>
          <w:highlight w:val="none"/>
          <w:lang w:val="en-US" w:eastAsia="zh-CN"/>
        </w:rPr>
        <w:t xml:space="preserve">198万元的，超出</w:t>
      </w:r>
      <w:r>
        <w:rPr>
          <w:rFonts w:hint="eastAsia" w:ascii="宋体" w:hAnsi="宋体" w:eastAsia="宋体" w:cs="宋体"/>
          <w:color w:val="auto"/>
          <w:sz w:val="28"/>
          <w:szCs w:val="28"/>
          <w:highlight w:val="none"/>
          <w:lang w:val="en-US" w:eastAsia="zh-CN"/>
        </w:rPr>
        <w:t xml:space="preserve">部分于下一年度第</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lang w:val="en-US" w:eastAsia="zh-CN"/>
        </w:rPr>
        <w:t xml:space="preserve">季度支付完毕</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w:t>
      </w:r>
      <w:r/>
    </w:p>
    <w:p>
      <w:pPr>
        <w:pStyle w:val="987"/>
        <w:numPr>
          <w:ilvl w:val="0"/>
          <w:numId w:val="0"/>
        </w:numPr>
        <w:ind w:firstLine="560"/>
        <w:jc w:val="both"/>
        <w:keepLines w:val="0"/>
        <w:keepNext/>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2.每次付款前供应商须提供符合招标人财务要求的正式增值税专用发票，否则招标人有权拒绝支付合同款，而不承担违约责任。</w:t>
      </w:r>
      <w:r/>
    </w:p>
    <w:p>
      <w:pPr>
        <w:ind w:firstLine="562"/>
        <w:spacing w:line="460" w:lineRule="exact"/>
        <w:tabs>
          <w:tab w:val="left" w:pos="420"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2.中标人全部履约合同义务，经招标人验收合格无质量、进度等问题的，招标人在</w:t>
      </w:r>
      <w:r>
        <w:rPr>
          <w:rFonts w:hint="eastAsia" w:ascii="宋体" w:hAnsi="宋体" w:cs="宋体"/>
          <w:color w:val="auto"/>
          <w:sz w:val="28"/>
          <w:szCs w:val="28"/>
          <w:highlight w:val="none"/>
          <w:lang w:eastAsia="zh-CN"/>
        </w:rPr>
        <w:t xml:space="preserve">中标人全部履约本合同义务</w:t>
      </w:r>
      <w:r>
        <w:rPr>
          <w:rFonts w:hint="eastAsia" w:ascii="宋体" w:hAnsi="宋体" w:cs="宋体"/>
          <w:color w:val="auto"/>
          <w:sz w:val="28"/>
          <w:szCs w:val="28"/>
          <w:highlight w:val="none"/>
        </w:rPr>
        <w:t xml:space="preserve">后</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由中标人提出退款申请后</w:t>
      </w:r>
      <w:r>
        <w:rPr>
          <w:rFonts w:hint="eastAsia" w:ascii="宋体" w:hAnsi="宋体" w:cs="宋体"/>
          <w:color w:val="auto"/>
          <w:sz w:val="28"/>
          <w:szCs w:val="28"/>
          <w:highlight w:val="none"/>
        </w:rPr>
        <w:t xml:space="preserve">30日内一次性退还履约保证金，招标人若逾期退还履约保证金的，按照逾期部分的每日0.05%支付违约金；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a.签订合同后，中标人不履行合同义务的，招标人有权全额扣除履约保证金，全额不予退还，同时招标人亦有权终止合同，中标人还须承担相应的法律赔偿责任。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p>
    <w:p>
      <w:pPr>
        <w:ind w:firstLine="560"/>
        <w:spacing w:line="460" w:lineRule="exact"/>
        <w:rPr>
          <w:color w:val="auto"/>
          <w:highlight w:val="none"/>
        </w:rPr>
      </w:pPr>
      <w:r>
        <w:rPr>
          <w:rFonts w:hint="eastAsia" w:ascii="宋体" w:hAnsi="宋体" w:cs="宋体"/>
          <w:color w:val="auto"/>
          <w:sz w:val="28"/>
          <w:szCs w:val="28"/>
          <w:highlight w:val="none"/>
        </w:rPr>
        <w:t xml:space="preserve">4.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ww.ccgp-jiangsu.gov.cn/jisngsu/zlxz/)。</w:t>
      </w:r>
      <w:r/>
    </w:p>
    <w:p>
      <w:pPr>
        <w:ind w:firstLine="562"/>
        <w:spacing w:line="460" w:lineRule="exact"/>
        <w:tabs>
          <w:tab w:val="left" w:pos="420" w:leader="none"/>
        </w:tabs>
        <w:rPr>
          <w:rFonts w:hint="eastAsia" w:ascii="宋体" w:hAnsi="宋体" w:eastAsia="宋体" w:cs="宋体"/>
          <w:b/>
          <w:bCs/>
          <w:i w:val="0"/>
          <w:iCs w:val="0"/>
          <w:color w:val="auto"/>
          <w:sz w:val="28"/>
          <w:szCs w:val="28"/>
          <w:highlight w:val="none"/>
          <w:u w:val="single"/>
        </w:rPr>
      </w:pPr>
      <w:r>
        <w:rPr>
          <w:rFonts w:hint="eastAsia" w:ascii="宋体" w:hAnsi="宋体" w:eastAsia="宋体" w:cs="宋体"/>
          <w:b/>
          <w:bCs/>
          <w:i w:val="0"/>
          <w:iCs w:val="0"/>
          <w:color w:val="auto"/>
          <w:sz w:val="28"/>
          <w:szCs w:val="28"/>
          <w:highlight w:val="none"/>
          <w:u w:val="single"/>
          <w:lang w:val="en-US" w:eastAsia="zh-CN"/>
        </w:rPr>
        <w:t xml:space="preserve">十</w:t>
      </w:r>
      <w:r>
        <w:rPr>
          <w:rFonts w:hint="eastAsia" w:ascii="宋体" w:hAnsi="宋体" w:eastAsia="宋体" w:cs="宋体"/>
          <w:b/>
          <w:bCs/>
          <w:i w:val="0"/>
          <w:iCs w:val="0"/>
          <w:color w:val="auto"/>
          <w:sz w:val="28"/>
          <w:szCs w:val="28"/>
          <w:highlight w:val="none"/>
          <w:u w:val="single"/>
        </w:rPr>
        <w:t xml:space="preserve">、采购需求中必须满足的实质性要求</w:t>
      </w:r>
      <w:r/>
    </w:p>
    <w:p>
      <w:pPr>
        <w:ind w:firstLine="560"/>
        <w:keepLines w:val="0"/>
        <w:keepNext w:val="0"/>
        <w:pageBreakBefore w:val="0"/>
        <w:spacing w:line="420" w:lineRule="exact"/>
        <w:widowControl w:val="off"/>
        <w:rPr>
          <w:rFonts w:hint="eastAsia" w:ascii="宋体" w:hAnsi="宋体" w:eastAsia="宋体" w:cs="宋体"/>
          <w:i/>
          <w:iCs/>
          <w:color w:val="auto"/>
          <w:sz w:val="28"/>
          <w:szCs w:val="28"/>
          <w:highlight w:val="none"/>
          <w:u w:val="single"/>
          <w:lang w:val="en-US" w:eastAsia="zh-CN"/>
        </w:rPr>
        <w:outlineLvl w:val="2"/>
      </w:pPr>
      <w:r>
        <w:rPr>
          <w:rFonts w:hint="eastAsia" w:ascii="宋体" w:hAnsi="宋体" w:eastAsia="宋体" w:cs="宋体"/>
          <w:i/>
          <w:iCs/>
          <w:color w:val="auto"/>
          <w:sz w:val="28"/>
          <w:szCs w:val="28"/>
          <w:highlight w:val="none"/>
          <w:u w:val="single"/>
          <w:lang w:val="en-US" w:eastAsia="zh-CN"/>
        </w:rPr>
        <w:t xml:space="preserve">10</w:t>
      </w:r>
      <w:r>
        <w:rPr>
          <w:rFonts w:hint="eastAsia" w:ascii="宋体" w:hAnsi="宋体" w:eastAsia="宋体" w:cs="宋体"/>
          <w:i/>
          <w:iCs/>
          <w:color w:val="auto"/>
          <w:sz w:val="28"/>
          <w:szCs w:val="28"/>
          <w:highlight w:val="none"/>
          <w:u w:val="single"/>
        </w:rPr>
        <w:t xml:space="preserve">.1技术部分实质性要求</w:t>
      </w:r>
      <w:r/>
    </w:p>
    <w:p>
      <w:pPr>
        <w:pStyle w:val="1110"/>
        <w:ind w:left="0" w:firstLine="480"/>
        <w:keepLines w:val="0"/>
        <w:keepNext w:val="0"/>
        <w:pageBreakBefore w:val="0"/>
        <w:spacing w:line="420" w:lineRule="exact"/>
        <w:widowControl w:val="off"/>
        <w:rPr>
          <w:rFonts w:hint="eastAsia" w:ascii="宋体" w:hAnsi="宋体" w:eastAsia="宋体" w:cs="宋体"/>
          <w:b w:val="0"/>
          <w:bCs w:val="0"/>
          <w:i/>
          <w:iCs/>
          <w:color w:val="auto"/>
          <w:sz w:val="28"/>
          <w:szCs w:val="28"/>
          <w:highlight w:val="none"/>
          <w:u w:val="single"/>
          <w:lang w:val="en-US" w:eastAsia="zh-CN"/>
        </w:rPr>
      </w:pPr>
      <w:r>
        <w:rPr>
          <w:rFonts w:hint="eastAsia" w:ascii="宋体" w:hAnsi="宋体" w:eastAsia="宋体" w:cs="宋体"/>
          <w:b w:val="0"/>
          <w:bCs w:val="0"/>
          <w:i/>
          <w:iCs/>
          <w:color w:val="auto"/>
          <w:sz w:val="28"/>
          <w:szCs w:val="28"/>
          <w:highlight w:val="none"/>
          <w:u w:val="single"/>
          <w:lang w:val="en-US" w:eastAsia="zh-CN"/>
        </w:rPr>
        <w:t xml:space="preserve">①供应商中标后在制作和安装前必须逐一勘测，以保证每一间宿舍内的家具得以正确安装，能够达到合格验收要求。本项目招标文件提供的家具效果图只供参考；最终家具颜色、款式需校方确认后实施采购。</w:t>
      </w:r>
      <w:r/>
    </w:p>
    <w:p>
      <w:pPr>
        <w:pStyle w:val="1110"/>
        <w:ind w:left="0" w:firstLine="480"/>
        <w:keepLines w:val="0"/>
        <w:keepNext w:val="0"/>
        <w:pageBreakBefore w:val="0"/>
        <w:spacing w:line="420" w:lineRule="exact"/>
        <w:widowControl w:val="off"/>
        <w:rPr>
          <w:rFonts w:hint="eastAsia" w:ascii="宋体" w:hAnsi="宋体" w:eastAsia="宋体" w:cs="宋体"/>
          <w:b w:val="0"/>
          <w:bCs w:val="0"/>
          <w:i/>
          <w:iCs/>
          <w:color w:val="auto"/>
          <w:sz w:val="28"/>
          <w:szCs w:val="28"/>
          <w:highlight w:val="none"/>
          <w:u w:val="single"/>
          <w:lang w:val="en-US" w:eastAsia="zh-CN"/>
        </w:rPr>
      </w:pPr>
      <w:r>
        <w:rPr>
          <w:rFonts w:hint="eastAsia" w:ascii="宋体" w:hAnsi="宋体" w:eastAsia="宋体" w:cs="宋体"/>
          <w:b w:val="0"/>
          <w:bCs w:val="0"/>
          <w:i/>
          <w:iCs/>
          <w:color w:val="auto"/>
          <w:sz w:val="28"/>
          <w:szCs w:val="28"/>
          <w:highlight w:val="none"/>
          <w:u w:val="single"/>
          <w:lang w:val="en-US" w:eastAsia="zh-CN"/>
        </w:rPr>
        <w:t xml:space="preserve">②成交后</w:t>
      </w:r>
      <w:r>
        <w:rPr>
          <w:rFonts w:hint="eastAsia" w:ascii="宋体" w:hAnsi="宋体" w:eastAsia="宋体" w:cs="宋体"/>
          <w:b w:val="0"/>
          <w:bCs w:val="0"/>
          <w:i/>
          <w:iCs/>
          <w:color w:val="auto"/>
          <w:sz w:val="28"/>
          <w:szCs w:val="28"/>
          <w:highlight w:val="none"/>
          <w:u w:val="single"/>
        </w:rPr>
        <w:t xml:space="preserve">所提供的产品必须</w:t>
      </w:r>
      <w:r>
        <w:rPr>
          <w:rFonts w:hint="eastAsia" w:ascii="宋体" w:hAnsi="宋体" w:eastAsia="宋体" w:cs="宋体"/>
          <w:b w:val="0"/>
          <w:bCs w:val="0"/>
          <w:i/>
          <w:iCs/>
          <w:color w:val="auto"/>
          <w:sz w:val="28"/>
          <w:szCs w:val="28"/>
          <w:highlight w:val="none"/>
          <w:u w:val="single"/>
          <w:lang w:val="en-US" w:eastAsia="zh-CN"/>
        </w:rPr>
        <w:t xml:space="preserve">不低于招标文件中的采购需求</w:t>
      </w:r>
      <w:r>
        <w:rPr>
          <w:rFonts w:hint="eastAsia" w:ascii="宋体" w:hAnsi="宋体" w:eastAsia="宋体" w:cs="宋体"/>
          <w:b w:val="0"/>
          <w:bCs w:val="0"/>
          <w:i/>
          <w:iCs/>
          <w:color w:val="auto"/>
          <w:sz w:val="28"/>
          <w:szCs w:val="28"/>
          <w:highlight w:val="none"/>
          <w:u w:val="single"/>
        </w:rPr>
        <w:t xml:space="preserve">。成交供应商成交后不得以不了解产品参数为由提出增加费用的要求，因此所产生的的一切费用由投</w:t>
      </w:r>
      <w:r>
        <w:rPr>
          <w:rFonts w:hint="eastAsia" w:ascii="宋体" w:hAnsi="宋体" w:eastAsia="宋体" w:cs="宋体"/>
          <w:b w:val="0"/>
          <w:bCs w:val="0"/>
          <w:i/>
          <w:iCs/>
          <w:color w:val="auto"/>
          <w:sz w:val="28"/>
          <w:szCs w:val="28"/>
          <w:highlight w:val="none"/>
          <w:u w:val="single"/>
          <w:lang w:val="en-US" w:eastAsia="zh-CN"/>
        </w:rPr>
        <w:t xml:space="preserve">标供应商自理。</w:t>
      </w:r>
      <w:r/>
    </w:p>
    <w:p>
      <w:pPr>
        <w:pStyle w:val="1110"/>
        <w:ind w:left="0" w:firstLine="480"/>
        <w:keepLines w:val="0"/>
        <w:keepNext w:val="0"/>
        <w:pageBreakBefore w:val="0"/>
        <w:spacing w:line="420" w:lineRule="exact"/>
        <w:widowControl w:val="off"/>
        <w:rPr>
          <w:rFonts w:hint="eastAsia" w:ascii="宋体" w:hAnsi="宋体" w:eastAsia="宋体" w:cs="宋体"/>
          <w:b w:val="0"/>
          <w:bCs w:val="0"/>
          <w:i/>
          <w:iCs/>
          <w:color w:val="auto"/>
          <w:sz w:val="28"/>
          <w:szCs w:val="28"/>
          <w:highlight w:val="none"/>
          <w:u w:val="single"/>
          <w:lang w:val="en-US" w:eastAsia="zh-CN" w:bidi="ar-SA"/>
        </w:rPr>
      </w:pPr>
      <w:r>
        <w:rPr>
          <w:rFonts w:hint="eastAsia" w:ascii="宋体" w:hAnsi="宋体" w:eastAsia="宋体" w:cs="宋体"/>
          <w:b w:val="0"/>
          <w:bCs w:val="0"/>
          <w:i/>
          <w:iCs/>
          <w:color w:val="auto"/>
          <w:sz w:val="28"/>
          <w:szCs w:val="28"/>
          <w:highlight w:val="none"/>
          <w:u w:val="single"/>
          <w:lang w:val="en-US" w:eastAsia="zh-CN" w:bidi="ar-SA"/>
        </w:rPr>
        <w:t xml:space="preserve">③产品细节要求：所有尖锐部位倒圆角。所供产品与项目需求的各类技术规格比较，如有不符，由中标人整改或换货，造成的损失由中标人承担。</w:t>
      </w:r>
      <w:r/>
    </w:p>
    <w:p>
      <w:pPr>
        <w:ind w:firstLine="560"/>
        <w:keepLines w:val="0"/>
        <w:keepNext w:val="0"/>
        <w:pageBreakBefore w:val="0"/>
        <w:spacing w:line="420" w:lineRule="exact"/>
        <w:shd w:val="clear" w:color="auto" w:fill="ffffff"/>
        <w:widowControl/>
        <w:rPr>
          <w:rFonts w:hint="eastAsia" w:ascii="宋体" w:hAnsi="宋体" w:cs="宋体"/>
          <w:i/>
          <w:iCs/>
          <w:color w:val="auto"/>
          <w:sz w:val="28"/>
          <w:szCs w:val="28"/>
          <w:highlight w:val="none"/>
          <w:u w:val="single"/>
          <w:shd w:val="clear" w:color="auto" w:fill="ffffff"/>
          <w:lang w:val="en-US" w:eastAsia="zh-CN"/>
        </w:rPr>
      </w:pPr>
      <w:r>
        <w:rPr>
          <w:rFonts w:hint="eastAsia" w:ascii="宋体" w:hAnsi="宋体" w:cs="宋体"/>
          <w:b w:val="0"/>
          <w:bCs w:val="0"/>
          <w:i/>
          <w:iCs/>
          <w:color w:val="auto"/>
          <w:sz w:val="28"/>
          <w:szCs w:val="28"/>
          <w:highlight w:val="none"/>
          <w:u w:val="single"/>
          <w:lang w:val="en-US" w:eastAsia="zh-CN" w:bidi="ar-SA"/>
        </w:rPr>
        <w:t xml:space="preserve">④</w:t>
      </w:r>
      <w:r>
        <w:rPr>
          <w:rFonts w:hint="eastAsia" w:ascii="宋体" w:hAnsi="宋体" w:eastAsia="宋体" w:cs="宋体"/>
          <w:b w:val="0"/>
          <w:bCs w:val="0"/>
          <w:i/>
          <w:iCs/>
          <w:color w:val="auto"/>
          <w:sz w:val="28"/>
          <w:szCs w:val="28"/>
          <w:highlight w:val="none"/>
          <w:u w:val="single"/>
          <w:lang w:val="en-US" w:eastAsia="zh-CN" w:bidi="ar-SA"/>
        </w:rPr>
        <w:t xml:space="preserve">原材料环保要求 ：原材料及辅材产品应符合国家规定的强制性环保指标，板材甲醛释放量≤0.05mg/m³。</w:t>
      </w:r>
      <w:r/>
    </w:p>
    <w:p>
      <w:pPr>
        <w:ind w:firstLine="560"/>
        <w:keepLines w:val="0"/>
        <w:keepNext w:val="0"/>
        <w:pageBreakBefore w:val="0"/>
        <w:spacing w:line="420" w:lineRule="exact"/>
        <w:shd w:val="clear" w:color="auto" w:fill="ffffff"/>
        <w:widowControl/>
        <w:rPr>
          <w:rFonts w:hint="eastAsia" w:ascii="宋体" w:hAnsi="宋体" w:cs="宋体"/>
          <w:i/>
          <w:iCs/>
          <w:color w:val="auto"/>
          <w:sz w:val="28"/>
          <w:szCs w:val="28"/>
          <w:highlight w:val="none"/>
          <w:u w:val="single"/>
          <w:shd w:val="clear" w:color="auto" w:fill="ffffff"/>
          <w:lang w:val="en-US" w:eastAsia="zh-CN"/>
        </w:rPr>
      </w:pPr>
      <w:r>
        <w:rPr>
          <w:rFonts w:hint="eastAsia" w:ascii="宋体" w:hAnsi="宋体" w:cs="宋体"/>
          <w:i/>
          <w:iCs/>
          <w:color w:val="auto"/>
          <w:sz w:val="28"/>
          <w:szCs w:val="28"/>
          <w:highlight w:val="none"/>
          <w:u w:val="single"/>
          <w:shd w:val="clear" w:color="auto" w:fill="ffffff"/>
          <w:lang w:val="en-US" w:eastAsia="zh-CN"/>
        </w:rPr>
        <w:t xml:space="preserve">⑤家具安装完毕后，室内空气质量应达到国家环保标准，中标人必须按照招标文件中项目需求的相关要求进行室内空气质量检测。</w:t>
      </w:r>
      <w:r/>
    </w:p>
    <w:p>
      <w:pPr>
        <w:ind w:firstLine="560"/>
        <w:keepLines w:val="0"/>
        <w:keepNext w:val="0"/>
        <w:pageBreakBefore w:val="0"/>
        <w:spacing w:line="420" w:lineRule="exact"/>
        <w:widowControl w:val="off"/>
        <w:rPr>
          <w:rFonts w:hint="eastAsia" w:ascii="宋体" w:hAnsi="宋体" w:eastAsia="宋体" w:cs="宋体"/>
          <w:b/>
          <w:i/>
          <w:iCs/>
          <w:color w:val="auto"/>
          <w:sz w:val="28"/>
          <w:szCs w:val="28"/>
          <w:highlight w:val="none"/>
          <w:u w:val="single"/>
        </w:rPr>
        <w:outlineLvl w:val="2"/>
      </w:pPr>
      <w:r>
        <w:rPr>
          <w:rFonts w:hint="eastAsia" w:ascii="宋体" w:hAnsi="宋体" w:eastAsia="宋体" w:cs="宋体"/>
          <w:i/>
          <w:iCs/>
          <w:color w:val="auto"/>
          <w:sz w:val="28"/>
          <w:szCs w:val="28"/>
          <w:highlight w:val="none"/>
          <w:u w:val="single"/>
          <w:lang w:val="en-US" w:eastAsia="zh-CN"/>
        </w:rPr>
        <w:t xml:space="preserve">10</w:t>
      </w:r>
      <w:r>
        <w:rPr>
          <w:rFonts w:hint="eastAsia" w:ascii="宋体" w:hAnsi="宋体" w:eastAsia="宋体" w:cs="宋体"/>
          <w:i/>
          <w:iCs/>
          <w:color w:val="auto"/>
          <w:sz w:val="28"/>
          <w:szCs w:val="28"/>
          <w:highlight w:val="none"/>
          <w:u w:val="single"/>
        </w:rPr>
        <w:t xml:space="preserve">.2商务部分实质性要求</w:t>
      </w:r>
      <w:r/>
    </w:p>
    <w:p>
      <w:pPr>
        <w:ind w:firstLine="560"/>
        <w:keepLines w:val="0"/>
        <w:keepNext w:val="0"/>
        <w:pageBreakBefore w:val="0"/>
        <w:spacing w:line="420" w:lineRule="exact"/>
        <w:widowControl w:val="off"/>
        <w:rPr>
          <w:rFonts w:hint="eastAsia" w:ascii="宋体" w:hAnsi="宋体" w:eastAsia="宋体" w:cs="宋体"/>
          <w:b w:val="0"/>
          <w:bCs w:val="0"/>
          <w:i/>
          <w:iCs/>
          <w:color w:val="auto"/>
          <w:sz w:val="28"/>
          <w:szCs w:val="28"/>
          <w:highlight w:val="none"/>
          <w:u w:val="single"/>
          <w:lang w:val="en-US" w:eastAsia="zh-CN" w:bidi="ar-SA"/>
        </w:rPr>
      </w:pPr>
      <w:r>
        <w:rPr>
          <w:rFonts w:hint="eastAsia" w:ascii="宋体" w:hAnsi="宋体" w:cs="宋体"/>
          <w:b w:val="0"/>
          <w:bCs w:val="0"/>
          <w:i/>
          <w:iCs/>
          <w:color w:val="auto"/>
          <w:sz w:val="28"/>
          <w:szCs w:val="28"/>
          <w:highlight w:val="none"/>
          <w:u w:val="single"/>
          <w:lang w:val="en-US" w:eastAsia="zh-CN" w:bidi="ar-SA"/>
        </w:rPr>
        <w:t xml:space="preserve">①</w:t>
      </w:r>
      <w:r>
        <w:rPr>
          <w:rFonts w:hint="eastAsia" w:ascii="宋体" w:hAnsi="宋体" w:eastAsia="宋体" w:cs="宋体"/>
          <w:b/>
          <w:bCs/>
          <w:i/>
          <w:iCs/>
          <w:color w:val="auto"/>
          <w:sz w:val="28"/>
          <w:szCs w:val="28"/>
          <w:highlight w:val="none"/>
          <w:u w:val="single"/>
          <w:lang w:val="en-US" w:eastAsia="zh-CN" w:bidi="ar-SA"/>
        </w:rPr>
        <w:t xml:space="preserve">交货期：</w:t>
      </w:r>
      <w:r>
        <w:rPr>
          <w:rFonts w:hint="eastAsia" w:ascii="宋体" w:hAnsi="宋体" w:eastAsia="宋体" w:cs="宋体"/>
          <w:b w:val="0"/>
          <w:bCs w:val="0"/>
          <w:i/>
          <w:iCs/>
          <w:color w:val="auto"/>
          <w:sz w:val="28"/>
          <w:szCs w:val="28"/>
          <w:highlight w:val="none"/>
          <w:u w:val="single"/>
          <w:lang w:val="en-US" w:eastAsia="zh-CN" w:bidi="ar-SA"/>
        </w:rPr>
        <w:t xml:space="preserve">投入本项目项目负责人及项目设计人员具有类似项目从业经验，中标后能赴现场复核尺寸，并在细节方面给予采购人专业的沟通指导。中标人科学安排人员分工，明确各片区负责人，确保人员配置合理，家具安装稳步有序。</w:t>
      </w:r>
      <w:r>
        <w:rPr>
          <w:rFonts w:hint="eastAsia" w:ascii="宋体" w:hAnsi="宋体" w:cs="宋体"/>
          <w:i/>
          <w:iCs/>
          <w:color w:val="auto"/>
          <w:sz w:val="28"/>
          <w:szCs w:val="28"/>
          <w:highlight w:val="none"/>
          <w:u w:val="single"/>
        </w:rPr>
        <w:t xml:space="preserve">自合同签定之日起</w:t>
      </w:r>
      <w:r>
        <w:rPr>
          <w:rFonts w:hint="eastAsia" w:ascii="宋体" w:hAnsi="宋体" w:cs="宋体"/>
          <w:i/>
          <w:iCs/>
          <w:color w:val="auto"/>
          <w:sz w:val="28"/>
          <w:szCs w:val="28"/>
          <w:highlight w:val="none"/>
          <w:u w:val="single"/>
          <w:lang w:val="en-US" w:eastAsia="zh-CN"/>
        </w:rPr>
        <w:t xml:space="preserve">30天完成生产，接到招标人通知后15天内完成运输及安装。</w:t>
      </w:r>
      <w:r/>
    </w:p>
    <w:p>
      <w:pPr>
        <w:ind w:right="0" w:firstLine="480"/>
        <w:jc w:val="both"/>
        <w:keepLines w:val="0"/>
        <w:keepNext w:val="0"/>
        <w:pageBreakBefore w:val="0"/>
        <w:spacing w:before="0" w:after="0" w:line="420" w:lineRule="exact"/>
        <w:widowControl w:val="off"/>
        <w:rPr>
          <w:rFonts w:hint="eastAsia" w:ascii="宋体" w:hAnsi="宋体" w:eastAsia="宋体" w:cs="宋体"/>
          <w:b w:val="0"/>
          <w:bCs w:val="0"/>
          <w:i/>
          <w:iCs/>
          <w:color w:val="auto"/>
          <w:sz w:val="28"/>
          <w:szCs w:val="28"/>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auto"/>
          <w:sz w:val="28"/>
          <w:szCs w:val="28"/>
          <w:highlight w:val="none"/>
          <w:u w:val="single"/>
          <w:lang w:val="en-US" w:eastAsia="zh-CN" w:bidi="ar-SA"/>
        </w:rPr>
        <w:t xml:space="preserve">②</w:t>
      </w:r>
      <w:r>
        <w:rPr>
          <w:rFonts w:hint="eastAsia" w:ascii="宋体" w:hAnsi="宋体" w:eastAsia="宋体" w:cs="宋体"/>
          <w:b/>
          <w:bCs/>
          <w:i/>
          <w:iCs/>
          <w:color w:val="auto"/>
          <w:sz w:val="28"/>
          <w:szCs w:val="28"/>
          <w:highlight w:val="none"/>
          <w:u w:val="single"/>
          <w:lang w:val="en-US" w:eastAsia="zh-CN" w:bidi="ar-SA"/>
        </w:rPr>
        <w:t xml:space="preserve">售后方案：</w:t>
      </w:r>
      <w:r>
        <w:rPr>
          <w:rFonts w:hint="eastAsia" w:ascii="宋体" w:hAnsi="宋体" w:eastAsia="宋体" w:cs="宋体"/>
          <w:b w:val="0"/>
          <w:bCs w:val="0"/>
          <w:i/>
          <w:iCs/>
          <w:color w:val="auto"/>
          <w:sz w:val="28"/>
          <w:szCs w:val="28"/>
          <w:highlight w:val="none"/>
          <w:u w:val="single"/>
          <w:lang w:val="en-US" w:eastAsia="zh-CN" w:bidi="ar-SA"/>
        </w:rPr>
        <w:t xml:space="preserve">免费质保期不低于5年，自采购人验收合格之日起计算。售后服务期间，一旦受到采购人的报修电话，中标人应在2小时内响应，24小时内派遣有经验的维修工赴现场提供维修服务。维修工赴现场后应及时对损坏部位进行检修，对于一般故障应在48小时内修复；对于重大损坏应在与采购人协商时间内修复。质保期内，中标人免收采购人所有费用，包括但不限于零部件费用、人工费、交通费、住宿费等。若在质保期内，中标人拒绝维修或迟延维修的，采购人有权自行或委托第三方维修，因此产生的所有费用由中标人承担。</w:t>
      </w:r>
      <w:r/>
    </w:p>
    <w:p>
      <w:pPr>
        <w:ind w:firstLine="480"/>
        <w:keepLines w:val="0"/>
        <w:keepNext w:val="0"/>
        <w:pageBreakBefore w:val="0"/>
        <w:spacing w:line="420" w:lineRule="exact"/>
        <w:widowControl w:val="off"/>
        <w:rPr>
          <w:rFonts w:hint="eastAsia" w:ascii="宋体" w:hAnsi="宋体" w:cs="宋体"/>
          <w:i/>
          <w:iCs/>
          <w:color w:val="auto"/>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z w:val="28"/>
          <w:szCs w:val="28"/>
          <w:highlight w:val="none"/>
          <w:u w:val="single"/>
          <w:lang w:val="en-US" w:eastAsia="zh-CN" w:bidi="ar-SA"/>
        </w:rPr>
        <w:t xml:space="preserve">③</w:t>
      </w:r>
      <w:r>
        <w:rPr>
          <w:rFonts w:hint="eastAsia" w:ascii="宋体" w:hAnsi="宋体" w:eastAsia="宋体" w:cs="宋体"/>
          <w:b/>
          <w:bCs/>
          <w:i/>
          <w:iCs/>
          <w:color w:val="auto"/>
          <w:sz w:val="28"/>
          <w:szCs w:val="28"/>
          <w:highlight w:val="none"/>
          <w:u w:val="single"/>
          <w:lang w:val="en-US" w:eastAsia="zh-CN" w:bidi="ar-SA"/>
        </w:rPr>
        <w:t xml:space="preserve">验收要求：</w:t>
      </w:r>
      <w:r>
        <w:rPr>
          <w:rFonts w:hint="eastAsia" w:ascii="宋体" w:hAnsi="宋体" w:cs="宋体"/>
          <w:b w:val="0"/>
          <w:i/>
          <w:iCs/>
          <w:color w:val="auto"/>
          <w:sz w:val="28"/>
          <w:szCs w:val="28"/>
          <w:highlight w:val="none"/>
          <w:u w:val="single"/>
          <w:shd w:val="clear" w:color="auto" w:fill="ffffff"/>
        </w:rPr>
        <w:t xml:space="preserve">中标人</w:t>
      </w:r>
      <w:r>
        <w:rPr>
          <w:rFonts w:hint="eastAsia" w:ascii="宋体" w:hAnsi="宋体" w:cs="宋体"/>
          <w:b w:val="0"/>
          <w:i/>
          <w:iCs/>
          <w:color w:val="auto"/>
          <w:sz w:val="28"/>
          <w:szCs w:val="28"/>
          <w:highlight w:val="none"/>
          <w:u w:val="single"/>
          <w:shd w:val="clear" w:color="auto" w:fill="ffffff"/>
          <w:lang w:val="en-US" w:eastAsia="zh-CN"/>
        </w:rPr>
        <w:t xml:space="preserve">生产完成后、供货安装前，招标人至中标人</w:t>
      </w:r>
      <w:r>
        <w:rPr>
          <w:rFonts w:hint="eastAsia" w:ascii="宋体" w:hAnsi="宋体" w:cs="宋体"/>
          <w:b w:val="0"/>
          <w:i/>
          <w:iCs/>
          <w:color w:val="auto"/>
          <w:sz w:val="28"/>
          <w:szCs w:val="28"/>
          <w:highlight w:val="none"/>
          <w:u w:val="single"/>
          <w:shd w:val="clear" w:color="auto"/>
          <w:lang w:val="en-US" w:eastAsia="zh-CN"/>
        </w:rPr>
        <w:t xml:space="preserve">处</w:t>
      </w:r>
      <w:r>
        <w:rPr>
          <w:rFonts w:hint="eastAsia" w:ascii="宋体" w:hAnsi="宋体" w:cs="宋体"/>
          <w:b w:val="0"/>
          <w:i/>
          <w:iCs/>
          <w:color w:val="auto"/>
          <w:sz w:val="28"/>
          <w:szCs w:val="28"/>
          <w:highlight w:val="none"/>
          <w:u w:val="single"/>
          <w:shd w:val="clear" w:color="auto" w:fill="ffffff"/>
          <w:lang w:val="en-US" w:eastAsia="zh-CN"/>
        </w:rPr>
        <w:t xml:space="preserve">进行抽检，</w:t>
      </w:r>
      <w:r>
        <w:rPr>
          <w:rFonts w:hint="eastAsia" w:ascii="宋体" w:hAnsi="宋体" w:cs="宋体"/>
          <w:i/>
          <w:iCs/>
          <w:color w:val="auto"/>
          <w:sz w:val="28"/>
          <w:szCs w:val="28"/>
          <w:highlight w:val="none"/>
          <w:u w:val="single"/>
        </w:rPr>
        <w:t xml:space="preserve">检验机构为南通市产品质量监督检验所</w:t>
      </w:r>
      <w:r>
        <w:rPr>
          <w:rFonts w:hint="eastAsia" w:ascii="宋体" w:hAnsi="宋体" w:cs="宋体"/>
          <w:i/>
          <w:iCs/>
          <w:color w:val="auto"/>
          <w:sz w:val="28"/>
          <w:szCs w:val="28"/>
          <w:highlight w:val="none"/>
          <w:u w:val="single"/>
          <w:lang w:val="en-US" w:eastAsia="zh-CN"/>
        </w:rPr>
        <w:t xml:space="preserve">或同级检验所</w:t>
      </w:r>
      <w:r>
        <w:rPr>
          <w:rFonts w:hint="eastAsia" w:ascii="宋体" w:hAnsi="宋体" w:cs="宋体"/>
          <w:i/>
          <w:iCs/>
          <w:color w:val="auto"/>
          <w:sz w:val="28"/>
          <w:szCs w:val="28"/>
          <w:highlight w:val="none"/>
          <w:u w:val="single"/>
        </w:rPr>
        <w:t xml:space="preserve">。</w:t>
      </w:r>
      <w:r>
        <w:rPr>
          <w:rFonts w:hint="eastAsia" w:ascii="宋体" w:hAnsi="宋体" w:cs="宋体"/>
          <w:b w:val="0"/>
          <w:i/>
          <w:iCs/>
          <w:color w:val="auto"/>
          <w:sz w:val="28"/>
          <w:szCs w:val="28"/>
          <w:highlight w:val="none"/>
          <w:u w:val="single"/>
          <w:shd w:val="clear" w:color="auto" w:fill="ffffff"/>
          <w:lang w:val="en-US" w:eastAsia="zh-CN"/>
        </w:rPr>
        <w:t xml:space="preserve">如</w:t>
      </w:r>
      <w:r>
        <w:rPr>
          <w:rFonts w:hint="eastAsia" w:ascii="宋体" w:hAnsi="宋体" w:cs="宋体"/>
          <w:i/>
          <w:iCs/>
          <w:color w:val="auto"/>
          <w:sz w:val="28"/>
          <w:szCs w:val="28"/>
          <w:highlight w:val="none"/>
          <w:u w:val="single"/>
          <w:lang w:val="en-US" w:eastAsia="zh-CN"/>
        </w:rPr>
        <w:t xml:space="preserve">检验不合格，中标人除无条件退货、返工外，还应承担采购人的一切损失。</w:t>
      </w:r>
      <w:r/>
    </w:p>
    <w:p>
      <w:pPr>
        <w:ind w:firstLine="480"/>
        <w:keepLines w:val="0"/>
        <w:keepNext w:val="0"/>
        <w:pageBreakBefore w:val="0"/>
        <w:spacing w:line="420" w:lineRule="exact"/>
        <w:widowControl w:val="off"/>
        <w:rPr>
          <w:rFonts w:hint="eastAsia" w:ascii="宋体" w:hAnsi="宋体" w:cs="宋体"/>
          <w:i/>
          <w:iCs/>
          <w:color w:val="auto"/>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8"/>
          <w:szCs w:val="28"/>
          <w:highlight w:val="none"/>
          <w:u w:val="single"/>
          <w:lang w:val="en-US" w:eastAsia="zh-CN"/>
        </w:rPr>
        <w:t xml:space="preserve">④知识产权要求：中标人须出具《不侵权承诺函》，承诺所投产品的设计、生产、销售未侵犯任何第三方的专利权、商标权、著作权、工业设计权等知识产权，若存在侵权情形，由中标人承担全部法律责任及经济赔偿责任。</w:t>
      </w:r>
      <w:r/>
    </w:p>
    <w:p>
      <w:pPr>
        <w:ind w:firstLine="480"/>
        <w:keepLines w:val="0"/>
        <w:keepNext w:val="0"/>
        <w:pageBreakBefore w:val="0"/>
        <w:spacing w:line="420" w:lineRule="exact"/>
        <w:widowControl w:val="off"/>
        <w:rPr>
          <w:rFonts w:hint="eastAsia" w:ascii="宋体" w:hAnsi="宋体" w:eastAsia="宋体" w:cs="宋体"/>
          <w:b w:val="0"/>
          <w:bCs w:val="0"/>
          <w:i/>
          <w:iCs/>
          <w:color w:val="auto"/>
          <w:sz w:val="28"/>
          <w:szCs w:val="28"/>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auto"/>
          <w:sz w:val="28"/>
          <w:szCs w:val="28"/>
          <w:highlight w:val="none"/>
          <w:u w:val="single"/>
          <w:lang w:val="en-US" w:eastAsia="zh-CN" w:bidi="ar-SA"/>
        </w:rPr>
        <w:t xml:space="preserve">以上实质性要求，投标时须提供承诺函，格式如下：</w:t>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r>
      <w:r/>
    </w:p>
    <w:p>
      <w:pPr>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br w:type="page" w:clear="all"/>
      </w:r>
      <w:r/>
    </w:p>
    <w:p>
      <w:pPr>
        <w:jc w:val="center"/>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36"/>
          <w:szCs w:val="36"/>
          <w:highlight w:val="none"/>
          <w:lang w:val="en-US" w:eastAsia="zh-CN"/>
        </w:rPr>
      </w:pPr>
      <w:r>
        <w:rPr>
          <w:rFonts w:hint="eastAsia" w:ascii="方正仿宋_GB18030" w:hAnsi="方正仿宋_GB18030" w:eastAsia="方正仿宋_GB18030" w:cs="方正仿宋_GB18030"/>
          <w:color w:val="auto"/>
          <w:sz w:val="36"/>
          <w:szCs w:val="36"/>
          <w:highlight w:val="none"/>
          <w:lang w:val="en-US" w:eastAsia="zh-CN"/>
        </w:rPr>
        <w:t xml:space="preserve">承诺函</w:t>
      </w:r>
      <w:r/>
    </w:p>
    <w:p>
      <w:pPr>
        <w:ind w:firstLine="560"/>
        <w:keepLines w:val="0"/>
        <w:keepNext w:val="0"/>
        <w:pageBreakBefore w:val="0"/>
        <w:spacing w:line="400" w:lineRule="exact"/>
        <w:tabs>
          <w:tab w:val="left" w:pos="420" w:leader="none"/>
        </w:tabs>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eastAsia="zh-CN"/>
        </w:rPr>
        <w:t xml:space="preserve">江苏航运职业技术学院</w:t>
      </w:r>
      <w:r>
        <w:rPr>
          <w:rFonts w:hint="eastAsia" w:ascii="方正仿宋_GB18030" w:hAnsi="方正仿宋_GB18030" w:eastAsia="方正仿宋_GB18030" w:cs="方正仿宋_GB18030"/>
          <w:color w:val="auto"/>
          <w:sz w:val="28"/>
          <w:szCs w:val="28"/>
          <w:highlight w:val="none"/>
        </w:rPr>
        <w:t xml:space="preserve">：</w:t>
      </w:r>
      <w:r/>
    </w:p>
    <w:p>
      <w:pPr>
        <w:ind w:firstLine="560"/>
        <w:keepLines w:val="0"/>
        <w:keepNext w:val="0"/>
        <w:pageBreakBefore w:val="0"/>
        <w:tabs>
          <w:tab w:val="left" w:pos="420" w:leader="none"/>
        </w:tabs>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rPr>
        <w:t xml:space="preserve">我方愿就由贵单位组织实施的（</w:t>
      </w:r>
      <w:r>
        <w:rPr>
          <w:rFonts w:hint="eastAsia" w:ascii="方正仿宋_GB18030" w:hAnsi="方正仿宋_GB18030" w:eastAsia="方正仿宋_GB18030" w:cs="方正仿宋_GB18030"/>
          <w:color w:val="auto"/>
          <w:sz w:val="28"/>
          <w:szCs w:val="28"/>
          <w:highlight w:val="none"/>
          <w:lang w:eastAsia="zh-CN"/>
        </w:rPr>
        <w:t xml:space="preserve">江苏航运职业技术学院学生宿舍E楼家具更新采购项目</w:t>
      </w:r>
      <w:r>
        <w:rPr>
          <w:rFonts w:hint="eastAsia" w:ascii="方正仿宋_GB18030" w:hAnsi="方正仿宋_GB18030" w:eastAsia="方正仿宋_GB18030" w:cs="方正仿宋_GB18030"/>
          <w:color w:val="auto"/>
          <w:sz w:val="28"/>
          <w:szCs w:val="28"/>
          <w:highlight w:val="none"/>
        </w:rPr>
        <w:t xml:space="preserve">)招标活动进行</w:t>
      </w:r>
      <w:r>
        <w:rPr>
          <w:rFonts w:hint="eastAsia" w:ascii="方正仿宋_GB18030" w:hAnsi="方正仿宋_GB18030" w:eastAsia="方正仿宋_GB18030" w:cs="方正仿宋_GB18030"/>
          <w:color w:val="auto"/>
          <w:sz w:val="28"/>
          <w:szCs w:val="28"/>
          <w:highlight w:val="none"/>
          <w:lang w:eastAsia="zh-CN"/>
        </w:rPr>
        <w:t xml:space="preserve">投标</w:t>
      </w:r>
      <w:r>
        <w:rPr>
          <w:rFonts w:hint="eastAsia" w:ascii="方正仿宋_GB18030" w:hAnsi="方正仿宋_GB18030" w:eastAsia="方正仿宋_GB18030" w:cs="方正仿宋_GB18030"/>
          <w:color w:val="auto"/>
          <w:sz w:val="28"/>
          <w:szCs w:val="28"/>
          <w:highlight w:val="none"/>
        </w:rPr>
        <w:t xml:space="preserve">响应，我方</w:t>
      </w:r>
      <w:r>
        <w:rPr>
          <w:rFonts w:hint="eastAsia" w:ascii="方正仿宋_GB18030" w:hAnsi="方正仿宋_GB18030" w:eastAsia="方正仿宋_GB18030" w:cs="方正仿宋_GB18030"/>
          <w:color w:val="auto"/>
          <w:sz w:val="28"/>
          <w:szCs w:val="28"/>
          <w:highlight w:val="none"/>
          <w:lang w:eastAsia="zh-CN"/>
        </w:rPr>
        <w:t xml:space="preserve">承诺完全满足招标文件第三部分</w:t>
      </w:r>
      <w:r>
        <w:rPr>
          <w:rFonts w:hint="eastAsia" w:ascii="方正仿宋_GB18030" w:hAnsi="方正仿宋_GB18030" w:eastAsia="方正仿宋_GB18030" w:cs="方正仿宋_GB18030"/>
          <w:color w:val="auto"/>
          <w:sz w:val="28"/>
          <w:szCs w:val="28"/>
          <w:highlight w:val="none"/>
          <w:lang w:val="en-US" w:eastAsia="zh-CN"/>
        </w:rPr>
        <w:t xml:space="preserve">项目需求中“</w:t>
      </w:r>
      <w:r>
        <w:rPr>
          <w:rFonts w:hint="eastAsia" w:ascii="方正仿宋_GB18030" w:hAnsi="方正仿宋_GB18030" w:eastAsia="方正仿宋_GB18030" w:cs="方正仿宋_GB18030"/>
          <w:b w:val="0"/>
          <w:bCs w:val="0"/>
          <w:i w:val="0"/>
          <w:iCs w:val="0"/>
          <w:color w:val="auto"/>
          <w:sz w:val="28"/>
          <w:szCs w:val="28"/>
          <w:highlight w:val="none"/>
          <w:u w:val="none"/>
          <w:lang w:val="en-US" w:eastAsia="zh-CN"/>
        </w:rPr>
        <w:t xml:space="preserve">十</w:t>
      </w:r>
      <w:r>
        <w:rPr>
          <w:rFonts w:hint="eastAsia" w:ascii="方正仿宋_GB18030" w:hAnsi="方正仿宋_GB18030" w:eastAsia="方正仿宋_GB18030" w:cs="方正仿宋_GB18030"/>
          <w:b w:val="0"/>
          <w:bCs w:val="0"/>
          <w:i w:val="0"/>
          <w:iCs w:val="0"/>
          <w:color w:val="auto"/>
          <w:sz w:val="28"/>
          <w:szCs w:val="28"/>
          <w:highlight w:val="none"/>
          <w:u w:val="none"/>
        </w:rPr>
        <w:t xml:space="preserve">、采购需求中必须满足的实质性要求</w:t>
      </w:r>
      <w:r>
        <w:rPr>
          <w:rFonts w:hint="eastAsia" w:ascii="方正仿宋_GB18030" w:hAnsi="方正仿宋_GB18030" w:eastAsia="方正仿宋_GB18030" w:cs="方正仿宋_GB18030"/>
          <w:color w:val="auto"/>
          <w:sz w:val="28"/>
          <w:szCs w:val="28"/>
          <w:highlight w:val="none"/>
          <w:lang w:val="en-US" w:eastAsia="zh-CN"/>
        </w:rPr>
        <w:t xml:space="preserve">“中“技术部分和商务部分的实质性要求”，并承诺中标后严格执行；</w:t>
      </w:r>
      <w:r/>
    </w:p>
    <w:p>
      <w:pPr>
        <w:ind w:firstLine="560"/>
        <w:keepLines w:val="0"/>
        <w:keepNext w:val="0"/>
        <w:pageBreakBefore w:val="0"/>
        <w:tabs>
          <w:tab w:val="left" w:pos="420" w:leader="none"/>
        </w:tabs>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eastAsia="zh-CN"/>
        </w:rPr>
        <w:t xml:space="preserve">如</w:t>
      </w:r>
      <w:r>
        <w:rPr>
          <w:rFonts w:hint="eastAsia" w:ascii="方正仿宋_GB18030" w:hAnsi="方正仿宋_GB18030" w:eastAsia="方正仿宋_GB18030" w:cs="方正仿宋_GB18030"/>
          <w:color w:val="auto"/>
          <w:sz w:val="28"/>
          <w:szCs w:val="28"/>
          <w:highlight w:val="none"/>
        </w:rPr>
        <w:t xml:space="preserve">违反上述任何一条承诺，自愿接受招标人处罚，包括同意招标人取消我方中标资格</w:t>
      </w:r>
      <w:r>
        <w:rPr>
          <w:rFonts w:hint="eastAsia" w:ascii="方正仿宋_GB18030" w:hAnsi="方正仿宋_GB18030" w:eastAsia="方正仿宋_GB18030" w:cs="方正仿宋_GB18030"/>
          <w:color w:val="auto"/>
          <w:sz w:val="28"/>
          <w:szCs w:val="28"/>
          <w:highlight w:val="none"/>
          <w:lang w:eastAsia="zh-CN"/>
        </w:rPr>
        <w:t xml:space="preserve">、终止合同</w:t>
      </w:r>
      <w:r>
        <w:rPr>
          <w:rFonts w:hint="eastAsia" w:ascii="方正仿宋_GB18030" w:hAnsi="方正仿宋_GB18030" w:eastAsia="方正仿宋_GB18030" w:cs="方正仿宋_GB18030"/>
          <w:color w:val="auto"/>
          <w:sz w:val="28"/>
          <w:szCs w:val="28"/>
          <w:highlight w:val="none"/>
        </w:rPr>
        <w:t xml:space="preserve">并不予退还履约保证金</w:t>
      </w:r>
      <w:r>
        <w:rPr>
          <w:rFonts w:hint="eastAsia" w:ascii="方正仿宋_GB18030" w:hAnsi="方正仿宋_GB18030" w:eastAsia="方正仿宋_GB18030" w:cs="方正仿宋_GB18030"/>
          <w:color w:val="auto"/>
          <w:sz w:val="28"/>
          <w:szCs w:val="28"/>
          <w:highlight w:val="none"/>
          <w:lang w:eastAsia="zh-CN"/>
        </w:rPr>
        <w:t xml:space="preserve">、</w:t>
      </w:r>
      <w:r>
        <w:rPr>
          <w:rFonts w:hint="eastAsia" w:ascii="方正仿宋_GB18030" w:hAnsi="方正仿宋_GB18030" w:eastAsia="方正仿宋_GB18030" w:cs="方正仿宋_GB18030"/>
          <w:color w:val="auto"/>
          <w:sz w:val="28"/>
          <w:szCs w:val="28"/>
          <w:highlight w:val="none"/>
        </w:rPr>
        <w:t xml:space="preserve">将我方列入黑名单</w:t>
      </w:r>
      <w:r>
        <w:rPr>
          <w:rFonts w:hint="eastAsia" w:ascii="方正仿宋_GB18030" w:hAnsi="方正仿宋_GB18030" w:eastAsia="方正仿宋_GB18030" w:cs="方正仿宋_GB18030"/>
          <w:color w:val="auto"/>
          <w:sz w:val="28"/>
          <w:szCs w:val="28"/>
          <w:highlight w:val="none"/>
          <w:lang w:eastAsia="zh-CN"/>
        </w:rPr>
        <w:t xml:space="preserve">等</w:t>
      </w:r>
      <w:r>
        <w:rPr>
          <w:rFonts w:hint="eastAsia" w:ascii="方正仿宋_GB18030" w:hAnsi="方正仿宋_GB18030" w:eastAsia="方正仿宋_GB18030" w:cs="方正仿宋_GB18030"/>
          <w:color w:val="auto"/>
          <w:sz w:val="28"/>
          <w:szCs w:val="28"/>
          <w:highlight w:val="none"/>
        </w:rPr>
        <w:t xml:space="preserve">。</w:t>
      </w:r>
      <w:r/>
    </w:p>
    <w:p>
      <w:pPr>
        <w:ind w:firstLine="420"/>
        <w:spacing w:line="360" w:lineRule="auto"/>
        <w:rPr>
          <w:rFonts w:hint="eastAsia" w:ascii="方正仿宋_GB18030" w:hAnsi="方正仿宋_GB18030" w:eastAsia="方正仿宋_GB18030" w:cs="方正仿宋_GB18030"/>
          <w:color w:val="auto"/>
          <w:sz w:val="28"/>
          <w:szCs w:val="28"/>
          <w:highlight w:val="none"/>
          <w:u w:val="none"/>
        </w:rPr>
      </w:pPr>
      <w:r>
        <w:rPr>
          <w:rFonts w:hint="eastAsia" w:ascii="方正仿宋_GB18030" w:hAnsi="方正仿宋_GB18030" w:eastAsia="方正仿宋_GB18030" w:cs="方正仿宋_GB18030"/>
          <w:color w:val="auto"/>
          <w:sz w:val="28"/>
          <w:szCs w:val="28"/>
          <w:highlight w:val="none"/>
          <w:u w:val="none"/>
        </w:rPr>
        <w:tab/>
      </w:r>
      <w:r>
        <w:rPr>
          <w:rFonts w:hint="eastAsia" w:ascii="方正仿宋_GB18030" w:hAnsi="方正仿宋_GB18030" w:eastAsia="方正仿宋_GB18030" w:cs="方正仿宋_GB18030"/>
          <w:color w:val="auto"/>
          <w:sz w:val="28"/>
          <w:szCs w:val="28"/>
          <w:highlight w:val="none"/>
          <w:u w:val="none"/>
        </w:rPr>
        <w:tab/>
      </w:r>
      <w:r>
        <w:rPr>
          <w:rFonts w:hint="eastAsia" w:ascii="方正仿宋_GB18030" w:hAnsi="方正仿宋_GB18030" w:eastAsia="方正仿宋_GB18030" w:cs="方正仿宋_GB18030"/>
          <w:color w:val="auto"/>
          <w:sz w:val="28"/>
          <w:szCs w:val="28"/>
          <w:highlight w:val="none"/>
          <w:u w:val="none"/>
        </w:rPr>
        <w:tab/>
      </w:r>
      <w:r>
        <w:rPr>
          <w:rFonts w:hint="eastAsia" w:ascii="方正仿宋_GB18030" w:hAnsi="方正仿宋_GB18030" w:eastAsia="方正仿宋_GB18030" w:cs="方正仿宋_GB18030"/>
          <w:color w:val="auto"/>
          <w:sz w:val="28"/>
          <w:szCs w:val="28"/>
          <w:highlight w:val="none"/>
          <w:u w:val="none"/>
        </w:rPr>
        <w:tab/>
      </w:r>
      <w:r>
        <w:rPr>
          <w:rFonts w:hint="eastAsia" w:ascii="方正仿宋_GB18030" w:hAnsi="方正仿宋_GB18030" w:eastAsia="方正仿宋_GB18030" w:cs="方正仿宋_GB18030"/>
          <w:color w:val="auto"/>
          <w:sz w:val="28"/>
          <w:szCs w:val="28"/>
          <w:highlight w:val="none"/>
          <w:u w:val="none"/>
        </w:rPr>
        <w:t xml:space="preserve">           投标人法定代表人（签字或盖章）：</w:t>
      </w:r>
      <w:r/>
    </w:p>
    <w:p>
      <w:pPr>
        <w:ind w:left="1700" w:firstLine="425"/>
        <w:spacing w:line="360" w:lineRule="auto"/>
        <w:rPr>
          <w:rFonts w:hint="eastAsia" w:ascii="方正仿宋_GB18030" w:hAnsi="方正仿宋_GB18030" w:eastAsia="方正仿宋_GB18030" w:cs="方正仿宋_GB18030"/>
          <w:color w:val="auto"/>
          <w:sz w:val="28"/>
          <w:szCs w:val="28"/>
          <w:highlight w:val="none"/>
          <w:u w:val="none"/>
        </w:rPr>
      </w:pPr>
      <w:r>
        <w:rPr>
          <w:rFonts w:hint="eastAsia" w:ascii="方正仿宋_GB18030" w:hAnsi="方正仿宋_GB18030" w:eastAsia="方正仿宋_GB18030" w:cs="方正仿宋_GB18030"/>
          <w:color w:val="auto"/>
          <w:sz w:val="28"/>
          <w:szCs w:val="28"/>
          <w:highlight w:val="none"/>
          <w:u w:val="none"/>
        </w:rPr>
        <w:t xml:space="preserve">            投标人公章：</w:t>
      </w:r>
      <w:r/>
    </w:p>
    <w:p>
      <w:pPr>
        <w:ind w:left="1700" w:firstLine="2242"/>
        <w:spacing w:line="360" w:lineRule="auto"/>
        <w:rPr>
          <w:rFonts w:hint="eastAsia" w:ascii="方正仿宋_GB18030" w:hAnsi="方正仿宋_GB18030" w:eastAsia="方正仿宋_GB18030" w:cs="方正仿宋_GB18030"/>
          <w:color w:val="auto"/>
          <w:sz w:val="28"/>
          <w:szCs w:val="28"/>
          <w:highlight w:val="none"/>
          <w:u w:val="none"/>
          <w:lang w:eastAsia="zh-CN"/>
        </w:rPr>
      </w:pPr>
      <w:r>
        <w:rPr>
          <w:rFonts w:hint="eastAsia" w:ascii="方正仿宋_GB18030" w:hAnsi="方正仿宋_GB18030" w:eastAsia="方正仿宋_GB18030" w:cs="方正仿宋_GB18030"/>
          <w:color w:val="auto"/>
          <w:sz w:val="28"/>
          <w:szCs w:val="28"/>
          <w:highlight w:val="none"/>
          <w:u w:val="none"/>
          <w:lang w:eastAsia="zh-CN"/>
        </w:rPr>
        <w:t xml:space="preserve">日期：</w:t>
      </w:r>
      <w:r/>
    </w:p>
    <w:p>
      <w:pPr>
        <w:rPr>
          <w:rFonts w:hint="eastAsia" w:ascii="方正仿宋_GB18030" w:hAnsi="方正仿宋_GB18030" w:eastAsia="方正仿宋_GB18030" w:cs="方正仿宋_GB18030"/>
          <w:color w:val="auto"/>
          <w:sz w:val="28"/>
          <w:szCs w:val="28"/>
          <w:highlight w:val="none"/>
          <w:u w:val="none"/>
          <w:lang w:eastAsia="zh-CN"/>
        </w:rPr>
      </w:pPr>
      <w:r>
        <w:rPr>
          <w:rFonts w:hint="eastAsia" w:ascii="方正仿宋_GB18030" w:hAnsi="方正仿宋_GB18030" w:eastAsia="方正仿宋_GB18030" w:cs="方正仿宋_GB18030"/>
          <w:color w:val="auto"/>
          <w:sz w:val="28"/>
          <w:szCs w:val="28"/>
          <w:highlight w:val="none"/>
          <w:u w:val="none"/>
          <w:lang w:eastAsia="zh-CN"/>
        </w:rPr>
        <w:br w:type="page" w:clear="all"/>
      </w:r>
      <w:r/>
    </w:p>
    <w:p>
      <w:pPr>
        <w:jc w:val="center"/>
        <w:rPr>
          <w:color w:val="auto"/>
          <w:sz w:val="32"/>
          <w:szCs w:val="40"/>
          <w:highlight w:val="none"/>
        </w:rPr>
      </w:pPr>
      <w:r>
        <w:rPr>
          <w:color w:val="auto"/>
          <w:sz w:val="32"/>
          <w:szCs w:val="40"/>
          <w:highlight w:val="none"/>
        </w:rPr>
        <w:t xml:space="preserve">不侵权承诺函</w:t>
      </w:r>
      <w:r/>
    </w:p>
    <w:p>
      <w:pPr>
        <w:keepLines w:val="0"/>
        <w:keepNext w:val="0"/>
        <w:pageBreakBefore w:val="0"/>
        <w:spacing w:line="420" w:lineRule="exact"/>
        <w:rPr>
          <w:color w:val="auto"/>
          <w:sz w:val="24"/>
          <w:szCs w:val="24"/>
          <w:highlight w:val="none"/>
          <w:u w:val="single"/>
        </w:rPr>
      </w:pPr>
      <w:r>
        <w:rPr>
          <w:color w:val="auto"/>
          <w:sz w:val="24"/>
          <w:szCs w:val="24"/>
          <w:highlight w:val="none"/>
          <w:u w:val="single"/>
          <w:lang w:val="en-US" w:eastAsia="zh-CN"/>
        </w:rPr>
        <w:t xml:space="preserve">致：江苏航运职业技术学院</w:t>
      </w:r>
      <w:r/>
    </w:p>
    <w:p>
      <w:pPr>
        <w:ind w:firstLine="480"/>
        <w:keepLines w:val="0"/>
        <w:keepNext w:val="0"/>
        <w:pageBreakBefore w:val="0"/>
        <w:spacing w:line="420" w:lineRule="exact"/>
        <w:rPr>
          <w:color w:val="auto"/>
          <w:sz w:val="24"/>
          <w:szCs w:val="24"/>
          <w:highlight w:val="none"/>
        </w:rPr>
      </w:pPr>
      <w:r>
        <w:rPr>
          <w:color w:val="auto"/>
          <w:sz w:val="24"/>
          <w:szCs w:val="24"/>
          <w:highlight w:val="none"/>
          <w:lang w:val="en-US" w:eastAsia="zh-CN"/>
        </w:rPr>
        <w:t xml:space="preserve">本公司（单位）参与贵单位</w:t>
      </w:r>
      <w:r>
        <w:rPr>
          <w:color w:val="auto"/>
          <w:sz w:val="24"/>
          <w:szCs w:val="24"/>
          <w:highlight w:val="none"/>
          <w:u w:val="single"/>
          <w:lang w:val="en-US" w:eastAsia="zh-CN"/>
        </w:rPr>
        <w:t xml:space="preserve">江苏航运职业技术学院学生宿舍E楼家具更新采购项目</w:t>
      </w:r>
      <w:r>
        <w:rPr>
          <w:color w:val="auto"/>
          <w:sz w:val="24"/>
          <w:szCs w:val="24"/>
          <w:highlight w:val="none"/>
          <w:lang w:val="en-US" w:eastAsia="zh-CN"/>
        </w:rPr>
        <w:t xml:space="preserve">（项目编号：______）的投标活动，现就所投产品的知识产权事宜郑重作出如下承诺：</w:t>
      </w:r>
      <w:r/>
    </w:p>
    <w:p>
      <w:pPr>
        <w:ind w:firstLine="480"/>
        <w:keepLines w:val="0"/>
        <w:keepNext w:val="0"/>
        <w:pageBreakBefore w:val="0"/>
        <w:spacing w:line="420" w:lineRule="exact"/>
        <w:rPr>
          <w:color w:val="auto"/>
          <w:sz w:val="24"/>
          <w:szCs w:val="24"/>
          <w:highlight w:val="none"/>
        </w:rPr>
      </w:pPr>
      <w:r>
        <w:rPr>
          <w:rFonts w:hint="eastAsia"/>
          <w:color w:val="auto"/>
          <w:sz w:val="24"/>
          <w:szCs w:val="24"/>
          <w:highlight w:val="none"/>
          <w:lang w:val="en-US" w:eastAsia="zh-CN"/>
        </w:rPr>
        <w:t xml:space="preserve">1.</w:t>
      </w:r>
      <w:r>
        <w:rPr>
          <w:color w:val="auto"/>
          <w:sz w:val="24"/>
          <w:szCs w:val="24"/>
          <w:highlight w:val="none"/>
          <w:lang w:val="en-US" w:eastAsia="zh-CN"/>
        </w:rPr>
        <w:t xml:space="preserve">本公司所投产品（含上下铺铁床、书桌、衣柜、公寓床、组合书桌、铝合金方凳等）的设计、生产、销售均为合法行为，所使用的专利、商标、著作权等知识产权均为公司合法拥有或已获得合法授权，不存在任何权属争议。</w:t>
      </w:r>
      <w:r/>
    </w:p>
    <w:p>
      <w:pPr>
        <w:ind w:firstLine="480"/>
        <w:keepLines w:val="0"/>
        <w:keepNext w:val="0"/>
        <w:pageBreakBefore w:val="0"/>
        <w:spacing w:line="420" w:lineRule="exact"/>
        <w:rPr>
          <w:color w:val="auto"/>
          <w:sz w:val="24"/>
          <w:szCs w:val="24"/>
          <w:highlight w:val="none"/>
        </w:rPr>
      </w:pPr>
      <w:r>
        <w:rPr>
          <w:rFonts w:hint="eastAsia"/>
          <w:color w:val="auto"/>
          <w:sz w:val="24"/>
          <w:szCs w:val="24"/>
          <w:highlight w:val="none"/>
          <w:lang w:val="en-US" w:eastAsia="zh-CN"/>
        </w:rPr>
        <w:t xml:space="preserve">2.</w:t>
      </w:r>
      <w:r>
        <w:rPr>
          <w:color w:val="auto"/>
          <w:sz w:val="24"/>
          <w:szCs w:val="24"/>
          <w:highlight w:val="none"/>
          <w:lang w:val="en-US" w:eastAsia="zh-CN"/>
        </w:rPr>
        <w:t xml:space="preserve">本公司承诺所投产品未侵犯任何第三方的专利权、商标权、著作权、工业设计权等任何知识产权，若因本公司所投产品存在知识产权侵权情形，导致第三方向贵单位提出索赔、诉讼或其他权利主张的，由本公司承担全部法律责任（含诉讼费、律师费、赔偿金等），同时向贵单位支付合同总金额30% 的违约金，弥补贵单位因此产生的一切直接和间接损失。</w:t>
      </w:r>
      <w:r/>
    </w:p>
    <w:p>
      <w:pPr>
        <w:ind w:firstLine="480"/>
        <w:keepLines w:val="0"/>
        <w:keepNext w:val="0"/>
        <w:pageBreakBefore w:val="0"/>
        <w:spacing w:line="420" w:lineRule="exact"/>
        <w:rPr>
          <w:color w:val="auto"/>
          <w:sz w:val="24"/>
          <w:szCs w:val="24"/>
          <w:highlight w:val="none"/>
        </w:rPr>
      </w:pPr>
      <w:r>
        <w:rPr>
          <w:rFonts w:hint="eastAsia"/>
          <w:color w:val="auto"/>
          <w:sz w:val="24"/>
          <w:szCs w:val="24"/>
          <w:highlight w:val="none"/>
          <w:lang w:val="en-US" w:eastAsia="zh-CN"/>
        </w:rPr>
        <w:t xml:space="preserve">3.</w:t>
      </w:r>
      <w:r>
        <w:rPr>
          <w:color w:val="auto"/>
          <w:sz w:val="24"/>
          <w:szCs w:val="24"/>
          <w:highlight w:val="none"/>
          <w:lang w:val="en-US" w:eastAsia="zh-CN"/>
        </w:rPr>
        <w:t xml:space="preserve">若因知识产权侵权导致贵单位无法正常使用所投产品的，本公司将在3日内无条件更换为无侵权争议的产品，若无法更换的，本公司将全额退还合同价款，并承担贵单位因此产生的所有损失。</w:t>
      </w:r>
      <w:r/>
    </w:p>
    <w:p>
      <w:pPr>
        <w:ind w:firstLine="480"/>
        <w:keepLines w:val="0"/>
        <w:keepNext w:val="0"/>
        <w:pageBreakBefore w:val="0"/>
        <w:spacing w:line="420" w:lineRule="exact"/>
        <w:rPr>
          <w:color w:val="auto"/>
          <w:sz w:val="24"/>
          <w:szCs w:val="24"/>
          <w:highlight w:val="none"/>
        </w:rPr>
      </w:pPr>
      <w:r>
        <w:rPr>
          <w:rFonts w:hint="eastAsia"/>
          <w:color w:val="auto"/>
          <w:sz w:val="24"/>
          <w:szCs w:val="24"/>
          <w:highlight w:val="none"/>
          <w:lang w:val="en-US" w:eastAsia="zh-CN"/>
        </w:rPr>
        <w:t xml:space="preserve">4.</w:t>
      </w:r>
      <w:r>
        <w:rPr>
          <w:color w:val="auto"/>
          <w:sz w:val="24"/>
          <w:szCs w:val="24"/>
          <w:highlight w:val="none"/>
          <w:lang w:val="en-US" w:eastAsia="zh-CN"/>
        </w:rPr>
        <w:t xml:space="preserve">本承诺函自出具之日起生效，对本公司具有法律约束力，若违反上述承诺，本公司自愿接受贵单位取消中标资格、没收履约保证金、终止合同等处罚，并承担相应的法律责任。</w:t>
      </w:r>
      <w:r/>
    </w:p>
    <w:p>
      <w:pPr>
        <w:keepLines w:val="0"/>
        <w:keepNext w:val="0"/>
        <w:pageBreakBefore w:val="0"/>
        <w:spacing w:line="420" w:lineRule="exact"/>
        <w:rPr>
          <w:color w:val="auto"/>
          <w:sz w:val="24"/>
          <w:szCs w:val="24"/>
          <w:highlight w:val="none"/>
        </w:rPr>
      </w:pPr>
      <w:r>
        <w:rPr>
          <w:color w:val="auto"/>
          <w:sz w:val="24"/>
          <w:szCs w:val="24"/>
          <w:highlight w:val="none"/>
        </w:rPr>
      </w:r>
      <w:r/>
    </w:p>
    <w:p>
      <w:pPr>
        <w:jc w:val="left"/>
        <w:keepLines w:val="0"/>
        <w:keepNext w:val="0"/>
        <w:pageBreakBefore w:val="0"/>
        <w:spacing w:line="420" w:lineRule="exact"/>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特此承诺！</w:t>
      </w:r>
      <w:r/>
    </w:p>
    <w:p>
      <w:pPr>
        <w:jc w:val="left"/>
        <w:keepLines w:val="0"/>
        <w:keepNext w:val="0"/>
        <w:pageBreakBefore w:val="0"/>
        <w:spacing w:line="420" w:lineRule="exact"/>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r>
      <w:r/>
    </w:p>
    <w:p>
      <w:pPr>
        <w:jc w:val="left"/>
        <w:keepLines w:val="0"/>
        <w:keepNext w:val="0"/>
        <w:pageBreakBefore w:val="0"/>
        <w:spacing w:line="420" w:lineRule="exact"/>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投标人名称（加盖CA电子公章）：____________________</w:t>
      </w:r>
      <w:r/>
    </w:p>
    <w:p>
      <w:pPr>
        <w:jc w:val="left"/>
        <w:keepLines w:val="0"/>
        <w:keepNext w:val="0"/>
        <w:pageBreakBefore w:val="0"/>
        <w:spacing w:line="420" w:lineRule="exact"/>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法定代表人（签字或加盖CA电子公章）：____________________</w:t>
      </w:r>
      <w:r/>
    </w:p>
    <w:p>
      <w:pPr>
        <w:jc w:val="left"/>
        <w:keepLines w:val="0"/>
        <w:keepNext w:val="0"/>
        <w:pageBreakBefore w:val="0"/>
        <w:spacing w:line="420" w:lineRule="exact"/>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日期：______年____月____日</w:t>
      </w:r>
      <w:r/>
    </w:p>
    <w:p>
      <w:pPr>
        <w:ind w:left="1700" w:firstLine="2242"/>
        <w:spacing w:line="360" w:lineRule="auto"/>
        <w:rPr>
          <w:rFonts w:hint="eastAsia" w:ascii="方正仿宋_GB18030" w:hAnsi="方正仿宋_GB18030" w:eastAsia="方正仿宋_GB18030" w:cs="方正仿宋_GB18030"/>
          <w:color w:val="auto"/>
          <w:sz w:val="28"/>
          <w:szCs w:val="28"/>
          <w:highlight w:val="none"/>
          <w:u w:val="none"/>
          <w:lang w:val="en-US" w:eastAsia="zh-CN"/>
        </w:rPr>
      </w:pPr>
      <w:r>
        <w:rPr>
          <w:rFonts w:hint="eastAsia" w:ascii="方正仿宋_GB18030" w:hAnsi="方正仿宋_GB18030" w:eastAsia="方正仿宋_GB18030" w:cs="方正仿宋_GB18030"/>
          <w:color w:val="auto"/>
          <w:sz w:val="28"/>
          <w:szCs w:val="28"/>
          <w:highlight w:val="none"/>
          <w:u w:val="none"/>
          <w:lang w:val="en-US" w:eastAsia="zh-CN"/>
        </w:rPr>
      </w:r>
      <w:r/>
    </w:p>
    <w:p>
      <w:pPr>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ind w:firstLine="0"/>
        <w:spacing w:line="460" w:lineRule="exact"/>
        <w:tabs>
          <w:tab w:val="left" w:pos="420"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十一</w:t>
      </w:r>
      <w:r>
        <w:rPr>
          <w:rFonts w:hint="eastAsia" w:ascii="宋体" w:hAnsi="宋体" w:cs="宋体"/>
          <w:b/>
          <w:bCs/>
          <w:color w:val="auto"/>
          <w:sz w:val="28"/>
          <w:szCs w:val="28"/>
          <w:highlight w:val="none"/>
        </w:rPr>
        <w:t xml:space="preserve">、合同文本（仅供参考）：</w:t>
      </w:r>
      <w:r/>
    </w:p>
    <w:p>
      <w:pPr>
        <w:jc w:val="center"/>
        <w:rPr>
          <w:rFonts w:ascii="宋体" w:hAnsi="宋体" w:cs="宋体"/>
          <w:b/>
          <w:color w:val="auto"/>
          <w:sz w:val="36"/>
          <w:szCs w:val="36"/>
          <w:highlight w:val="none"/>
        </w:rPr>
      </w:pPr>
      <w:r/>
      <w:bookmarkStart w:id="151" w:name="_Toc8219"/>
      <w:r>
        <w:rPr>
          <w:rFonts w:hint="eastAsia" w:ascii="宋体" w:hAnsi="宋体" w:cs="宋体"/>
          <w:b/>
          <w:color w:val="auto"/>
          <w:sz w:val="36"/>
          <w:szCs w:val="36"/>
          <w:highlight w:val="none"/>
        </w:rPr>
        <w:t xml:space="preserve">江苏省政府采购合同（货物）</w:t>
      </w:r>
      <w:r/>
    </w:p>
    <w:p>
      <w:pPr>
        <w:ind w:firstLine="482"/>
        <w:jc w:val="center"/>
        <w:spacing w:line="500" w:lineRule="exact"/>
        <w:rPr>
          <w:rFonts w:ascii="宋体" w:hAnsi="宋体" w:cs="宋体"/>
          <w:b/>
          <w:bCs/>
          <w:color w:val="auto"/>
          <w:sz w:val="24"/>
          <w:highlight w:val="none"/>
        </w:rPr>
        <w:outlineLvl w:val="0"/>
      </w:pPr>
      <w:r>
        <w:rPr>
          <w:rFonts w:hint="eastAsia" w:ascii="宋体" w:hAnsi="宋体" w:cs="宋体"/>
          <w:b/>
          <w:color w:val="auto"/>
          <w:sz w:val="24"/>
          <w:highlight w:val="none"/>
        </w:rPr>
        <w:t xml:space="preserve">（合同编号：         ）</w:t>
      </w:r>
      <w:bookmarkEnd w:id="151"/>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江苏航运职业技术学院学生宿舍E楼家具更新采购项目</w:t>
      </w:r>
      <w:r>
        <w:rPr>
          <w:rFonts w:hint="eastAsia" w:ascii="宋体" w:hAnsi="宋体" w:cs="宋体"/>
          <w:color w:val="auto"/>
          <w:sz w:val="24"/>
          <w:szCs w:val="24"/>
          <w:highlight w:val="none"/>
        </w:rPr>
        <w:t xml:space="preserve">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甲方：（买方）：</w:t>
      </w:r>
      <w:r>
        <w:rPr>
          <w:rFonts w:hint="eastAsia" w:ascii="宋体" w:hAnsi="宋体" w:cs="宋体"/>
          <w:color w:val="auto"/>
          <w:sz w:val="24"/>
          <w:szCs w:val="24"/>
          <w:highlight w:val="none"/>
          <w:u w:val="single"/>
        </w:rPr>
        <w:t xml:space="preserve">江苏航运职业技术学院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乙方：（卖方）：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spacing w:line="50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甲、乙双方根据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江苏航运职业技术学院学生宿舍E楼家具更新采购项目</w:t>
      </w:r>
      <w:r>
        <w:rPr>
          <w:rFonts w:hint="eastAsia" w:ascii="宋体" w:hAnsi="宋体" w:cs="宋体"/>
          <w:color w:val="auto"/>
          <w:sz w:val="24"/>
          <w:szCs w:val="24"/>
          <w:highlight w:val="none"/>
        </w:rPr>
        <w:t xml:space="preserve">项目（项目编号：  ）公开招标的结果，签署本合同。</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一、合同内容</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 标的名称：</w:t>
      </w:r>
      <w:r>
        <w:rPr>
          <w:rFonts w:hint="eastAsia" w:ascii="宋体" w:hAnsi="宋体" w:cs="宋体"/>
          <w:color w:val="auto"/>
          <w:sz w:val="24"/>
          <w:szCs w:val="24"/>
          <w:highlight w:val="none"/>
          <w:lang w:eastAsia="zh-CN"/>
        </w:rPr>
        <w:t xml:space="preserve">江苏航运职业技术学院学生宿舍E楼家具更新采购项目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 标的质量：合格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标的数量（规模）：详见表格</w:t>
      </w:r>
      <w:r/>
    </w:p>
    <w:p>
      <w:pPr>
        <w:pStyle w:val="800"/>
        <w:ind w:firstLine="480"/>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1.4 履行时间（期限）：自合同签定之日起</w:t>
      </w:r>
      <w:r>
        <w:rPr>
          <w:rFonts w:hint="eastAsia" w:ascii="宋体" w:hAnsi="宋体" w:cs="宋体"/>
          <w:color w:val="auto"/>
          <w:sz w:val="24"/>
          <w:szCs w:val="24"/>
          <w:highlight w:val="none"/>
          <w:lang w:val="en-US" w:eastAsia="zh-CN"/>
        </w:rPr>
        <w:t xml:space="preserve">30天完成生产，接到甲方通知后15天内完成运输及安装。</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履行地点：江苏航运职业技术学院，具体按</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指定地点送货安装。</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履行方式：同招标文件要求。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 包装方式：同招标文件要求。</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80"/>
        <w:jc w:val="left"/>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 本合同金额为（大写）：      元（      元）人民币。已包含但不限于本项目所有产品的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ind w:firstLine="480"/>
        <w:jc w:val="left"/>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2.2本合同价格形式为固定单价合同，该固定单价在合同履行过程中不因市场变化、政策调整等各种因素而变动。</w:t>
      </w:r>
      <w:r/>
    </w:p>
    <w:p>
      <w:pPr>
        <w:ind w:firstLine="482"/>
        <w:jc w:val="left"/>
        <w:spacing w:line="50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三、技术资料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四、知识产权</w:t>
      </w:r>
      <w:r/>
    </w:p>
    <w:p>
      <w:pPr>
        <w:ind w:firstLine="480"/>
        <w:spacing w:line="50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4.1乙方</w:t>
      </w:r>
      <w:r>
        <w:rPr>
          <w:rFonts w:hint="eastAsia" w:ascii="宋体" w:hAnsi="宋体" w:cs="宋体"/>
          <w:color w:val="auto"/>
          <w:sz w:val="24"/>
          <w:szCs w:val="24"/>
          <w:highlight w:val="none"/>
          <w:lang w:val="en-US" w:eastAsia="zh-CN"/>
        </w:rPr>
        <w:t xml:space="preserve">所投产品的设计、生产、销售未侵犯任何第三方的专利权、商标权、著作权、工业设计权等知识产权，若存在侵权情形，由乙方承担全部法律责任及经济赔偿责任。按乙方出具的《不侵权承诺函》执行。</w:t>
      </w:r>
      <w:r/>
    </w:p>
    <w:p>
      <w:pPr>
        <w:ind w:firstLine="482"/>
        <w:spacing w:line="500" w:lineRule="exact"/>
        <w:rPr>
          <w:rFonts w:ascii="宋体" w:hAnsi="宋体" w:cs="宋体"/>
          <w:color w:val="auto"/>
          <w:sz w:val="24"/>
          <w:szCs w:val="24"/>
          <w:highlight w:val="none"/>
          <w:u w:val="single"/>
        </w:rPr>
      </w:pPr>
      <w:r>
        <w:rPr>
          <w:rFonts w:hint="eastAsia" w:ascii="宋体" w:hAnsi="宋体" w:cs="宋体"/>
          <w:b/>
          <w:color w:val="auto"/>
          <w:sz w:val="24"/>
          <w:szCs w:val="24"/>
          <w:highlight w:val="none"/>
        </w:rPr>
        <w:t xml:space="preserve">五、产权担保</w:t>
      </w:r>
      <w:r/>
    </w:p>
    <w:p>
      <w:pPr>
        <w:ind w:firstLine="480"/>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5.1 乙方保证所交付的货物（包含与货物相关的服务）的所有权完全属于乙方且无任何抵押、查封等产权瑕疵。</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六、履约保证金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 乙方交纳人民币</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作为本合同合同金额10%的履约保证金。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6.2合同全部履行结束后，甲方应及时退还交纳的履约保证金。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6.2.1履约保证金退还方式：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6.2.2履约保证金退还时间：乙方全部履约合同义务后（含质保期）</w:t>
      </w:r>
      <w:r>
        <w:rPr>
          <w:rFonts w:hint="eastAsia" w:ascii="宋体" w:hAnsi="宋体" w:cs="宋体"/>
          <w:color w:val="auto"/>
          <w:sz w:val="24"/>
          <w:szCs w:val="24"/>
          <w:highlight w:val="none"/>
          <w:lang w:val="en-US" w:eastAsia="zh-CN"/>
        </w:rPr>
        <w:t xml:space="preserve">由乙方提出退款申请后</w:t>
      </w:r>
      <w:r>
        <w:rPr>
          <w:rFonts w:hint="eastAsia" w:ascii="宋体" w:hAnsi="宋体" w:cs="宋体"/>
          <w:color w:val="auto"/>
          <w:sz w:val="24"/>
          <w:szCs w:val="24"/>
          <w:highlight w:val="none"/>
        </w:rPr>
        <w:t xml:space="preserve">30日内甲方一次性退还履约保证金或者退还履约保证金保函；</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6.2.3履约保证金退还条件：乙方全部履约合同义务后（含质保期）</w:t>
      </w:r>
      <w:r>
        <w:rPr>
          <w:rFonts w:hint="eastAsia" w:ascii="宋体" w:hAnsi="宋体" w:cs="宋体"/>
          <w:color w:val="auto"/>
          <w:sz w:val="24"/>
          <w:szCs w:val="24"/>
          <w:highlight w:val="none"/>
          <w:lang w:val="en-US" w:eastAsia="zh-CN"/>
        </w:rPr>
        <w:t xml:space="preserve">并提出申请后</w:t>
      </w:r>
      <w:r>
        <w:rPr>
          <w:rFonts w:hint="eastAsia" w:ascii="宋体" w:hAnsi="宋体" w:cs="宋体"/>
          <w:color w:val="auto"/>
          <w:sz w:val="24"/>
          <w:szCs w:val="24"/>
          <w:highlight w:val="none"/>
        </w:rPr>
        <w:t xml:space="preserve">，经甲方验收合格无质量、进度等问题；</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6.2.4履约保证金不予退还的情形：</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a.签订合同后，乙方不履行合同义务的，甲方有权全额扣除履约保证金，全额不予退还，同时甲方亦有权终止合同，乙方还须承担相应的法律赔偿责任。</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C.若乙方以保函形式提供担保的，乙方需将保函正本提交给甲方。乙方在履约过程中发生违约行为，甲方有权要求担保人按照保函约定向甲方无条件付款。满足本合同第6.2.2约定的条件时，甲方将保函正本退还给乙方。</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七、合同转包等事项</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7.1乙方不得将合同标的转包给他人履行。乙方如有转包，甲方视为乙方根本违约，有权给予解除合同。</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7.2乙方承诺，所有产品由乙方自行制造且需将制造详细地点作为本合同附件，并在甲方指定的现场安装。</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八、合同款项支付</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8.1合同款项的支付方式及进度安排</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8.1.1</w:t>
      </w:r>
      <w:r>
        <w:rPr>
          <w:rFonts w:hint="eastAsia" w:ascii="宋体" w:hAnsi="宋体" w:cs="宋体"/>
          <w:color w:val="auto"/>
          <w:sz w:val="24"/>
          <w:szCs w:val="24"/>
          <w:highlight w:val="none"/>
          <w:lang w:val="en-US" w:eastAsia="zh-CN"/>
        </w:rPr>
        <w:t xml:space="preserve">合同签订且货物（设备）安装结束后甲方组织对货物进行验收，项目验收合格后（以甲方签验收合格单为准）并审计后，甲方2026年支付198万元（审计价低于198万元的按审计价全额支付；审计价超过198万元的，超出部分于下一年度第二季度支付完毕)。</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8.1.2每次付款前供应商须提供符合</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财务要求的正式增值税专用发票，否则</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有权拒绝支付合同款，而不承担违约责任。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8.1.3因乙方发票错误、迟延等问题而导致甲方无法付款的，甲方不承担责任。</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9.1本合同执行中相关的一切税费均由乙方负担。</w:t>
      </w:r>
      <w:r/>
    </w:p>
    <w:p>
      <w:pPr>
        <w:ind w:firstLine="482"/>
        <w:spacing w:line="50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十、质量保修范围和保修期及售后服务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10.1 乙方应按招标文件规定的货物性能、技术要求、质量标准向甲方提供未经使用的全新产品，并不低于投标文件的质量、规格和参数的要求。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⑴更换：由乙方承担所发生的全部费用。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⑵贬值处理：由甲乙双方合议定价。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10.3 如在使用过程中发生质量问题，乙方在接到甲方通知后在2小时内到达甲方现场。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10.4 在质保期内，乙方应对货物出现的质量及安全问题负责处理解决并承担一切费用。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10.5上述的货物免费保修期为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年（自</w:t>
      </w: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rPr>
        <w:t xml:space="preserve">验收合格之日起计），因人为因素出现的故障不在免费保修范围内，维修时只收成本费。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10.6售后服务要求：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10.6.1乙方在合同规定的期限内对所提供的标的物实行现场维护，随时处理存在的故障，如现场不能维修解决的故障问题，须提供故障不能排除时的解决方案。</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10.6.2乙方接到甲方通知后1小时内响应，2小时内上门服务，24小时内解决好问题。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10.6.3乙方须承诺质保期满后提供终身维修服务，保证零配件供应，维修费用按照材料成本收取。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10.6.4乙方应对甲方技术人员进行维护、维修培训，确保使用者了解维护方法和进行简单的维修操作。</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10.6.5乙方提供现场技术培训，保证甲方使用人员能够正常操作产品的各种功能。</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十一、项目验收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甲方依法组织履约验收工作。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11.2如有必要，甲方邀请参加本项目的其他供应商或第三方专业机构及专家参与验收，相关意见将作为验收书的参考资料。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w:t>
      </w:r>
      <w:r>
        <w:rPr>
          <w:rFonts w:hint="eastAsia" w:ascii="宋体" w:hAnsi="宋体" w:cs="宋体"/>
          <w:color w:val="auto"/>
          <w:sz w:val="24"/>
          <w:szCs w:val="24"/>
          <w:highlight w:val="none"/>
          <w:lang w:eastAsia="zh-CN"/>
        </w:rPr>
        <w:t xml:space="preserve">货物全部进场安装前，乙方需先行安装好一个房间，在甲方验收通过后方能全面进行安装调试工作。</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11.4</w:t>
      </w:r>
      <w:r>
        <w:rPr>
          <w:rFonts w:hint="eastAsia" w:ascii="宋体" w:hAnsi="宋体" w:cs="宋体"/>
          <w:color w:val="auto"/>
          <w:sz w:val="24"/>
          <w:szCs w:val="24"/>
          <w:highlight w:val="non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单,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十二、货物的包装、发运及运输</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 使用说明书、质量检验证明书、随配附件和工具以及清单一并附于货物内。</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乙方在货物发运手续办理完毕后24小时内或货到甲方48小时前通知甲方，以准备接货。</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 货物在交付甲方前发生的风险均由乙方负责。</w:t>
      </w:r>
      <w:r/>
    </w:p>
    <w:p>
      <w:pPr>
        <w:ind w:right="26"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12.5 货物在规定的交付期限内由乙方送达甲方指定的地点视为交付，乙方同时需通知甲方货物已送达。</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12.6乙方提供的货物必须达到或优于招标文件“采购清单”技术需求中各项指标参数。</w:t>
      </w:r>
      <w:r>
        <w:rPr>
          <w:rFonts w:hint="eastAsia" w:ascii="宋体" w:hAnsi="宋体" w:cs="宋体"/>
          <w:color w:val="auto"/>
          <w:sz w:val="24"/>
          <w:szCs w:val="24"/>
          <w:highlight w:val="none"/>
          <w:lang w:val="en-US" w:eastAsia="zh-CN"/>
        </w:rPr>
        <w:t xml:space="preserve">乙方</w:t>
      </w:r>
      <w:r>
        <w:rPr>
          <w:rFonts w:hint="eastAsia" w:ascii="宋体" w:hAnsi="宋体" w:cs="宋体"/>
          <w:b/>
          <w:color w:val="auto"/>
          <w:sz w:val="24"/>
          <w:szCs w:val="24"/>
          <w:highlight w:val="none"/>
          <w:shd w:val="clear" w:color="auto" w:fill="ffffff"/>
          <w:lang w:val="en-US" w:eastAsia="zh-CN"/>
        </w:rPr>
        <w:t xml:space="preserve">生产完成后、供货前，甲方至乙方对货物进行抽检</w:t>
      </w:r>
      <w:r>
        <w:rPr>
          <w:rFonts w:hint="eastAsia" w:ascii="宋体" w:hAnsi="宋体" w:cs="宋体"/>
          <w:color w:val="auto"/>
          <w:sz w:val="24"/>
          <w:szCs w:val="24"/>
          <w:highlight w:val="none"/>
        </w:rPr>
        <w:t xml:space="preserve">，检验机构为南通市产品质量监督检验所</w:t>
      </w:r>
      <w:r>
        <w:rPr>
          <w:rFonts w:hint="eastAsia" w:ascii="宋体" w:hAnsi="宋体" w:cs="宋体"/>
          <w:color w:val="auto"/>
          <w:sz w:val="24"/>
          <w:szCs w:val="24"/>
          <w:highlight w:val="none"/>
          <w:lang w:val="en-US" w:eastAsia="zh-CN"/>
        </w:rPr>
        <w:t xml:space="preserve">或同级检验所</w:t>
      </w:r>
      <w:r>
        <w:rPr>
          <w:rFonts w:hint="eastAsia" w:ascii="宋体" w:hAnsi="宋体" w:cs="宋体"/>
          <w:color w:val="auto"/>
          <w:sz w:val="24"/>
          <w:szCs w:val="24"/>
          <w:highlight w:val="none"/>
        </w:rPr>
        <w:t xml:space="preserve">。对于产品的任何技术及质量不合格，甲方有权拒收、部分拒收、退货、部分退货直至解除本合同，并要求乙方支付因此造成的所有损失。</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12.7商品包装环保要求：应当按《关于印发〈商品包装政府采购需求标准（试行）〉、〈快递包装政府采购需求标准（试行）〉的通知》（财办库〔2020〕123号）文件执行。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（1）商品包装层数不得超过 3 层，空隙率不大于 40%；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（2）商品包装尽可能使用单一材质的包装材料，如因功能需求必需使用不同材质，不同材质间应便于分离；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（3）商品包装中铅、汞、镉、六价铬的总含量应不大于100mg/kg；</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（4）商品包装印刷使用的油墨中挥发性有机化合物(VOCs)含量应不大于 5%（以重量计）；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（5）塑料材质商品包装上呈现的印刷颜色不得超过 6 色；</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（6）纸质商品包装应使用 75%以上的可再生纤维原料生产；</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（7）木质商品包装的原料应来源于可持续性森林。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快递包装环保要求：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（1）快递包装中重金属（铅、汞、镉、六价铬）总量应不大于 100mg/kg；</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（2）快递包装印刷使用的油墨中不应添加邻苯二甲酸酯，其挥发性有机化合物(VOCs)含量应不大于5%（以重量计）；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（3）快递包装中使用纸基材的包装材料，纸基材中的有机氯的含量应不大于 150 mg/kg；</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（5）快递中使用的塑料包装袋不得使用聚氯乙烯作为原料，且原料应为单一材质制成，生物分解率大于60%；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（6）快递中使用的充气类填充物不得使用聚氯乙烯作为 原料，且原料为单一材质制成，生物分解率大于60%；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（7）快递中使用的集装袋应为单一材质制成，其重复使用次数应不小于 80 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（8）快递中应使用幅宽不大于45mm 的生物降解胶带；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（9）快递包装中不得使用溶剂型胶粘剂；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（10）快递应使用电子面单；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（11）直接使用商品包装作为快递包装的商品，其商品包装满足《商品包装政府采购需求标准（试行）》即可；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（12）快递包装产品质量和封装方式应符合相关国家或行业标准技术指标要求。</w:t>
      </w:r>
      <w:r/>
    </w:p>
    <w:p>
      <w:pPr>
        <w:ind w:firstLine="482"/>
        <w:spacing w:line="50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十三、其他要求：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13.1</w:t>
      </w:r>
      <w:r>
        <w:rPr>
          <w:rFonts w:hint="eastAsia" w:ascii="宋体" w:hAnsi="宋体" w:cs="宋体"/>
          <w:color w:val="auto"/>
          <w:sz w:val="24"/>
          <w:szCs w:val="24"/>
          <w:highlight w:val="none"/>
        </w:rPr>
        <w:t xml:space="preserve">环保要求：乙方需提交投标环节承诺提供的所有原材料和成品检测检验报告。否则，视为乙方违约，乙方负全部责任，并承担由此引起的一切后果。</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13.2</w:t>
      </w:r>
      <w:r>
        <w:rPr>
          <w:rFonts w:hint="eastAsia" w:ascii="宋体" w:hAnsi="宋体" w:cs="宋体"/>
          <w:color w:val="auto"/>
          <w:sz w:val="24"/>
          <w:szCs w:val="24"/>
          <w:highlight w:val="none"/>
        </w:rPr>
        <w:t xml:space="preserve">乙方中标后应提供家具材质清单、原材料产地证明，需就拟投入本项目生产的原材料和主要辅材进行送检，送检内容和受检机构需经甲方认可。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13.3</w:t>
      </w:r>
      <w:r>
        <w:rPr>
          <w:rFonts w:hint="eastAsia" w:ascii="宋体" w:hAnsi="宋体" w:cs="宋体"/>
          <w:color w:val="auto"/>
          <w:sz w:val="24"/>
          <w:szCs w:val="24"/>
          <w:highlight w:val="none"/>
        </w:rPr>
        <w:t xml:space="preserve">原材料及辅材产品应符合国家规定的强制性环保指标。甲醛释放量≤0.05mg/m³。</w:t>
      </w:r>
      <w:r/>
    </w:p>
    <w:p>
      <w:pPr>
        <w:ind w:firstLine="480"/>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13.4</w:t>
      </w:r>
      <w:r>
        <w:rPr>
          <w:rFonts w:hint="eastAsia" w:ascii="宋体" w:hAnsi="宋体" w:cs="宋体"/>
          <w:color w:val="auto"/>
          <w:sz w:val="24"/>
          <w:szCs w:val="24"/>
          <w:highlight w:val="none"/>
        </w:rPr>
        <w:t xml:space="preserve">乙方必须保证采用环保材料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shd w:val="clear" w:color="auto" w:fill="ffffff"/>
          <w:lang w:val="en-US" w:eastAsia="zh-CN"/>
        </w:rPr>
        <w:t xml:space="preserve">家具安装完毕后，乙方委托具有相应资质的第三方检测机构进行室内环境空气质量检测，随机抽验不少于总房间数50%的房间进行检测，</w:t>
      </w:r>
      <w:r>
        <w:rPr>
          <w:rFonts w:hint="eastAsia" w:ascii="宋体" w:hAnsi="宋体" w:eastAsia="宋体" w:cs="宋体"/>
          <w:b w:val="0"/>
          <w:bCs w:val="0"/>
          <w:i w:val="0"/>
          <w:iCs w:val="0"/>
          <w:color w:val="auto"/>
          <w:sz w:val="24"/>
          <w:szCs w:val="24"/>
          <w:highlight w:val="none"/>
          <w:u w:val="none"/>
          <w:lang w:val="en-US" w:eastAsia="zh-CN" w:bidi="ar-SA"/>
        </w:rPr>
        <w:t xml:space="preserve">检测依据为GB50325-2020。</w:t>
      </w:r>
      <w:r>
        <w:rPr>
          <w:rFonts w:hint="eastAsia" w:ascii="宋体" w:hAnsi="宋体" w:cs="宋体"/>
          <w:color w:val="auto"/>
          <w:sz w:val="24"/>
          <w:szCs w:val="24"/>
          <w:highlight w:val="none"/>
          <w:shd w:val="clear" w:color="auto" w:fill="ffffff"/>
          <w:lang w:val="en-US" w:eastAsia="zh-CN"/>
        </w:rPr>
        <w:t xml:space="preserve">抽取样品和检测时，乙方代表、检测中心专业人员、甲方代表三方同时在场的情况下方可进行，否则进行的检测视为无效；检测数据以具有相应资质的第三方检测机构出具的《检测报告》为准；检测费用由乙方承担；检测项目包括甲醛、苯、甲苯、二甲苯、TVOC这五项。达不到国家环保标准要求的，乙方必须在一周内整改处置到位，所有处置费用由乙方自行承担，甲方扣除乙方履约保证金的10%，如第二次抽检仍未达到以上要求，甲方扣除乙方履约保证金全部余额，由此造成一切损失均由乙方承担。不满足以上要求的检测报告或报告不全，项目不得竣工验收。</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13.5 原材料品牌、封样与过程抽检</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次采购所有核心原材料乙方须提供产品原材料配置表，明确主要原材料品牌，乙方须严格按品牌采购，不得擅自更换。核心原材料品牌需满足国家环保及质量强制标准，且具有相应资质的质量检测机构出具的有效期内检测报告。</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13.5.1封样管理要求：</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①乙方在收到中标通知书后5日内，须向甲方提交所有核心原材料及成品样品（按样品要求）进行双重封样，封样样品需标注品牌、规格、生产厂家，由甲方与乙方共同签字、盖章封存，一式两份，双方各执一份。</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②封样样品作为生产、验收、抽检的唯一依据，乙方生产过程中使用的原材料、成品质量必须与封样样品一致，封样样品至项目质保期满前由甲方保管，质保期满后按规定退还。</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13.5.2过程抽检要求：生产过程中，甲方或其委托的第三方可随时赴生产厂家进行抽检，抽检内容包括原材料品牌一致性、生产工艺合规性等，乙方需无条件配合，提供生产记录、原材料采购凭证等所有相关资料。</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13.5.3不合格退场与赔偿</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①若过程抽检、原材料核查发现原材料品牌与承诺不符、质量未达封样标准或技术参数要求，该批次原材料/半成品需立即无条件退场，乙方需在3日内更换为符合要求的产品，同时向甲方支付该批次产品金额2倍的违约金。</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②因不合格原材料/半成品退场导致工期延误的，按本招标文件“违约责任”相关条款加倍计取滞纳金，同时乙方需承担甲方因此产生的所有损失（含第三方检测费、工期延误损失费等）。</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③若累计出现2次及以上不合格退场情形，甲方有权单方面解除合同，没收全部履约保证金，同时要求乙方赔偿合同总金额30% 的违约金，不足弥补甲方损失的，乙方需另行补齐。</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13.6</w:t>
      </w:r>
      <w:r>
        <w:rPr>
          <w:rFonts w:hint="eastAsia" w:ascii="宋体" w:hAnsi="宋体" w:cs="宋体"/>
          <w:color w:val="auto"/>
          <w:sz w:val="24"/>
          <w:szCs w:val="24"/>
          <w:highlight w:val="none"/>
        </w:rPr>
        <w:t xml:space="preserve">招标文件所附的图样为产品示意图，材质及工艺要求中有关技术指标为本次采购的最低要求；招标文件提供的技术要求(规格)只是对产品的一些原则性要求，并不是最详尽的描述和要求，乙方有责任依据相关设计技术规范和有关行业国家标准执行，且不得低于乙方投标文件响应技术参数及标准。</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乙方应在不低于本招标文件所提供的技术指标前提下，优化设计方案（包括原料、配件、生产、安装、验收、售后服务等），尺寸需满足现场需求。所供产品的颜色与款式等最终由甲方确定。</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后，须说明家具在生产安装过程中，所采用的主要配件的名称及生产厂家，并提供相应的技术说明书。所有内部配件（螺丝等）必须进行防腐蚀处理。同时，还需提供乙方拥有的大型生产设备清单及证明文件。证明乙方所提供货物与招标文件的要求相一致的文件可以是手册、图纸、图片、文字资料和数据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所供产品应按国家相关强制标准或行业标准进行设计和制造。产品及其原材料应符合国家规定的强制性环保要求，所使用的主辅材料应符合国家环保标准和本项目需求。乙方保证提供的产品不得侵犯第三方专利权、商标权和设计权、版权等。否则，乙方负全部责任，并承担由此引起的一切后果。</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乙方应保证其货物在正确安装、正常使用下，在其使用寿命期内应具有满意的性能。</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13.7</w:t>
      </w:r>
      <w:r>
        <w:rPr>
          <w:rFonts w:hint="eastAsia" w:ascii="宋体" w:hAnsi="宋体" w:cs="宋体"/>
          <w:color w:val="auto"/>
          <w:sz w:val="24"/>
          <w:szCs w:val="24"/>
          <w:highlight w:val="none"/>
        </w:rPr>
        <w:t xml:space="preserve">乙方应采取必要的安全措施保证货物的运输及安装的安全，并承担货物的运输及安装过程中产生的风险。</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13.8</w:t>
      </w:r>
      <w:r>
        <w:rPr>
          <w:rFonts w:hint="eastAsia" w:ascii="宋体" w:hAnsi="宋体" w:cs="宋体"/>
          <w:color w:val="auto"/>
          <w:sz w:val="24"/>
          <w:szCs w:val="24"/>
          <w:highlight w:val="none"/>
        </w:rPr>
        <w:t xml:space="preserve">乙方提供的所有货物必须满足招标文件要求，须与分项报价明细表注明的材料品牌、规格型号、价格、数量等相符，否则乙方承担违约责任。货物到货后，需报甲方后方可进场，对于不合格的货物严禁使用到本项目，否则一切损失及后果由乙方自行承担。</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13.9</w:t>
      </w:r>
      <w:r>
        <w:rPr>
          <w:rFonts w:hint="eastAsia" w:ascii="宋体" w:hAnsi="宋体" w:cs="宋体"/>
          <w:color w:val="auto"/>
          <w:sz w:val="24"/>
          <w:szCs w:val="24"/>
          <w:highlight w:val="none"/>
        </w:rPr>
        <w:t xml:space="preserve">乙方提供详细的生产供货及安装计划，并标明主要时间节点。</w:t>
      </w:r>
      <w:r/>
    </w:p>
    <w:p>
      <w:pPr>
        <w:ind w:firstLine="480"/>
        <w:keepLines w:val="0"/>
        <w:keepNext w:val="0"/>
        <w:pageBreakBefore w:val="0"/>
        <w:spacing w:line="500" w:lineRule="exact"/>
        <w:shd w:val="clear" w:color="auto" w:fill="ffffff"/>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rPr>
        <w:t xml:space="preserve">发货前乙方应通知甲方进行验收（但甲方的验收对于乙方应按本合同承担的质量担保责任不予任何减轻或免除）。</w:t>
      </w:r>
      <w:r>
        <w:rPr>
          <w:rFonts w:hint="eastAsia" w:ascii="宋体" w:hAnsi="宋体" w:cs="宋体"/>
          <w:color w:val="auto"/>
          <w:sz w:val="24"/>
          <w:szCs w:val="24"/>
          <w:highlight w:val="none"/>
          <w:lang w:val="en-US" w:eastAsia="zh-CN"/>
        </w:rPr>
        <w:t xml:space="preserve">乙方</w:t>
      </w:r>
      <w:r>
        <w:rPr>
          <w:rFonts w:hint="eastAsia" w:ascii="宋体" w:hAnsi="宋体" w:cs="宋体"/>
          <w:b/>
          <w:color w:val="auto"/>
          <w:sz w:val="24"/>
          <w:szCs w:val="24"/>
          <w:highlight w:val="none"/>
          <w:shd w:val="clear" w:color="auto" w:fill="ffffff"/>
          <w:lang w:val="en-US" w:eastAsia="zh-CN"/>
        </w:rPr>
        <w:t xml:space="preserve">生产完成后、供货前，甲方至乙方对货物进行抽检，</w:t>
      </w:r>
      <w:r>
        <w:rPr>
          <w:rFonts w:hint="eastAsia" w:ascii="宋体" w:hAnsi="宋体" w:cs="宋体"/>
          <w:color w:val="auto"/>
          <w:sz w:val="24"/>
          <w:szCs w:val="24"/>
          <w:highlight w:val="none"/>
          <w:shd w:val="clear" w:color="auto" w:fill="ffffff"/>
        </w:rPr>
        <w:t xml:space="preserve">检测项</w:t>
      </w:r>
      <w:r>
        <w:rPr>
          <w:rFonts w:hint="eastAsia" w:ascii="宋体" w:hAnsi="宋体" w:cs="宋体"/>
          <w:color w:val="auto"/>
          <w:sz w:val="24"/>
          <w:szCs w:val="24"/>
          <w:highlight w:val="none"/>
          <w:shd w:val="clear" w:color="auto" w:fill="ffffff"/>
          <w:lang w:val="en-US" w:eastAsia="zh-CN"/>
        </w:rPr>
        <w:t xml:space="preserve">目</w:t>
      </w:r>
      <w:r>
        <w:rPr>
          <w:rFonts w:hint="eastAsia" w:ascii="宋体" w:hAnsi="宋体" w:cs="宋体"/>
          <w:color w:val="auto"/>
          <w:sz w:val="24"/>
          <w:szCs w:val="24"/>
          <w:highlight w:val="none"/>
          <w:shd w:val="clear" w:color="auto" w:fill="ffffff"/>
        </w:rPr>
        <w:t xml:space="preserve">及数据须满足</w:t>
      </w:r>
      <w:r>
        <w:rPr>
          <w:rFonts w:hint="eastAsia" w:ascii="宋体" w:hAnsi="宋体" w:cs="宋体"/>
          <w:color w:val="auto"/>
          <w:sz w:val="24"/>
          <w:szCs w:val="24"/>
          <w:highlight w:val="none"/>
          <w:shd w:val="clear" w:color="auto" w:fill="ffffff"/>
          <w:lang w:val="en-US" w:eastAsia="zh-CN"/>
        </w:rPr>
        <w:t xml:space="preserve">以下</w:t>
      </w:r>
      <w:r>
        <w:rPr>
          <w:rFonts w:hint="eastAsia" w:ascii="宋体" w:hAnsi="宋体" w:cs="宋体"/>
          <w:color w:val="auto"/>
          <w:sz w:val="24"/>
          <w:szCs w:val="24"/>
          <w:highlight w:val="none"/>
          <w:shd w:val="clear" w:color="auto" w:fill="ffffff"/>
        </w:rPr>
        <w:t xml:space="preserve">要求</w:t>
      </w: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rPr>
        <w:t xml:space="preserve">所有检测检验费用全部由</w:t>
      </w:r>
      <w:r>
        <w:rPr>
          <w:rFonts w:hint="eastAsia" w:ascii="宋体" w:hAnsi="宋体" w:cs="宋体"/>
          <w:color w:val="auto"/>
          <w:sz w:val="24"/>
          <w:szCs w:val="24"/>
          <w:highlight w:val="none"/>
          <w:shd w:val="clear" w:color="auto" w:fill="ffffff"/>
          <w:lang w:val="en-US" w:eastAsia="zh-CN"/>
        </w:rPr>
        <w:t xml:space="preserve">乙方</w:t>
      </w:r>
      <w:r>
        <w:rPr>
          <w:rFonts w:hint="eastAsia" w:ascii="宋体" w:hAnsi="宋体" w:cs="宋体"/>
          <w:color w:val="auto"/>
          <w:sz w:val="24"/>
          <w:szCs w:val="24"/>
          <w:highlight w:val="none"/>
          <w:shd w:val="clear" w:color="auto" w:fill="ffffff"/>
        </w:rPr>
        <w:t xml:space="preserve">承担，供应商报价时应综合考虑</w:t>
      </w: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b/>
          <w:color w:val="auto"/>
          <w:sz w:val="24"/>
          <w:szCs w:val="24"/>
          <w:highlight w:val="none"/>
          <w:shd w:val="clear" w:color="auto" w:fill="ffffff"/>
          <w:lang w:val="en-US" w:eastAsia="zh-CN"/>
        </w:rPr>
        <w:t xml:space="preserve">如</w:t>
      </w:r>
      <w:r>
        <w:rPr>
          <w:rFonts w:hint="eastAsia" w:ascii="宋体" w:hAnsi="宋体" w:eastAsia="宋体" w:cs="宋体"/>
          <w:b w:val="0"/>
          <w:bCs w:val="0"/>
          <w:i w:val="0"/>
          <w:iCs w:val="0"/>
          <w:color w:val="auto"/>
          <w:sz w:val="24"/>
          <w:szCs w:val="24"/>
          <w:highlight w:val="none"/>
          <w:u w:val="single"/>
          <w:lang w:val="en-US" w:eastAsia="zh-CN" w:bidi="ar-SA"/>
        </w:rPr>
        <w:t xml:space="preserve">检验不合格，</w:t>
      </w:r>
      <w:r>
        <w:rPr>
          <w:rFonts w:hint="eastAsia" w:ascii="宋体" w:hAnsi="宋体" w:cs="宋体"/>
          <w:b w:val="0"/>
          <w:bCs w:val="0"/>
          <w:i w:val="0"/>
          <w:iCs w:val="0"/>
          <w:color w:val="auto"/>
          <w:sz w:val="24"/>
          <w:szCs w:val="24"/>
          <w:highlight w:val="none"/>
          <w:u w:val="single"/>
          <w:lang w:val="en-US" w:eastAsia="zh-CN" w:bidi="ar-SA"/>
        </w:rPr>
        <w:t xml:space="preserve">乙方</w:t>
      </w:r>
      <w:r>
        <w:rPr>
          <w:rFonts w:hint="eastAsia" w:ascii="宋体" w:hAnsi="宋体" w:eastAsia="宋体" w:cs="宋体"/>
          <w:b w:val="0"/>
          <w:bCs w:val="0"/>
          <w:i w:val="0"/>
          <w:iCs w:val="0"/>
          <w:color w:val="auto"/>
          <w:sz w:val="24"/>
          <w:szCs w:val="24"/>
          <w:highlight w:val="none"/>
          <w:u w:val="single"/>
          <w:lang w:val="en-US" w:eastAsia="zh-CN" w:bidi="ar-SA"/>
        </w:rPr>
        <w:t xml:space="preserve">除无条件退货、返工外，还应承担</w:t>
      </w:r>
      <w:r>
        <w:rPr>
          <w:rFonts w:hint="eastAsia" w:ascii="宋体" w:hAnsi="宋体" w:cs="宋体"/>
          <w:b w:val="0"/>
          <w:bCs w:val="0"/>
          <w:i w:val="0"/>
          <w:iCs w:val="0"/>
          <w:color w:val="auto"/>
          <w:sz w:val="24"/>
          <w:szCs w:val="24"/>
          <w:highlight w:val="none"/>
          <w:u w:val="single"/>
          <w:lang w:val="en-US" w:eastAsia="zh-CN" w:bidi="ar-SA"/>
        </w:rPr>
        <w:t xml:space="preserve">甲方</w:t>
      </w:r>
      <w:r>
        <w:rPr>
          <w:rFonts w:hint="eastAsia" w:ascii="宋体" w:hAnsi="宋体" w:eastAsia="宋体" w:cs="宋体"/>
          <w:b w:val="0"/>
          <w:bCs w:val="0"/>
          <w:i w:val="0"/>
          <w:iCs w:val="0"/>
          <w:color w:val="auto"/>
          <w:sz w:val="24"/>
          <w:szCs w:val="24"/>
          <w:highlight w:val="none"/>
          <w:u w:val="single"/>
          <w:lang w:val="en-US" w:eastAsia="zh-CN" w:bidi="ar-SA"/>
        </w:rPr>
        <w:t xml:space="preserve">的一切损失。</w:t>
      </w:r>
      <w:r/>
    </w:p>
    <w:p>
      <w:pPr>
        <w:numPr>
          <w:ilvl w:val="-1"/>
          <w:numId w:val="0"/>
        </w:numPr>
        <w:ind w:firstLine="480"/>
        <w:spacing w:line="500" w:lineRule="exact"/>
        <w:shd w:val="clear" w:color="auto" w:fill="ffffff"/>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lang w:val="en-US" w:eastAsia="zh-CN"/>
        </w:rPr>
        <w:t xml:space="preserve">铝合金方凳GB/T 3325-2024、GB/T 35607-2024、GB/T 10125-2021、GB/T 6461-2002主要尺寸及其偏差、形状和位置公差、外观、结构安全、力学性能（座面耐久性）、苯并[a]芘、乙酸盐雾试验达到10级</w:t>
      </w:r>
      <w:r>
        <w:rPr>
          <w:rFonts w:hint="eastAsia" w:ascii="宋体" w:hAnsi="宋体" w:cs="宋体"/>
          <w:color w:val="auto"/>
          <w:sz w:val="24"/>
          <w:szCs w:val="24"/>
          <w:highlight w:val="none"/>
          <w:shd w:val="clear" w:color="auto" w:fill="ffffff"/>
          <w:lang w:val="en-US" w:eastAsia="zh-CN"/>
        </w:rPr>
        <w:t xml:space="preserve">。</w:t>
      </w:r>
      <w:r/>
    </w:p>
    <w:p>
      <w:pPr>
        <w:numPr>
          <w:ilvl w:val="-1"/>
          <w:numId w:val="0"/>
        </w:numPr>
        <w:ind w:firstLine="480"/>
        <w:spacing w:line="500" w:lineRule="exact"/>
        <w:shd w:val="clear" w:color="auto" w:fill="ffffff"/>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lang w:val="en-US" w:eastAsia="zh-CN"/>
        </w:rPr>
        <w:t xml:space="preserve">钢管：GB/T 3325-2024、QB/T 4767-2014、GB/T 10125-2021、GB/T 6461-2002，硬度≥3H、冲击高度≥400mm无剥落、裂纹、皱纹）乙酸盐雾试验达到10级</w:t>
      </w:r>
      <w:r>
        <w:rPr>
          <w:rFonts w:hint="eastAsia" w:ascii="宋体" w:hAnsi="宋体" w:cs="宋体"/>
          <w:color w:val="auto"/>
          <w:sz w:val="24"/>
          <w:szCs w:val="24"/>
          <w:highlight w:val="none"/>
          <w:shd w:val="clear" w:color="auto" w:fill="ffffff"/>
          <w:lang w:val="en-US" w:eastAsia="zh-CN"/>
        </w:rPr>
        <w:t xml:space="preserve">。</w:t>
      </w:r>
      <w:r/>
    </w:p>
    <w:p>
      <w:pPr>
        <w:numPr>
          <w:ilvl w:val="-1"/>
          <w:numId w:val="0"/>
        </w:numPr>
        <w:ind w:firstLine="480"/>
        <w:spacing w:line="500" w:lineRule="exact"/>
        <w:shd w:val="clear" w:color="auto" w:fill="ffffff"/>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en-US" w:eastAsia="zh-CN"/>
        </w:rPr>
        <w:t xml:space="preserve">实木多层板GB/T 34722-2025,GB18580-2017,HJ571-2010含水率，表面耐磨，甲醛释放量、总挥发性有机化合物(TVOC)</w:t>
      </w:r>
      <w:r>
        <w:rPr>
          <w:rFonts w:hint="eastAsia" w:ascii="宋体" w:hAnsi="宋体" w:cs="宋体"/>
          <w:color w:val="auto"/>
          <w:sz w:val="24"/>
          <w:szCs w:val="24"/>
          <w:highlight w:val="none"/>
          <w:shd w:val="clear" w:color="auto" w:fill="ffffff"/>
          <w:lang w:val="en-US" w:eastAsia="zh-CN"/>
        </w:rPr>
        <w:t xml:space="preserve">。</w:t>
      </w:r>
      <w:r/>
    </w:p>
    <w:p>
      <w:pPr>
        <w:numPr>
          <w:ilvl w:val="-1"/>
          <w:numId w:val="0"/>
        </w:numPr>
        <w:ind w:firstLine="480"/>
        <w:spacing w:line="500" w:lineRule="exact"/>
        <w:shd w:val="clear" w:color="auto" w:fill="ffffff"/>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lang w:val="en-US" w:eastAsia="zh-CN"/>
        </w:rPr>
        <w:t xml:space="preserve">粉末涂料HG/T 2006-2022 硬度≥3H 、耐碱性≥168h无异常，耐酸性≥240h无异常</w:t>
      </w:r>
      <w:r>
        <w:rPr>
          <w:rFonts w:hint="eastAsia" w:ascii="宋体" w:hAnsi="宋体" w:cs="宋体"/>
          <w:color w:val="auto"/>
          <w:sz w:val="24"/>
          <w:szCs w:val="24"/>
          <w:highlight w:val="none"/>
          <w:shd w:val="clear" w:color="auto" w:fill="ffffff"/>
          <w:lang w:val="en-US" w:eastAsia="zh-CN"/>
        </w:rPr>
        <w:t xml:space="preserve">。</w:t>
      </w:r>
      <w:r/>
    </w:p>
    <w:p>
      <w:pPr>
        <w:numPr>
          <w:ilvl w:val="-1"/>
          <w:numId w:val="0"/>
        </w:numPr>
        <w:ind w:firstLine="480"/>
        <w:spacing w:line="500" w:lineRule="exact"/>
        <w:shd w:val="clear" w:color="auto" w:fill="ffffff"/>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lang w:val="en-US" w:eastAsia="zh-CN"/>
        </w:rPr>
        <w:t xml:space="preserve">阻尼铰链QB/T 2189-2013过载</w:t>
      </w:r>
      <w:r>
        <w:rPr>
          <w:rFonts w:hint="eastAsia" w:ascii="宋体" w:hAnsi="宋体" w:cs="宋体"/>
          <w:color w:val="auto"/>
          <w:sz w:val="24"/>
          <w:szCs w:val="24"/>
          <w:highlight w:val="none"/>
          <w:shd w:val="clear" w:color="auto" w:fill="ffffff"/>
          <w:lang w:val="en-US" w:eastAsia="zh-CN"/>
        </w:rPr>
        <w:t xml:space="preserve">达到合格。</w:t>
      </w:r>
      <w:r/>
    </w:p>
    <w:p>
      <w:pPr>
        <w:numPr>
          <w:ilvl w:val="-1"/>
          <w:numId w:val="0"/>
        </w:numPr>
        <w:ind w:firstLine="480"/>
        <w:spacing w:line="500" w:lineRule="exact"/>
        <w:shd w:val="clear" w:color="auto" w:fill="ffffff"/>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lang w:val="en-US" w:eastAsia="zh-CN"/>
        </w:rPr>
        <w:t xml:space="preserve">封边条QB/T 4463-2025邻苯二甲酸脂未检出、多溴联苯未检出、多溴联苯醚未检出</w:t>
      </w:r>
      <w:r>
        <w:rPr>
          <w:rFonts w:hint="eastAsia" w:ascii="宋体" w:hAnsi="宋体" w:cs="宋体"/>
          <w:color w:val="auto"/>
          <w:sz w:val="24"/>
          <w:szCs w:val="24"/>
          <w:highlight w:val="none"/>
          <w:shd w:val="clear" w:color="auto" w:fill="ffffff"/>
          <w:lang w:val="en-US" w:eastAsia="zh-CN"/>
        </w:rPr>
        <w:t xml:space="preserve">。</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lang w:val="en-US" w:eastAsia="zh-CN"/>
        </w:rPr>
        <w:t xml:space="preserve">铝合金拉手GB/T 3324-2024、GB/T 10125-2021、GB/T 6461-2002、100h乙酸盐雾试验达到10级</w:t>
      </w:r>
      <w:r>
        <w:rPr>
          <w:rFonts w:hint="eastAsia" w:ascii="宋体" w:hAnsi="宋体" w:cs="宋体"/>
          <w:color w:val="auto"/>
          <w:sz w:val="24"/>
          <w:szCs w:val="24"/>
          <w:highlight w:val="none"/>
          <w:shd w:val="clear" w:color="auto" w:fill="ffffff"/>
          <w:lang w:val="en-US" w:eastAsia="zh-CN"/>
        </w:rPr>
        <w:t xml:space="preserve">。</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13.10</w:t>
      </w:r>
      <w:r>
        <w:rPr>
          <w:rFonts w:hint="eastAsia" w:ascii="宋体" w:hAnsi="宋体" w:cs="宋体"/>
          <w:color w:val="auto"/>
          <w:sz w:val="24"/>
          <w:szCs w:val="24"/>
          <w:highlight w:val="none"/>
        </w:rPr>
        <w:t xml:space="preserve">为保证甲方权益，在货物生产过程中甲方有权随时监督生产情况。监督过程中乙方需提供以下材料：①必须提供产品相应生产证明（包括但不限于原材料采购证明，生产单、下料单等相关资料）。②所有家具成品必须附带原厂证明文件（包括但不限于发货单、保修卡等相关资料）。③若所供产品生产渠道不明确、检测不合格，甲方有权拒绝收货，并根据合同及相关政策法规进行处理。</w:t>
      </w:r>
      <w:r/>
    </w:p>
    <w:p>
      <w:pPr>
        <w:ind w:firstLine="480"/>
        <w:spacing w:line="50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甲方对乙方生产的监督，不予减轻或免除乙方的最终质量担保责任。</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eastAsia="zh-CN"/>
        </w:rPr>
        <w:t xml:space="preserve">四</w:t>
      </w:r>
      <w:r>
        <w:rPr>
          <w:rFonts w:hint="eastAsia" w:ascii="宋体" w:hAnsi="宋体" w:cs="宋体"/>
          <w:b/>
          <w:color w:val="auto"/>
          <w:sz w:val="24"/>
          <w:szCs w:val="24"/>
          <w:highlight w:val="none"/>
        </w:rPr>
        <w:t xml:space="preserve">、违约责任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.1甲方无正当理由未按合同规定的期限向乙方支付货款的，每逾期1天甲方向乙方支付该批次货款总额的0.04%滞纳金</w:t>
      </w:r>
      <w:r>
        <w:rPr>
          <w:rFonts w:hint="eastAsia" w:ascii="宋体" w:hAnsi="宋体" w:cs="宋体"/>
          <w:color w:val="auto"/>
          <w:sz w:val="24"/>
          <w:szCs w:val="24"/>
          <w:highlight w:val="none"/>
          <w:lang w:eastAsia="zh-CN"/>
        </w:rPr>
        <w:t xml:space="preserve">。</w:t>
      </w:r>
      <w:r/>
    </w:p>
    <w:p>
      <w:pPr>
        <w:ind w:firstLine="480"/>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.2乙方逾期交付货物的，每逾期1天，乙方向甲方</w:t>
      </w:r>
      <w:r>
        <w:rPr>
          <w:rFonts w:hint="eastAsia" w:ascii="宋体" w:hAnsi="宋体" w:cs="宋体"/>
          <w:color w:val="auto"/>
          <w:sz w:val="24"/>
          <w:szCs w:val="24"/>
          <w:highlight w:val="none"/>
          <w:lang w:val="en-US" w:eastAsia="zh-CN"/>
        </w:rPr>
        <w:t xml:space="preserve">支</w:t>
      </w:r>
      <w:r>
        <w:rPr>
          <w:rFonts w:hint="eastAsia" w:ascii="宋体" w:hAnsi="宋体" w:cs="宋体"/>
          <w:color w:val="auto"/>
          <w:sz w:val="24"/>
          <w:szCs w:val="24"/>
          <w:highlight w:val="none"/>
        </w:rPr>
        <w:t xml:space="preserve">付</w:t>
      </w:r>
      <w:r>
        <w:rPr>
          <w:rFonts w:hint="eastAsia" w:ascii="宋体" w:hAnsi="宋体" w:cs="宋体"/>
          <w:color w:val="auto"/>
          <w:sz w:val="24"/>
          <w:szCs w:val="24"/>
          <w:highlight w:val="none"/>
          <w:lang w:val="en-US" w:eastAsia="zh-CN"/>
        </w:rPr>
        <w:t xml:space="preserve">5000元</w:t>
      </w:r>
      <w:r>
        <w:rPr>
          <w:rFonts w:hint="eastAsia" w:ascii="宋体" w:hAnsi="宋体" w:cs="宋体"/>
          <w:color w:val="auto"/>
          <w:sz w:val="24"/>
          <w:szCs w:val="24"/>
          <w:highlight w:val="none"/>
        </w:rPr>
        <w:t xml:space="preserve">滞纳金。</w:t>
      </w:r>
      <w:r/>
    </w:p>
    <w:p>
      <w:pPr>
        <w:ind w:firstLine="480"/>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.3乙方所交付的货物品种、型号、规格不符合合同规定，乙方需在收到</w:t>
      </w:r>
      <w:r>
        <w:rPr>
          <w:rFonts w:hint="eastAsia" w:ascii="宋体" w:hAnsi="宋体" w:cs="宋体"/>
          <w:color w:val="auto"/>
          <w:sz w:val="24"/>
          <w:szCs w:val="24"/>
          <w:highlight w:val="none"/>
          <w:lang w:val="en-US" w:eastAsia="zh-CN"/>
        </w:rPr>
        <w:t xml:space="preserve">通知后5</w:t>
      </w:r>
      <w:r>
        <w:rPr>
          <w:rFonts w:hint="eastAsia" w:ascii="宋体" w:hAnsi="宋体" w:cs="宋体"/>
          <w:color w:val="auto"/>
          <w:sz w:val="24"/>
          <w:szCs w:val="24"/>
          <w:highlight w:val="none"/>
        </w:rPr>
        <w:t xml:space="preserve">日内解决退换货问题，因退换货造成逾期交付的，乙方需交纳逾期滞纳金，逾期滞纳金按原收货截止日次日起计至合格货物收到之日止，每逾期1天，按</w:t>
      </w:r>
      <w:r>
        <w:rPr>
          <w:rFonts w:hint="eastAsia" w:ascii="宋体" w:hAnsi="宋体" w:cs="宋体"/>
          <w:color w:val="auto"/>
          <w:sz w:val="24"/>
          <w:szCs w:val="24"/>
          <w:highlight w:val="none"/>
          <w:lang w:val="en-US" w:eastAsia="zh-CN"/>
        </w:rPr>
        <w:t xml:space="preserve">5000元滞纳金计</w:t>
      </w:r>
      <w:r>
        <w:rPr>
          <w:rFonts w:hint="eastAsia" w:ascii="宋体" w:hAnsi="宋体" w:cs="宋体"/>
          <w:color w:val="auto"/>
          <w:sz w:val="24"/>
          <w:szCs w:val="24"/>
          <w:highlight w:val="none"/>
        </w:rPr>
        <w:t xml:space="preserve">算。若乙方在</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日退换货期限内不能完成供货，</w:t>
      </w:r>
      <w:r>
        <w:rPr>
          <w:rFonts w:hint="eastAsia" w:ascii="宋体" w:hAnsi="宋体" w:cs="宋体"/>
          <w:color w:val="auto"/>
          <w:sz w:val="24"/>
          <w:szCs w:val="24"/>
          <w:highlight w:val="none"/>
          <w:lang w:val="en-US" w:eastAsia="zh-CN"/>
        </w:rPr>
        <w:t xml:space="preserve">支付</w:t>
      </w:r>
      <w:r>
        <w:rPr>
          <w:rFonts w:hint="eastAsia" w:ascii="宋体" w:hAnsi="宋体" w:cs="宋体"/>
          <w:color w:val="auto"/>
          <w:sz w:val="24"/>
          <w:szCs w:val="24"/>
          <w:highlight w:val="none"/>
        </w:rPr>
        <w:t xml:space="preserve">每日1万元罚款，直至供货日止。若乙方在以上合计</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天期限内仍不能完成供货，甲方可采取必要的补救措施，但由此引发的风险和费用将由乙方承担。</w:t>
      </w:r>
      <w:r/>
    </w:p>
    <w:p>
      <w:pPr>
        <w:ind w:firstLine="480"/>
        <w:spacing w:line="500" w:lineRule="exact"/>
        <w:rPr>
          <w:rFonts w:hint="eastAsia" w:ascii="宋体" w:hAnsi="宋体" w:cs="宋体"/>
          <w:b/>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.4乙方未按合同规定的和“服务承诺”提供的售后服务的，应按合同总价款的8%向甲方承担违约责任。</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14.5空气质量检测不合格责任界定家具安装完毕后，室内空气质量检测若不符合GB50325-2020标准要求，除按原规定扣除履约保证金外，乙方需承担以下整改、退换、重做责任：</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14.5.1首次检测不合格的，乙方需在7日内完成全面整改，整改方式包括但不限于更换不合格家具、采用环保治理措施等，整改费用由乙方全额承担，同时扣除履约保证金的10%；整改完成后由甲方组织二次检测，二次检测费用仍由乙方承担。</w:t>
      </w:r>
      <w:r/>
    </w:p>
    <w:p>
      <w:pPr>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14.5.2二次检测仍不合格的，乙方需在20日内对不合格房间的所有家具进行无条件全额退换重做，退换重做期间需保障甲方正常使用需求，甲方有权免费使用所有家具或要求乙方提供临时替代家具，相关费用由乙方承担，同时没收全部履约保证金。</w:t>
      </w:r>
      <w:r/>
    </w:p>
    <w:p>
      <w:pPr>
        <w:ind w:firstLine="480"/>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14.5.3因空气质量不合格导致招标人学生无法正常入住、产生住宿安置等费用的，所有费用由乙方承担；若造成人身损害的，乙方需承担全部民事赔偿责任及相应法律责任。</w:t>
      </w:r>
      <w:r/>
    </w:p>
    <w:p>
      <w:pPr>
        <w:ind w:firstLine="480"/>
        <w:keepLines w:val="0"/>
        <w:keepNext w:val="0"/>
        <w:pageBreakBefore w:val="0"/>
        <w:spacing w:line="500" w:lineRule="exact"/>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 xml:space="preserve">14.5.4退换重做后仍无法达到空气质量标准的，甲方有权单方面解除合同，乙方需赔偿合同总金额50%的违约金，同时承担甲方因此产生的一切直接和间接损失。</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eastAsia="zh-CN"/>
        </w:rPr>
        <w:t xml:space="preserve">五</w:t>
      </w:r>
      <w:r>
        <w:rPr>
          <w:rFonts w:hint="eastAsia" w:ascii="宋体" w:hAnsi="宋体" w:cs="宋体"/>
          <w:b/>
          <w:color w:val="auto"/>
          <w:sz w:val="24"/>
          <w:szCs w:val="24"/>
          <w:highlight w:val="none"/>
        </w:rPr>
        <w:t xml:space="preserve">、不可抗力事件处理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 不可抗力事件发生后，应立即通知对方，并寄送有关权威机构出具的证明。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 不可抗力事件延续120天以上，双方应通过友好协商，确定是否继续履行合同。</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eastAsia="zh-CN"/>
        </w:rPr>
        <w:t xml:space="preserve">六</w:t>
      </w:r>
      <w:r>
        <w:rPr>
          <w:rFonts w:hint="eastAsia" w:ascii="宋体" w:hAnsi="宋体" w:cs="宋体"/>
          <w:b/>
          <w:color w:val="auto"/>
          <w:sz w:val="24"/>
          <w:szCs w:val="24"/>
          <w:highlight w:val="none"/>
        </w:rPr>
        <w:t xml:space="preserve">、解决争议的方法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.1甲乙双方因合同签订、履行而发生的一切争议，应通过友好协商解决。如协商不成由甲方住所地人民法院管辖。</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eastAsia="zh-CN"/>
        </w:rPr>
        <w:t xml:space="preserve">七</w:t>
      </w:r>
      <w:r>
        <w:rPr>
          <w:rFonts w:hint="eastAsia" w:ascii="宋体" w:hAnsi="宋体" w:cs="宋体"/>
          <w:b/>
          <w:color w:val="auto"/>
          <w:sz w:val="24"/>
          <w:szCs w:val="24"/>
          <w:highlight w:val="none"/>
        </w:rPr>
        <w:t xml:space="preserve">、合同生效及其它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 合同经双方法定代表人或授权委托代表人签字并加盖单位公章后生效。</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.2本合同未尽事宜，遵照中华人民共和国现行法律法规有关条文执行。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 本合同正本一式捌份，具有同等法律效力，甲方、乙方各执肆份。</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组成本合同的有关文件</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组成合同的各项文件应互相解释，互为说明。除专用合同条款另有约定外，解释合同文件的优先顺序如下： </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（1）合同协议书； </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（2）中标通知书； </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（3）投标函（</w:t>
      </w:r>
      <w:r>
        <w:rPr>
          <w:rFonts w:hint="eastAsia" w:ascii="宋体" w:hAnsi="宋体" w:cs="宋体"/>
          <w:color w:val="auto"/>
          <w:sz w:val="24"/>
          <w:szCs w:val="24"/>
          <w:highlight w:val="none"/>
        </w:rPr>
        <w:t xml:space="preserve">含投标文件其他内容</w:t>
      </w:r>
      <w:r>
        <w:rPr>
          <w:rFonts w:hint="eastAsia" w:ascii="宋体" w:hAnsi="宋体" w:cs="宋体"/>
          <w:color w:val="auto"/>
          <w:sz w:val="24"/>
          <w:szCs w:val="24"/>
          <w:highlight w:val="none"/>
          <w:lang w:val="zh-CN"/>
        </w:rPr>
        <w:t xml:space="preserve">）；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招标文件；</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（5）供货要求</w:t>
      </w:r>
      <w:r>
        <w:rPr>
          <w:rFonts w:hint="eastAsia" w:ascii="宋体" w:hAnsi="宋体" w:cs="宋体"/>
          <w:color w:val="auto"/>
          <w:sz w:val="24"/>
          <w:szCs w:val="24"/>
          <w:highlight w:val="none"/>
        </w:rPr>
        <w:t xml:space="preserve">及计划响应</w:t>
      </w:r>
      <w:r>
        <w:rPr>
          <w:rFonts w:hint="eastAsia" w:ascii="宋体" w:hAnsi="宋体" w:cs="宋体"/>
          <w:color w:val="auto"/>
          <w:sz w:val="24"/>
          <w:szCs w:val="24"/>
          <w:highlight w:val="none"/>
          <w:lang w:val="zh-CN"/>
        </w:rPr>
        <w:t xml:space="preserve">； </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）相关服务计划；</w:t>
      </w:r>
      <w:r/>
    </w:p>
    <w:p>
      <w:pPr>
        <w:ind w:firstLine="480"/>
        <w:spacing w:line="5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）其他合同文件。</w:t>
      </w:r>
      <w:r/>
    </w:p>
    <w:p>
      <w:pPr>
        <w:spacing w:line="5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                        乙方：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        法定代表人或授权代表：</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联系电话：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80" w:lineRule="exact"/>
        <w:rPr>
          <w:rFonts w:ascii="宋体" w:hAnsi="宋体" w:cs="宋体"/>
          <w:color w:val="auto"/>
          <w:sz w:val="22"/>
          <w:szCs w:val="22"/>
          <w:highlight w:val="none"/>
        </w:rPr>
      </w:pPr>
      <w:r>
        <w:rPr>
          <w:rFonts w:hint="eastAsia" w:ascii="宋体" w:hAnsi="宋体" w:cs="宋体"/>
          <w:color w:val="auto"/>
          <w:sz w:val="24"/>
          <w:szCs w:val="24"/>
          <w:highlight w:val="none"/>
        </w:rPr>
        <w:t xml:space="preserve">签订日期：202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  日</w:t>
      </w:r>
      <w:bookmarkStart w:id="152" w:name="_Hlt16619369"/>
      <w:r/>
      <w:bookmarkEnd w:id="152"/>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签订日期：202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  日</w:t>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24"/>
          <w:highlight w:val="none"/>
        </w:rPr>
        <w:br w:type="page" w:clear="all"/>
      </w:r>
      <w:bookmarkStart w:id="153" w:name="_Toc26259"/>
      <w:r/>
      <w:bookmarkStart w:id="154" w:name="_Toc30320"/>
      <w:r>
        <w:rPr>
          <w:rFonts w:hint="eastAsia" w:ascii="宋体" w:hAnsi="宋体" w:cs="宋体"/>
          <w:bCs/>
          <w:color w:val="auto"/>
          <w:sz w:val="36"/>
          <w:szCs w:val="36"/>
          <w:highlight w:val="none"/>
        </w:rPr>
        <w:t xml:space="preserve">第四部分  开标和评标</w:t>
      </w:r>
      <w:bookmarkEnd w:id="153"/>
      <w:r/>
      <w:bookmarkEnd w:id="154"/>
      <w:r/>
      <w:r/>
    </w:p>
    <w:p>
      <w:pPr>
        <w:pStyle w:val="1023"/>
        <w:ind w:left="0" w:right="0" w:firstLine="562"/>
        <w:jc w:val="left"/>
        <w:spacing w:before="0" w:after="0" w:line="460" w:lineRule="exact"/>
        <w:rPr>
          <w:rFonts w:ascii="宋体" w:hAnsi="宋体" w:cs="宋体"/>
          <w:b/>
          <w:color w:val="auto"/>
          <w:sz w:val="28"/>
          <w:szCs w:val="28"/>
          <w:highlight w:val="none"/>
        </w:rPr>
        <w:outlineLvl w:val="1"/>
      </w:pPr>
      <w:r/>
      <w:bookmarkStart w:id="155" w:name="_Toc29131"/>
      <w:r>
        <w:rPr>
          <w:rFonts w:hint="eastAsia" w:ascii="宋体" w:hAnsi="宋体" w:cs="宋体"/>
          <w:b/>
          <w:color w:val="auto"/>
          <w:sz w:val="28"/>
          <w:szCs w:val="28"/>
          <w:highlight w:val="none"/>
        </w:rPr>
        <w:t xml:space="preserve">一、开标</w:t>
      </w:r>
      <w:bookmarkEnd w:id="15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23"/>
        <w:ind w:left="0" w:right="0" w:firstLine="562"/>
        <w:jc w:val="left"/>
        <w:spacing w:before="0" w:after="0" w:line="460" w:lineRule="exact"/>
        <w:rPr>
          <w:rFonts w:ascii="宋体" w:hAnsi="宋体" w:cs="宋体"/>
          <w:b/>
          <w:color w:val="auto"/>
          <w:sz w:val="28"/>
          <w:szCs w:val="28"/>
          <w:highlight w:val="none"/>
        </w:rPr>
        <w:outlineLvl w:val="1"/>
      </w:pPr>
      <w:r/>
      <w:bookmarkStart w:id="156" w:name="_Toc28154"/>
      <w:r>
        <w:rPr>
          <w:rFonts w:hint="eastAsia" w:ascii="宋体" w:hAnsi="宋体" w:cs="宋体"/>
          <w:b/>
          <w:color w:val="auto"/>
          <w:sz w:val="28"/>
          <w:szCs w:val="28"/>
          <w:highlight w:val="none"/>
        </w:rPr>
        <w:t xml:space="preserve">二、评标流程和评标标准</w:t>
      </w:r>
      <w:bookmarkEnd w:id="15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bookmarkStart w:id="157" w:name="_Toc13980"/>
      <w:r>
        <w:rPr>
          <w:rFonts w:hint="eastAsia" w:ascii="宋体" w:hAnsi="宋体" w:cs="宋体"/>
          <w:b/>
          <w:color w:val="auto"/>
          <w:sz w:val="28"/>
          <w:szCs w:val="28"/>
          <w:highlight w:val="none"/>
        </w:rPr>
        <w:t xml:space="preserve">（一）招标人（代表）对投标人资格进行审查。</w:t>
      </w:r>
      <w:bookmarkEnd w:id="157"/>
      <w:r/>
      <w:r/>
    </w:p>
    <w:p>
      <w:pPr>
        <w:pStyle w:val="1027"/>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bookmarkStart w:id="158" w:name="_Toc8474"/>
      <w:r>
        <w:rPr>
          <w:rFonts w:hint="eastAsia" w:ascii="宋体" w:hAnsi="宋体" w:cs="宋体"/>
          <w:b/>
          <w:color w:val="auto"/>
          <w:sz w:val="28"/>
          <w:szCs w:val="28"/>
          <w:highlight w:val="none"/>
        </w:rPr>
        <w:t xml:space="preserve">（二）评标委员会对符合资格投标人的投标文件进行符合性审查。</w:t>
      </w:r>
      <w:bookmarkEnd w:id="158"/>
      <w:r/>
      <w:r/>
    </w:p>
    <w:p>
      <w:pPr>
        <w:pStyle w:val="1027"/>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color w:val="auto"/>
          <w:sz w:val="28"/>
          <w:szCs w:val="28"/>
          <w:highlight w:val="none"/>
          <w:lang w:val="zh-CN"/>
        </w:rPr>
        <w:outlineLvl w:val="2"/>
      </w:pPr>
      <w:r/>
      <w:bookmarkStart w:id="159"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55</w:t>
      </w:r>
      <w:r>
        <w:rPr>
          <w:rFonts w:hint="eastAsia" w:ascii="宋体" w:hAnsi="宋体" w:cs="宋体"/>
          <w:color w:val="auto"/>
          <w:sz w:val="28"/>
          <w:szCs w:val="28"/>
          <w:highlight w:val="none"/>
          <w:lang w:val="zh-CN"/>
        </w:rPr>
        <w:t xml:space="preserve">分</w:t>
      </w:r>
      <w:bookmarkEnd w:id="159"/>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tbl>
      <w:tblPr>
        <w:tblStyle w:val="793"/>
        <w:tblpPr w:horzAnchor="text" w:tblpXSpec="center" w:vertAnchor="text" w:tblpY="1" w:leftFromText="180" w:topFromText="0" w:rightFromText="180" w:bottomFromText="0"/>
        <w:tblW w:w="5367" w:type="pct"/>
        <w:tblInd w:w="0" w:type="dxa"/>
        <w:tblLayout w:type="autofit"/>
        <w:tblCellMar>
          <w:left w:w="108" w:type="dxa"/>
          <w:top w:w="0" w:type="dxa"/>
          <w:right w:w="108" w:type="dxa"/>
          <w:bottom w:w="0" w:type="dxa"/>
        </w:tblCellMar>
        <w:tblLook w:val="04A0" w:firstRow="1" w:lastRow="0" w:firstColumn="1" w:lastColumn="0" w:noHBand="0" w:noVBand="1"/>
      </w:tblPr>
      <w:tblGrid>
        <w:gridCol w:w="591"/>
        <w:gridCol w:w="1003"/>
        <w:gridCol w:w="5038"/>
        <w:gridCol w:w="710"/>
        <w:gridCol w:w="889"/>
        <w:gridCol w:w="918"/>
      </w:tblGrid>
      <w:tr>
        <w:trPr>
          <w:trHeight w:val="780"/>
        </w:trPr>
        <w:tc>
          <w:tcPr>
            <w:tcBorders>
              <w:top w:val="single" w:color="000000" w:sz="4" w:space="0"/>
              <w:left w:val="single" w:color="000000" w:sz="4" w:space="0"/>
              <w:bottom w:val="single" w:color="000000" w:sz="4" w:space="0"/>
              <w:right w:val="single" w:color="auto" w:sz="4" w:space="0"/>
            </w:tcBorders>
            <w:tcW w:w="323" w:type="pct"/>
            <w:vAlign w:val="center"/>
            <w:textDirection w:val="lrTb"/>
            <w:noWrap w:val="false"/>
          </w:tcPr>
          <w:p>
            <w:pPr>
              <w:jc w:val="center"/>
              <w:spacing w:line="460" w:lineRule="exact"/>
              <w:widowControl/>
              <w:rPr>
                <w:rFonts w:ascii="宋体" w:hAnsi="宋体" w:cs="宋体"/>
                <w:b/>
                <w:bCs/>
                <w:color w:val="auto"/>
                <w:sz w:val="24"/>
                <w:highlight w:val="none"/>
              </w:rPr>
            </w:pPr>
            <w:r/>
            <w:bookmarkStart w:id="160" w:name="_Toc126"/>
            <w:r>
              <w:rPr>
                <w:rFonts w:hint="eastAsia" w:ascii="宋体" w:hAnsi="宋体" w:cs="宋体"/>
                <w:b/>
                <w:bCs/>
                <w:color w:val="auto"/>
                <w:sz w:val="24"/>
                <w:highlight w:val="none"/>
              </w:rPr>
              <w:t xml:space="preserve">序号</w:t>
            </w:r>
            <w:r/>
          </w:p>
        </w:tc>
        <w:tc>
          <w:tcPr>
            <w:tcBorders>
              <w:top w:val="single" w:color="000000" w:sz="4" w:space="0"/>
              <w:left w:val="single" w:color="auto" w:sz="4" w:space="0"/>
              <w:bottom w:val="single" w:color="000000" w:sz="4" w:space="0"/>
              <w:right w:val="single" w:color="000000" w:sz="4" w:space="0"/>
            </w:tcBorders>
            <w:tcW w:w="54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最低分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主/客观分</w:t>
            </w:r>
            <w:r/>
          </w:p>
        </w:tc>
      </w:tr>
      <w:tr>
        <w:trPr>
          <w:trHeight w:val="934"/>
        </w:trPr>
        <w:tc>
          <w:tcPr>
            <w:tcBorders>
              <w:top w:val="single" w:color="000000" w:sz="4" w:space="0"/>
              <w:left w:val="single" w:color="000000" w:sz="4" w:space="0"/>
              <w:bottom w:val="single" w:color="000000" w:sz="4" w:space="0"/>
              <w:right w:val="single" w:color="auto" w:sz="4" w:space="0"/>
            </w:tcBorders>
            <w:tcW w:w="323"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auto" w:sz="4" w:space="0"/>
              <w:bottom w:val="single" w:color="000000" w:sz="4" w:space="0"/>
              <w:right w:val="single" w:color="000000" w:sz="4" w:space="0"/>
            </w:tcBorders>
            <w:tcW w:w="548"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lang w:val="en-US" w:eastAsia="zh-CN"/>
              </w:rPr>
              <w:t xml:space="preserve">产品制造商</w:t>
            </w:r>
            <w:r>
              <w:rPr>
                <w:rFonts w:hint="eastAsia" w:ascii="宋体" w:hAnsi="宋体" w:cs="宋体"/>
                <w:color w:val="auto"/>
                <w:sz w:val="24"/>
                <w:highlight w:val="none"/>
              </w:rPr>
              <w:t xml:space="preserve">生产实力</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本项目不接受联合体投标。 </w:t>
            </w:r>
            <w:r/>
          </w:p>
          <w:p>
            <w:pPr>
              <w:jc w:val="left"/>
              <w:rPr>
                <w:rFonts w:hint="eastAsia" w:ascii="宋体" w:hAnsi="宋体"/>
                <w:bCs/>
                <w:color w:val="auto"/>
                <w:sz w:val="24"/>
                <w:highlight w:val="none"/>
              </w:rPr>
            </w:pPr>
            <w:r>
              <w:rPr>
                <w:rFonts w:hint="eastAsia" w:ascii="宋体" w:hAnsi="宋体"/>
                <w:bCs/>
                <w:color w:val="auto"/>
                <w:sz w:val="24"/>
                <w:highlight w:val="none"/>
              </w:rPr>
              <w:t xml:space="preserve">提供完成本项目所需的生产设备，包括但不限于：</w:t>
            </w:r>
            <w:r>
              <w:rPr>
                <w:rFonts w:hint="eastAsia" w:ascii="宋体" w:hAnsi="宋体"/>
                <w:bCs/>
                <w:color w:val="auto"/>
                <w:sz w:val="24"/>
                <w:highlight w:val="none"/>
                <w:lang w:val="en-US" w:eastAsia="zh-CN"/>
              </w:rPr>
              <w:t xml:space="preserve">①</w:t>
            </w:r>
            <w:r>
              <w:rPr>
                <w:rFonts w:hint="eastAsia" w:ascii="宋体" w:hAnsi="宋体" w:cs="宋体"/>
                <w:color w:val="auto"/>
                <w:sz w:val="24"/>
                <w:highlight w:val="none"/>
              </w:rPr>
              <w:t xml:space="preserve">全自动数控焊接机，</w:t>
            </w: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伺服全自动切管机，</w:t>
            </w: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全自动数控冲孔机，</w:t>
            </w: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rPr>
              <w:t xml:space="preserve">数控双头弯管机，</w:t>
            </w:r>
            <w:r>
              <w:rPr>
                <w:rFonts w:hint="eastAsia" w:ascii="宋体" w:hAnsi="宋体" w:cs="宋体"/>
                <w:color w:val="auto"/>
                <w:sz w:val="24"/>
                <w:highlight w:val="none"/>
                <w:lang w:val="en-US" w:eastAsia="zh-CN"/>
              </w:rPr>
              <w:t xml:space="preserve">⑤</w:t>
            </w:r>
            <w:r>
              <w:rPr>
                <w:rFonts w:hint="eastAsia" w:ascii="宋体" w:hAnsi="宋体" w:cs="宋体"/>
                <w:color w:val="auto"/>
                <w:sz w:val="24"/>
                <w:highlight w:val="none"/>
              </w:rPr>
              <w:t xml:space="preserve">抛丸机，</w:t>
            </w:r>
            <w:r>
              <w:rPr>
                <w:rFonts w:hint="eastAsia" w:ascii="宋体" w:hAnsi="宋体" w:cs="宋体"/>
                <w:color w:val="auto"/>
                <w:sz w:val="24"/>
                <w:highlight w:val="none"/>
                <w:lang w:val="en-US" w:eastAsia="zh-CN"/>
              </w:rPr>
              <w:t xml:space="preserve">⑥</w:t>
            </w:r>
            <w:r>
              <w:rPr>
                <w:rFonts w:hint="eastAsia" w:ascii="宋体" w:hAnsi="宋体" w:cs="宋体"/>
                <w:color w:val="auto"/>
                <w:sz w:val="24"/>
                <w:highlight w:val="none"/>
              </w:rPr>
              <w:t xml:space="preserve">喷塑全自动流水线，</w:t>
            </w:r>
            <w:r>
              <w:rPr>
                <w:rFonts w:hint="eastAsia" w:ascii="宋体" w:hAnsi="宋体" w:cs="宋体"/>
                <w:color w:val="auto"/>
                <w:sz w:val="24"/>
                <w:highlight w:val="none"/>
                <w:lang w:val="en-US" w:eastAsia="zh-CN"/>
              </w:rPr>
              <w:t xml:space="preserve">⑦</w:t>
            </w:r>
            <w:r>
              <w:rPr>
                <w:rFonts w:hint="eastAsia" w:ascii="宋体" w:hAnsi="宋体" w:cs="宋体"/>
                <w:color w:val="auto"/>
                <w:sz w:val="24"/>
                <w:highlight w:val="none"/>
              </w:rPr>
              <w:t xml:space="preserve">数控加工中心，</w:t>
            </w:r>
            <w:r>
              <w:rPr>
                <w:rFonts w:hint="eastAsia" w:ascii="宋体" w:hAnsi="宋体" w:cs="宋体"/>
                <w:color w:val="auto"/>
                <w:sz w:val="24"/>
                <w:highlight w:val="none"/>
                <w:lang w:val="en-US" w:eastAsia="zh-CN"/>
              </w:rPr>
              <w:t xml:space="preserve">⑧</w:t>
            </w:r>
            <w:r>
              <w:rPr>
                <w:rFonts w:hint="eastAsia" w:ascii="宋体" w:hAnsi="宋体" w:cs="宋体"/>
                <w:color w:val="auto"/>
                <w:sz w:val="24"/>
                <w:highlight w:val="none"/>
              </w:rPr>
              <w:t xml:space="preserve">全自动封边机</w:t>
            </w:r>
            <w:r>
              <w:rPr>
                <w:rFonts w:hint="eastAsia" w:ascii="宋体" w:hAnsi="宋体"/>
                <w:bCs/>
                <w:color w:val="auto"/>
                <w:sz w:val="24"/>
                <w:highlight w:val="none"/>
              </w:rPr>
              <w:t xml:space="preserve">。上述生产设备有1 项得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分，本项最多得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jc w:val="left"/>
              <w:rPr>
                <w:rFonts w:ascii="宋体" w:hAnsi="宋体" w:cs="宋体"/>
                <w:color w:val="auto"/>
                <w:sz w:val="24"/>
                <w:highlight w:val="none"/>
              </w:rPr>
            </w:pPr>
            <w:r>
              <w:rPr>
                <w:rFonts w:hint="eastAsia" w:ascii="宋体" w:hAnsi="宋体"/>
                <w:bCs/>
                <w:color w:val="auto"/>
                <w:sz w:val="24"/>
                <w:highlight w:val="none"/>
                <w:lang w:val="en-US" w:eastAsia="zh-CN"/>
              </w:rPr>
              <w:t xml:space="preserve">注：</w:t>
            </w:r>
            <w:r>
              <w:rPr>
                <w:rFonts w:hint="eastAsia" w:ascii="宋体" w:hAnsi="宋体"/>
                <w:bCs/>
                <w:color w:val="auto"/>
                <w:sz w:val="24"/>
                <w:highlight w:val="none"/>
              </w:rPr>
              <w:t xml:space="preserve">须提供上述生产设备</w:t>
            </w:r>
            <w:r>
              <w:rPr>
                <w:rFonts w:hint="eastAsia" w:ascii="宋体" w:hAnsi="宋体"/>
                <w:bCs/>
                <w:color w:val="auto"/>
                <w:sz w:val="24"/>
                <w:highlight w:val="none"/>
                <w:lang w:val="en-US" w:eastAsia="zh-CN"/>
              </w:rPr>
              <w:t xml:space="preserve">①</w:t>
            </w:r>
            <w:r>
              <w:rPr>
                <w:rFonts w:hint="eastAsia" w:ascii="宋体" w:hAnsi="宋体"/>
                <w:bCs/>
                <w:color w:val="auto"/>
                <w:sz w:val="24"/>
                <w:highlight w:val="none"/>
              </w:rPr>
              <w:t xml:space="preserve">现场照片、</w:t>
            </w:r>
            <w:r>
              <w:rPr>
                <w:rFonts w:hint="eastAsia" w:ascii="宋体" w:hAnsi="宋体"/>
                <w:bCs/>
                <w:color w:val="auto"/>
                <w:sz w:val="24"/>
                <w:highlight w:val="none"/>
                <w:lang w:val="en-US" w:eastAsia="zh-CN"/>
              </w:rPr>
              <w:t xml:space="preserve">②</w:t>
            </w:r>
            <w:r>
              <w:rPr>
                <w:rFonts w:hint="eastAsia" w:ascii="宋体" w:hAnsi="宋体"/>
                <w:bCs/>
                <w:color w:val="auto"/>
                <w:sz w:val="24"/>
                <w:highlight w:val="none"/>
              </w:rPr>
              <w:t xml:space="preserve">购置发票</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发票 0中购买方需与所投产品制造商一致</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（发票显示的设备名称与招标文件要求的设备名称不完全一致的，</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应出具必要的佐证材料，注明所投设备满足招标文件对所需生产设备的功能要求，否则不予得分）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③设备购置</w:t>
            </w:r>
            <w:r>
              <w:rPr>
                <w:rFonts w:hint="eastAsia" w:ascii="宋体" w:hAnsi="宋体"/>
                <w:bCs/>
                <w:color w:val="auto"/>
                <w:sz w:val="24"/>
                <w:highlight w:val="none"/>
              </w:rPr>
              <w:t xml:space="preserve">合同</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提供原件扫描件加盖投标人公章</w:t>
            </w:r>
            <w:r>
              <w:rPr>
                <w:rFonts w:hint="eastAsia" w:ascii="宋体" w:hAnsi="宋体"/>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客观分</w:t>
            </w:r>
            <w:r/>
          </w:p>
        </w:tc>
      </w:tr>
      <w:tr>
        <w:trPr>
          <w:trHeight w:val="396"/>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认证证书</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ind w:left="-4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或</w:t>
            </w:r>
            <w:r>
              <w:rPr>
                <w:rFonts w:hint="eastAsia" w:ascii="宋体" w:hAnsi="宋体"/>
                <w:bCs/>
                <w:color w:val="auto"/>
                <w:sz w:val="24"/>
                <w:highlight w:val="none"/>
                <w:lang w:val="en-US" w:eastAsia="zh-CN"/>
              </w:rPr>
              <w:t xml:space="preserve">所投产品制造商</w:t>
            </w:r>
            <w:r>
              <w:rPr>
                <w:rFonts w:hint="eastAsia" w:ascii="宋体" w:hAnsi="宋体"/>
                <w:color w:val="auto"/>
                <w:sz w:val="24"/>
                <w:highlight w:val="none"/>
              </w:rPr>
              <w:t xml:space="preserve">具有有效期内的《家具中有害物质限量认定证书》得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p>
          <w:p>
            <w:pPr>
              <w:ind w:left="-4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或</w:t>
            </w:r>
            <w:r>
              <w:rPr>
                <w:rFonts w:hint="eastAsia" w:ascii="宋体" w:hAnsi="宋体"/>
                <w:bCs/>
                <w:color w:val="auto"/>
                <w:sz w:val="24"/>
                <w:highlight w:val="none"/>
                <w:lang w:val="en-US" w:eastAsia="zh-CN"/>
              </w:rPr>
              <w:t xml:space="preserve">所投产品制造商</w:t>
            </w:r>
            <w:r>
              <w:rPr>
                <w:rFonts w:hint="eastAsia" w:ascii="宋体" w:hAnsi="宋体"/>
                <w:color w:val="auto"/>
                <w:sz w:val="24"/>
                <w:highlight w:val="none"/>
              </w:rPr>
              <w:t xml:space="preserve">具有有效期内的《中国环保产品认证证书》（</w:t>
            </w:r>
            <w:r>
              <w:rPr>
                <w:rFonts w:ascii="宋体" w:hAnsi="宋体"/>
                <w:color w:val="auto"/>
                <w:sz w:val="24"/>
                <w:highlight w:val="none"/>
              </w:rPr>
              <w:t xml:space="preserve">CQC</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p>
          <w:p>
            <w:pPr>
              <w:jc w:val="left"/>
              <w:rPr>
                <w:rFonts w:ascii="宋体" w:hAnsi="宋体" w:cs="宋体"/>
                <w:color w:val="auto"/>
                <w:sz w:val="24"/>
                <w:highlight w:val="none"/>
              </w:rPr>
            </w:pPr>
            <w:r>
              <w:rPr>
                <w:rFonts w:ascii="宋体" w:hAnsi="宋体"/>
                <w:color w:val="auto"/>
                <w:sz w:val="24"/>
                <w:highlight w:val="none"/>
              </w:rPr>
              <w:t xml:space="preserve">提供上述证书扫描件</w:t>
            </w:r>
            <w:r>
              <w:rPr>
                <w:rFonts w:hint="eastAsia" w:ascii="宋体" w:hAnsi="宋体"/>
                <w:color w:val="auto"/>
                <w:sz w:val="24"/>
                <w:highlight w:val="none"/>
                <w:lang w:val="en-US" w:eastAsia="zh-CN"/>
              </w:rPr>
              <w:t xml:space="preserve">加盖公章</w:t>
            </w: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客观分</w:t>
            </w:r>
            <w:r/>
          </w:p>
        </w:tc>
      </w:tr>
      <w:tr>
        <w:trPr>
          <w:trHeight w:val="3576"/>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4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投标人提供的202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年1月1日以来（以合同签订时间为准）承担过类似家具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含公寓钢木结构组合家具</w:t>
            </w:r>
            <w:r>
              <w:rPr>
                <w:rFonts w:hint="eastAsia" w:ascii="宋体" w:hAnsi="宋体"/>
                <w:color w:val="auto"/>
                <w:sz w:val="24"/>
                <w:highlight w:val="none"/>
                <w:lang w:eastAsia="zh-CN"/>
              </w:rPr>
              <w:t xml:space="preserve">）销售</w:t>
            </w:r>
            <w:r>
              <w:rPr>
                <w:rFonts w:hint="eastAsia" w:ascii="宋体" w:hAnsi="宋体"/>
                <w:color w:val="auto"/>
                <w:sz w:val="24"/>
                <w:highlight w:val="none"/>
              </w:rPr>
              <w:t xml:space="preserve">业绩，每有1份合格业绩得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分，本项最高得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p>
            <w:pPr>
              <w:rPr>
                <w:rFonts w:hint="eastAsia" w:ascii="宋体" w:hAnsi="宋体"/>
                <w:color w:val="auto"/>
                <w:sz w:val="24"/>
                <w:highlight w:val="none"/>
              </w:rPr>
            </w:pPr>
            <w:r>
              <w:rPr>
                <w:rFonts w:hint="eastAsia" w:ascii="宋体" w:hAnsi="宋体"/>
                <w:color w:val="auto"/>
                <w:sz w:val="24"/>
                <w:highlight w:val="none"/>
                <w:lang w:val="en-US" w:eastAsia="zh-CN"/>
              </w:rPr>
              <w:t xml:space="preserve">注：须同时提供①</w:t>
            </w:r>
            <w:r>
              <w:rPr>
                <w:rFonts w:hint="eastAsia" w:ascii="宋体" w:hAnsi="宋体"/>
                <w:color w:val="auto"/>
                <w:sz w:val="24"/>
                <w:highlight w:val="none"/>
              </w:rPr>
              <w:t xml:space="preserve">中标通知书、</w:t>
            </w:r>
            <w:r>
              <w:rPr>
                <w:rFonts w:hint="eastAsia" w:ascii="宋体" w:hAnsi="宋体"/>
                <w:color w:val="auto"/>
                <w:sz w:val="24"/>
                <w:highlight w:val="none"/>
                <w:lang w:val="en-US" w:eastAsia="zh-CN"/>
              </w:rPr>
              <w:t xml:space="preserve">②</w:t>
            </w:r>
            <w:r>
              <w:rPr>
                <w:rFonts w:hint="eastAsia" w:ascii="宋体" w:hAnsi="宋体"/>
                <w:color w:val="auto"/>
                <w:sz w:val="24"/>
                <w:highlight w:val="none"/>
              </w:rPr>
              <w:t xml:space="preserve">销售合同、</w:t>
            </w: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对应的发票（不低于合同总金额30%）这三项材料齐全为1份合格业绩进行评审，同一业主单位合同不重复计分。</w:t>
            </w:r>
            <w:r/>
          </w:p>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2.以上业绩获得业主单位好评的，每个加1分，最高加3分。需提供评价证明材料并加盖业主单位公章。</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46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客观分</w:t>
            </w:r>
            <w:r/>
          </w:p>
        </w:tc>
      </w:tr>
      <w:tr>
        <w:trPr>
          <w:trHeight w:val="396"/>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环境标志产品认证证书</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投标产品属于财政部、生态环境部公布的“环境标志产品品目清单”范围内的，投标人提供国家确定的认证机构出具的、处于有效期内的环境标志产品认证证书，有1个得1分，最多得2分。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提供的证明材料均应为原件的扫描件且清晰可见，否则，投标供应商自行承担因扫描件模糊等问题导致评委无法辨识的一切后果。</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客观分</w:t>
            </w:r>
            <w:r/>
          </w:p>
        </w:tc>
      </w:tr>
      <w:tr>
        <w:trPr>
          <w:trHeight w:val="575"/>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投标人提供项目实施方案，评委根据投标人提供的项目实施方案和评分标准逐项进行综合评分。每个方案满分6分，本项最高得18分。</w:t>
            </w:r>
            <w:r/>
          </w:p>
          <w:p>
            <w:pPr>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1.生产前期准备方案（6 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方案包含但不限于原材料准备（明确主材/辅材名称、品牌、规格、生产商、执行标准、环保等级、采购渠道）,用料明细,人员配置(设计、生产、质检、安装人员岗位职责、到岗时间、类似经验),技术工艺(图文说明生产工艺、尺寸复核、深化设计、与招标文件参数响应),前期准备时间节点(现场勘测、封样、图纸确认、备料周期)。</w:t>
            </w:r>
            <w:r/>
          </w:p>
          <w:p>
            <w:pPr>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2.生产实施方案（6分）</w:t>
            </w:r>
            <w:r/>
          </w:p>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包括但不限于生产进度计划，质量控制，安全生产，过程管控，环保控制，产能保障等内容</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3.运输安装调试验收方案（6分）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包括但不限于包装运输，进场安装，成品保护，</w:t>
            </w:r>
            <w:r/>
          </w:p>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调试、验收，第三方检测，资料交付，开荒保洁，应急预案等内容</w:t>
            </w:r>
            <w:r/>
          </w:p>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以上三个方案，每个方案评审标准如下：</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1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①</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方案内各项内容科学合理、针对性强、步骤清晰、可操作性高的，该项内容得6分；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2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②</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方案内各项内容基本合理、针对性较强、步骤合理、可操作性较高的，该项内容得4分；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3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③</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方案内各项内容一般、有一定的针对性、可行性一般及可操作性的，该项内容得2分；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4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④</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未提供方案的不得分。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18分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主观分</w:t>
            </w:r>
            <w:r/>
          </w:p>
        </w:tc>
      </w:tr>
      <w:tr>
        <w:trPr>
          <w:trHeight w:val="575"/>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售后</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服务</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评委根据投标人承诺的售后服务保障方案（含售后服务承诺及保修细则、服务质量保证标准、优惠条件承诺服务体系说明、售后服务人员和工具配备、现场服务措施、故障解决能力及应急服务响应方案等）进行评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说明：</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1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①</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售后服务响应专业且全面、服务内容全面、服务保障体系完善，要素体系完整的得5分；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2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②</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售后服务内容及响应较完善、服务保障体系较完善，要素体系较完整的得3分；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3 \* GB3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③</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售后服务内容及响应欠缺、服务保障体系欠缺，要素体系欠缺的得1分；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客/主观分</w:t>
            </w:r>
            <w:r/>
          </w:p>
        </w:tc>
      </w:tr>
      <w:tr>
        <w:trPr>
          <w:trHeight w:val="575"/>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质保期限</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按照招标文件要求，投标人所有投标产品须免费保修5年。承诺免费质保期限高于5年的，每增加1年得2分，最高得6分。</w:t>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说明：投标人须提供免费质保承诺书加盖公章，未提供的不得分。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0分</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客观分</w:t>
            </w:r>
            <w:r/>
          </w:p>
        </w:tc>
      </w:tr>
    </w:tbl>
    <w:p>
      <w:pPr>
        <w:spacing w:line="460" w:lineRule="exact"/>
        <w:rPr>
          <w:rFonts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lang w:val="en-US" w:eastAsia="zh-CN"/>
        </w:rPr>
        <w:t xml:space="preserve">45</w:t>
      </w:r>
      <w:r>
        <w:rPr>
          <w:rFonts w:hint="eastAsia" w:ascii="宋体" w:hAnsi="宋体" w:cs="宋体"/>
          <w:color w:val="auto"/>
          <w:sz w:val="28"/>
          <w:szCs w:val="28"/>
          <w:highlight w:val="none"/>
          <w:lang w:val="zh-CN"/>
        </w:rPr>
        <w:t xml:space="preserve">分</w:t>
      </w:r>
      <w:bookmarkEnd w:id="160"/>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hint="default" w:ascii="宋体" w:hAnsi="宋体" w:cs="宋体"/>
          <w:color w:val="auto"/>
          <w:sz w:val="28"/>
          <w:szCs w:val="28"/>
          <w:highlight w:val="none"/>
          <w:lang w:val="en-US"/>
        </w:rPr>
      </w:pPr>
      <w:r>
        <w:rPr>
          <w:rFonts w:hint="eastAsia" w:ascii="宋体" w:hAnsi="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45</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spacing w:line="460" w:lineRule="exact"/>
        <w:rPr>
          <w:rFonts w:hint="eastAsia" w:ascii="宋体" w:hAnsi="宋体" w:cs="宋体"/>
          <w:b/>
          <w:color w:val="auto"/>
          <w:sz w:val="28"/>
          <w:szCs w:val="28"/>
          <w:highlight w:val="none"/>
        </w:rPr>
        <w:outlineLvl w:val="2"/>
      </w:pPr>
      <w:r/>
      <w:bookmarkStart w:id="161" w:name="_Toc13123"/>
      <w:r>
        <w:rPr>
          <w:rFonts w:hint="eastAsia" w:ascii="宋体" w:hAnsi="宋体" w:cs="宋体"/>
          <w:b/>
          <w:color w:val="auto"/>
          <w:sz w:val="28"/>
          <w:szCs w:val="28"/>
          <w:highlight w:val="none"/>
        </w:rPr>
        <w:t xml:space="preserve">（五）</w:t>
      </w:r>
      <w:r>
        <w:rPr>
          <w:rFonts w:hint="eastAsia" w:ascii="宋体" w:hAnsi="宋体" w:cs="宋体"/>
          <w:b/>
          <w:bCs/>
          <w:color w:val="auto"/>
          <w:sz w:val="28"/>
          <w:szCs w:val="28"/>
          <w:highlight w:val="none"/>
        </w:rPr>
        <w:t xml:space="preserve">政府采购政策功能落实</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采购本国产品的支持政策</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5.投标人需按照招标文件的要求提供《关于符合本国产品标准的声明函》（以下简称《声明函》）（格式见附件2），如不提供将不享受本国产品价格评审优惠。</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2"/>
        <w:spacing w:line="460" w:lineRule="exact"/>
        <w:rPr>
          <w:rFonts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）中标人的确定</w:t>
      </w:r>
      <w:bookmarkEnd w:id="161"/>
      <w:r/>
      <w:r/>
    </w:p>
    <w:p>
      <w:pPr>
        <w:ind w:firstLine="57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ascii="宋体" w:hAnsi="宋体" w:cs="宋体"/>
          <w:b/>
          <w:color w:val="auto"/>
          <w:sz w:val="28"/>
          <w:szCs w:val="28"/>
          <w:highlight w:val="none"/>
        </w:rPr>
        <w:outlineLvl w:val="2"/>
      </w:pPr>
      <w:r/>
      <w:bookmarkStart w:id="162" w:name="_Toc13"/>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）公告中标结果</w:t>
      </w:r>
      <w:bookmarkEnd w:id="16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ascii="宋体" w:hAnsi="宋体" w:cs="宋体"/>
          <w:b/>
          <w:bCs/>
          <w:color w:val="auto"/>
          <w:sz w:val="28"/>
          <w:szCs w:val="28"/>
          <w:highlight w:val="none"/>
        </w:rPr>
        <w:outlineLvl w:val="2"/>
      </w:pPr>
      <w:r/>
      <w:bookmarkStart w:id="163" w:name="_Toc27458"/>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bookmarkEnd w:id="163"/>
      <w:r/>
      <w:r/>
    </w:p>
    <w:p>
      <w:pPr>
        <w:ind w:firstLine="560"/>
        <w:spacing w:line="42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公告中标结果的同时，招标人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中标通知书发出后，招标人不得违法改变中标结果，中标人无正当理由不得放弃中标。</w:t>
      </w:r>
      <w:r/>
    </w:p>
    <w:p>
      <w:pPr>
        <w:ind w:firstLine="562"/>
        <w:spacing w:line="420" w:lineRule="exact"/>
        <w:rPr>
          <w:rFonts w:ascii="宋体" w:hAnsi="宋体" w:cs="宋体"/>
          <w:b/>
          <w:color w:val="auto"/>
          <w:sz w:val="28"/>
          <w:szCs w:val="28"/>
          <w:highlight w:val="none"/>
        </w:rPr>
        <w:outlineLvl w:val="2"/>
      </w:pPr>
      <w:r/>
      <w:bookmarkStart w:id="164" w:name="_Toc19733"/>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九</w:t>
      </w:r>
      <w:r>
        <w:rPr>
          <w:rFonts w:hint="eastAsia" w:ascii="宋体" w:hAnsi="宋体" w:cs="宋体"/>
          <w:b/>
          <w:color w:val="auto"/>
          <w:sz w:val="28"/>
          <w:szCs w:val="28"/>
          <w:highlight w:val="none"/>
        </w:rPr>
        <w:t xml:space="preserve">）其他</w:t>
      </w:r>
      <w:bookmarkEnd w:id="164"/>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当中标人无正当理由放弃中标，被查实存在影响中标结果的违法行为等情形，招标人有权按照政府采购相关法律法规的规定对其采取惩戒措施，包含但不限于列入采购失信人黑名单等措施。</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招标人拒签合同的情形等），招标人可以按照评标委员会提出的中标候选人名单排序依次确定其他中标候选人为中标人，也可以重新招标。</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65" w:name="_Toc23874"/>
      <w:r/>
      <w:bookmarkStart w:id="166" w:name="_Toc7997"/>
      <w:r>
        <w:rPr>
          <w:rFonts w:hint="eastAsia" w:ascii="宋体" w:hAnsi="宋体" w:cs="宋体"/>
          <w:bCs/>
          <w:color w:val="auto"/>
          <w:sz w:val="36"/>
          <w:szCs w:val="36"/>
          <w:highlight w:val="none"/>
        </w:rPr>
        <w:t xml:space="preserve">第五部分 质疑与投诉</w:t>
      </w:r>
      <w:bookmarkEnd w:id="165"/>
      <w:r/>
      <w:bookmarkEnd w:id="166"/>
      <w:r/>
      <w:r/>
    </w:p>
    <w:p>
      <w:pPr>
        <w:ind w:firstLine="560"/>
        <w:spacing w:line="460" w:lineRule="exact"/>
        <w:rPr>
          <w:rFonts w:ascii="宋体" w:hAnsi="宋体" w:cs="宋体"/>
          <w:color w:val="auto"/>
          <w:sz w:val="28"/>
          <w:szCs w:val="28"/>
          <w:highlight w:val="none"/>
        </w:rPr>
        <w:outlineLvl w:val="1"/>
      </w:pPr>
      <w:r/>
      <w:bookmarkStart w:id="167" w:name="_Toc23571"/>
      <w:r>
        <w:rPr>
          <w:rFonts w:hint="eastAsia" w:ascii="宋体" w:hAnsi="宋体" w:cs="宋体"/>
          <w:color w:val="auto"/>
          <w:sz w:val="28"/>
          <w:szCs w:val="28"/>
          <w:highlight w:val="none"/>
        </w:rPr>
        <w:t xml:space="preserve">一、质疑事项</w:t>
      </w:r>
      <w:bookmarkEnd w:id="167"/>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pStyle w:val="786"/>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w:t>
      </w:r>
      <w:r>
        <w:rPr>
          <w:rFonts w:hint="eastAsia" w:ascii="宋体" w:hAnsi="宋体" w:eastAsia="宋体" w:cs="宋体"/>
          <w:color w:val="auto"/>
          <w:sz w:val="28"/>
          <w:szCs w:val="28"/>
          <w:highlight w:val="none"/>
          <w:lang w:eastAsia="zh-CN"/>
        </w:rPr>
        <w:t xml:space="preserve">招标文件</w:t>
      </w:r>
      <w:r>
        <w:rPr>
          <w:rFonts w:hint="eastAsia" w:ascii="宋体" w:hAnsi="宋体" w:eastAsia="宋体" w:cs="宋体"/>
          <w:color w:val="auto"/>
          <w:sz w:val="28"/>
          <w:szCs w:val="28"/>
          <w:highlight w:val="none"/>
        </w:rPr>
        <w:t xml:space="preserve">（含更正公告等）内容的异议或质询（质疑）。</w:t>
      </w:r>
      <w:r/>
    </w:p>
    <w:p>
      <w:pPr>
        <w:ind w:firstLine="562"/>
        <w:spacing w:line="460" w:lineRule="exact"/>
        <w:rPr>
          <w:rFonts w:ascii="宋体" w:hAnsi="宋体" w:cs="宋体"/>
          <w:b/>
          <w:bCs/>
          <w:color w:val="auto"/>
          <w:sz w:val="28"/>
          <w:szCs w:val="28"/>
          <w:highlight w:val="none"/>
        </w:rPr>
        <w:outlineLvl w:val="2"/>
      </w:pPr>
      <w:r/>
      <w:bookmarkStart w:id="168" w:name="_Toc32024"/>
      <w:r>
        <w:rPr>
          <w:rFonts w:hint="eastAsia" w:ascii="宋体" w:hAnsi="宋体" w:cs="宋体"/>
          <w:b/>
          <w:bCs/>
          <w:color w:val="auto"/>
          <w:sz w:val="28"/>
          <w:szCs w:val="28"/>
          <w:highlight w:val="none"/>
        </w:rPr>
        <w:t xml:space="preserve">2.2对采购过程提出质疑的，为各采购程序环节结束之日；</w:t>
      </w:r>
      <w:bookmarkEnd w:id="168"/>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4.对招标</w:t>
      </w:r>
      <w:r>
        <w:rPr>
          <w:rFonts w:hint="eastAsia" w:ascii="宋体" w:hAnsi="宋体" w:cs="宋体"/>
          <w:color w:val="auto"/>
          <w:sz w:val="28"/>
          <w:szCs w:val="28"/>
          <w:highlight w:val="none"/>
          <w:lang w:eastAsia="zh-CN"/>
        </w:rPr>
        <w:t xml:space="preserve">方</w:t>
      </w:r>
      <w:r>
        <w:rPr>
          <w:rFonts w:hint="eastAsia" w:ascii="宋体" w:hAnsi="宋体" w:cs="宋体"/>
          <w:color w:val="auto"/>
          <w:sz w:val="28"/>
          <w:szCs w:val="28"/>
          <w:highlight w:val="none"/>
        </w:rPr>
        <w:t xml:space="preserve">式、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招标人及招标代理机构质疑接收人及联系方式，见招标文件第一部分。</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ascii="宋体" w:hAnsi="宋体" w:cs="宋体"/>
          <w:color w:val="auto"/>
          <w:sz w:val="28"/>
          <w:szCs w:val="28"/>
          <w:highlight w:val="none"/>
        </w:rPr>
        <w:outlineLvl w:val="1"/>
      </w:pPr>
      <w:r/>
      <w:bookmarkStart w:id="169" w:name="_Toc32547"/>
      <w:r>
        <w:rPr>
          <w:rFonts w:hint="eastAsia" w:ascii="宋体" w:hAnsi="宋体" w:cs="宋体"/>
          <w:color w:val="auto"/>
          <w:sz w:val="28"/>
          <w:szCs w:val="28"/>
          <w:highlight w:val="none"/>
        </w:rPr>
        <w:t xml:space="preserve">二、《质疑函》的受理和回复</w:t>
      </w:r>
      <w:bookmarkEnd w:id="169"/>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5.因质疑情况复杂，组织论证或审查时间较长的，招标人、代理机构以书面形式通知质疑人，可适当延长质疑回复处理时间。</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①质疑成立的处理。招标人或代理机构终止招标，并建议有关部门给相关当事人予以处理。</w:t>
      </w:r>
      <w:r/>
    </w:p>
    <w:p>
      <w:pPr>
        <w:contextualSpacing/>
        <w:ind w:firstLine="560"/>
        <w:spacing w:line="460" w:lineRule="exact"/>
        <w:rPr>
          <w:rFonts w:ascii="宋体" w:hAnsi="宋体" w:cs="宋体"/>
          <w:color w:val="auto"/>
          <w:sz w:val="28"/>
          <w:szCs w:val="28"/>
          <w:highlight w:val="none"/>
        </w:rPr>
        <w:outlineLvl w:val="2"/>
      </w:pPr>
      <w:r/>
      <w:bookmarkStart w:id="170" w:name="_Toc18082"/>
      <w:r>
        <w:rPr>
          <w:rFonts w:hint="eastAsia" w:ascii="宋体" w:hAnsi="宋体" w:cs="宋体"/>
          <w:color w:val="auto"/>
          <w:sz w:val="28"/>
          <w:szCs w:val="28"/>
          <w:highlight w:val="none"/>
        </w:rPr>
        <w:t xml:space="preserve">②质疑不成立的处理。</w:t>
      </w:r>
      <w:bookmarkEnd w:id="170"/>
      <w:r/>
      <w:r/>
    </w:p>
    <w:p>
      <w:pPr>
        <w:contextualSpacing/>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4）质疑人虽提供了相关佐证材料，但不能证明其质疑成立的，招标人或代理机构请质疑人补充相关佐证材料，仍不能证明其质疑成立的，作违约处理。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5）质疑人不能提供相关佐证材料的，招标人、代理机构已指出，质疑人仍然坚持提出质疑的，作违约处理。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6）对明显有违事实的、经相关专家或评标小组认定无依据的、经其他投标人举证无依据的质疑，作违约处理，视情在招标人官网媒体予以披露。</w:t>
      </w:r>
      <w:r/>
    </w:p>
    <w:p>
      <w:pPr>
        <w:contextualSpacing/>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四、投诉不成立的作违约处理。投标人进行质疑后，招标人回复质疑不成立，投标人仍进行投诉的，并最终投诉不成立的，作违约处理。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五、《质疑函》《质疑回复函》，质疑、举报、投诉不成立等相关情况，视情在招标人官网等相关媒体予以披露。</w:t>
      </w:r>
      <w:r/>
    </w:p>
    <w:p>
      <w:pPr>
        <w:ind w:firstLine="560"/>
        <w:spacing w:line="460" w:lineRule="exact"/>
        <w:rPr>
          <w:rFonts w:ascii="宋体" w:hAnsi="宋体" w:cs="宋体"/>
          <w:bCs/>
          <w:color w:val="auto"/>
          <w:sz w:val="36"/>
          <w:szCs w:val="36"/>
          <w:highlight w:val="none"/>
        </w:rPr>
      </w:pPr>
      <w:r>
        <w:rPr>
          <w:rFonts w:hint="eastAsia" w:ascii="宋体" w:hAnsi="宋体" w:cs="宋体"/>
          <w:color w:val="auto"/>
          <w:sz w:val="28"/>
          <w:szCs w:val="28"/>
          <w:highlight w:val="none"/>
        </w:rPr>
        <w:t xml:space="preserve">六、质疑人对招标人或代理机构的答复不满意或者招标人、代理机构未在规定的时间内作出答复的，可以在答复期满后15个工作日内向相关监督管理部门投诉。</w:t>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bookmarkStart w:id="171" w:name="_Toc12704"/>
      <w:r/>
      <w:bookmarkStart w:id="172" w:name="_Toc20594"/>
      <w:r>
        <w:rPr>
          <w:rFonts w:hint="eastAsia" w:ascii="宋体" w:hAnsi="宋体" w:cs="宋体"/>
          <w:bCs/>
          <w:color w:val="auto"/>
          <w:sz w:val="36"/>
          <w:szCs w:val="36"/>
          <w:highlight w:val="none"/>
        </w:rPr>
        <w:t xml:space="preserve">第六部分  投标文件组成</w:t>
      </w:r>
      <w:bookmarkEnd w:id="171"/>
      <w:r/>
      <w:bookmarkEnd w:id="172"/>
      <w:r/>
      <w:r/>
    </w:p>
    <w:p>
      <w:pPr>
        <w:ind w:left="480"/>
        <w:spacing w:line="460" w:lineRule="exact"/>
        <w:rPr>
          <w:rFonts w:ascii="宋体" w:hAnsi="宋体" w:cs="宋体"/>
          <w:b/>
          <w:color w:val="auto"/>
          <w:sz w:val="28"/>
          <w:szCs w:val="28"/>
          <w:highlight w:val="none"/>
        </w:rPr>
        <w:outlineLvl w:val="1"/>
      </w:pPr>
      <w:r/>
      <w:bookmarkStart w:id="173" w:name="_Toc30344"/>
      <w:r>
        <w:rPr>
          <w:rFonts w:hint="eastAsia" w:ascii="宋体" w:hAnsi="宋体" w:cs="宋体"/>
          <w:b/>
          <w:color w:val="auto"/>
          <w:sz w:val="28"/>
          <w:szCs w:val="28"/>
          <w:highlight w:val="none"/>
        </w:rPr>
        <w:t xml:space="preserve">一、基本目录</w:t>
      </w:r>
      <w:bookmarkEnd w:id="173"/>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lang w:eastAsia="zh-CN"/>
        </w:rPr>
        <w:t xml:space="preserve">苏采云</w:t>
      </w:r>
      <w:r>
        <w:rPr>
          <w:rFonts w:hint="eastAsia" w:ascii="宋体" w:hAnsi="宋体" w:cs="宋体"/>
          <w:bCs/>
          <w:color w:val="auto"/>
          <w:sz w:val="28"/>
          <w:szCs w:val="28"/>
          <w:highlight w:val="none"/>
        </w:rPr>
        <w:t xml:space="preserve">系统固定格式</w:t>
      </w:r>
      <w:r>
        <w:rPr>
          <w:rFonts w:hint="eastAsia" w:ascii="宋体" w:hAnsi="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460" w:lineRule="exact"/>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lang w:val="zh-CN"/>
        </w:rPr>
        <w:t xml:space="preserve">）；</w:t>
      </w:r>
      <w:r/>
    </w:p>
    <w:p>
      <w:pPr>
        <w:ind w:firstLine="560"/>
        <w:spacing w:line="440" w:lineRule="exact"/>
        <w:rPr>
          <w:rFonts w:ascii="宋体" w:hAnsi="宋体" w:cs="宋体"/>
          <w:color w:val="auto"/>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p>
    <w:p>
      <w:pPr>
        <w:ind w:left="480"/>
        <w:spacing w:line="460" w:lineRule="exact"/>
        <w:rPr>
          <w:rFonts w:ascii="宋体" w:hAnsi="宋体" w:cs="宋体"/>
          <w:b/>
          <w:color w:val="auto"/>
          <w:sz w:val="28"/>
          <w:szCs w:val="28"/>
          <w:highlight w:val="none"/>
        </w:rPr>
        <w:outlineLvl w:val="1"/>
      </w:pPr>
      <w:r/>
      <w:bookmarkStart w:id="174" w:name="_Toc19557"/>
      <w:r>
        <w:rPr>
          <w:rFonts w:hint="eastAsia" w:ascii="宋体" w:hAnsi="宋体" w:cs="宋体"/>
          <w:b/>
          <w:color w:val="auto"/>
          <w:sz w:val="28"/>
          <w:szCs w:val="28"/>
          <w:highlight w:val="none"/>
        </w:rPr>
        <w:t xml:space="preserve">二、资格审查内容</w:t>
      </w:r>
      <w:bookmarkEnd w:id="174"/>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outlineLvl w:val="2"/>
      </w:pPr>
      <w:r/>
      <w:bookmarkStart w:id="175"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bookmarkEnd w:id="175"/>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olor w:val="auto"/>
          <w:sz w:val="28"/>
          <w:szCs w:val="28"/>
          <w:highlight w:val="none"/>
          <w:lang w:val="en-US" w:eastAsia="zh-CN"/>
        </w:rPr>
        <w:t xml:space="preserve">其他</w:t>
      </w:r>
      <w:r>
        <w:rPr>
          <w:rFonts w:hint="eastAsia" w:ascii="宋体" w:hAnsi="宋体"/>
          <w:color w:val="auto"/>
          <w:sz w:val="28"/>
          <w:szCs w:val="28"/>
          <w:highlight w:val="none"/>
          <w:lang w:val="zh-CN"/>
        </w:rPr>
        <w:t xml:space="preserve">需要提交的资格审查证明材料（以下满足其一即可）：</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lang w:val="zh-CN"/>
        </w:rPr>
        <w:t xml:space="preserve">）；</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lang w:val="zh-CN"/>
        </w:rPr>
        <w:t xml:space="preserve">）；</w:t>
      </w:r>
      <w:r/>
    </w:p>
    <w:p>
      <w:pPr>
        <w:ind w:firstLine="560"/>
        <w:spacing w:line="440" w:lineRule="exact"/>
        <w:rPr>
          <w:rFonts w:hint="default" w:ascii="宋体" w:hAnsi="宋体" w:eastAsia="宋体" w:cs="宋体"/>
          <w:b w:val="0"/>
          <w:bCs/>
          <w:color w:val="auto"/>
          <w:sz w:val="28"/>
          <w:szCs w:val="28"/>
          <w:highlight w:val="none"/>
          <w:lang w:val="en-US" w:eastAsia="zh-CN"/>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监狱和戒毒管理部门所属企业证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lang w:val="zh-CN"/>
        </w:rPr>
        <w:t xml:space="preserve">）；</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条投标人必须逐条响应，否则作无效响应处理。</w:t>
      </w:r>
      <w:r/>
    </w:p>
    <w:p>
      <w:pPr>
        <w:ind w:left="480"/>
        <w:spacing w:line="460" w:lineRule="exact"/>
        <w:rPr>
          <w:rFonts w:ascii="宋体" w:hAnsi="宋体" w:cs="宋体"/>
          <w:b/>
          <w:color w:val="auto"/>
          <w:sz w:val="28"/>
          <w:szCs w:val="28"/>
          <w:highlight w:val="none"/>
        </w:rPr>
        <w:outlineLvl w:val="1"/>
      </w:pPr>
      <w:r/>
      <w:bookmarkStart w:id="176" w:name="_Toc2566"/>
      <w:r>
        <w:rPr>
          <w:rFonts w:hint="eastAsia" w:ascii="宋体" w:hAnsi="宋体" w:cs="宋体"/>
          <w:b/>
          <w:color w:val="auto"/>
          <w:sz w:val="28"/>
          <w:szCs w:val="28"/>
          <w:highlight w:val="none"/>
        </w:rPr>
        <w:t xml:space="preserve">三、符合性审查内容</w:t>
      </w:r>
      <w:bookmarkEnd w:id="176"/>
      <w:r/>
      <w:r/>
    </w:p>
    <w:p>
      <w:pPr>
        <w:ind w:firstLine="560"/>
        <w:jc w:val="left"/>
        <w:spacing w:line="440" w:lineRule="exact"/>
        <w:rPr>
          <w:rFonts w:ascii="宋体" w:hAnsi="宋体" w:cs="宋体"/>
          <w:bCs/>
          <w:color w:val="auto"/>
          <w:sz w:val="28"/>
          <w:szCs w:val="28"/>
          <w:highlight w:val="none"/>
        </w:rPr>
        <w:outlineLvl w:val="1"/>
      </w:pPr>
      <w:r/>
      <w:bookmarkStart w:id="177" w:name="_Toc21971"/>
      <w:r>
        <w:rPr>
          <w:rFonts w:hint="eastAsia" w:ascii="宋体" w:hAnsi="宋体" w:cs="宋体"/>
          <w:bCs/>
          <w:color w:val="auto"/>
          <w:sz w:val="28"/>
          <w:szCs w:val="28"/>
          <w:highlight w:val="none"/>
        </w:rPr>
        <w:t xml:space="preserve">1.按招标文件第三部分 项目需求“</w:t>
      </w:r>
      <w:r>
        <w:rPr>
          <w:rFonts w:hint="eastAsia" w:ascii="宋体" w:hAnsi="宋体" w:cs="宋体"/>
          <w:bCs/>
          <w:color w:val="auto"/>
          <w:sz w:val="28"/>
          <w:szCs w:val="28"/>
          <w:highlight w:val="none"/>
          <w:lang w:eastAsia="zh-CN"/>
        </w:rPr>
        <w:t xml:space="preserve">十</w:t>
      </w:r>
      <w:r>
        <w:rPr>
          <w:rFonts w:hint="eastAsia" w:ascii="宋体" w:hAnsi="宋体" w:cs="宋体"/>
          <w:bCs/>
          <w:color w:val="auto"/>
          <w:sz w:val="28"/>
          <w:szCs w:val="28"/>
          <w:highlight w:val="none"/>
        </w:rPr>
        <w:t xml:space="preserve">、采购需求中必须满足的实质性要求”提供</w:t>
      </w:r>
      <w:r>
        <w:rPr>
          <w:rFonts w:hint="eastAsia" w:ascii="宋体" w:hAnsi="宋体" w:cs="宋体"/>
          <w:bCs/>
          <w:color w:val="auto"/>
          <w:sz w:val="28"/>
          <w:szCs w:val="28"/>
          <w:highlight w:val="none"/>
          <w:lang w:eastAsia="zh-CN"/>
        </w:rPr>
        <w:t xml:space="preserve">承诺函</w:t>
      </w:r>
      <w:r>
        <w:rPr>
          <w:rFonts w:hint="eastAsia" w:ascii="宋体" w:hAnsi="宋体" w:cs="宋体"/>
          <w:bCs/>
          <w:color w:val="auto"/>
          <w:sz w:val="28"/>
          <w:szCs w:val="28"/>
          <w:highlight w:val="none"/>
        </w:rPr>
        <w:t xml:space="preserve">。</w:t>
      </w:r>
      <w:r/>
    </w:p>
    <w:p>
      <w:pPr>
        <w:ind w:firstLine="562"/>
        <w:jc w:val="left"/>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7"/>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contextualSpacing/>
        <w:ind w:firstLine="562"/>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32"/>
          <w:szCs w:val="32"/>
          <w:highlight w:val="none"/>
          <w:lang w:val="zh-CN"/>
        </w:rPr>
        <w:br w:type="page" w:clear="all"/>
      </w:r>
      <w:r/>
    </w:p>
    <w:p>
      <w:pPr>
        <w:contextualSpacing/>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1</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tbl>
      <w:tblPr>
        <w:tblStyle w:val="793"/>
        <w:tblW w:w="10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
        <w:gridCol w:w="856"/>
        <w:gridCol w:w="1677"/>
        <w:gridCol w:w="602"/>
        <w:gridCol w:w="645"/>
        <w:gridCol w:w="900"/>
        <w:gridCol w:w="1065"/>
        <w:gridCol w:w="1020"/>
        <w:gridCol w:w="803"/>
        <w:gridCol w:w="987"/>
        <w:gridCol w:w="987"/>
      </w:tblGrid>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产品</w:t>
            </w:r>
            <w:r>
              <w:rPr>
                <w:rFonts w:hint="eastAsia" w:ascii="宋体" w:hAnsi="宋体" w:eastAsia="宋体" w:cs="宋体"/>
                <w:color w:val="auto"/>
                <w:sz w:val="28"/>
                <w:szCs w:val="28"/>
                <w:highlight w:val="none"/>
              </w:rPr>
              <w:t xml:space="preserve">名称</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单位</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品牌</w:t>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contextualSpacing/>
              <w:jc w:val="center"/>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规格型号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contextualSpacing/>
              <w:jc w:val="center"/>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制造商名称</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contextualSpacing/>
              <w:jc w:val="center"/>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产地</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contextualSpacing/>
              <w:jc w:val="center"/>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投标单价（元）</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contextualSpacing/>
              <w:jc w:val="center"/>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投标合价（元）</w:t>
            </w:r>
            <w:r/>
          </w:p>
        </w:tc>
      </w:tr>
      <w:tr>
        <w:trPr>
          <w:jc w:val="center"/>
          <w:trHeight w:val="815"/>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spacing w:line="460" w:lineRule="exact"/>
              <w:rPr>
                <w:rFonts w:hint="eastAsia" w:ascii="宋体" w:hAnsi="宋体" w:eastAsia="宋体" w:cs="宋体"/>
                <w:color w:val="auto"/>
                <w:sz w:val="28"/>
                <w:szCs w:val="28"/>
                <w:highlight w:val="none"/>
                <w:lang w:val="en-US" w:eastAsia="zh-CN"/>
              </w:rPr>
            </w:pPr>
            <w:r>
              <w:rPr>
                <w:rFonts w:ascii="宋体" w:hAnsi="宋体" w:cs="宋体"/>
                <w:bCs/>
                <w:color w:val="auto"/>
                <w:sz w:val="24"/>
                <w:highlight w:val="none"/>
              </w:rPr>
              <w:t xml:space="preserve">上下铺铁床</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left"/>
              <w:spacing w:line="460" w:lineRule="exact"/>
              <w:rPr>
                <w:rFonts w:hint="eastAsia" w:ascii="宋体" w:hAnsi="宋体" w:cs="仿宋"/>
                <w:color w:val="auto"/>
                <w:sz w:val="24"/>
                <w:highlight w:val="none"/>
                <w:lang w:val="en-US" w:eastAsia="zh-CN"/>
              </w:rPr>
            </w:pPr>
            <w:r>
              <w:rPr>
                <w:rFonts w:hint="eastAsia" w:ascii="宋体" w:hAnsi="宋体" w:cs="宋体"/>
                <w:color w:val="auto"/>
                <w:sz w:val="24"/>
                <w:highlight w:val="none"/>
              </w:rPr>
              <w:t xml:space="preserve">1980*900*1970mm，蚊帐支架高800mm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hint="eastAsia" w:ascii="宋体" w:hAnsi="宋体" w:cs="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套</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contextualSpacing/>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ascii="宋体" w:hAnsi="宋体" w:cs="宋体"/>
                <w:bCs/>
                <w:color w:val="auto"/>
                <w:sz w:val="24"/>
                <w:highlight w:val="none"/>
              </w:rPr>
              <w:t xml:space="preserve">书桌</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left"/>
              <w:spacing w:line="460" w:lineRule="exact"/>
              <w:widowControl/>
              <w:rPr>
                <w:rFonts w:hint="eastAsia" w:ascii="宋体" w:hAnsi="宋体" w:cs="仿宋"/>
                <w:color w:val="auto"/>
                <w:sz w:val="24"/>
                <w:highlight w:val="none"/>
                <w:lang w:val="en-US" w:eastAsia="zh-CN"/>
              </w:rPr>
            </w:pPr>
            <w:r>
              <w:rPr>
                <w:rFonts w:hint="eastAsia" w:ascii="宋体" w:hAnsi="宋体" w:cs="宋体"/>
                <w:color w:val="auto"/>
                <w:sz w:val="24"/>
                <w:highlight w:val="none"/>
              </w:rPr>
              <w:t xml:space="preserve">1000*600*1868mm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hint="eastAsia" w:ascii="宋体" w:hAnsi="宋体" w:cs="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spacing w:line="46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衣柜</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left"/>
              <w:spacing w:line="460" w:lineRule="exact"/>
              <w:widowControl/>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1500*600*1780</w:t>
            </w:r>
            <w:r>
              <w:rPr>
                <w:rFonts w:hint="eastAsia" w:ascii="宋体" w:hAnsi="宋体" w:cs="宋体"/>
                <w:color w:val="auto"/>
                <w:sz w:val="24"/>
                <w:szCs w:val="24"/>
                <w:highlight w:val="none"/>
              </w:rPr>
              <w:t xml:space="preserve">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default" w:ascii="宋体" w:hAnsi="宋体" w:cs="仿宋"/>
                <w:color w:val="auto"/>
                <w:sz w:val="24"/>
                <w:highlight w:val="none"/>
                <w:lang w:val="en-US" w:eastAsia="zh-CN"/>
              </w:rPr>
            </w:pPr>
            <w:r>
              <w:rPr>
                <w:rFonts w:hint="eastAsia" w:ascii="宋体" w:hAnsi="宋体" w:cs="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218"/>
        </w:trPr>
        <w:tc>
          <w:tcPr>
            <w:gridSpan w:val="2"/>
            <w:tcBorders>
              <w:top w:val="single" w:color="auto" w:sz="4" w:space="0"/>
              <w:left w:val="single" w:color="auto" w:sz="4" w:space="0"/>
              <w:right w:val="single" w:color="auto" w:sz="4" w:space="0"/>
            </w:tcBorders>
            <w:tcW w:w="754" w:type="dxa"/>
            <w:vAlign w:val="center"/>
            <w:vMerge w:val="restart"/>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p>
        </w:tc>
        <w:tc>
          <w:tcPr>
            <w:tcBorders>
              <w:top w:val="single" w:color="auto" w:sz="4" w:space="0"/>
              <w:left w:val="none" w:color="000000" w:sz="4" w:space="0"/>
              <w:right w:val="single" w:color="auto" w:sz="4" w:space="0"/>
            </w:tcBorders>
            <w:tcW w:w="856" w:type="dxa"/>
            <w:vAlign w:val="center"/>
            <w:vMerge w:val="restart"/>
            <w:textDirection w:val="lrTb"/>
            <w:noWrap w:val="false"/>
          </w:tcPr>
          <w:p>
            <w:pPr>
              <w:jc w:val="center"/>
              <w:spacing w:line="460" w:lineRule="exact"/>
              <w:widowControl/>
              <w:rPr>
                <w:rFonts w:hint="eastAsia" w:ascii="宋体" w:hAnsi="宋体" w:cs="宋体"/>
                <w:color w:val="auto"/>
                <w:sz w:val="28"/>
                <w:szCs w:val="28"/>
                <w:highlight w:val="none"/>
                <w:lang w:val="en-US" w:eastAsia="zh-CN"/>
              </w:rPr>
            </w:pPr>
            <w:r>
              <w:rPr>
                <w:rFonts w:ascii="宋体" w:hAnsi="宋体" w:cs="宋体"/>
                <w:color w:val="auto"/>
                <w:sz w:val="24"/>
                <w:highlight w:val="none"/>
              </w:rPr>
              <w:t xml:space="preserve">公寓床</w:t>
            </w:r>
            <w:r/>
          </w:p>
        </w:tc>
        <w:tc>
          <w:tcPr>
            <w:tcBorders>
              <w:top w:val="single" w:color="auto" w:sz="4" w:space="0"/>
              <w:left w:val="none" w:color="000000" w:sz="4" w:space="0"/>
              <w:bottom w:val="single" w:color="auto" w:sz="4" w:space="0"/>
              <w:right w:val="single" w:color="auto" w:sz="4" w:space="0"/>
            </w:tcBorders>
            <w:tcW w:w="1677" w:type="dxa"/>
            <w:vAlign w:val="top"/>
            <w:vMerge w:val="restart"/>
            <w:textDirection w:val="lrTb"/>
            <w:noWrap w:val="false"/>
          </w:tcPr>
          <w:p>
            <w:pPr>
              <w:jc w:val="left"/>
              <w:spacing w:line="460" w:lineRule="exact"/>
              <w:rPr>
                <w:rFonts w:hint="eastAsia" w:ascii="宋体" w:hAnsi="宋体" w:cs="仿宋"/>
                <w:color w:val="auto"/>
                <w:sz w:val="24"/>
                <w:highlight w:val="none"/>
                <w:lang w:val="en-US" w:eastAsia="zh-CN"/>
              </w:rPr>
            </w:pPr>
            <w:r>
              <w:rPr>
                <w:rFonts w:hint="eastAsia" w:ascii="宋体" w:hAnsi="宋体"/>
                <w:color w:val="auto"/>
                <w:sz w:val="24"/>
                <w:highlight w:val="none"/>
              </w:rPr>
              <w:t xml:space="preserve">两联3950*900*2150mm，蚊帐支架高800mm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hint="eastAsia" w:ascii="宋体" w:hAnsi="宋体" w:cs="仿宋"/>
                <w:color w:val="auto"/>
                <w:sz w:val="24"/>
                <w:highlight w:val="none"/>
                <w:lang w:val="en-US" w:eastAsia="zh-CN"/>
              </w:rPr>
              <w:t xml:space="preserve">296</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contextualSpacing/>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218"/>
        </w:trPr>
        <w:tc>
          <w:tcPr>
            <w:gridSpan w:val="2"/>
            <w:tcBorders>
              <w:left w:val="single" w:color="auto" w:sz="4" w:space="0"/>
              <w:bottom w:val="single" w:color="auto" w:sz="4" w:space="0"/>
              <w:right w:val="single" w:color="auto" w:sz="4" w:space="0"/>
            </w:tcBorders>
            <w:tcW w:w="754" w:type="dxa"/>
            <w:vAlign w:val="center"/>
            <w:vMerge w:val="continue"/>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none" w:color="000000" w:sz="4" w:space="0"/>
              <w:bottom w:val="single" w:color="auto" w:sz="4" w:space="0"/>
              <w:right w:val="single" w:color="auto" w:sz="4" w:space="0"/>
            </w:tcBorders>
            <w:tcW w:w="856" w:type="dxa"/>
            <w:vAlign w:val="center"/>
            <w:vMerge w:val="continue"/>
            <w:textDirection w:val="lrTb"/>
            <w:noWrap w:val="false"/>
          </w:tcPr>
          <w:p>
            <w:pPr>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tc>
        <w:tc>
          <w:tcPr>
            <w:tcBorders>
              <w:top w:val="single" w:color="auto" w:sz="4" w:space="0"/>
              <w:left w:val="none" w:color="000000" w:sz="4" w:space="0"/>
              <w:bottom w:val="single" w:color="auto" w:sz="4" w:space="0"/>
              <w:right w:val="single" w:color="auto" w:sz="4" w:space="0"/>
            </w:tcBorders>
            <w:tcW w:w="1677" w:type="dxa"/>
            <w:vAlign w:val="top"/>
            <w:textDirection w:val="lrTb"/>
            <w:noWrap w:val="false"/>
          </w:tcPr>
          <w:p>
            <w:pPr>
              <w:jc w:val="left"/>
              <w:spacing w:line="460" w:lineRule="exact"/>
              <w:rPr>
                <w:rFonts w:hint="eastAsia" w:ascii="宋体" w:hAnsi="宋体" w:cs="仿宋"/>
                <w:color w:val="auto"/>
                <w:sz w:val="24"/>
                <w:highlight w:val="none"/>
                <w:lang w:val="en-US" w:eastAsia="zh-CN"/>
              </w:rPr>
            </w:pPr>
            <w:r>
              <w:rPr>
                <w:rFonts w:hint="eastAsia" w:ascii="宋体" w:hAnsi="宋体"/>
                <w:color w:val="auto"/>
                <w:sz w:val="24"/>
                <w:highlight w:val="none"/>
              </w:rPr>
              <w:t xml:space="preserve">单联1996*900*2150mm，蚊帐支架高800mm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hint="eastAsia" w:ascii="宋体" w:hAnsi="宋体" w:cs="仿宋"/>
                <w:color w:val="auto"/>
                <w:sz w:val="24"/>
                <w:highlight w:val="none"/>
                <w:lang w:val="en-US" w:eastAsia="zh-CN"/>
              </w:rPr>
              <w:t xml:space="preserve">284</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spacing w:line="460" w:lineRule="exact"/>
              <w:widowControl/>
              <w:rPr>
                <w:rFonts w:hint="eastAsia" w:ascii="宋体" w:hAnsi="宋体" w:cs="宋体"/>
                <w:color w:val="auto"/>
                <w:sz w:val="28"/>
                <w:szCs w:val="28"/>
                <w:highlight w:val="none"/>
                <w:lang w:val="en-US" w:eastAsia="zh-CN"/>
              </w:rPr>
            </w:pPr>
            <w:r>
              <w:rPr>
                <w:rFonts w:ascii="宋体" w:hAnsi="宋体" w:cs="宋体"/>
                <w:color w:val="auto"/>
                <w:sz w:val="24"/>
                <w:highlight w:val="none"/>
              </w:rPr>
              <w:t xml:space="preserve">组合书桌</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left"/>
              <w:spacing w:line="460" w:lineRule="exact"/>
              <w:widowControl/>
              <w:rPr>
                <w:rFonts w:hint="eastAsia" w:ascii="宋体" w:hAnsi="宋体" w:cs="仿宋"/>
                <w:color w:val="auto"/>
                <w:sz w:val="24"/>
                <w:highlight w:val="none"/>
                <w:lang w:val="en-US" w:eastAsia="zh-CN"/>
              </w:rPr>
            </w:pPr>
            <w:r>
              <w:rPr>
                <w:rFonts w:hint="eastAsia" w:ascii="宋体" w:hAnsi="宋体" w:cs="宋体"/>
                <w:color w:val="auto"/>
                <w:sz w:val="24"/>
                <w:highlight w:val="none"/>
              </w:rPr>
              <w:t xml:space="preserve">1890*820*1680mm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hint="eastAsia" w:ascii="宋体" w:hAnsi="宋体" w:cs="仿宋"/>
                <w:color w:val="auto"/>
                <w:sz w:val="24"/>
                <w:highlight w:val="none"/>
                <w:lang w:val="en-US" w:eastAsia="zh-CN"/>
              </w:rPr>
              <w:t xml:space="preserve">876</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contextualSpacing/>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spacing w:line="460" w:lineRule="exact"/>
              <w:widowControl/>
              <w:rPr>
                <w:rFonts w:hint="eastAsia" w:ascii="宋体" w:hAnsi="宋体" w:cs="宋体"/>
                <w:color w:val="auto"/>
                <w:sz w:val="28"/>
                <w:szCs w:val="28"/>
                <w:highlight w:val="none"/>
                <w:lang w:val="en-US" w:eastAsia="zh-CN"/>
              </w:rPr>
            </w:pPr>
            <w:r>
              <w:rPr>
                <w:rFonts w:ascii="宋体" w:hAnsi="宋体" w:cs="宋体"/>
                <w:color w:val="auto"/>
                <w:sz w:val="24"/>
                <w:highlight w:val="none"/>
              </w:rPr>
              <w:t xml:space="preserve">铝合金方凳</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left"/>
              <w:spacing w:line="460" w:lineRule="exact"/>
              <w:widowControl/>
              <w:rPr>
                <w:rFonts w:hint="eastAsia" w:ascii="宋体" w:hAnsi="宋体" w:cs="仿宋"/>
                <w:color w:val="auto"/>
                <w:sz w:val="24"/>
                <w:highlight w:val="none"/>
                <w:lang w:val="en-US" w:eastAsia="zh-CN"/>
              </w:rPr>
            </w:pPr>
            <w:r>
              <w:rPr>
                <w:rFonts w:hint="eastAsia" w:ascii="宋体" w:hAnsi="宋体" w:cs="宋体"/>
                <w:color w:val="auto"/>
                <w:sz w:val="24"/>
                <w:highlight w:val="none"/>
              </w:rPr>
              <w:t xml:space="preserve">不低于3</w:t>
            </w:r>
            <w:r>
              <w:rPr>
                <w:rFonts w:ascii="宋体" w:hAnsi="宋体" w:cs="宋体"/>
                <w:color w:val="auto"/>
                <w:sz w:val="24"/>
                <w:highlight w:val="none"/>
              </w:rPr>
              <w:t xml:space="preserve">80*280*450mm</w:t>
            </w:r>
            <w:r/>
          </w:p>
        </w:tc>
        <w:tc>
          <w:tcPr>
            <w:tcBorders>
              <w:top w:val="single" w:color="auto" w:sz="4" w:space="0"/>
              <w:left w:val="none" w:color="000000" w:sz="4" w:space="0"/>
              <w:bottom w:val="single" w:color="auto" w:sz="4" w:space="0"/>
              <w:right w:val="single" w:color="auto" w:sz="4" w:space="0"/>
            </w:tcBorders>
            <w:tcW w:w="602" w:type="dxa"/>
            <w:vAlign w:val="center"/>
            <w:textDirection w:val="lrTb"/>
            <w:noWrap w:val="false"/>
          </w:tcPr>
          <w:p>
            <w:pPr>
              <w:jc w:val="center"/>
              <w:spacing w:line="460" w:lineRule="exact"/>
              <w:rPr>
                <w:rFonts w:hint="eastAsia" w:ascii="宋体" w:hAnsi="宋体" w:eastAsia="宋体" w:cs="宋体"/>
                <w:color w:val="auto"/>
                <w:sz w:val="28"/>
                <w:szCs w:val="28"/>
                <w:highlight w:val="none"/>
              </w:rPr>
            </w:pPr>
            <w:r>
              <w:rPr>
                <w:rFonts w:hint="eastAsia" w:ascii="宋体" w:hAnsi="宋体" w:cs="仿宋"/>
                <w:color w:val="auto"/>
                <w:sz w:val="24"/>
                <w:highlight w:val="none"/>
                <w:lang w:val="en-US" w:eastAsia="zh-CN"/>
              </w:rPr>
              <w:t xml:space="preserve">900</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4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w:t>
            </w:r>
            <w:r/>
          </w:p>
        </w:tc>
        <w:tc>
          <w:tcPr>
            <w:gridSpan w:val="8"/>
            <w:tcBorders>
              <w:top w:val="single" w:color="auto" w:sz="4" w:space="0"/>
              <w:left w:val="none" w:color="000000" w:sz="4" w:space="0"/>
              <w:bottom w:val="single" w:color="auto" w:sz="4" w:space="0"/>
              <w:right w:val="single" w:color="auto" w:sz="4" w:space="0"/>
            </w:tcBorders>
            <w:tcW w:w="7568" w:type="dxa"/>
            <w:vAlign w:val="center"/>
            <w:textDirection w:val="lrTb"/>
            <w:noWrap w:val="false"/>
          </w:tcPr>
          <w:p>
            <w:pP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合计（元）</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jc w:val="center"/>
          <w:trHeight w:val="4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gridSpan w:val="11"/>
            <w:tcBorders>
              <w:top w:val="single" w:color="auto" w:sz="4" w:space="0"/>
              <w:left w:val="single" w:color="auto" w:sz="4" w:space="0"/>
              <w:bottom w:val="single" w:color="auto" w:sz="4" w:space="0"/>
              <w:right w:val="single" w:color="auto" w:sz="4" w:space="0"/>
            </w:tcBorders>
            <w:tcW w:w="9576" w:type="dxa"/>
            <w:vAlign w:val="center"/>
            <w:textDirection w:val="lrTb"/>
            <w:noWrap w:val="false"/>
          </w:tcPr>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 %。</w:t>
            </w:r>
            <w:r/>
          </w:p>
        </w:tc>
      </w:tr>
    </w:tbl>
    <w:p>
      <w:pPr>
        <w:pStyle w:val="1102"/>
        <w:ind w:left="0" w:firstLine="0"/>
        <w:rPr>
          <w:rFonts w:ascii="宋体" w:hAnsi="宋体" w:eastAsia="宋体" w:cs="宋体"/>
          <w:b/>
          <w:color w:val="auto"/>
          <w:szCs w:val="28"/>
          <w:highlight w:val="none"/>
        </w:rPr>
      </w:pPr>
      <w:r>
        <w:rPr>
          <w:rFonts w:ascii="宋体" w:hAnsi="宋体" w:eastAsia="宋体" w:cs="宋体"/>
          <w:b/>
          <w:color w:val="auto"/>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w:t>
      </w:r>
      <w:r>
        <w:rPr>
          <w:rFonts w:hint="eastAsia" w:ascii="宋体" w:hAnsi="宋体" w:cs="宋体"/>
          <w:color w:val="auto"/>
          <w:sz w:val="28"/>
          <w:szCs w:val="28"/>
          <w:highlight w:val="none"/>
          <w:lang w:eastAsia="zh-CN"/>
        </w:rPr>
        <w:t xml:space="preserve">招标</w:t>
      </w:r>
      <w:r>
        <w:rPr>
          <w:rFonts w:hint="eastAsia" w:ascii="宋体" w:hAnsi="宋体" w:cs="宋体"/>
          <w:color w:val="auto"/>
          <w:sz w:val="28"/>
          <w:szCs w:val="28"/>
          <w:highlight w:val="none"/>
        </w:rPr>
        <w:t xml:space="preserve">人需求的货物价格、质量保证费用、培训费用等，项目在指定地点、环境交付、安装、调试、验收所需费用和所有相关税金费用及为完成整个项目所产生的其它所有费用，招标文件另有规定的除外。</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ascii="宋体" w:hAnsi="宋体" w:cs="宋体"/>
          <w:color w:val="auto"/>
          <w:sz w:val="32"/>
          <w:szCs w:val="32"/>
          <w:highlight w:val="none"/>
          <w:lang w:val="zh-CN"/>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default" w:ascii="宋体" w:hAnsi="宋体" w:eastAsia="宋体" w:cs="宋体"/>
          <w:color w:val="auto"/>
          <w:sz w:val="28"/>
          <w:szCs w:val="28"/>
          <w:highlight w:val="none"/>
          <w:lang w:val="en-US" w:eastAsia="zh-CN"/>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28"/>
          <w:szCs w:val="28"/>
          <w:highlight w:val="none"/>
          <w:lang w:val="en-US" w:eastAsia="zh-CN"/>
        </w:rPr>
        <w:t xml:space="preserve">5.</w:t>
      </w:r>
      <w:r>
        <w:rPr>
          <w:rFonts w:ascii="宋体" w:hAnsi="宋体" w:eastAsia="宋体" w:cs="宋体"/>
          <w:color w:val="auto"/>
          <w:sz w:val="24"/>
          <w:szCs w:val="24"/>
          <w:highlight w:val="none"/>
        </w:rPr>
        <w:t xml:space="preserve">“品牌”“规格型号”“制造商名称”“产地” 等列需投标人必填，未填写视为产品无品牌/无指定制造商，</w:t>
      </w:r>
      <w:r>
        <w:rPr>
          <w:rFonts w:hint="eastAsia" w:ascii="宋体" w:hAnsi="宋体" w:eastAsia="宋体" w:cs="宋体"/>
          <w:color w:val="auto"/>
          <w:sz w:val="24"/>
          <w:szCs w:val="24"/>
          <w:highlight w:val="none"/>
          <w:lang w:eastAsia="zh-CN"/>
        </w:rPr>
        <w:t xml:space="preserve">视为无效标处理，</w:t>
      </w:r>
      <w:r>
        <w:rPr>
          <w:rFonts w:ascii="宋体" w:hAnsi="宋体" w:eastAsia="宋体" w:cs="宋体"/>
          <w:color w:val="auto"/>
          <w:sz w:val="24"/>
          <w:szCs w:val="24"/>
          <w:highlight w:val="none"/>
        </w:rPr>
        <w:t xml:space="preserve">后果自负”，</w:t>
      </w:r>
      <w:r/>
    </w:p>
    <w:p>
      <w:pPr>
        <w:spacing w:line="30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附件2</w:t>
      </w:r>
      <w:r/>
    </w:p>
    <w:p>
      <w:pPr>
        <w:ind w:left="100"/>
        <w:jc w:val="center"/>
        <w:spacing w:before="50" w:line="360" w:lineRule="auto"/>
        <w:rPr>
          <w:rFonts w:hint="eastAsia" w:hAnsi="宋体" w:cs="方正魏碑_GBK"/>
          <w:b/>
          <w:bCs/>
          <w:color w:val="auto"/>
          <w:position w:val="0"/>
          <w:sz w:val="28"/>
          <w:szCs w:val="28"/>
          <w:highlight w:val="none"/>
        </w:rPr>
        <w:outlineLvl w:val="2"/>
      </w:pPr>
      <w:r>
        <w:rPr>
          <w:rFonts w:hint="eastAsia" w:hAnsi="宋体"/>
          <w:b/>
          <w:bCs/>
          <w:color w:val="auto"/>
          <w:position w:val="0"/>
          <w:sz w:val="28"/>
          <w:szCs w:val="28"/>
          <w:highlight w:val="none"/>
        </w:rPr>
        <w:t xml:space="preserve">关于符合本国产品标准的声明函</w:t>
      </w:r>
      <w:r/>
    </w:p>
    <w:p>
      <w:pPr>
        <w:ind w:firstLine="420"/>
        <w:spacing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1.</w:t>
      </w:r>
      <w:r>
        <w:rPr>
          <w:rFonts w:hint="eastAsia" w:hAnsi="宋体" w:cs="方正魏碑_GBK"/>
          <w:b w:val="0"/>
          <w:color w:val="auto"/>
          <w:position w:val="0"/>
          <w:sz w:val="24"/>
          <w:szCs w:val="24"/>
          <w:highlight w:val="none"/>
          <w:u w:val="single"/>
          <w:shd w:val="clear" w:color="auto" w:fill="ffffff"/>
        </w:rPr>
        <w:t xml:space="preserve">（产品名称1）</w:t>
      </w:r>
      <w:r>
        <w:rPr>
          <w:rFonts w:hint="eastAsia" w:hAnsi="宋体" w:cs="方正魏碑_GBK"/>
          <w:b w:val="0"/>
          <w:color w:val="auto"/>
          <w:position w:val="0"/>
          <w:sz w:val="24"/>
          <w:szCs w:val="24"/>
          <w:highlight w:val="none"/>
          <w:shd w:val="clear" w:color="auto" w:fill="ffffff"/>
          <w:vertAlign w:val="superscript"/>
        </w:rPr>
        <w:t xml:space="preserve">1</w:t>
      </w:r>
      <w:r>
        <w:rPr>
          <w:rFonts w:hint="eastAsia" w:hAnsi="宋体" w:cs="方正魏碑_GBK"/>
          <w:b w:val="0"/>
          <w:color w:val="auto"/>
          <w:position w:val="0"/>
          <w:sz w:val="24"/>
          <w:szCs w:val="24"/>
          <w:highlight w:val="none"/>
          <w:shd w:val="clear" w:color="auto" w:fill="ffffff"/>
        </w:rPr>
        <w:t xml:space="preserve">，生产厂为</w:t>
      </w:r>
      <w:r>
        <w:rPr>
          <w:rFonts w:hint="eastAsia" w:hAnsi="宋体" w:cs="方正魏碑_GBK"/>
          <w:b w:val="0"/>
          <w:color w:val="auto"/>
          <w:position w:val="0"/>
          <w:sz w:val="24"/>
          <w:szCs w:val="24"/>
          <w:highlight w:val="none"/>
          <w:u w:val="single"/>
          <w:shd w:val="clear" w:color="auto" w:fill="ffffff"/>
        </w:rPr>
        <w:t xml:space="preserve">（厂名）</w:t>
      </w:r>
      <w:r>
        <w:rPr>
          <w:rFonts w:hint="eastAsia" w:hAnsi="宋体" w:cs="方正魏碑_GBK"/>
          <w:b w:val="0"/>
          <w:color w:val="auto"/>
          <w:position w:val="0"/>
          <w:sz w:val="24"/>
          <w:szCs w:val="24"/>
          <w:highlight w:val="none"/>
          <w:shd w:val="clear" w:color="auto" w:fill="ffffff"/>
          <w:vertAlign w:val="superscript"/>
        </w:rPr>
        <w:t xml:space="preserve">2</w:t>
      </w:r>
      <w:r>
        <w:rPr>
          <w:rFonts w:hint="eastAsia" w:hAnsi="宋体" w:cs="方正魏碑_GBK"/>
          <w:b w:val="0"/>
          <w:color w:val="auto"/>
          <w:position w:val="0"/>
          <w:sz w:val="24"/>
          <w:szCs w:val="24"/>
          <w:highlight w:val="none"/>
          <w:shd w:val="clear" w:color="auto" w:fill="ffffff"/>
        </w:rPr>
        <w:t xml:space="preserve">，厂址为</w:t>
      </w:r>
      <w:r>
        <w:rPr>
          <w:rFonts w:hint="eastAsia" w:hAnsi="宋体" w:cs="方正魏碑_GBK"/>
          <w:b w:val="0"/>
          <w:color w:val="auto"/>
          <w:position w:val="0"/>
          <w:sz w:val="24"/>
          <w:szCs w:val="24"/>
          <w:highlight w:val="none"/>
          <w:u w:val="single"/>
          <w:shd w:val="clear" w:color="auto" w:fill="ffffff"/>
        </w:rPr>
        <w:t xml:space="preserve">（生产厂址）</w:t>
      </w:r>
      <w:r>
        <w:rPr>
          <w:rFonts w:hint="eastAsia" w:hAnsi="宋体" w:cs="方正魏碑_GBK"/>
          <w:b w:val="0"/>
          <w:color w:val="auto"/>
          <w:position w:val="0"/>
          <w:sz w:val="24"/>
          <w:szCs w:val="24"/>
          <w:highlight w:val="none"/>
          <w:shd w:val="clear" w:color="auto" w:fill="ffffff"/>
        </w:rPr>
        <w:t xml:space="preserve">。</w:t>
      </w:r>
      <w:r>
        <w:rPr>
          <w:rFonts w:hint="eastAsia" w:hAnsi="宋体" w:cs="方正魏碑_GBK"/>
          <w:b w:val="0"/>
          <w:color w:val="auto"/>
          <w:position w:val="0"/>
          <w:sz w:val="24"/>
          <w:szCs w:val="24"/>
          <w:highlight w:val="none"/>
          <w:u w:val="single"/>
          <w:shd w:val="clear" w:color="auto" w:fill="ffffff"/>
        </w:rPr>
        <w:t xml:space="preserve"> （产品名称1） </w:t>
      </w:r>
      <w:r>
        <w:rPr>
          <w:rFonts w:hint="eastAsia" w:hAnsi="宋体" w:cs="方正魏碑_GBK"/>
          <w:b w:val="0"/>
          <w:color w:val="auto"/>
          <w:position w:val="0"/>
          <w:sz w:val="24"/>
          <w:szCs w:val="24"/>
          <w:highlight w:val="none"/>
          <w:shd w:val="clear" w:color="auto" w:fill="ffffff"/>
        </w:rPr>
        <w:t xml:space="preserve">的中国境内生产的组件成本占比≥</w:t>
      </w:r>
      <w:r>
        <w:rPr>
          <w:rFonts w:hint="eastAsia" w:hAnsi="宋体" w:cs="方正魏碑_GBK"/>
          <w:b w:val="0"/>
          <w:color w:val="auto"/>
          <w:position w:val="0"/>
          <w:sz w:val="24"/>
          <w:szCs w:val="24"/>
          <w:highlight w:val="none"/>
          <w:u w:val="single"/>
          <w:shd w:val="clear" w:color="auto" w:fill="ffffff"/>
        </w:rPr>
        <w:t xml:space="preserve">（规定</w:t>
      </w:r>
      <w:r>
        <w:rPr>
          <w:rFonts w:hAnsi="宋体" w:cs="方正魏碑_GBK"/>
          <w:b w:val="0"/>
          <w:color w:val="auto"/>
          <w:position w:val="0"/>
          <w:sz w:val="24"/>
          <w:szCs w:val="24"/>
          <w:highlight w:val="none"/>
          <w:u w:val="single"/>
          <w:shd w:val="clear" w:color="auto" w:fill="ffffff"/>
        </w:rPr>
        <w:t xml:space="preserve">比例</w:t>
      </w:r>
      <w:r>
        <w:rPr>
          <w:rFonts w:hint="eastAsia" w:hAnsi="宋体" w:cs="方正魏碑_GBK"/>
          <w:b w:val="0"/>
          <w:color w:val="auto"/>
          <w:position w:val="0"/>
          <w:sz w:val="24"/>
          <w:szCs w:val="24"/>
          <w:highlight w:val="none"/>
          <w:u w:val="single"/>
          <w:shd w:val="clear" w:color="auto" w:fill="ffffff"/>
        </w:rPr>
        <w:t xml:space="preserve">）</w:t>
      </w:r>
      <w:r>
        <w:rPr>
          <w:rFonts w:hint="eastAsia" w:hAnsi="宋体" w:cs="方正魏碑_GBK"/>
          <w:b w:val="0"/>
          <w:color w:val="auto"/>
          <w:position w:val="0"/>
          <w:sz w:val="24"/>
          <w:szCs w:val="24"/>
          <w:highlight w:val="none"/>
          <w:shd w:val="clear" w:color="auto" w:fill="ffffff"/>
          <w:vertAlign w:val="superscript"/>
        </w:rPr>
        <w:t xml:space="preserve">3</w:t>
      </w:r>
      <w:r>
        <w:rPr>
          <w:rFonts w:hint="eastAsia" w:hAnsi="宋体" w:cs="方正魏碑_GBK"/>
          <w:b w:val="0"/>
          <w:color w:val="auto"/>
          <w:position w:val="0"/>
          <w:sz w:val="24"/>
          <w:szCs w:val="24"/>
          <w:highlight w:val="none"/>
          <w:shd w:val="clear" w:color="auto" w:fill="ffffff"/>
        </w:rPr>
        <w:t xml:space="preserve">。</w:t>
      </w:r>
      <w:r>
        <w:rPr>
          <w:rFonts w:hint="eastAsia" w:hAnsi="宋体" w:cs="方正魏碑_GBK"/>
          <w:b w:val="0"/>
          <w:color w:val="auto"/>
          <w:position w:val="0"/>
          <w:sz w:val="24"/>
          <w:szCs w:val="24"/>
          <w:highlight w:val="none"/>
          <w:u w:val="single"/>
          <w:shd w:val="clear" w:color="auto" w:fill="ffffff"/>
        </w:rPr>
        <w:t xml:space="preserve">（产品名称1）</w:t>
      </w:r>
      <w:r>
        <w:rPr>
          <w:rFonts w:hint="eastAsia" w:hAnsi="宋体" w:cs="方正魏碑_GBK"/>
          <w:b w:val="0"/>
          <w:color w:val="auto"/>
          <w:position w:val="0"/>
          <w:sz w:val="24"/>
          <w:szCs w:val="24"/>
          <w:highlight w:val="none"/>
          <w:shd w:val="clear" w:color="auto" w:fill="ffffff"/>
        </w:rPr>
        <w:t xml:space="preserve">的</w:t>
      </w:r>
      <w:r>
        <w:rPr>
          <w:rFonts w:hint="eastAsia" w:hAnsi="宋体" w:cs="方正魏碑_GBK"/>
          <w:b w:val="0"/>
          <w:color w:val="auto"/>
          <w:position w:val="0"/>
          <w:sz w:val="24"/>
          <w:szCs w:val="24"/>
          <w:highlight w:val="none"/>
          <w:u w:val="single"/>
          <w:shd w:val="clear" w:color="auto" w:fill="ffffff"/>
        </w:rPr>
        <w:t xml:space="preserve">（关键</w:t>
      </w:r>
      <w:r>
        <w:rPr>
          <w:rFonts w:hAnsi="宋体" w:cs="方正魏碑_GBK"/>
          <w:b w:val="0"/>
          <w:color w:val="auto"/>
          <w:position w:val="0"/>
          <w:sz w:val="24"/>
          <w:szCs w:val="24"/>
          <w:highlight w:val="none"/>
          <w:u w:val="single"/>
          <w:shd w:val="clear" w:color="auto" w:fill="ffffff"/>
        </w:rPr>
        <w:t xml:space="preserve">组件</w:t>
      </w:r>
      <w:r>
        <w:rPr>
          <w:rFonts w:hint="eastAsia" w:hAnsi="宋体" w:cs="方正魏碑_GBK"/>
          <w:b w:val="0"/>
          <w:color w:val="auto"/>
          <w:position w:val="0"/>
          <w:sz w:val="24"/>
          <w:szCs w:val="24"/>
          <w:highlight w:val="none"/>
          <w:u w:val="single"/>
          <w:shd w:val="clear" w:color="auto" w:fill="ffffff"/>
        </w:rPr>
        <w:t xml:space="preserve">）</w:t>
      </w:r>
      <w:r>
        <w:rPr>
          <w:rFonts w:hint="eastAsia" w:hAnsi="宋体" w:cs="方正魏碑_GBK"/>
          <w:b w:val="0"/>
          <w:color w:val="auto"/>
          <w:position w:val="0"/>
          <w:sz w:val="24"/>
          <w:szCs w:val="24"/>
          <w:highlight w:val="none"/>
          <w:shd w:val="clear" w:color="auto" w:fill="ffffff"/>
          <w:vertAlign w:val="superscript"/>
        </w:rPr>
        <w:t xml:space="preserve">4</w:t>
      </w:r>
      <w:r>
        <w:rPr>
          <w:rFonts w:hint="eastAsia" w:hAnsi="宋体" w:cs="方正魏碑_GBK"/>
          <w:b w:val="0"/>
          <w:color w:val="auto"/>
          <w:position w:val="0"/>
          <w:sz w:val="24"/>
          <w:szCs w:val="24"/>
          <w:highlight w:val="none"/>
          <w:shd w:val="clear" w:color="auto" w:fill="ffffff"/>
        </w:rPr>
        <w:t xml:space="preserve">在中国境内生产。</w:t>
      </w:r>
      <w:r>
        <w:rPr>
          <w:rFonts w:hint="eastAsia" w:hAnsi="宋体" w:cs="方正魏碑_GBK"/>
          <w:b w:val="0"/>
          <w:color w:val="auto"/>
          <w:position w:val="0"/>
          <w:sz w:val="24"/>
          <w:szCs w:val="24"/>
          <w:highlight w:val="none"/>
          <w:u w:val="single"/>
          <w:shd w:val="clear" w:color="auto" w:fill="ffffff"/>
        </w:rPr>
        <w:t xml:space="preserve">（产品名称1）</w:t>
      </w:r>
      <w:r>
        <w:rPr>
          <w:rFonts w:hint="eastAsia" w:hAnsi="宋体" w:cs="方正魏碑_GBK"/>
          <w:b w:val="0"/>
          <w:color w:val="auto"/>
          <w:position w:val="0"/>
          <w:sz w:val="24"/>
          <w:szCs w:val="24"/>
          <w:highlight w:val="none"/>
          <w:shd w:val="clear" w:color="auto" w:fill="ffffff"/>
        </w:rPr>
        <w:t xml:space="preserve">的</w:t>
      </w:r>
      <w:r>
        <w:rPr>
          <w:rFonts w:hint="eastAsia" w:hAnsi="宋体" w:cs="方正魏碑_GBK"/>
          <w:b w:val="0"/>
          <w:color w:val="auto"/>
          <w:position w:val="0"/>
          <w:sz w:val="24"/>
          <w:szCs w:val="24"/>
          <w:highlight w:val="none"/>
          <w:u w:val="single"/>
          <w:shd w:val="clear" w:color="auto" w:fill="ffffff"/>
        </w:rPr>
        <w:t xml:space="preserve">（关键工序）</w:t>
      </w:r>
      <w:r>
        <w:rPr>
          <w:rFonts w:hint="eastAsia" w:hAnsi="宋体" w:cs="方正魏碑_GBK"/>
          <w:b w:val="0"/>
          <w:color w:val="auto"/>
          <w:position w:val="0"/>
          <w:sz w:val="24"/>
          <w:szCs w:val="24"/>
          <w:highlight w:val="none"/>
          <w:shd w:val="clear" w:color="auto" w:fill="ffffff"/>
          <w:vertAlign w:val="superscript"/>
        </w:rPr>
        <w:t xml:space="preserve">5</w:t>
      </w:r>
      <w:r>
        <w:rPr>
          <w:rFonts w:hint="eastAsia" w:hAnsi="宋体" w:cs="方正魏碑_GBK"/>
          <w:b w:val="0"/>
          <w:color w:val="auto"/>
          <w:position w:val="0"/>
          <w:sz w:val="24"/>
          <w:szCs w:val="24"/>
          <w:highlight w:val="none"/>
          <w:shd w:val="clear" w:color="auto" w:fill="ffffff"/>
        </w:rPr>
        <w:t xml:space="preserve">在中国境内完成。</w:t>
      </w:r>
      <w:r/>
    </w:p>
    <w:p>
      <w:pPr>
        <w:ind w:firstLine="420"/>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2.</w:t>
      </w:r>
      <w:r>
        <w:rPr>
          <w:rFonts w:hint="eastAsia" w:hAnsi="宋体" w:cs="方正魏碑_GBK"/>
          <w:b w:val="0"/>
          <w:color w:val="auto"/>
          <w:position w:val="0"/>
          <w:sz w:val="24"/>
          <w:szCs w:val="24"/>
          <w:highlight w:val="none"/>
          <w:u w:val="single"/>
          <w:shd w:val="clear" w:color="auto" w:fill="ffffff"/>
        </w:rPr>
        <w:t xml:space="preserve">（产品名称2）</w:t>
      </w:r>
      <w:r>
        <w:rPr>
          <w:rFonts w:hint="eastAsia" w:hAnsi="宋体" w:cs="方正魏碑_GBK"/>
          <w:b w:val="0"/>
          <w:color w:val="auto"/>
          <w:position w:val="0"/>
          <w:sz w:val="24"/>
          <w:szCs w:val="24"/>
          <w:highlight w:val="none"/>
          <w:shd w:val="clear" w:color="auto" w:fill="ffffff"/>
        </w:rPr>
        <w:t xml:space="preserve">，生产厂为</w:t>
      </w:r>
      <w:r>
        <w:rPr>
          <w:rFonts w:hint="eastAsia" w:hAnsi="宋体" w:cs="方正魏碑_GBK"/>
          <w:b w:val="0"/>
          <w:color w:val="auto"/>
          <w:position w:val="0"/>
          <w:sz w:val="24"/>
          <w:szCs w:val="24"/>
          <w:highlight w:val="none"/>
          <w:u w:val="single"/>
          <w:shd w:val="clear" w:color="auto" w:fill="ffffff"/>
        </w:rPr>
        <w:t xml:space="preserve">（厂名）</w:t>
      </w:r>
      <w:r>
        <w:rPr>
          <w:rFonts w:hint="eastAsia" w:hAnsi="宋体" w:cs="方正魏碑_GBK"/>
          <w:b w:val="0"/>
          <w:color w:val="auto"/>
          <w:position w:val="0"/>
          <w:sz w:val="24"/>
          <w:szCs w:val="24"/>
          <w:highlight w:val="none"/>
          <w:shd w:val="clear" w:color="auto" w:fill="ffffff"/>
        </w:rPr>
        <w:t xml:space="preserve">，厂址为</w:t>
      </w:r>
      <w:r>
        <w:rPr>
          <w:rFonts w:hint="eastAsia" w:hAnsi="宋体" w:cs="方正魏碑_GBK"/>
          <w:b w:val="0"/>
          <w:color w:val="auto"/>
          <w:position w:val="0"/>
          <w:sz w:val="24"/>
          <w:szCs w:val="24"/>
          <w:highlight w:val="none"/>
          <w:u w:val="single"/>
          <w:shd w:val="clear" w:color="auto" w:fill="ffffff"/>
        </w:rPr>
        <w:t xml:space="preserve">（生产厂址）</w:t>
      </w:r>
      <w:r>
        <w:rPr>
          <w:rFonts w:hint="eastAsia" w:hAnsi="宋体" w:cs="方正魏碑_GBK"/>
          <w:b w:val="0"/>
          <w:color w:val="auto"/>
          <w:position w:val="0"/>
          <w:sz w:val="24"/>
          <w:szCs w:val="24"/>
          <w:highlight w:val="none"/>
          <w:shd w:val="clear" w:color="auto" w:fill="ffffff"/>
        </w:rPr>
        <w:t xml:space="preserve">。</w:t>
      </w:r>
      <w:r>
        <w:rPr>
          <w:rFonts w:hint="eastAsia" w:hAnsi="宋体" w:cs="方正魏碑_GBK"/>
          <w:b w:val="0"/>
          <w:color w:val="auto"/>
          <w:position w:val="0"/>
          <w:sz w:val="24"/>
          <w:szCs w:val="24"/>
          <w:highlight w:val="none"/>
          <w:u w:val="single"/>
          <w:shd w:val="clear" w:color="auto" w:fill="ffffff"/>
        </w:rPr>
        <w:t xml:space="preserve">（产品名称2）</w:t>
      </w:r>
      <w:r>
        <w:rPr>
          <w:rFonts w:hint="eastAsia" w:hAnsi="宋体" w:cs="方正魏碑_GBK"/>
          <w:b w:val="0"/>
          <w:color w:val="auto"/>
          <w:position w:val="0"/>
          <w:sz w:val="24"/>
          <w:szCs w:val="24"/>
          <w:highlight w:val="none"/>
          <w:shd w:val="clear" w:color="auto" w:fill="ffffff"/>
        </w:rPr>
        <w:t xml:space="preserve">的中国境内生产的组件成本占比≥</w:t>
      </w:r>
      <w:r>
        <w:rPr>
          <w:rFonts w:hint="eastAsia" w:hAnsi="宋体" w:cs="方正魏碑_GBK"/>
          <w:b w:val="0"/>
          <w:color w:val="auto"/>
          <w:position w:val="0"/>
          <w:sz w:val="24"/>
          <w:szCs w:val="24"/>
          <w:highlight w:val="none"/>
          <w:u w:val="single"/>
          <w:shd w:val="clear" w:color="auto" w:fill="ffffff"/>
        </w:rPr>
        <w:t xml:space="preserve">（规定</w:t>
      </w:r>
      <w:r>
        <w:rPr>
          <w:rFonts w:hAnsi="宋体" w:cs="方正魏碑_GBK"/>
          <w:b w:val="0"/>
          <w:color w:val="auto"/>
          <w:position w:val="0"/>
          <w:sz w:val="24"/>
          <w:szCs w:val="24"/>
          <w:highlight w:val="none"/>
          <w:u w:val="single"/>
          <w:shd w:val="clear" w:color="auto" w:fill="ffffff"/>
        </w:rPr>
        <w:t xml:space="preserve">比例</w:t>
      </w:r>
      <w:r>
        <w:rPr>
          <w:rFonts w:hint="eastAsia" w:hAnsi="宋体" w:cs="方正魏碑_GBK"/>
          <w:b w:val="0"/>
          <w:color w:val="auto"/>
          <w:position w:val="0"/>
          <w:sz w:val="24"/>
          <w:szCs w:val="24"/>
          <w:highlight w:val="none"/>
          <w:u w:val="single"/>
          <w:shd w:val="clear" w:color="auto" w:fill="ffffff"/>
        </w:rPr>
        <w:t xml:space="preserve">）</w:t>
      </w:r>
      <w:r>
        <w:rPr>
          <w:rFonts w:hint="eastAsia" w:hAnsi="宋体" w:cs="方正魏碑_GBK"/>
          <w:b w:val="0"/>
          <w:color w:val="auto"/>
          <w:position w:val="0"/>
          <w:sz w:val="24"/>
          <w:szCs w:val="24"/>
          <w:highlight w:val="none"/>
          <w:shd w:val="clear" w:color="auto" w:fill="ffffff"/>
        </w:rPr>
        <w:t xml:space="preserve">。</w:t>
      </w:r>
      <w:r>
        <w:rPr>
          <w:rFonts w:hint="eastAsia" w:hAnsi="宋体" w:cs="方正魏碑_GBK"/>
          <w:b w:val="0"/>
          <w:color w:val="auto"/>
          <w:position w:val="0"/>
          <w:sz w:val="24"/>
          <w:szCs w:val="24"/>
          <w:highlight w:val="none"/>
          <w:u w:val="single"/>
          <w:shd w:val="clear" w:color="auto" w:fill="ffffff"/>
        </w:rPr>
        <w:t xml:space="preserve">（产品名称2）</w:t>
      </w:r>
      <w:r>
        <w:rPr>
          <w:rFonts w:hint="eastAsia" w:hAnsi="宋体" w:cs="方正魏碑_GBK"/>
          <w:b w:val="0"/>
          <w:color w:val="auto"/>
          <w:position w:val="0"/>
          <w:sz w:val="24"/>
          <w:szCs w:val="24"/>
          <w:highlight w:val="none"/>
          <w:shd w:val="clear" w:color="auto" w:fill="ffffff"/>
        </w:rPr>
        <w:t xml:space="preserve">的</w:t>
      </w:r>
      <w:r>
        <w:rPr>
          <w:rFonts w:hint="eastAsia" w:hAnsi="宋体" w:cs="方正魏碑_GBK"/>
          <w:b w:val="0"/>
          <w:color w:val="auto"/>
          <w:position w:val="0"/>
          <w:sz w:val="24"/>
          <w:szCs w:val="24"/>
          <w:highlight w:val="none"/>
          <w:u w:val="single"/>
          <w:shd w:val="clear" w:color="auto" w:fill="ffffff"/>
        </w:rPr>
        <w:t xml:space="preserve">（关键</w:t>
      </w:r>
      <w:r>
        <w:rPr>
          <w:rFonts w:hAnsi="宋体" w:cs="方正魏碑_GBK"/>
          <w:b w:val="0"/>
          <w:color w:val="auto"/>
          <w:position w:val="0"/>
          <w:sz w:val="24"/>
          <w:szCs w:val="24"/>
          <w:highlight w:val="none"/>
          <w:u w:val="single"/>
          <w:shd w:val="clear" w:color="auto" w:fill="ffffff"/>
        </w:rPr>
        <w:t xml:space="preserve">组件</w:t>
      </w:r>
      <w:r>
        <w:rPr>
          <w:rFonts w:hint="eastAsia" w:hAnsi="宋体" w:cs="方正魏碑_GBK"/>
          <w:b w:val="0"/>
          <w:color w:val="auto"/>
          <w:position w:val="0"/>
          <w:sz w:val="24"/>
          <w:szCs w:val="24"/>
          <w:highlight w:val="none"/>
          <w:u w:val="single"/>
          <w:shd w:val="clear" w:color="auto" w:fill="ffffff"/>
        </w:rPr>
        <w:t xml:space="preserve">）</w:t>
      </w:r>
      <w:r>
        <w:rPr>
          <w:rFonts w:hint="eastAsia" w:hAnsi="宋体" w:cs="方正魏碑_GBK"/>
          <w:b w:val="0"/>
          <w:color w:val="auto"/>
          <w:position w:val="0"/>
          <w:sz w:val="24"/>
          <w:szCs w:val="24"/>
          <w:highlight w:val="none"/>
          <w:shd w:val="clear" w:color="auto" w:fill="ffffff"/>
        </w:rPr>
        <w:t xml:space="preserve">在中国境内生产。</w:t>
      </w:r>
      <w:r>
        <w:rPr>
          <w:rFonts w:hint="eastAsia" w:hAnsi="宋体" w:cs="方正魏碑_GBK"/>
          <w:b w:val="0"/>
          <w:color w:val="auto"/>
          <w:position w:val="0"/>
          <w:sz w:val="24"/>
          <w:szCs w:val="24"/>
          <w:highlight w:val="none"/>
          <w:u w:val="single"/>
          <w:shd w:val="clear" w:color="auto" w:fill="ffffff"/>
        </w:rPr>
        <w:t xml:space="preserve">（产品名称1）</w:t>
      </w:r>
      <w:r>
        <w:rPr>
          <w:rFonts w:hint="eastAsia" w:hAnsi="宋体" w:cs="方正魏碑_GBK"/>
          <w:b w:val="0"/>
          <w:color w:val="auto"/>
          <w:position w:val="0"/>
          <w:sz w:val="24"/>
          <w:szCs w:val="24"/>
          <w:highlight w:val="none"/>
          <w:shd w:val="clear" w:color="auto" w:fill="ffffff"/>
        </w:rPr>
        <w:t xml:space="preserve">的</w:t>
      </w:r>
      <w:r>
        <w:rPr>
          <w:rFonts w:hint="eastAsia" w:hAnsi="宋体" w:cs="方正魏碑_GBK"/>
          <w:b w:val="0"/>
          <w:color w:val="auto"/>
          <w:position w:val="0"/>
          <w:sz w:val="24"/>
          <w:szCs w:val="24"/>
          <w:highlight w:val="none"/>
          <w:u w:val="single"/>
          <w:shd w:val="clear" w:color="auto" w:fill="ffffff"/>
        </w:rPr>
        <w:t xml:space="preserve">（关键工序）</w:t>
      </w:r>
      <w:r>
        <w:rPr>
          <w:rFonts w:hint="eastAsia" w:hAnsi="宋体" w:cs="方正魏碑_GBK"/>
          <w:b w:val="0"/>
          <w:color w:val="auto"/>
          <w:position w:val="0"/>
          <w:sz w:val="24"/>
          <w:szCs w:val="24"/>
          <w:highlight w:val="none"/>
          <w:shd w:val="clear" w:color="auto" w:fill="ffffff"/>
        </w:rPr>
        <w:t xml:space="preserve">在中国境内完成。</w:t>
      </w:r>
      <w:r/>
    </w:p>
    <w:p>
      <w:pPr>
        <w:ind w:firstLine="420"/>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w:t>
      </w:r>
      <w:r/>
    </w:p>
    <w:p>
      <w:pPr>
        <w:ind w:firstLine="420"/>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rPr>
      </w:r>
      <w:r/>
    </w:p>
    <w:p>
      <w:pPr>
        <w:ind w:right="1560" w:firstLine="444"/>
        <w:jc w:val="center"/>
        <w:spacing w:line="360" w:lineRule="auto"/>
        <w:tabs>
          <w:tab w:val="left" w:pos="4860" w:leader="none"/>
        </w:tabs>
        <w:rPr>
          <w:rFonts w:hint="eastAsia" w:hAnsi="宋体"/>
          <w:b w:val="0"/>
          <w:color w:val="auto"/>
          <w:position w:val="0"/>
          <w:sz w:val="24"/>
          <w:szCs w:val="24"/>
          <w:highlight w:val="none"/>
        </w:rPr>
      </w:pPr>
      <w:r>
        <w:rPr>
          <w:rFonts w:hint="eastAsia" w:hAnsi="宋体"/>
          <w:b w:val="0"/>
          <w:color w:val="auto"/>
          <w:spacing w:val="6"/>
          <w:position w:val="0"/>
          <w:sz w:val="24"/>
          <w:szCs w:val="24"/>
          <w:highlight w:val="none"/>
        </w:rPr>
        <w:t xml:space="preserve">           </w:t>
      </w:r>
      <w:r>
        <w:rPr>
          <w:rFonts w:hint="eastAsia" w:hAnsi="宋体"/>
          <w:b w:val="0"/>
          <w:color w:val="auto"/>
          <w:position w:val="0"/>
          <w:sz w:val="24"/>
          <w:szCs w:val="24"/>
          <w:highlight w:val="none"/>
        </w:rPr>
        <w:t xml:space="preserve">               投标人名称（盖章）：</w:t>
      </w:r>
      <w:r/>
    </w:p>
    <w:p>
      <w:pPr>
        <w:ind w:right="1560" w:firstLine="420"/>
        <w:jc w:val="center"/>
        <w:spacing w:line="360" w:lineRule="auto"/>
        <w:tabs>
          <w:tab w:val="left" w:pos="4860" w:leader="none"/>
        </w:tabs>
        <w:rPr>
          <w:rFonts w:hint="eastAsia" w:hAnsi="宋体" w:cs="方正魏碑_GBK"/>
          <w:b w:val="0"/>
          <w:color w:val="auto"/>
          <w:position w:val="0"/>
          <w:sz w:val="24"/>
          <w:szCs w:val="24"/>
          <w:highlight w:val="none"/>
        </w:rPr>
      </w:pPr>
      <w:r>
        <w:rPr>
          <w:rFonts w:hint="eastAsia" w:hAnsi="宋体"/>
          <w:b w:val="0"/>
          <w:color w:val="auto"/>
          <w:position w:val="0"/>
          <w:sz w:val="24"/>
          <w:szCs w:val="24"/>
          <w:highlight w:val="none"/>
        </w:rPr>
        <w:t xml:space="preserve">                              日  期：</w:t>
      </w:r>
      <w:r>
        <w:rPr>
          <w:rFonts w:hint="eastAsia" w:hAnsi="宋体" w:cs="方正魏碑_GBK"/>
          <w:b w:val="0"/>
          <w:color w:val="auto"/>
          <w:position w:val="0"/>
          <w:sz w:val="24"/>
          <w:szCs w:val="24"/>
          <w:highlight w:val="none"/>
          <w:shd w:val="clear" w:color="auto" w:fill="ffffff"/>
        </w:rPr>
        <w:t xml:space="preserve">   </w:t>
      </w:r>
      <w:r/>
    </w:p>
    <w:p>
      <w:pPr>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__________________</w:t>
      </w:r>
      <w:r/>
    </w:p>
    <w:p>
      <w:pPr>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1.产品如有型号，请在“产品名称”栏一并填写。</w:t>
      </w:r>
      <w:r/>
    </w:p>
    <w:p>
      <w:pPr>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color w:val="auto"/>
          <w:position w:val="0"/>
          <w:sz w:val="24"/>
          <w:szCs w:val="24"/>
          <w:highlight w:val="none"/>
        </w:rPr>
      </w:pPr>
      <w:r>
        <w:rPr>
          <w:rFonts w:hint="eastAsia" w:hAnsi="宋体" w:cs="方正魏碑_GBK"/>
          <w:b w:val="0"/>
          <w:color w:val="auto"/>
          <w:position w:val="0"/>
          <w:sz w:val="24"/>
          <w:szCs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b w:val="0"/>
          <w:color w:val="auto"/>
          <w:position w:val="0"/>
          <w:sz w:val="24"/>
          <w:szCs w:val="24"/>
          <w:highlight w:val="none"/>
          <w:shd w:val="clear" w:color="auto" w:fill="ffffff"/>
        </w:rPr>
      </w:pPr>
      <w:r>
        <w:rPr>
          <w:rFonts w:hint="eastAsia" w:hAnsi="宋体" w:cs="方正魏碑_GBK"/>
          <w:b w:val="0"/>
          <w:color w:val="auto"/>
          <w:position w:val="0"/>
          <w:sz w:val="24"/>
          <w:szCs w:val="24"/>
          <w:highlight w:val="none"/>
          <w:shd w:val="clear" w:color="auto" w:fill="ffffff"/>
        </w:rPr>
        <w:t xml:space="preserve">5.该产品的关键工序要求实施前，“关键工序”栏可不填，下同。</w:t>
      </w:r>
      <w:r/>
    </w:p>
    <w:p>
      <w:pPr>
        <w:spacing w:line="300" w:lineRule="auto"/>
        <w:rPr>
          <w:rFonts w:hint="default" w:ascii="宋体" w:hAnsi="宋体" w:cs="宋体"/>
          <w:color w:val="auto"/>
          <w:sz w:val="24"/>
          <w:szCs w:val="24"/>
          <w:highlight w:val="none"/>
          <w:lang w:val="en-US" w:eastAsia="zh-CN"/>
        </w:rPr>
        <w:sectPr>
          <w:footnotePr/>
          <w:endnotePr/>
          <w:type w:val="nextPage"/>
          <w:pgSz w:w="11907" w:h="16839" w:orient="portrait"/>
          <w:pgMar w:top="1440" w:right="1800" w:bottom="1440" w:left="1800" w:header="720" w:footer="720" w:gutter="0"/>
          <w:cols w:num="1" w:sep="0" w:space="720" w:equalWidth="1"/>
          <w:docGrid w:linePitch="360"/>
        </w:sectPr>
      </w:pPr>
      <w:r>
        <w:rPr>
          <w:rFonts w:hint="default" w:ascii="宋体" w:hAnsi="宋体" w:cs="宋体"/>
          <w:color w:val="auto"/>
          <w:sz w:val="24"/>
          <w:szCs w:val="24"/>
          <w:highlight w:val="none"/>
          <w:lang w:val="en-US" w:eastAsia="zh-CN"/>
        </w:rPr>
      </w:r>
      <w:r/>
    </w:p>
    <w:p>
      <w:pPr>
        <w:spacing w:line="300" w:lineRule="auto"/>
        <w:rPr>
          <w:rFonts w:hint="eastAsia" w:ascii="宋体" w:hAnsi="宋体" w:eastAsia="宋体" w:cs="宋体"/>
          <w:color w:val="auto"/>
          <w:sz w:val="28"/>
          <w:szCs w:val="28"/>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3</w:t>
      </w:r>
      <w:r/>
    </w:p>
    <w:p>
      <w:pPr>
        <w:contextualSpacing/>
        <w:jc w:val="center"/>
        <w:spacing w:line="300" w:lineRule="auto"/>
        <w:tabs>
          <w:tab w:val="left" w:pos="12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793"/>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招标人或采购代理机构发现，或被它人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ascii="宋体" w:hAnsi="宋体" w:cs="宋体"/>
          <w:b/>
          <w:color w:val="auto"/>
          <w:sz w:val="28"/>
          <w:szCs w:val="28"/>
          <w:highlight w:val="none"/>
        </w:rPr>
      </w:r>
      <w:r/>
    </w:p>
    <w:p>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4</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w:t>
      </w:r>
      <w:r/>
    </w:p>
    <w:tbl>
      <w:tblPr>
        <w:tblStyle w:val="793"/>
        <w:tblpPr w:horzAnchor="text" w:tblpXSpec="center" w:vertAnchor="text" w:tblpY="1" w:leftFromText="180" w:topFromText="0" w:rightFromText="180" w:bottomFromText="0"/>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5439"/>
        <w:gridCol w:w="1395"/>
        <w:gridCol w:w="1450"/>
      </w:tblGrid>
      <w:tr>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5439"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技术要求</w:t>
            </w:r>
            <w:r/>
          </w:p>
        </w:tc>
        <w:tc>
          <w:tcPr>
            <w:tcW w:w="139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145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trHeight w:val="1010"/>
        </w:trPr>
        <w:tc>
          <w:tcPr>
            <w:tcBorders>
              <w:bottom w:val="single" w:color="auto" w:sz="4" w:space="0"/>
            </w:tcBorders>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bottom w:val="single" w:color="auto" w:sz="4" w:space="0"/>
            </w:tcBorders>
            <w:tcW w:w="5439" w:type="dxa"/>
            <w:vAlign w:val="center"/>
            <w:textDirection w:val="lrTb"/>
            <w:noWrap w:val="false"/>
          </w:tcPr>
          <w:p>
            <w:pPr>
              <w:pStyle w:val="1014"/>
              <w:ind w:firstLine="0"/>
              <w:spacing w:line="460" w:lineRule="exact"/>
              <w:tabs>
                <w:tab w:val="left" w:pos="448" w:leader="none"/>
                <w:tab w:val="left" w:pos="851" w:leader="none"/>
              </w:tabs>
              <w:rPr>
                <w:rFonts w:ascii="宋体" w:hAnsi="宋体" w:cs="宋体"/>
                <w:color w:val="auto"/>
                <w:sz w:val="24"/>
                <w:highlight w:val="none"/>
              </w:rPr>
            </w:pPr>
            <w:r>
              <w:rPr>
                <w:rFonts w:ascii="宋体" w:hAnsi="宋体" w:cs="宋体"/>
                <w:color w:val="auto"/>
                <w:sz w:val="24"/>
                <w:highlight w:val="none"/>
              </w:rPr>
            </w:r>
            <w:r/>
          </w:p>
        </w:tc>
        <w:tc>
          <w:tcPr>
            <w:tcBorders>
              <w:bottom w:val="single" w:color="auto" w:sz="4" w:space="0"/>
            </w:tcBorders>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640"/>
        </w:trPr>
        <w:tc>
          <w:tcPr>
            <w:tcBorders>
              <w:top w:val="single" w:color="auto" w:sz="4" w:space="0"/>
            </w:tcBorders>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Borders>
              <w:top w:val="single" w:color="auto" w:sz="4" w:space="0"/>
            </w:tcBorders>
            <w:tcW w:w="5439" w:type="dxa"/>
            <w:vAlign w:val="center"/>
            <w:textDirection w:val="lrTb"/>
            <w:noWrap w:val="false"/>
          </w:tcPr>
          <w:p>
            <w:pPr>
              <w:pStyle w:val="1014"/>
              <w:ind w:firstLine="0"/>
              <w:spacing w:line="460" w:lineRule="exact"/>
              <w:tabs>
                <w:tab w:val="left" w:pos="448"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tcBorders>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5439" w:type="dxa"/>
            <w:vAlign w:val="center"/>
            <w:textDirection w:val="lrTb"/>
            <w:noWrap w:val="false"/>
          </w:tcPr>
          <w:p>
            <w:pPr>
              <w:pStyle w:val="1014"/>
              <w:ind w:firstLine="0"/>
              <w:spacing w:line="460" w:lineRule="exact"/>
              <w:tabs>
                <w:tab w:val="left" w:pos="448" w:leader="none"/>
              </w:tabs>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w:t>
            </w:r>
            <w:r/>
          </w:p>
        </w:tc>
        <w:tc>
          <w:tcPr>
            <w:tcW w:w="5439" w:type="dxa"/>
            <w:vAlign w:val="center"/>
            <w:textDirection w:val="lrTb"/>
            <w:noWrap w:val="false"/>
          </w:tcPr>
          <w:p>
            <w:pPr>
              <w:pStyle w:val="1014"/>
              <w:ind w:firstLine="0"/>
              <w:spacing w:line="460" w:lineRule="exact"/>
              <w:tabs>
                <w:tab w:val="left" w:pos="448"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ascii="宋体" w:hAnsi="宋体" w:cs="宋体"/>
          <w:b/>
          <w:color w:val="auto"/>
          <w:sz w:val="28"/>
          <w:szCs w:val="28"/>
          <w:highlight w:val="none"/>
        </w:rPr>
      </w:r>
      <w:r/>
    </w:p>
    <w:p>
      <w:pPr>
        <w:spacing w:line="480" w:lineRule="exact"/>
        <w:rPr>
          <w:rFonts w:hint="default" w:ascii="宋体" w:hAnsi="宋体" w:eastAsia="宋体" w:cs="宋体"/>
          <w:b/>
          <w:color w:val="auto"/>
          <w:sz w:val="28"/>
          <w:szCs w:val="28"/>
          <w:highlight w:val="none"/>
          <w:lang w:val="en-US" w:eastAsia="zh-CN"/>
        </w:rPr>
        <w:outlineLvl w:val="3"/>
      </w:pP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5</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79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2999"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32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999"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32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2999"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32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bookmarkStart w:id="178" w:name="_Toc12886"/>
      <w:r>
        <w:rPr>
          <w:rFonts w:hint="eastAsia" w:ascii="宋体" w:hAnsi="宋体" w:cs="宋体"/>
          <w:color w:val="auto"/>
          <w:sz w:val="28"/>
          <w:szCs w:val="28"/>
          <w:highlight w:val="none"/>
        </w:rPr>
        <w:t xml:space="preserve">1.投标人需对商务要求逐条做出明确响应。</w:t>
      </w:r>
      <w:bookmarkEnd w:id="178"/>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831"/>
        <w:ind w:firstLine="240"/>
        <w:rPr>
          <w:rFonts w:ascii="宋体" w:hAnsi="宋体" w:cs="宋体"/>
          <w:color w:val="auto"/>
          <w:highlight w:val="none"/>
        </w:rPr>
      </w:pPr>
      <w:r>
        <w:rPr>
          <w:rFonts w:ascii="宋体" w:hAnsi="宋体" w:cs="宋体"/>
          <w:color w:val="auto"/>
          <w:highlight w:val="none"/>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br w:type="page" w:clear="all"/>
      </w: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6</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spacing w:line="460" w:lineRule="exact"/>
        <w:rPr>
          <w:rFonts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color w:val="auto"/>
          <w:sz w:val="28"/>
          <w:szCs w:val="28"/>
          <w:highlight w:val="none"/>
        </w:rPr>
      </w:r>
      <w:r/>
    </w:p>
    <w:p>
      <w:pPr>
        <w:contextualSpacing/>
        <w:ind w:firstLine="640"/>
        <w:spacing w:line="400" w:lineRule="exact"/>
        <w:rPr>
          <w:rFonts w:hint="default" w:ascii="宋体" w:hAnsi="宋体" w:eastAsia="宋体" w:cs="宋体"/>
          <w:color w:val="auto"/>
          <w:sz w:val="32"/>
          <w:szCs w:val="32"/>
          <w:highlight w:val="none"/>
          <w:lang w:val="en-US"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560"/>
        <w:spacing w:line="400" w:lineRule="exact"/>
        <w:rPr>
          <w:rFonts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00" w:lineRule="exact"/>
        <w:rPr>
          <w:rFonts w:ascii="宋体" w:hAnsi="宋体" w:cs="宋体"/>
          <w:color w:val="auto"/>
          <w:sz w:val="28"/>
          <w:szCs w:val="28"/>
          <w:highlight w:val="none"/>
        </w:rPr>
        <w:outlineLvl w:val="2"/>
      </w:pPr>
      <w:r/>
      <w:bookmarkStart w:id="179" w:name="_Toc9266"/>
      <w:r>
        <w:rPr>
          <w:rFonts w:hint="eastAsia" w:ascii="宋体" w:hAnsi="宋体" w:cs="宋体"/>
          <w:color w:val="auto"/>
          <w:sz w:val="28"/>
          <w:szCs w:val="28"/>
          <w:highlight w:val="none"/>
        </w:rPr>
        <w:t xml:space="preserve">6.我单位满足法律、行政法规规定的其他条件。</w:t>
      </w:r>
      <w:bookmarkEnd w:id="179"/>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right"/>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8</w:t>
      </w:r>
      <w:r/>
    </w:p>
    <w:p>
      <w:pPr>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9</w:t>
      </w:r>
      <w:r/>
    </w:p>
    <w:p>
      <w:pPr>
        <w:jc w:val="cente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eastAsia="宋体" w:cs="宋体"/>
          <w:b/>
          <w:color w:val="auto"/>
          <w:sz w:val="28"/>
          <w:szCs w:val="28"/>
          <w:highlight w:val="none"/>
          <w:lang w:eastAsia="zh-CN"/>
        </w:rPr>
      </w:pPr>
      <w:r>
        <w:rPr>
          <w:rFonts w:hint="eastAsia" w:ascii="宋体" w:hAnsi="宋体" w:cs="宋体"/>
          <w:color w:val="auto"/>
          <w:sz w:val="28"/>
          <w:szCs w:val="28"/>
          <w:highlight w:val="none"/>
        </w:rPr>
        <w:t xml:space="preserve">附件1</w:t>
      </w:r>
      <w:r>
        <w:rPr>
          <w:rFonts w:hint="eastAsia" w:ascii="宋体" w:hAnsi="宋体" w:cs="宋体"/>
          <w:color w:val="auto"/>
          <w:sz w:val="28"/>
          <w:szCs w:val="28"/>
          <w:highlight w:val="none"/>
          <w:lang w:val="en-US" w:eastAsia="zh-CN"/>
        </w:rPr>
        <w:t xml:space="preserve">0</w:t>
      </w:r>
      <w:r/>
    </w:p>
    <w:p>
      <w:pPr>
        <w:ind w:firstLine="281"/>
        <w:jc w:val="center"/>
        <w:keepLines w:val="0"/>
        <w:keepNext w:val="0"/>
        <w:pageBreakBefore w:val="0"/>
        <w:spacing w:line="420" w:lineRule="exact"/>
        <w:widowControl w:val="off"/>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ind w:firstLine="420"/>
        <w:keepLines w:val="0"/>
        <w:keepNext w:val="0"/>
        <w:pageBreakBefore w:val="0"/>
        <w:spacing w:line="3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（采购单位名称）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keepLines w:val="0"/>
        <w:keepNext w:val="0"/>
        <w:pageBreakBefore w:val="0"/>
        <w:spacing w:line="320" w:lineRule="exact"/>
        <w:widowControl w:val="off"/>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（上下铺铁床）</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420"/>
        <w:keepLines w:val="0"/>
        <w:keepNext w:val="0"/>
        <w:pageBreakBefore w:val="0"/>
        <w:spacing w:line="3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书桌</w:t>
      </w:r>
      <w:r>
        <w:rPr>
          <w:rFonts w:hint="eastAsia" w:ascii="宋体" w:hAnsi="宋体" w:cs="宋体"/>
          <w:color w:val="auto"/>
          <w:sz w:val="24"/>
          <w:szCs w:val="24"/>
          <w:highlight w:val="none"/>
          <w:u w:val="single"/>
        </w:rPr>
        <w:t xml:space="preserve">）</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为万元，资产总额为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420"/>
        <w:keepLines w:val="0"/>
        <w:keepNext w:val="0"/>
        <w:pageBreakBefore w:val="0"/>
        <w:spacing w:line="320" w:lineRule="exact"/>
        <w:widowControl w:val="off"/>
        <w:rPr>
          <w:rFonts w:hint="eastAsia"/>
          <w:color w:val="auto"/>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衣柜</w:t>
      </w:r>
      <w:r>
        <w:rPr>
          <w:rFonts w:hint="eastAsia" w:ascii="宋体" w:hAnsi="宋体" w:cs="宋体"/>
          <w:color w:val="auto"/>
          <w:sz w:val="24"/>
          <w:szCs w:val="24"/>
          <w:highlight w:val="none"/>
          <w:u w:val="single"/>
        </w:rPr>
        <w:t xml:space="preserve">）</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420"/>
        <w:keepLines w:val="0"/>
        <w:keepNext w:val="0"/>
        <w:pageBreakBefore w:val="0"/>
        <w:spacing w:line="3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公寓床</w:t>
      </w:r>
      <w:r>
        <w:rPr>
          <w:rFonts w:hint="eastAsia" w:ascii="宋体" w:hAnsi="宋体" w:cs="宋体"/>
          <w:color w:val="auto"/>
          <w:sz w:val="24"/>
          <w:szCs w:val="24"/>
          <w:highlight w:val="none"/>
          <w:u w:val="single"/>
        </w:rPr>
        <w:t xml:space="preserve">）</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420"/>
        <w:keepLines w:val="0"/>
        <w:keepNext w:val="0"/>
        <w:pageBreakBefore w:val="0"/>
        <w:spacing w:line="3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组合书桌</w:t>
      </w:r>
      <w:r>
        <w:rPr>
          <w:rFonts w:hint="eastAsia" w:ascii="宋体" w:hAnsi="宋体" w:cs="宋体"/>
          <w:color w:val="auto"/>
          <w:sz w:val="24"/>
          <w:szCs w:val="24"/>
          <w:highlight w:val="none"/>
          <w:u w:val="single"/>
        </w:rPr>
        <w:t xml:space="preserve">）</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42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铝合金方凳</w:t>
      </w:r>
      <w:r>
        <w:rPr>
          <w:rFonts w:hint="eastAsia" w:ascii="宋体" w:hAnsi="宋体" w:cs="宋体"/>
          <w:color w:val="auto"/>
          <w:sz w:val="24"/>
          <w:szCs w:val="24"/>
          <w:highlight w:val="none"/>
          <w:u w:val="single"/>
        </w:rPr>
        <w:t xml:space="preserve">）</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420"/>
        <w:keepLines w:val="0"/>
        <w:keepNext w:val="0"/>
        <w:pageBreakBefore w:val="0"/>
        <w:spacing w:line="3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180" w:firstLine="420"/>
        <w:jc w:val="right"/>
        <w:keepLines w:val="0"/>
        <w:keepNext w:val="0"/>
        <w:pageBreakBefore w:val="0"/>
        <w:spacing w:line="3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right="480" w:firstLine="6300"/>
        <w:keepLines w:val="0"/>
        <w:keepNext w:val="0"/>
        <w:pageBreakBefore w:val="0"/>
        <w:spacing w:line="3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560"/>
        <w:keepLines w:val="0"/>
        <w:keepNext w:val="0"/>
        <w:pageBreakBefore w:val="0"/>
        <w:spacing w:line="3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562"/>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lang w:eastAsia="zh-CN"/>
        </w:rPr>
        <w:t xml:space="preserve">本项目所属行业为</w:t>
      </w:r>
      <w:r>
        <w:rPr>
          <w:rFonts w:hint="eastAsia" w:ascii="宋体" w:hAnsi="宋体" w:cs="宋体"/>
          <w:b/>
          <w:bCs/>
          <w:color w:val="auto"/>
          <w:sz w:val="24"/>
          <w:szCs w:val="24"/>
          <w:highlight w:val="none"/>
          <w:u w:val="single"/>
        </w:rPr>
        <w:t xml:space="preserve">工业</w:t>
      </w:r>
      <w:r>
        <w:rPr>
          <w:rFonts w:hint="eastAsia" w:ascii="宋体" w:hAnsi="宋体" w:cs="宋体"/>
          <w:b/>
          <w:bCs/>
          <w:color w:val="auto"/>
          <w:sz w:val="24"/>
          <w:szCs w:val="24"/>
          <w:highlight w:val="none"/>
        </w:rPr>
        <w:t xml:space="preserve">。</w:t>
      </w:r>
      <w:r>
        <w:rPr>
          <w:rFonts w:hint="eastAsia" w:ascii="宋体" w:hAnsi="宋体" w:cs="宋体"/>
          <w:b w:val="0"/>
          <w:bCs w:val="0"/>
          <w:color w:val="auto"/>
          <w:sz w:val="24"/>
          <w:szCs w:val="24"/>
          <w:highlight w:val="none"/>
        </w:rPr>
        <w:t xml:space="preserve">从</w:t>
      </w:r>
      <w:r>
        <w:rPr>
          <w:rFonts w:hint="eastAsia" w:ascii="宋体" w:hAnsi="宋体" w:cs="宋体"/>
          <w:color w:val="auto"/>
          <w:sz w:val="24"/>
          <w:szCs w:val="24"/>
          <w:highlight w:val="none"/>
        </w:rPr>
        <w:t xml:space="preserve">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  3.</w:t>
      </w:r>
      <w:r>
        <w:rPr>
          <w:rFonts w:hint="eastAsia" w:ascii="宋体" w:hAnsi="宋体" w:cs="宋体"/>
          <w:b/>
          <w:bCs/>
          <w:color w:val="auto"/>
          <w:sz w:val="24"/>
          <w:szCs w:val="24"/>
          <w:highlight w:val="none"/>
        </w:rPr>
        <w:t xml:space="preserve">专门面向中小微型企业采购的项目，投标人如不提供此声明函，则不能通过资格审查；非专门面向中小微型企业采购的项目，投标人如不提供此声明函，价格将不做相应扣除。</w:t>
      </w:r>
      <w:r/>
    </w:p>
    <w:p>
      <w:pPr>
        <w:ind w:firstLine="562"/>
        <w:keepLines w:val="0"/>
        <w:keepNext w:val="0"/>
        <w:pageBreakBefore w:val="0"/>
        <w:spacing w:line="320" w:lineRule="exact"/>
        <w:widowControl w:val="off"/>
        <w:rPr>
          <w:rFonts w:hint="eastAsia" w:ascii="宋体" w:hAnsi="宋体" w:cs="宋体"/>
          <w:color w:val="auto"/>
          <w:sz w:val="24"/>
          <w:szCs w:val="24"/>
          <w:highlight w:val="none"/>
        </w:rPr>
      </w:pPr>
      <w:r/>
      <w:bookmarkStart w:id="180" w:name="_Toc28642"/>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.投标人自行勾选制造商的企业规模类型。</w:t>
      </w:r>
      <w:bookmarkEnd w:id="180"/>
      <w:r/>
      <w:r/>
    </w:p>
    <w:p>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附件1</w:t>
      </w:r>
      <w:r>
        <w:rPr>
          <w:rFonts w:hint="eastAsia" w:ascii="宋体" w:hAnsi="宋体" w:cs="宋体"/>
          <w:b/>
          <w:color w:val="auto"/>
          <w:sz w:val="28"/>
          <w:szCs w:val="28"/>
          <w:highlight w:val="none"/>
          <w:lang w:val="en-US" w:eastAsia="zh-CN"/>
        </w:rPr>
        <w:t xml:space="preserve">1</w:t>
      </w:r>
      <w:r/>
    </w:p>
    <w:p>
      <w:pPr>
        <w:ind w:left="561" w:hanging="141"/>
        <w:jc w:val="center"/>
        <w:spacing w:line="480" w:lineRule="exact"/>
        <w:rPr>
          <w:rFonts w:ascii="宋体" w:hAnsi="宋体" w:cs="宋体"/>
          <w:color w:val="auto"/>
          <w:sz w:val="28"/>
          <w:szCs w:val="28"/>
          <w:highlight w:val="none"/>
        </w:rPr>
        <w:outlineLvl w:val="1"/>
      </w:pPr>
      <w:r/>
      <w:bookmarkStart w:id="181" w:name="_Toc5882"/>
      <w:r>
        <w:rPr>
          <w:rFonts w:hint="eastAsia" w:ascii="宋体" w:hAnsi="宋体" w:cs="宋体"/>
          <w:b/>
          <w:color w:val="auto"/>
          <w:sz w:val="28"/>
          <w:szCs w:val="28"/>
          <w:highlight w:val="none"/>
        </w:rPr>
        <w:t xml:space="preserve">残疾人福利性单位声明函（货物类项目）（分包号：**）</w:t>
      </w:r>
      <w:bookmarkEnd w:id="181"/>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的项目（分包号：**）采购活动提供本单位制造的货物，或者提供其他残疾人福利性单位制造的货物（不包括使用非残疾人福利性单位注册商标的货物）。</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59" w:firstLine="584"/>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2</w:t>
      </w:r>
      <w:r/>
    </w:p>
    <w:p>
      <w:pPr>
        <w:jc w:val="center"/>
        <w:spacing w:line="4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w:t>
      </w:r>
      <w:r>
        <w:rPr>
          <w:rFonts w:hint="eastAsia" w:ascii="宋体" w:hAnsi="宋体" w:cs="宋体"/>
          <w:b/>
          <w:bCs/>
          <w:color w:val="auto"/>
          <w:sz w:val="32"/>
          <w:szCs w:val="32"/>
          <w:highlight w:val="none"/>
          <w:lang w:eastAsia="zh-CN"/>
        </w:rPr>
        <w:t xml:space="preserve">戒毒管理部门所属企业</w:t>
      </w:r>
      <w:r>
        <w:rPr>
          <w:rFonts w:hint="eastAsia" w:ascii="宋体" w:hAnsi="宋体" w:cs="宋体"/>
          <w:b/>
          <w:bCs/>
          <w:color w:val="auto"/>
          <w:sz w:val="32"/>
          <w:szCs w:val="32"/>
          <w:highlight w:val="none"/>
        </w:rPr>
        <w:t xml:space="preserve">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300" w:lineRule="auto"/>
        <w:tabs>
          <w:tab w:val="left" w:pos="12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ascii="宋体" w:hAnsi="宋体" w:cs="宋体"/>
          <w:color w:val="auto"/>
          <w:sz w:val="32"/>
          <w:szCs w:val="32"/>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3</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line="460" w:lineRule="exact"/>
        <w:rPr>
          <w:rFonts w:ascii="宋体" w:hAnsi="宋体" w:cs="宋体"/>
          <w:bCs/>
          <w:color w:val="auto"/>
          <w:sz w:val="28"/>
          <w:szCs w:val="28"/>
          <w:highlight w:val="none"/>
        </w:rPr>
        <w:outlineLvl w:val="1"/>
      </w:pPr>
      <w:r/>
      <w:bookmarkStart w:id="182" w:name="_Toc31083"/>
      <w:r>
        <w:rPr>
          <w:rFonts w:hint="eastAsia" w:ascii="宋体" w:hAnsi="宋体" w:cs="宋体"/>
          <w:bCs/>
          <w:color w:val="auto"/>
          <w:sz w:val="28"/>
          <w:szCs w:val="28"/>
          <w:highlight w:val="none"/>
        </w:rPr>
        <w:t xml:space="preserve">一、质疑投标人基本信息</w:t>
      </w:r>
      <w:bookmarkEnd w:id="182"/>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outlineLvl w:val="1"/>
      </w:pPr>
      <w:r/>
      <w:bookmarkStart w:id="183" w:name="_Toc10335"/>
      <w:r>
        <w:rPr>
          <w:rFonts w:hint="eastAsia" w:ascii="宋体" w:hAnsi="宋体" w:cs="宋体"/>
          <w:bCs/>
          <w:color w:val="auto"/>
          <w:sz w:val="28"/>
          <w:szCs w:val="28"/>
          <w:highlight w:val="none"/>
        </w:rPr>
        <w:t xml:space="preserve">二、质疑项目基本情况</w:t>
      </w:r>
      <w:bookmarkEnd w:id="183"/>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招标人名称：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outlineLvl w:val="1"/>
      </w:pPr>
      <w:r/>
      <w:bookmarkStart w:id="184" w:name="_Toc16480"/>
      <w:r>
        <w:rPr>
          <w:rFonts w:hint="eastAsia" w:ascii="宋体" w:hAnsi="宋体" w:cs="宋体"/>
          <w:bCs/>
          <w:color w:val="auto"/>
          <w:sz w:val="28"/>
          <w:szCs w:val="28"/>
          <w:highlight w:val="none"/>
        </w:rPr>
        <w:t xml:space="preserve">三、质疑事项具体内容</w:t>
      </w:r>
      <w:bookmarkEnd w:id="184"/>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outlineLvl w:val="1"/>
      </w:pPr>
      <w:r/>
      <w:bookmarkStart w:id="185" w:name="_Toc21173"/>
      <w:r>
        <w:rPr>
          <w:rFonts w:hint="eastAsia" w:ascii="宋体" w:hAnsi="宋体" w:cs="宋体"/>
          <w:bCs/>
          <w:color w:val="auto"/>
          <w:sz w:val="28"/>
          <w:szCs w:val="28"/>
          <w:highlight w:val="none"/>
        </w:rPr>
        <w:t xml:space="preserve">四、与质疑事项相关的质疑请求</w:t>
      </w:r>
      <w:bookmarkEnd w:id="185"/>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outlineLvl w:val="2"/>
      </w:pPr>
      <w:r/>
      <w:bookmarkStart w:id="186" w:name="_Toc29150"/>
      <w:r>
        <w:rPr>
          <w:rFonts w:hint="eastAsia" w:ascii="宋体" w:hAnsi="宋体" w:cs="宋体"/>
          <w:color w:val="auto"/>
          <w:sz w:val="28"/>
          <w:szCs w:val="28"/>
          <w:highlight w:val="none"/>
        </w:rPr>
        <w:t xml:space="preserve">1.投标人提出质疑时，应提交质疑函和必要的证明材料。</w:t>
      </w:r>
      <w:bookmarkEnd w:id="186"/>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outlineLvl w:val="2"/>
      </w:pPr>
      <w:r/>
      <w:bookmarkStart w:id="187" w:name="_Toc8790"/>
      <w:r>
        <w:rPr>
          <w:rFonts w:hint="eastAsia" w:ascii="宋体" w:hAnsi="宋体" w:cs="宋体"/>
          <w:color w:val="auto"/>
          <w:sz w:val="28"/>
          <w:szCs w:val="28"/>
          <w:highlight w:val="none"/>
        </w:rPr>
        <w:t xml:space="preserve">5.质疑函的质疑请求应与质疑事项相关。</w:t>
      </w:r>
      <w:bookmarkEnd w:id="187"/>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120" w:lineRule="auto"/>
        <w:rPr>
          <w:rFonts w:hint="eastAsia" w:eastAsia="方正小标宋_GBK"/>
          <w:color w:val="auto"/>
          <w:sz w:val="44"/>
          <w:szCs w:val="44"/>
          <w:highlight w:val="none"/>
          <w:lang w:eastAsia="zh-CN"/>
        </w:rPr>
      </w:pPr>
      <w:r>
        <w:rPr>
          <w:rFonts w:hint="eastAsia" w:eastAsia="方正小标宋_GBK"/>
          <w:color w:val="auto"/>
          <w:sz w:val="44"/>
          <w:szCs w:val="44"/>
          <w:highlight w:val="none"/>
          <w:lang w:eastAsia="zh-CN"/>
        </w:rPr>
        <w:t xml:space="preserve">江苏中润工程建设咨询有限公司</w:t>
      </w:r>
      <w:r/>
    </w:p>
    <w:p>
      <w:pPr>
        <w:jc w:val="center"/>
        <w:spacing w:line="120" w:lineRule="auto"/>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lang w:eastAsia="zh-CN"/>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lang w:eastAsia="zh-CN"/>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lang w:eastAsia="zh-CN"/>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lang w:eastAsia="zh-CN"/>
        </w:rPr>
        <w:t xml:space="preserve">招标文件</w:t>
      </w:r>
      <w:r>
        <w:rPr>
          <w:rFonts w:hint="eastAsia" w:eastAsia="方正仿宋_GBK"/>
          <w:color w:val="auto"/>
          <w:sz w:val="30"/>
          <w:szCs w:val="30"/>
          <w:highlight w:val="none"/>
        </w:rPr>
        <w:t xml:space="preserve">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lang w:eastAsia="zh-CN"/>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lang w:eastAsia="zh-CN"/>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560"/>
        <w:keepLines w:val="0"/>
        <w:keepNext w:val="0"/>
        <w:pageBreakBefore w:val="0"/>
        <w:spacing w:line="46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根据财库〔2026〕2号文件,政府采购评审中出现下列情形之一的，评审委员会应当启动异常低价投标（响应）审查程序：</w:t>
      </w:r>
      <w:r/>
    </w:p>
    <w:p>
      <w:pPr>
        <w:ind w:firstLine="560"/>
        <w:keepLines w:val="0"/>
        <w:keepNext w:val="0"/>
        <w:pageBreakBefore w:val="0"/>
        <w:spacing w:line="46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1.投标（响应）报价低于全部通过符合性审查供应商投标（响应）报价平均值50%的，即投标（响应）报价&lt;全部通过符合性审查供应商投标（响应）报价平均值×50%； </w:t>
      </w:r>
      <w:r/>
    </w:p>
    <w:p>
      <w:pPr>
        <w:ind w:firstLine="560"/>
        <w:keepLines w:val="0"/>
        <w:keepNext w:val="0"/>
        <w:pageBreakBefore w:val="0"/>
        <w:spacing w:line="46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46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3.投标（响应）报价低于采购项目最高限价</w:t>
      </w:r>
      <w:r>
        <w:rPr>
          <w:rFonts w:hint="eastAsia" w:ascii="宋体" w:hAnsi="宋体" w:cs="宋体"/>
          <w:bCs/>
          <w:color w:val="auto"/>
          <w:sz w:val="28"/>
          <w:szCs w:val="28"/>
          <w:highlight w:val="none"/>
          <w:lang w:val="en-US" w:eastAsia="zh-CN"/>
        </w:rPr>
        <w:t xml:space="preserve">50</w:t>
      </w:r>
      <w:r>
        <w:rPr>
          <w:rFonts w:hint="eastAsia" w:ascii="宋体" w:hAnsi="宋体" w:cs="宋体"/>
          <w:bCs/>
          <w:color w:val="auto"/>
          <w:sz w:val="28"/>
          <w:szCs w:val="28"/>
          <w:highlight w:val="none"/>
        </w:rPr>
        <w:t xml:space="preserve">%的，即投标（响应）报价&lt;采购项目最高限价×</w:t>
      </w:r>
      <w:r>
        <w:rPr>
          <w:rFonts w:hint="eastAsia" w:ascii="宋体" w:hAnsi="宋体" w:cs="宋体"/>
          <w:bCs/>
          <w:color w:val="auto"/>
          <w:sz w:val="28"/>
          <w:szCs w:val="28"/>
          <w:highlight w:val="none"/>
          <w:lang w:val="en-US" w:eastAsia="zh-CN"/>
        </w:rPr>
        <w:t xml:space="preserve">50</w:t>
      </w:r>
      <w:r>
        <w:rPr>
          <w:rFonts w:hint="eastAsia" w:ascii="宋体" w:hAnsi="宋体" w:cs="宋体"/>
          <w:bCs/>
          <w:color w:val="auto"/>
          <w:sz w:val="28"/>
          <w:szCs w:val="28"/>
          <w:highlight w:val="none"/>
        </w:rPr>
        <w:t xml:space="preserve">%； </w:t>
      </w:r>
      <w:r/>
    </w:p>
    <w:p>
      <w:pPr>
        <w:ind w:firstLine="560"/>
        <w:keepLines w:val="0"/>
        <w:keepNext w:val="0"/>
        <w:pageBreakBefore w:val="0"/>
        <w:spacing w:line="46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4.评审委员会基于专业判断，认为供应商报价过低，有可能影响产品质量或者不能诚信履约的其他情形。 </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采购人可以结合具体项目实际情况，提高上述第1项至第3项中启动异常低价投标（响应）审查的数值标准，但是最高不得超过65%。 </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相关法律法规对供应商报价有规定的，从其规定。 </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项情形，</w:t>
      </w:r>
      <w:r>
        <w:rPr>
          <w:rFonts w:hint="eastAsia" w:ascii="宋体" w:hAnsi="宋体" w:cs="宋体"/>
          <w:bCs/>
          <w:color w:val="auto"/>
          <w:sz w:val="28"/>
          <w:szCs w:val="28"/>
          <w:highlight w:val="none"/>
          <w:lang w:eastAsia="zh-CN"/>
        </w:rPr>
        <w:t xml:space="preserve">投标人</w:t>
      </w:r>
      <w:r>
        <w:rPr>
          <w:rFonts w:hint="eastAsia" w:ascii="宋体" w:hAnsi="宋体" w:cs="宋体"/>
          <w:bCs/>
          <w:color w:val="auto"/>
          <w:sz w:val="28"/>
          <w:szCs w:val="28"/>
          <w:highlight w:val="none"/>
        </w:rPr>
        <w:t xml:space="preserve">已随投标（响应）文件一并提交相关书面说明及必要的证明材料的，在评审现场可不再重复提交。</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招标人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15"/>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15"/>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815"/>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15"/>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989"/>
    <w:uiPriority w:val="0"/>
    <w:qFormat/>
    <w:pPr>
      <w:keepLines/>
      <w:keepNext/>
      <w:spacing w:before="340" w:after="330" w:line="578" w:lineRule="auto"/>
      <w:outlineLvl w:val="0"/>
    </w:pPr>
    <w:rPr>
      <w:b/>
      <w:bCs/>
      <w:sz w:val="44"/>
      <w:szCs w:val="44"/>
    </w:rPr>
  </w:style>
  <w:style w:type="paragraph" w:styleId="784">
    <w:name w:val="Heading 2"/>
    <w:basedOn w:val="782"/>
    <w:next w:val="782"/>
    <w:link w:val="990"/>
    <w:uiPriority w:val="0"/>
    <w:qFormat/>
    <w:pPr>
      <w:keepLines/>
      <w:keepNext/>
      <w:spacing w:before="260" w:after="260" w:line="416" w:lineRule="auto"/>
      <w:outlineLvl w:val="1"/>
    </w:pPr>
    <w:rPr>
      <w:rFonts w:ascii="Arial" w:hAnsi="Arial" w:eastAsia="黑体"/>
      <w:b/>
      <w:bCs/>
      <w:sz w:val="32"/>
      <w:szCs w:val="32"/>
    </w:rPr>
  </w:style>
  <w:style w:type="paragraph" w:styleId="785">
    <w:name w:val="Heading 3"/>
    <w:basedOn w:val="782"/>
    <w:next w:val="782"/>
    <w:link w:val="991"/>
    <w:uiPriority w:val="0"/>
    <w:qFormat/>
    <w:pPr>
      <w:keepLines/>
      <w:keepNext/>
      <w:spacing w:before="260" w:after="260" w:line="416" w:lineRule="auto"/>
      <w:outlineLvl w:val="2"/>
    </w:pPr>
    <w:rPr>
      <w:b/>
      <w:bCs/>
      <w:sz w:val="32"/>
      <w:szCs w:val="32"/>
    </w:rPr>
  </w:style>
  <w:style w:type="paragraph" w:styleId="786">
    <w:name w:val="Heading 4"/>
    <w:basedOn w:val="782"/>
    <w:next w:val="782"/>
    <w:link w:val="992"/>
    <w:uiPriority w:val="0"/>
    <w:qFormat/>
    <w:pPr>
      <w:jc w:val="center"/>
      <w:keepNext/>
      <w:outlineLvl w:val="3"/>
    </w:pPr>
    <w:rPr>
      <w:rFonts w:eastAsia="新宋体"/>
      <w:sz w:val="30"/>
      <w:szCs w:val="21"/>
    </w:rPr>
  </w:style>
  <w:style w:type="paragraph" w:styleId="787">
    <w:name w:val="Heading 5"/>
    <w:basedOn w:val="782"/>
    <w:next w:val="782"/>
    <w:link w:val="993"/>
    <w:uiPriority w:val="0"/>
    <w:qFormat/>
    <w:pPr>
      <w:keepLines/>
      <w:keepNext/>
      <w:spacing w:before="280" w:after="290" w:line="376" w:lineRule="auto"/>
      <w:outlineLvl w:val="4"/>
    </w:pPr>
    <w:rPr>
      <w:b/>
      <w:bCs/>
      <w:sz w:val="28"/>
      <w:szCs w:val="28"/>
    </w:rPr>
  </w:style>
  <w:style w:type="paragraph" w:styleId="788">
    <w:name w:val="Heading 6"/>
    <w:basedOn w:val="782"/>
    <w:next w:val="794"/>
    <w:link w:val="994"/>
    <w:uiPriority w:val="0"/>
    <w:qFormat/>
    <w:pPr>
      <w:jc w:val="center"/>
      <w:keepNext/>
      <w:outlineLvl w:val="5"/>
    </w:pPr>
    <w:rPr>
      <w:b/>
      <w:sz w:val="44"/>
      <w:szCs w:val="20"/>
    </w:rPr>
  </w:style>
  <w:style w:type="paragraph" w:styleId="789">
    <w:name w:val="Heading 7"/>
    <w:basedOn w:val="782"/>
    <w:next w:val="782"/>
    <w:link w:val="996"/>
    <w:uiPriority w:val="0"/>
    <w:qFormat/>
    <w:pPr>
      <w:keepLines/>
      <w:keepNext/>
      <w:spacing w:before="240" w:after="64" w:line="320" w:lineRule="auto"/>
      <w:outlineLvl w:val="6"/>
    </w:pPr>
    <w:rPr>
      <w:b/>
      <w:bCs/>
      <w:sz w:val="24"/>
    </w:rPr>
  </w:style>
  <w:style w:type="paragraph" w:styleId="790">
    <w:name w:val="Heading 8"/>
    <w:basedOn w:val="782"/>
    <w:next w:val="782"/>
    <w:link w:val="997"/>
    <w:uiPriority w:val="0"/>
    <w:qFormat/>
    <w:pPr>
      <w:keepLines/>
      <w:keepNext/>
      <w:spacing w:before="240" w:after="64" w:line="320" w:lineRule="auto"/>
      <w:outlineLvl w:val="7"/>
    </w:pPr>
    <w:rPr>
      <w:rFonts w:ascii="Arial" w:hAnsi="Arial" w:eastAsia="黑体"/>
      <w:sz w:val="24"/>
    </w:rPr>
  </w:style>
  <w:style w:type="paragraph" w:styleId="791">
    <w:name w:val="Heading 9"/>
    <w:basedOn w:val="782"/>
    <w:next w:val="782"/>
    <w:link w:val="998"/>
    <w:uiPriority w:val="0"/>
    <w:qFormat/>
    <w:pPr>
      <w:keepLines/>
      <w:keepNext/>
      <w:spacing w:before="240" w:after="64" w:line="320" w:lineRule="auto"/>
      <w:outlineLvl w:val="8"/>
    </w:pPr>
    <w:rPr>
      <w:rFonts w:ascii="Arial" w:hAnsi="Arial" w:eastAsia="黑体"/>
      <w:sz w:val="24"/>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link w:val="995"/>
    <w:uiPriority w:val="0"/>
    <w:qFormat/>
    <w:pPr>
      <w:ind w:firstLine="420"/>
    </w:pPr>
    <w:rPr>
      <w:sz w:val="20"/>
      <w:szCs w:val="20"/>
    </w:rPr>
  </w:style>
  <w:style w:type="paragraph" w:styleId="795">
    <w:name w:val="toc 7"/>
    <w:basedOn w:val="782"/>
    <w:next w:val="782"/>
    <w:uiPriority w:val="39"/>
    <w:unhideWhenUsed/>
    <w:qFormat/>
    <w:pPr>
      <w:ind w:left="1701" w:right="0" w:firstLine="0"/>
      <w:spacing w:after="57"/>
    </w:pPr>
  </w:style>
  <w:style w:type="paragraph" w:styleId="796">
    <w:name w:val="Note Heading"/>
    <w:basedOn w:val="782"/>
    <w:next w:val="782"/>
    <w:uiPriority w:val="0"/>
    <w:qFormat/>
    <w:rPr>
      <w:rFonts w:ascii="Verdana" w:hAnsi="Verdana"/>
      <w:szCs w:val="20"/>
    </w:rPr>
  </w:style>
  <w:style w:type="paragraph" w:styleId="797">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82"/>
    <w:link w:val="999"/>
    <w:uiPriority w:val="0"/>
    <w:semiHidden/>
    <w:qFormat/>
    <w:pPr>
      <w:shd w:val="clear" w:color="auto" w:fill="000080"/>
    </w:pPr>
    <w:rPr>
      <w:sz w:val="20"/>
    </w:rPr>
  </w:style>
  <w:style w:type="paragraph" w:styleId="799">
    <w:name w:val="toa heading"/>
    <w:basedOn w:val="782"/>
    <w:next w:val="782"/>
    <w:uiPriority w:val="0"/>
    <w:qFormat/>
    <w:pPr>
      <w:jc w:val="center"/>
      <w:spacing w:line="360" w:lineRule="atLeast"/>
    </w:pPr>
    <w:rPr>
      <w:rFonts w:ascii="Arial" w:hAnsi="Arial" w:eastAsia="黑体"/>
      <w:sz w:val="36"/>
      <w:szCs w:val="20"/>
    </w:rPr>
  </w:style>
  <w:style w:type="paragraph" w:styleId="800">
    <w:name w:val="annotation text"/>
    <w:basedOn w:val="782"/>
    <w:link w:val="1000"/>
    <w:uiPriority w:val="99"/>
    <w:unhideWhenUsed/>
    <w:qFormat/>
    <w:pPr>
      <w:jc w:val="left"/>
    </w:pPr>
  </w:style>
  <w:style w:type="paragraph" w:styleId="801">
    <w:name w:val="Body Text 3"/>
    <w:basedOn w:val="782"/>
    <w:link w:val="1001"/>
    <w:uiPriority w:val="0"/>
    <w:qFormat/>
    <w:pPr>
      <w:spacing w:after="120"/>
    </w:pPr>
    <w:rPr>
      <w:sz w:val="16"/>
      <w:szCs w:val="16"/>
    </w:rPr>
  </w:style>
  <w:style w:type="paragraph" w:styleId="802">
    <w:name w:val="Body Text"/>
    <w:basedOn w:val="782"/>
    <w:next w:val="803"/>
    <w:link w:val="1002"/>
    <w:uiPriority w:val="0"/>
    <w:qFormat/>
    <w:rPr>
      <w:rFonts w:ascii="仿宋_GB2312" w:eastAsia="仿宋_GB2312"/>
      <w:sz w:val="24"/>
      <w:szCs w:val="20"/>
    </w:rPr>
  </w:style>
  <w:style w:type="paragraph" w:styleId="803" w:customStyle="1">
    <w:name w:val="目录 82"/>
    <w:next w:val="782"/>
    <w:uiPriority w:val="0"/>
    <w:qFormat/>
    <w:pPr>
      <w:ind w:left="2550"/>
      <w:jc w:val="both"/>
    </w:pPr>
    <w:rPr>
      <w:rFonts w:hint="default" w:ascii="Times New Roman" w:hAnsi="Times New Roman" w:eastAsia="宋体" w:cs="Times New Roman"/>
      <w:sz w:val="21"/>
      <w:lang w:val="en-US" w:eastAsia="zh-CN" w:bidi="ar-SA"/>
    </w:rPr>
  </w:style>
  <w:style w:type="paragraph" w:styleId="804">
    <w:name w:val="Body Text Indent"/>
    <w:basedOn w:val="782"/>
    <w:next w:val="805"/>
    <w:link w:val="1003"/>
    <w:uiPriority w:val="0"/>
    <w:qFormat/>
    <w:pPr>
      <w:ind w:left="765"/>
    </w:pPr>
    <w:rPr>
      <w:rFonts w:ascii="仿宋_GB2312" w:eastAsia="仿宋_GB2312"/>
      <w:sz w:val="28"/>
      <w:szCs w:val="20"/>
    </w:rPr>
  </w:style>
  <w:style w:type="paragraph" w:styleId="805">
    <w:name w:val="envelope return"/>
    <w:basedOn w:val="782"/>
    <w:uiPriority w:val="99"/>
    <w:unhideWhenUsed/>
    <w:qFormat/>
    <w:rPr>
      <w:rFonts w:ascii="Arial" w:hAnsi="Arial"/>
    </w:rPr>
  </w:style>
  <w:style w:type="paragraph" w:styleId="806">
    <w:name w:val="Block Text"/>
    <w:basedOn w:val="782"/>
    <w:next w:val="802"/>
    <w:uiPriority w:val="0"/>
    <w:qFormat/>
    <w:pPr>
      <w:ind w:right="210" w:firstLine="560"/>
      <w:spacing w:line="360" w:lineRule="auto"/>
    </w:pPr>
    <w:rPr>
      <w:rFonts w:ascii="宋体" w:hAnsi="宋体"/>
      <w:color w:val="000000"/>
      <w:spacing w:val="20"/>
      <w:sz w:val="24"/>
      <w:szCs w:val="18"/>
    </w:rPr>
  </w:style>
  <w:style w:type="paragraph" w:styleId="807">
    <w:name w:val="toc 5"/>
    <w:basedOn w:val="782"/>
    <w:next w:val="782"/>
    <w:uiPriority w:val="39"/>
    <w:unhideWhenUsed/>
    <w:qFormat/>
    <w:pPr>
      <w:ind w:left="1134" w:right="0" w:firstLine="0"/>
      <w:spacing w:after="57"/>
    </w:pPr>
  </w:style>
  <w:style w:type="paragraph" w:styleId="808">
    <w:name w:val="toc 3"/>
    <w:basedOn w:val="782"/>
    <w:next w:val="782"/>
    <w:uiPriority w:val="39"/>
    <w:unhideWhenUsed/>
    <w:qFormat/>
    <w:pPr>
      <w:ind w:left="840"/>
    </w:pPr>
  </w:style>
  <w:style w:type="paragraph" w:styleId="809">
    <w:name w:val="Plain Text"/>
    <w:basedOn w:val="782"/>
    <w:link w:val="1004"/>
    <w:uiPriority w:val="0"/>
    <w:qFormat/>
    <w:rPr>
      <w:rFonts w:ascii="宋体" w:hAnsi="Courier New"/>
      <w:sz w:val="20"/>
      <w:szCs w:val="21"/>
    </w:rPr>
  </w:style>
  <w:style w:type="paragraph" w:styleId="810">
    <w:name w:val="toc 8"/>
    <w:basedOn w:val="782"/>
    <w:next w:val="782"/>
    <w:uiPriority w:val="39"/>
    <w:unhideWhenUsed/>
    <w:qFormat/>
    <w:pPr>
      <w:ind w:left="1984" w:right="0" w:firstLine="0"/>
      <w:spacing w:after="57"/>
    </w:pPr>
  </w:style>
  <w:style w:type="paragraph" w:styleId="811">
    <w:name w:val="Date"/>
    <w:basedOn w:val="782"/>
    <w:next w:val="782"/>
    <w:link w:val="1005"/>
    <w:uiPriority w:val="0"/>
    <w:qFormat/>
    <w:rPr>
      <w:sz w:val="24"/>
      <w:szCs w:val="20"/>
    </w:rPr>
  </w:style>
  <w:style w:type="paragraph" w:styleId="812">
    <w:name w:val="Body Text Indent 2"/>
    <w:basedOn w:val="782"/>
    <w:link w:val="1006"/>
    <w:uiPriority w:val="0"/>
    <w:qFormat/>
    <w:pPr>
      <w:ind w:firstLine="560"/>
      <w:spacing w:line="500" w:lineRule="exact"/>
    </w:pPr>
    <w:rPr>
      <w:rFonts w:eastAsia="仿宋_GB2312"/>
      <w:sz w:val="28"/>
      <w:szCs w:val="20"/>
    </w:rPr>
  </w:style>
  <w:style w:type="paragraph" w:styleId="813">
    <w:name w:val="endnote text"/>
    <w:basedOn w:val="782"/>
    <w:link w:val="985"/>
    <w:uiPriority w:val="99"/>
    <w:semiHidden/>
    <w:unhideWhenUsed/>
    <w:qFormat/>
    <w:pPr>
      <w:spacing w:after="0" w:line="240" w:lineRule="auto"/>
    </w:pPr>
    <w:rPr>
      <w:sz w:val="20"/>
    </w:rPr>
  </w:style>
  <w:style w:type="paragraph" w:styleId="814">
    <w:name w:val="Balloon Text"/>
    <w:basedOn w:val="782"/>
    <w:link w:val="1007"/>
    <w:uiPriority w:val="0"/>
    <w:semiHidden/>
    <w:qFormat/>
    <w:rPr>
      <w:sz w:val="18"/>
      <w:szCs w:val="18"/>
    </w:rPr>
  </w:style>
  <w:style w:type="paragraph" w:styleId="815">
    <w:name w:val="Footer"/>
    <w:basedOn w:val="782"/>
    <w:link w:val="1008"/>
    <w:uiPriority w:val="99"/>
    <w:qFormat/>
    <w:pPr>
      <w:jc w:val="left"/>
      <w:tabs>
        <w:tab w:val="center" w:pos="4153" w:leader="none"/>
        <w:tab w:val="right" w:pos="8306" w:leader="none"/>
      </w:tabs>
    </w:pPr>
    <w:rPr>
      <w:sz w:val="18"/>
      <w:szCs w:val="20"/>
    </w:rPr>
  </w:style>
  <w:style w:type="paragraph" w:styleId="816">
    <w:name w:val="Header"/>
    <w:basedOn w:val="782"/>
    <w:link w:val="1009"/>
    <w:uiPriority w:val="0"/>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2"/>
    <w:next w:val="782"/>
    <w:uiPriority w:val="0"/>
    <w:semiHidden/>
    <w:qFormat/>
    <w:rPr>
      <w:sz w:val="24"/>
    </w:rPr>
  </w:style>
  <w:style w:type="paragraph" w:styleId="818">
    <w:name w:val="toc 4"/>
    <w:basedOn w:val="782"/>
    <w:next w:val="782"/>
    <w:uiPriority w:val="39"/>
    <w:unhideWhenUsed/>
    <w:qFormat/>
    <w:pPr>
      <w:ind w:left="850" w:right="0" w:firstLine="0"/>
      <w:spacing w:after="57"/>
    </w:pPr>
  </w:style>
  <w:style w:type="paragraph" w:styleId="819">
    <w:name w:val="Subtitle"/>
    <w:basedOn w:val="782"/>
    <w:next w:val="782"/>
    <w:link w:val="851"/>
    <w:uiPriority w:val="11"/>
    <w:qFormat/>
    <w:pPr>
      <w:spacing w:before="200" w:after="200"/>
    </w:pPr>
    <w:rPr>
      <w:sz w:val="24"/>
      <w:szCs w:val="24"/>
    </w:rPr>
  </w:style>
  <w:style w:type="paragraph" w:styleId="820">
    <w:name w:val="List"/>
    <w:basedOn w:val="782"/>
    <w:uiPriority w:val="0"/>
    <w:qFormat/>
    <w:pPr>
      <w:ind w:left="200" w:hanging="200"/>
    </w:pPr>
  </w:style>
  <w:style w:type="paragraph" w:styleId="821">
    <w:name w:val="footnote text"/>
    <w:basedOn w:val="782"/>
    <w:link w:val="984"/>
    <w:uiPriority w:val="99"/>
    <w:semiHidden/>
    <w:unhideWhenUsed/>
    <w:qFormat/>
    <w:pPr>
      <w:spacing w:after="40" w:line="240" w:lineRule="auto"/>
    </w:pPr>
    <w:rPr>
      <w:sz w:val="18"/>
    </w:rPr>
  </w:style>
  <w:style w:type="paragraph" w:styleId="822">
    <w:name w:val="toc 6"/>
    <w:basedOn w:val="782"/>
    <w:next w:val="782"/>
    <w:uiPriority w:val="39"/>
    <w:unhideWhenUsed/>
    <w:qFormat/>
    <w:pPr>
      <w:ind w:left="1417" w:right="0" w:firstLine="0"/>
      <w:spacing w:after="57"/>
    </w:pPr>
  </w:style>
  <w:style w:type="paragraph" w:styleId="823">
    <w:name w:val="Body Text Indent 3"/>
    <w:basedOn w:val="782"/>
    <w:next w:val="799"/>
    <w:link w:val="1010"/>
    <w:uiPriority w:val="0"/>
    <w:qFormat/>
    <w:pPr>
      <w:ind w:left="420"/>
      <w:spacing w:after="120"/>
    </w:pPr>
    <w:rPr>
      <w:sz w:val="16"/>
      <w:szCs w:val="16"/>
    </w:rPr>
  </w:style>
  <w:style w:type="paragraph" w:styleId="824">
    <w:name w:val="table of figures"/>
    <w:basedOn w:val="782"/>
    <w:next w:val="782"/>
    <w:uiPriority w:val="99"/>
    <w:unhideWhenUsed/>
    <w:qFormat/>
    <w:pPr>
      <w:spacing w:after="0" w:afterAutospacing="0"/>
    </w:pPr>
  </w:style>
  <w:style w:type="paragraph" w:styleId="825">
    <w:name w:val="toc 2"/>
    <w:basedOn w:val="782"/>
    <w:next w:val="782"/>
    <w:uiPriority w:val="39"/>
    <w:unhideWhenUsed/>
    <w:qFormat/>
    <w:pPr>
      <w:ind w:left="420"/>
    </w:pPr>
  </w:style>
  <w:style w:type="paragraph" w:styleId="826">
    <w:name w:val="toc 9"/>
    <w:basedOn w:val="782"/>
    <w:next w:val="782"/>
    <w:uiPriority w:val="39"/>
    <w:unhideWhenUsed/>
    <w:qFormat/>
    <w:pPr>
      <w:ind w:left="2268" w:right="0" w:firstLine="0"/>
      <w:spacing w:after="57"/>
    </w:pPr>
  </w:style>
  <w:style w:type="paragraph" w:styleId="827">
    <w:name w:val="Body Text 2"/>
    <w:basedOn w:val="782"/>
    <w:link w:val="1011"/>
    <w:uiPriority w:val="0"/>
    <w:qFormat/>
    <w:rPr>
      <w:b/>
      <w:bCs/>
      <w:sz w:val="18"/>
    </w:rPr>
  </w:style>
  <w:style w:type="paragraph" w:styleId="828">
    <w:name w:val="Normal (Web)"/>
    <w:basedOn w:val="782"/>
    <w:uiPriority w:val="0"/>
    <w:qFormat/>
    <w:pPr>
      <w:jc w:val="left"/>
      <w:spacing w:before="100" w:beforeAutospacing="1" w:after="100" w:afterAutospacing="1"/>
      <w:widowControl/>
    </w:pPr>
    <w:rPr>
      <w:rFonts w:ascii="宋体" w:hAnsi="宋体"/>
      <w:color w:val="000000"/>
      <w:sz w:val="24"/>
    </w:rPr>
  </w:style>
  <w:style w:type="paragraph" w:styleId="829">
    <w:name w:val="Title"/>
    <w:basedOn w:val="782"/>
    <w:next w:val="782"/>
    <w:link w:val="850"/>
    <w:uiPriority w:val="10"/>
    <w:qFormat/>
    <w:pPr>
      <w:contextualSpacing/>
      <w:spacing w:before="300" w:after="200"/>
    </w:pPr>
    <w:rPr>
      <w:sz w:val="48"/>
      <w:szCs w:val="48"/>
    </w:rPr>
  </w:style>
  <w:style w:type="paragraph" w:styleId="830">
    <w:name w:val="annotation subject"/>
    <w:basedOn w:val="800"/>
    <w:next w:val="800"/>
    <w:link w:val="1012"/>
    <w:uiPriority w:val="99"/>
    <w:unhideWhenUsed/>
    <w:qFormat/>
    <w:rPr>
      <w:b/>
      <w:bCs/>
    </w:rPr>
  </w:style>
  <w:style w:type="paragraph" w:styleId="831">
    <w:name w:val="Body Text First Indent"/>
    <w:basedOn w:val="802"/>
    <w:link w:val="1013"/>
    <w:uiPriority w:val="0"/>
    <w:qFormat/>
    <w:pPr>
      <w:ind w:firstLine="420"/>
      <w:spacing w:after="120"/>
    </w:pPr>
    <w:rPr>
      <w:rFonts w:ascii="Times New Roman" w:eastAsia="宋体"/>
      <w:szCs w:val="24"/>
    </w:rPr>
  </w:style>
  <w:style w:type="paragraph" w:styleId="832">
    <w:name w:val="Body Text First Indent 2"/>
    <w:basedOn w:val="804"/>
    <w:next w:val="823"/>
    <w:uiPriority w:val="99"/>
    <w:unhideWhenUsed/>
    <w:qFormat/>
    <w:pPr>
      <w:ind w:firstLine="200"/>
    </w:pPr>
  </w:style>
  <w:style w:type="table" w:styleId="833">
    <w:name w:val="Table Grid"/>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uiPriority w:val="0"/>
    <w:qFormat/>
    <w:rPr>
      <w:b/>
      <w:bCs/>
    </w:rPr>
  </w:style>
  <w:style w:type="character" w:styleId="835">
    <w:name w:val="endnote reference"/>
    <w:basedOn w:val="792"/>
    <w:uiPriority w:val="99"/>
    <w:semiHidden/>
    <w:unhideWhenUsed/>
    <w:qFormat/>
    <w:rPr>
      <w:vertAlign w:val="superscript"/>
    </w:rPr>
  </w:style>
  <w:style w:type="character" w:styleId="836">
    <w:name w:val="page number"/>
    <w:uiPriority w:val="0"/>
    <w:qFormat/>
  </w:style>
  <w:style w:type="character" w:styleId="837">
    <w:name w:val="FollowedHyperlink"/>
    <w:uiPriority w:val="0"/>
    <w:qFormat/>
    <w:rPr>
      <w:color w:val="800080"/>
      <w:u w:val="single"/>
    </w:rPr>
  </w:style>
  <w:style w:type="character" w:styleId="838">
    <w:name w:val="Hyperlink"/>
    <w:uiPriority w:val="0"/>
    <w:qFormat/>
    <w:rPr>
      <w:color w:val="0000ff"/>
      <w:u w:val="single"/>
    </w:rPr>
  </w:style>
  <w:style w:type="character" w:styleId="839">
    <w:name w:val="annotation reference"/>
    <w:uiPriority w:val="99"/>
    <w:unhideWhenUsed/>
    <w:qFormat/>
    <w:rPr>
      <w:sz w:val="21"/>
      <w:szCs w:val="21"/>
    </w:rPr>
  </w:style>
  <w:style w:type="character" w:styleId="840">
    <w:name w:val="footnote reference"/>
    <w:basedOn w:val="792"/>
    <w:uiPriority w:val="99"/>
    <w:unhideWhenUsed/>
    <w:qFormat/>
    <w:rPr>
      <w:vertAlign w:val="superscript"/>
    </w:rPr>
  </w:style>
  <w:style w:type="character" w:styleId="841" w:customStyle="1">
    <w:name w:val="Heading 1 Char"/>
    <w:basedOn w:val="792"/>
    <w:uiPriority w:val="9"/>
    <w:qFormat/>
    <w:rPr>
      <w:rFonts w:ascii="Arial" w:hAnsi="Arial" w:eastAsia="Arial" w:cs="Arial"/>
      <w:sz w:val="40"/>
      <w:szCs w:val="40"/>
    </w:rPr>
  </w:style>
  <w:style w:type="character" w:styleId="842" w:customStyle="1">
    <w:name w:val="Heading 2 Char"/>
    <w:basedOn w:val="792"/>
    <w:uiPriority w:val="9"/>
    <w:qFormat/>
    <w:rPr>
      <w:rFonts w:ascii="Arial" w:hAnsi="Arial" w:eastAsia="Arial" w:cs="Arial"/>
      <w:sz w:val="34"/>
    </w:rPr>
  </w:style>
  <w:style w:type="character" w:styleId="843" w:customStyle="1">
    <w:name w:val="Heading 3 Char"/>
    <w:basedOn w:val="792"/>
    <w:uiPriority w:val="9"/>
    <w:qFormat/>
    <w:rPr>
      <w:rFonts w:ascii="Arial" w:hAnsi="Arial" w:eastAsia="Arial" w:cs="Arial"/>
      <w:sz w:val="30"/>
      <w:szCs w:val="30"/>
    </w:rPr>
  </w:style>
  <w:style w:type="character" w:styleId="844" w:customStyle="1">
    <w:name w:val="Heading 4 Char"/>
    <w:basedOn w:val="792"/>
    <w:uiPriority w:val="9"/>
    <w:qFormat/>
    <w:rPr>
      <w:rFonts w:ascii="Arial" w:hAnsi="Arial" w:eastAsia="Arial" w:cs="Arial"/>
      <w:b/>
      <w:bCs/>
      <w:sz w:val="26"/>
      <w:szCs w:val="26"/>
    </w:rPr>
  </w:style>
  <w:style w:type="character" w:styleId="845" w:customStyle="1">
    <w:name w:val="Heading 5 Char"/>
    <w:basedOn w:val="792"/>
    <w:uiPriority w:val="9"/>
    <w:qFormat/>
    <w:rPr>
      <w:rFonts w:ascii="Arial" w:hAnsi="Arial" w:eastAsia="Arial" w:cs="Arial"/>
      <w:b/>
      <w:bCs/>
      <w:sz w:val="24"/>
      <w:szCs w:val="24"/>
    </w:rPr>
  </w:style>
  <w:style w:type="character" w:styleId="846" w:customStyle="1">
    <w:name w:val="Heading 6 Char"/>
    <w:basedOn w:val="792"/>
    <w:uiPriority w:val="9"/>
    <w:qFormat/>
    <w:rPr>
      <w:rFonts w:ascii="Arial" w:hAnsi="Arial" w:eastAsia="Arial" w:cs="Arial"/>
      <w:b/>
      <w:bCs/>
      <w:sz w:val="22"/>
      <w:szCs w:val="22"/>
    </w:rPr>
  </w:style>
  <w:style w:type="character" w:styleId="847" w:customStyle="1">
    <w:name w:val="Heading 7 Char"/>
    <w:basedOn w:val="792"/>
    <w:uiPriority w:val="9"/>
    <w:rPr>
      <w:rFonts w:ascii="Arial" w:hAnsi="Arial" w:eastAsia="Arial" w:cs="Arial"/>
      <w:b/>
      <w:bCs/>
      <w:i/>
      <w:iCs/>
      <w:sz w:val="22"/>
      <w:szCs w:val="22"/>
    </w:rPr>
  </w:style>
  <w:style w:type="character" w:styleId="848" w:customStyle="1">
    <w:name w:val="Heading 8 Char"/>
    <w:basedOn w:val="792"/>
    <w:uiPriority w:val="9"/>
    <w:rPr>
      <w:rFonts w:ascii="Arial" w:hAnsi="Arial" w:eastAsia="Arial" w:cs="Arial"/>
      <w:i/>
      <w:iCs/>
      <w:sz w:val="22"/>
      <w:szCs w:val="22"/>
    </w:rPr>
  </w:style>
  <w:style w:type="character" w:styleId="849" w:customStyle="1">
    <w:name w:val="Heading 9 Char"/>
    <w:basedOn w:val="792"/>
    <w:uiPriority w:val="9"/>
    <w:qFormat/>
    <w:rPr>
      <w:rFonts w:ascii="Arial" w:hAnsi="Arial" w:eastAsia="Arial" w:cs="Arial"/>
      <w:i/>
      <w:iCs/>
      <w:sz w:val="21"/>
      <w:szCs w:val="21"/>
    </w:rPr>
  </w:style>
  <w:style w:type="character" w:styleId="850" w:customStyle="1">
    <w:name w:val="Title Char"/>
    <w:basedOn w:val="792"/>
    <w:link w:val="829"/>
    <w:uiPriority w:val="10"/>
    <w:rPr>
      <w:sz w:val="48"/>
      <w:szCs w:val="48"/>
    </w:rPr>
  </w:style>
  <w:style w:type="character" w:styleId="851" w:customStyle="1">
    <w:name w:val="Subtitle Char"/>
    <w:basedOn w:val="792"/>
    <w:link w:val="819"/>
    <w:uiPriority w:val="11"/>
    <w:rPr>
      <w:sz w:val="24"/>
      <w:szCs w:val="24"/>
    </w:rPr>
  </w:style>
  <w:style w:type="paragraph" w:styleId="852">
    <w:name w:val="Quote"/>
    <w:basedOn w:val="782"/>
    <w:next w:val="782"/>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782"/>
    <w:next w:val="782"/>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792"/>
    <w:uiPriority w:val="99"/>
    <w:qFormat/>
  </w:style>
  <w:style w:type="character" w:styleId="857" w:customStyle="1">
    <w:name w:val="Footer Char"/>
    <w:basedOn w:val="792"/>
    <w:uiPriority w:val="99"/>
    <w:qFormat/>
  </w:style>
  <w:style w:type="character" w:styleId="858" w:customStyle="1">
    <w:name w:val="Caption Char"/>
    <w:uiPriority w:val="99"/>
    <w:qFormat/>
  </w:style>
  <w:style w:type="table" w:styleId="859" w:customStyle="1">
    <w:name w:val="Table Grid Light"/>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79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9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9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basedOn w:val="79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basedOn w:val="79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basedOn w:val="79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basedOn w:val="79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basedOn w:val="79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79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7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79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7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79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basedOn w:val="79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9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9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9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9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9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9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9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9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9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9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9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9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79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basedOn w:val="79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basedOn w:val="79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basedOn w:val="79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basedOn w:val="79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basedOn w:val="79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79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basedOn w:val="7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9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9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9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79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basedOn w:val="79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basedOn w:val="79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basedOn w:val="79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basedOn w:val="79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basedOn w:val="79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79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9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9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9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9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9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79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basedOn w:val="79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basedOn w:val="79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basedOn w:val="79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basedOn w:val="79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basedOn w:val="79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9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9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9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9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9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9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basedOn w:val="7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79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basedOn w:val="79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basedOn w:val="79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basedOn w:val="79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basedOn w:val="79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basedOn w:val="79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basedOn w:val="7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7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basedOn w:val="7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basedOn w:val="7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basedOn w:val="7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basedOn w:val="7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basedOn w:val="7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link w:val="821"/>
    <w:uiPriority w:val="99"/>
    <w:qFormat/>
    <w:rPr>
      <w:sz w:val="18"/>
    </w:rPr>
  </w:style>
  <w:style w:type="character" w:styleId="985" w:customStyle="1">
    <w:name w:val="Endnote Text Char"/>
    <w:link w:val="813"/>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标题 41"/>
    <w:basedOn w:val="782"/>
    <w:next w:val="782"/>
    <w:uiPriority w:val="0"/>
    <w:qFormat/>
    <w:pPr>
      <w:jc w:val="center"/>
      <w:keepNext/>
      <w:outlineLvl w:val="3"/>
    </w:pPr>
    <w:rPr>
      <w:rFonts w:eastAsia="新宋体"/>
      <w:sz w:val="30"/>
      <w:szCs w:val="21"/>
    </w:rPr>
  </w:style>
  <w:style w:type="paragraph" w:styleId="988" w:customStyle="1">
    <w:name w:val="Heading 2"/>
    <w:basedOn w:val="782"/>
    <w:next w:val="782"/>
    <w:uiPriority w:val="9"/>
    <w:unhideWhenUsed/>
    <w:qFormat/>
    <w:pPr>
      <w:keepLines/>
      <w:keepNext/>
      <w:spacing w:before="360" w:after="200"/>
      <w:outlineLvl w:val="1"/>
    </w:pPr>
    <w:rPr>
      <w:rFonts w:ascii="Arial" w:hAnsi="Arial" w:eastAsia="Arial"/>
      <w:sz w:val="34"/>
      <w:szCs w:val="20"/>
      <w:lang w:eastAsia="en-US"/>
    </w:rPr>
  </w:style>
  <w:style w:type="character" w:styleId="989" w:customStyle="1">
    <w:name w:val="标题 1 Char"/>
    <w:link w:val="783"/>
    <w:uiPriority w:val="0"/>
    <w:qFormat/>
    <w:rPr>
      <w:rFonts w:ascii="Times New Roman" w:hAnsi="Times New Roman" w:eastAsia="宋体" w:cs="Times New Roman"/>
      <w:b/>
      <w:bCs/>
      <w:sz w:val="44"/>
      <w:szCs w:val="44"/>
    </w:rPr>
  </w:style>
  <w:style w:type="character" w:styleId="990" w:customStyle="1">
    <w:name w:val="标题 2 Char"/>
    <w:link w:val="784"/>
    <w:uiPriority w:val="0"/>
    <w:qFormat/>
    <w:rPr>
      <w:rFonts w:ascii="Arial" w:hAnsi="Arial" w:eastAsia="黑体" w:cs="Times New Roman"/>
      <w:b/>
      <w:bCs/>
      <w:sz w:val="32"/>
      <w:szCs w:val="32"/>
    </w:rPr>
  </w:style>
  <w:style w:type="character" w:styleId="991" w:customStyle="1">
    <w:name w:val="标题 3 Char"/>
    <w:link w:val="785"/>
    <w:uiPriority w:val="0"/>
    <w:qFormat/>
    <w:rPr>
      <w:rFonts w:ascii="Times New Roman" w:hAnsi="Times New Roman" w:eastAsia="宋体" w:cs="Times New Roman"/>
      <w:b/>
      <w:bCs/>
      <w:sz w:val="32"/>
      <w:szCs w:val="32"/>
    </w:rPr>
  </w:style>
  <w:style w:type="character" w:styleId="992" w:customStyle="1">
    <w:name w:val="标题 4 Char"/>
    <w:link w:val="786"/>
    <w:uiPriority w:val="0"/>
    <w:qFormat/>
    <w:rPr>
      <w:rFonts w:ascii="Times New Roman" w:hAnsi="Times New Roman" w:eastAsia="新宋体" w:cs="Times New Roman"/>
      <w:sz w:val="30"/>
      <w:szCs w:val="21"/>
    </w:rPr>
  </w:style>
  <w:style w:type="character" w:styleId="993" w:customStyle="1">
    <w:name w:val="标题 5 Char"/>
    <w:link w:val="787"/>
    <w:uiPriority w:val="0"/>
    <w:qFormat/>
    <w:rPr>
      <w:rFonts w:ascii="Times New Roman" w:hAnsi="Times New Roman" w:eastAsia="宋体" w:cs="Times New Roman"/>
      <w:b/>
      <w:bCs/>
      <w:sz w:val="28"/>
      <w:szCs w:val="28"/>
    </w:rPr>
  </w:style>
  <w:style w:type="character" w:styleId="994" w:customStyle="1">
    <w:name w:val="标题 6 Char"/>
    <w:link w:val="788"/>
    <w:uiPriority w:val="0"/>
    <w:qFormat/>
    <w:rPr>
      <w:rFonts w:ascii="Times New Roman" w:hAnsi="Times New Roman" w:eastAsia="宋体" w:cs="Times New Roman"/>
      <w:b/>
      <w:sz w:val="44"/>
      <w:szCs w:val="20"/>
    </w:rPr>
  </w:style>
  <w:style w:type="character" w:styleId="995" w:customStyle="1">
    <w:name w:val="正文缩进 Char"/>
    <w:link w:val="794"/>
    <w:uiPriority w:val="0"/>
    <w:qFormat/>
    <w:rPr>
      <w:rFonts w:ascii="Times New Roman" w:hAnsi="Times New Roman" w:eastAsia="宋体" w:cs="Times New Roman"/>
      <w:sz w:val="20"/>
      <w:szCs w:val="20"/>
    </w:rPr>
  </w:style>
  <w:style w:type="character" w:styleId="996" w:customStyle="1">
    <w:name w:val="标题 7 Char"/>
    <w:link w:val="789"/>
    <w:uiPriority w:val="0"/>
    <w:qFormat/>
    <w:rPr>
      <w:rFonts w:ascii="Times New Roman" w:hAnsi="Times New Roman" w:eastAsia="宋体" w:cs="Times New Roman"/>
      <w:b/>
      <w:bCs/>
      <w:sz w:val="24"/>
      <w:szCs w:val="24"/>
    </w:rPr>
  </w:style>
  <w:style w:type="character" w:styleId="997" w:customStyle="1">
    <w:name w:val="标题 8 Char"/>
    <w:link w:val="790"/>
    <w:uiPriority w:val="0"/>
    <w:qFormat/>
    <w:rPr>
      <w:rFonts w:ascii="Arial" w:hAnsi="Arial" w:eastAsia="黑体" w:cs="Times New Roman"/>
      <w:sz w:val="24"/>
      <w:szCs w:val="24"/>
    </w:rPr>
  </w:style>
  <w:style w:type="character" w:styleId="998" w:customStyle="1">
    <w:name w:val="标题 9 Char"/>
    <w:link w:val="791"/>
    <w:uiPriority w:val="0"/>
    <w:qFormat/>
    <w:rPr>
      <w:rFonts w:ascii="Arial" w:hAnsi="Arial" w:eastAsia="黑体" w:cs="Times New Roman"/>
      <w:sz w:val="24"/>
      <w:szCs w:val="21"/>
    </w:rPr>
  </w:style>
  <w:style w:type="character" w:styleId="999" w:customStyle="1">
    <w:name w:val="文档结构图 Char"/>
    <w:link w:val="798"/>
    <w:uiPriority w:val="0"/>
    <w:semiHidden/>
    <w:qFormat/>
    <w:rPr>
      <w:szCs w:val="24"/>
      <w:shd w:val="clear" w:color="auto" w:fill="000080"/>
    </w:rPr>
  </w:style>
  <w:style w:type="character" w:styleId="1000" w:customStyle="1">
    <w:name w:val="批注文字 Char"/>
    <w:link w:val="800"/>
    <w:uiPriority w:val="99"/>
    <w:qFormat/>
    <w:rPr>
      <w:sz w:val="21"/>
      <w:szCs w:val="24"/>
    </w:rPr>
  </w:style>
  <w:style w:type="character" w:styleId="1001" w:customStyle="1">
    <w:name w:val="正文文本 3 Char"/>
    <w:link w:val="801"/>
    <w:uiPriority w:val="0"/>
    <w:qFormat/>
    <w:rPr>
      <w:rFonts w:ascii="Times New Roman" w:hAnsi="Times New Roman" w:eastAsia="宋体" w:cs="Times New Roman"/>
      <w:sz w:val="16"/>
      <w:szCs w:val="16"/>
    </w:rPr>
  </w:style>
  <w:style w:type="character" w:styleId="1002" w:customStyle="1">
    <w:name w:val="正文文本 Char"/>
    <w:link w:val="802"/>
    <w:uiPriority w:val="0"/>
    <w:qFormat/>
    <w:rPr>
      <w:rFonts w:ascii="仿宋_GB2312" w:hAnsi="Times New Roman" w:eastAsia="仿宋_GB2312" w:cs="Times New Roman"/>
      <w:sz w:val="24"/>
      <w:szCs w:val="20"/>
    </w:rPr>
  </w:style>
  <w:style w:type="character" w:styleId="1003" w:customStyle="1">
    <w:name w:val="正文文本缩进 Char"/>
    <w:link w:val="804"/>
    <w:uiPriority w:val="0"/>
    <w:qFormat/>
    <w:rPr>
      <w:rFonts w:ascii="仿宋_GB2312" w:hAnsi="Times New Roman" w:eastAsia="仿宋_GB2312" w:cs="Times New Roman"/>
      <w:sz w:val="28"/>
      <w:szCs w:val="20"/>
    </w:rPr>
  </w:style>
  <w:style w:type="character" w:styleId="1004" w:customStyle="1">
    <w:name w:val="纯文本 Char"/>
    <w:link w:val="809"/>
    <w:uiPriority w:val="0"/>
    <w:qFormat/>
    <w:rPr>
      <w:rFonts w:ascii="宋体" w:hAnsi="Courier New" w:eastAsia="宋体" w:cs="Courier New"/>
      <w:szCs w:val="21"/>
    </w:rPr>
  </w:style>
  <w:style w:type="character" w:styleId="1005" w:customStyle="1">
    <w:name w:val="日期 Char"/>
    <w:link w:val="811"/>
    <w:uiPriority w:val="0"/>
    <w:qFormat/>
    <w:rPr>
      <w:rFonts w:ascii="Times New Roman" w:hAnsi="Times New Roman" w:eastAsia="宋体" w:cs="Times New Roman"/>
      <w:sz w:val="24"/>
      <w:szCs w:val="20"/>
    </w:rPr>
  </w:style>
  <w:style w:type="character" w:styleId="1006" w:customStyle="1">
    <w:name w:val="正文文本缩进 2 Char"/>
    <w:link w:val="812"/>
    <w:uiPriority w:val="0"/>
    <w:qFormat/>
    <w:rPr>
      <w:rFonts w:ascii="Times New Roman" w:hAnsi="Times New Roman" w:eastAsia="仿宋_GB2312" w:cs="Times New Roman"/>
      <w:sz w:val="28"/>
      <w:szCs w:val="20"/>
    </w:rPr>
  </w:style>
  <w:style w:type="character" w:styleId="1007" w:customStyle="1">
    <w:name w:val="批注框文本 Char"/>
    <w:link w:val="814"/>
    <w:uiPriority w:val="0"/>
    <w:semiHidden/>
    <w:qFormat/>
    <w:rPr>
      <w:sz w:val="18"/>
      <w:szCs w:val="18"/>
    </w:rPr>
  </w:style>
  <w:style w:type="character" w:styleId="1008" w:customStyle="1">
    <w:name w:val="页脚 Char"/>
    <w:link w:val="815"/>
    <w:uiPriority w:val="99"/>
    <w:qFormat/>
    <w:rPr>
      <w:rFonts w:ascii="Times New Roman" w:hAnsi="Times New Roman" w:eastAsia="宋体" w:cs="Times New Roman"/>
      <w:sz w:val="18"/>
      <w:szCs w:val="20"/>
    </w:rPr>
  </w:style>
  <w:style w:type="character" w:styleId="1009" w:customStyle="1">
    <w:name w:val="页眉 Char"/>
    <w:link w:val="816"/>
    <w:uiPriority w:val="0"/>
    <w:qFormat/>
    <w:rPr>
      <w:rFonts w:ascii="Times New Roman" w:hAnsi="Times New Roman" w:eastAsia="宋体" w:cs="Times New Roman"/>
      <w:sz w:val="18"/>
      <w:szCs w:val="18"/>
    </w:rPr>
  </w:style>
  <w:style w:type="character" w:styleId="1010" w:customStyle="1">
    <w:name w:val="正文文本缩进 3 Char"/>
    <w:link w:val="823"/>
    <w:uiPriority w:val="0"/>
    <w:qFormat/>
    <w:rPr>
      <w:rFonts w:ascii="Times New Roman" w:hAnsi="Times New Roman" w:eastAsia="宋体" w:cs="Times New Roman"/>
      <w:sz w:val="16"/>
      <w:szCs w:val="16"/>
    </w:rPr>
  </w:style>
  <w:style w:type="character" w:styleId="1011" w:customStyle="1">
    <w:name w:val="正文文本 2 Char"/>
    <w:link w:val="827"/>
    <w:uiPriority w:val="0"/>
    <w:qFormat/>
    <w:rPr>
      <w:rFonts w:ascii="Times New Roman" w:hAnsi="Times New Roman" w:eastAsia="宋体" w:cs="Times New Roman"/>
      <w:b/>
      <w:bCs/>
      <w:sz w:val="18"/>
      <w:szCs w:val="24"/>
    </w:rPr>
  </w:style>
  <w:style w:type="character" w:styleId="1012" w:customStyle="1">
    <w:name w:val="批注主题 Char"/>
    <w:link w:val="830"/>
    <w:uiPriority w:val="99"/>
    <w:semiHidden/>
    <w:qFormat/>
    <w:rPr>
      <w:b/>
      <w:bCs/>
      <w:sz w:val="21"/>
      <w:szCs w:val="24"/>
    </w:rPr>
  </w:style>
  <w:style w:type="character" w:styleId="1013" w:customStyle="1">
    <w:name w:val="正文首行缩进 Char"/>
    <w:link w:val="831"/>
    <w:uiPriority w:val="0"/>
    <w:qFormat/>
    <w:rPr>
      <w:rFonts w:ascii="Times New Roman" w:hAnsi="Times New Roman" w:eastAsia="宋体" w:cs="Times New Roman"/>
      <w:sz w:val="24"/>
      <w:szCs w:val="24"/>
    </w:rPr>
  </w:style>
  <w:style w:type="paragraph" w:styleId="1014">
    <w:name w:val="List Paragraph"/>
    <w:basedOn w:val="782"/>
    <w:link w:val="1015"/>
    <w:uiPriority w:val="99"/>
    <w:qFormat/>
    <w:pPr>
      <w:ind w:firstLine="420"/>
    </w:pPr>
    <w:rPr>
      <w:sz w:val="20"/>
      <w:szCs w:val="20"/>
    </w:rPr>
  </w:style>
  <w:style w:type="character" w:styleId="1015" w:customStyle="1">
    <w:name w:val="列出段落 Char"/>
    <w:link w:val="1014"/>
    <w:uiPriority w:val="99"/>
    <w:qFormat/>
  </w:style>
  <w:style w:type="paragraph" w:styleId="1016" w:customStyle="1">
    <w:name w:val="style4"/>
    <w:basedOn w:val="782"/>
    <w:next w:val="1017"/>
    <w:uiPriority w:val="0"/>
    <w:qFormat/>
    <w:pPr>
      <w:spacing w:before="280" w:after="280"/>
      <w:widowControl/>
    </w:pPr>
    <w:rPr>
      <w:rFonts w:ascii="宋体"/>
      <w:sz w:val="18"/>
    </w:rPr>
  </w:style>
  <w:style w:type="paragraph" w:styleId="1017" w:customStyle="1">
    <w:name w:val="2"/>
    <w:next w:val="7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Default"/>
    <w:basedOn w:val="782"/>
    <w:uiPriority w:val="0"/>
    <w:qFormat/>
    <w:pPr>
      <w:jc w:val="left"/>
    </w:pPr>
    <w:rPr>
      <w:rFonts w:ascii="Arial" w:hAnsi="Arial" w:eastAsia="PMingLiU"/>
      <w:sz w:val="20"/>
      <w:szCs w:val="20"/>
    </w:rPr>
  </w:style>
  <w:style w:type="paragraph" w:styleId="1019" w:customStyle="1">
    <w:name w:val="无间隔1"/>
    <w:uiPriority w:val="0"/>
    <w:qFormat/>
    <w:rPr>
      <w:rFonts w:hint="default" w:ascii="Times New Roman" w:hAnsi="Times New Roman" w:eastAsia="宋体" w:cs="Calibri"/>
      <w:sz w:val="22"/>
      <w:lang w:val="en-US" w:eastAsia="zh-CN" w:bidi="ar-SA"/>
    </w:rPr>
  </w:style>
  <w:style w:type="paragraph" w:styleId="1020" w:customStyle="1">
    <w:name w:val="正文缩进1"/>
    <w:basedOn w:val="782"/>
    <w:uiPriority w:val="0"/>
    <w:qFormat/>
    <w:pPr>
      <w:ind w:firstLine="420"/>
      <w:jc w:val="left"/>
      <w:widowControl/>
    </w:pPr>
  </w:style>
  <w:style w:type="character" w:styleId="1021" w:customStyle="1">
    <w:name w:val="文档结构图 Char1"/>
    <w:uiPriority w:val="99"/>
    <w:semiHidden/>
    <w:qFormat/>
    <w:rPr>
      <w:rFonts w:ascii="宋体" w:hAnsi="Times New Roman" w:eastAsia="宋体" w:cs="Times New Roman"/>
      <w:sz w:val="18"/>
      <w:szCs w:val="18"/>
    </w:rPr>
  </w:style>
  <w:style w:type="character" w:styleId="1022" w:customStyle="1">
    <w:name w:val="普通正文 Char"/>
    <w:link w:val="1023"/>
    <w:uiPriority w:val="0"/>
    <w:qFormat/>
    <w:rPr>
      <w:rFonts w:ascii="Arial" w:hAnsi="Arial"/>
      <w:sz w:val="24"/>
      <w:szCs w:val="24"/>
    </w:rPr>
  </w:style>
  <w:style w:type="paragraph" w:styleId="1023" w:customStyle="1">
    <w:name w:val="普通正文"/>
    <w:basedOn w:val="782"/>
    <w:link w:val="1022"/>
    <w:uiPriority w:val="0"/>
    <w:qFormat/>
    <w:pPr>
      <w:ind w:left="-2" w:right="120" w:firstLine="480"/>
      <w:jc w:val="center"/>
      <w:spacing w:before="120" w:after="120" w:line="360" w:lineRule="auto"/>
    </w:pPr>
    <w:rPr>
      <w:rFonts w:ascii="Arial" w:hAnsi="Arial"/>
      <w:sz w:val="24"/>
    </w:rPr>
  </w:style>
  <w:style w:type="character" w:styleId="1024" w:customStyle="1">
    <w:name w:val="FA正文 Char"/>
    <w:link w:val="1025"/>
    <w:uiPriority w:val="0"/>
    <w:qFormat/>
    <w:rPr>
      <w:rFonts w:ascii="宋体" w:hAnsi="宋体" w:eastAsia="宋体" w:cs="Times New Roman"/>
      <w:sz w:val="28"/>
      <w:szCs w:val="28"/>
    </w:rPr>
  </w:style>
  <w:style w:type="paragraph" w:styleId="1025" w:customStyle="1">
    <w:name w:val="FA正文"/>
    <w:basedOn w:val="782"/>
    <w:link w:val="1024"/>
    <w:uiPriority w:val="0"/>
    <w:qFormat/>
    <w:pPr>
      <w:ind w:firstLine="538"/>
      <w:spacing w:line="440" w:lineRule="atLeast"/>
      <w:tabs>
        <w:tab w:val="left" w:pos="3375" w:leader="none"/>
      </w:tabs>
    </w:pPr>
    <w:rPr>
      <w:rFonts w:ascii="宋体" w:hAnsi="宋体"/>
      <w:sz w:val="28"/>
      <w:szCs w:val="28"/>
    </w:rPr>
  </w:style>
  <w:style w:type="character" w:styleId="1026" w:customStyle="1">
    <w:name w:val="正文缩进2格 Char"/>
    <w:link w:val="1027"/>
    <w:uiPriority w:val="0"/>
    <w:qFormat/>
    <w:rPr>
      <w:rFonts w:ascii="仿宋_GB2312" w:hAnsi="宋体" w:eastAsia="仿宋_GB2312" w:cs="Times New Roman"/>
      <w:sz w:val="31"/>
      <w:szCs w:val="28"/>
    </w:rPr>
  </w:style>
  <w:style w:type="paragraph" w:styleId="1027" w:customStyle="1">
    <w:name w:val="正文缩进2格"/>
    <w:basedOn w:val="782"/>
    <w:link w:val="1026"/>
    <w:uiPriority w:val="0"/>
    <w:qFormat/>
    <w:pPr>
      <w:ind w:firstLine="639"/>
      <w:spacing w:line="600" w:lineRule="exact"/>
    </w:pPr>
    <w:rPr>
      <w:rFonts w:ascii="仿宋_GB2312" w:hAnsi="宋体" w:eastAsia="仿宋_GB2312"/>
      <w:sz w:val="31"/>
      <w:szCs w:val="28"/>
    </w:rPr>
  </w:style>
  <w:style w:type="character" w:styleId="1028" w:customStyle="1">
    <w:name w:val="cn_text1"/>
    <w:uiPriority w:val="0"/>
    <w:qFormat/>
    <w:rPr>
      <w:rFonts w:hint="default" w:ascii="ˎ̥" w:hAnsi="ˎ̥"/>
      <w:color w:val="003399"/>
      <w:spacing w:val="15"/>
      <w:sz w:val="18"/>
      <w:szCs w:val="18"/>
    </w:rPr>
  </w:style>
  <w:style w:type="character" w:styleId="1029" w:customStyle="1">
    <w:name w:val="ssss Char"/>
    <w:uiPriority w:val="0"/>
    <w:qFormat/>
    <w:rPr>
      <w:rFonts w:eastAsia="宋体"/>
      <w:sz w:val="24"/>
      <w:szCs w:val="24"/>
      <w:lang w:val="en-US" w:eastAsia="zh-CN" w:bidi="ar-SA"/>
    </w:rPr>
  </w:style>
  <w:style w:type="character" w:styleId="1030" w:customStyle="1">
    <w:name w:val="ssss Char1"/>
    <w:link w:val="1031"/>
    <w:uiPriority w:val="0"/>
    <w:qFormat/>
    <w:rPr>
      <w:rFonts w:ascii="Times New Roman" w:hAnsi="Times New Roman" w:eastAsia="宋体" w:cs="Times New Roman"/>
      <w:sz w:val="24"/>
      <w:szCs w:val="24"/>
    </w:rPr>
  </w:style>
  <w:style w:type="paragraph" w:styleId="1031" w:customStyle="1">
    <w:name w:val="ssss"/>
    <w:basedOn w:val="782"/>
    <w:link w:val="1030"/>
    <w:uiPriority w:val="0"/>
    <w:qFormat/>
    <w:pPr>
      <w:ind w:firstLine="480"/>
      <w:spacing w:line="360" w:lineRule="auto"/>
    </w:pPr>
    <w:rPr>
      <w:sz w:val="24"/>
    </w:rPr>
  </w:style>
  <w:style w:type="character" w:styleId="1032" w:customStyle="1">
    <w:name w:val="标题 4 Char1"/>
    <w:uiPriority w:val="0"/>
    <w:qFormat/>
    <w:rPr>
      <w:rFonts w:ascii="Arial" w:hAnsi="Arial" w:eastAsia="黑体"/>
      <w:b/>
      <w:bCs/>
      <w:sz w:val="28"/>
      <w:szCs w:val="28"/>
      <w:lang w:val="en-US" w:eastAsia="zh-CN" w:bidi="ar-SA"/>
    </w:rPr>
  </w:style>
  <w:style w:type="character" w:styleId="1033" w:customStyle="1">
    <w:name w:val="列表段落 字符"/>
    <w:uiPriority w:val="34"/>
    <w:qFormat/>
    <w:rPr>
      <w:rFonts w:ascii="Calibri" w:hAnsi="Calibri"/>
      <w:sz w:val="21"/>
      <w:szCs w:val="22"/>
    </w:rPr>
  </w:style>
  <w:style w:type="character" w:styleId="1034" w:customStyle="1">
    <w:name w:val="批注框文本 Char1"/>
    <w:uiPriority w:val="99"/>
    <w:semiHidden/>
    <w:qFormat/>
    <w:rPr>
      <w:rFonts w:ascii="Times New Roman" w:hAnsi="Times New Roman" w:eastAsia="宋体" w:cs="Times New Roman"/>
      <w:sz w:val="18"/>
      <w:szCs w:val="18"/>
    </w:rPr>
  </w:style>
  <w:style w:type="character" w:styleId="1035" w:customStyle="1">
    <w:name w:val="样式 ssss + 宋体 五号1 Char"/>
    <w:link w:val="1036"/>
    <w:uiPriority w:val="0"/>
    <w:qFormat/>
    <w:rPr>
      <w:rFonts w:ascii="宋体" w:hAnsi="宋体" w:eastAsia="宋体" w:cs="Times New Roman"/>
      <w:sz w:val="24"/>
      <w:szCs w:val="24"/>
    </w:rPr>
  </w:style>
  <w:style w:type="paragraph" w:styleId="1036" w:customStyle="1">
    <w:name w:val="样式 ssss + 宋体 五号1"/>
    <w:basedOn w:val="1031"/>
    <w:link w:val="1035"/>
    <w:uiPriority w:val="0"/>
    <w:qFormat/>
    <w:rPr>
      <w:rFonts w:ascii="宋体" w:hAnsi="宋体"/>
    </w:rPr>
  </w:style>
  <w:style w:type="character" w:styleId="1037" w:customStyle="1">
    <w:name w:val="point_normal1"/>
    <w:uiPriority w:val="0"/>
    <w:qFormat/>
    <w:rPr>
      <w:rFonts w:hint="default" w:ascii="Arial" w:hAnsi="Arial" w:cs="Arial"/>
      <w:sz w:val="16"/>
      <w:szCs w:val="16"/>
    </w:rPr>
  </w:style>
  <w:style w:type="paragraph" w:styleId="1038" w:customStyle="1">
    <w:name w:val="样式 正文文本缩进 3 + 四号"/>
    <w:basedOn w:val="823"/>
    <w:uiPriority w:val="0"/>
    <w:qFormat/>
    <w:pPr>
      <w:ind w:left="0" w:firstLine="437"/>
      <w:spacing w:after="0" w:line="360" w:lineRule="auto"/>
    </w:pPr>
    <w:rPr>
      <w:sz w:val="24"/>
      <w:szCs w:val="21"/>
    </w:rPr>
  </w:style>
  <w:style w:type="paragraph" w:styleId="1039" w:customStyle="1">
    <w:name w:val="2cxsplast"/>
    <w:basedOn w:val="782"/>
    <w:uiPriority w:val="0"/>
    <w:qFormat/>
    <w:pPr>
      <w:jc w:val="left"/>
      <w:spacing w:before="100" w:beforeAutospacing="1" w:after="100" w:afterAutospacing="1"/>
      <w:widowControl/>
    </w:pPr>
    <w:rPr>
      <w:rFonts w:ascii="宋体" w:hAnsi="宋体" w:cs="宋体"/>
      <w:sz w:val="24"/>
    </w:rPr>
  </w:style>
  <w:style w:type="paragraph" w:styleId="1040" w:customStyle="1">
    <w:name w:val="ec_msonormal"/>
    <w:basedOn w:val="782"/>
    <w:uiPriority w:val="0"/>
    <w:qFormat/>
    <w:pPr>
      <w:jc w:val="left"/>
      <w:spacing w:before="100" w:beforeAutospacing="1" w:after="100" w:afterAutospacing="1"/>
      <w:widowControl/>
    </w:pPr>
    <w:rPr>
      <w:rFonts w:ascii="宋体" w:hAnsi="宋体"/>
      <w:sz w:val="24"/>
    </w:rPr>
  </w:style>
  <w:style w:type="paragraph" w:styleId="1041" w:customStyle="1">
    <w:name w:val="Char Char Char Char"/>
    <w:basedOn w:val="782"/>
    <w:uiPriority w:val="0"/>
    <w:qFormat/>
    <w:rPr>
      <w:rFonts w:ascii="Tahoma" w:hAnsi="Tahoma"/>
      <w:sz w:val="24"/>
      <w:szCs w:val="20"/>
    </w:rPr>
  </w:style>
  <w:style w:type="paragraph" w:styleId="1042" w:customStyle="1">
    <w:name w:val="Char Char Char Char Char Char Char Char Char Char Char Char Char"/>
    <w:basedOn w:val="782"/>
    <w:uiPriority w:val="0"/>
    <w:qFormat/>
  </w:style>
  <w:style w:type="paragraph" w:styleId="1043" w:customStyle="1">
    <w:name w:val="表格正文"/>
    <w:basedOn w:val="782"/>
    <w:uiPriority w:val="0"/>
    <w:qFormat/>
    <w:pPr>
      <w:jc w:val="left"/>
      <w:spacing w:line="360" w:lineRule="auto"/>
    </w:pPr>
    <w:rPr>
      <w:rFonts w:ascii="Calibri" w:hAnsi="Calibri"/>
      <w:color w:val="000000"/>
      <w:szCs w:val="28"/>
    </w:rPr>
  </w:style>
  <w:style w:type="paragraph" w:styleId="1044"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45" w:customStyle="1">
    <w:name w:val="Char Char Char Char1"/>
    <w:basedOn w:val="782"/>
    <w:uiPriority w:val="0"/>
    <w:qFormat/>
    <w:rPr>
      <w:rFonts w:ascii="Tahoma" w:hAnsi="Tahoma"/>
      <w:sz w:val="24"/>
      <w:szCs w:val="20"/>
    </w:rPr>
  </w:style>
  <w:style w:type="paragraph" w:styleId="1046" w:customStyle="1">
    <w:name w:val="Char Char Char"/>
    <w:basedOn w:val="782"/>
    <w:uiPriority w:val="0"/>
    <w:qFormat/>
    <w:rPr>
      <w:rFonts w:ascii="Tahoma" w:hAnsi="Tahoma"/>
      <w:sz w:val="24"/>
      <w:szCs w:val="20"/>
    </w:rPr>
  </w:style>
  <w:style w:type="paragraph" w:styleId="1047" w:customStyle="1">
    <w:name w:val="标题-----3"/>
    <w:basedOn w:val="785"/>
    <w:uiPriority w:val="0"/>
    <w:qFormat/>
    <w:pPr>
      <w:spacing w:before="0" w:after="0" w:line="240" w:lineRule="auto"/>
      <w:outlineLvl w:val="0"/>
    </w:pPr>
    <w:rPr>
      <w:rFonts w:ascii="宋体" w:hAnsi="宋体"/>
      <w:b w:val="0"/>
      <w:bCs w:val="0"/>
      <w:sz w:val="28"/>
      <w:szCs w:val="28"/>
    </w:rPr>
  </w:style>
  <w:style w:type="paragraph" w:styleId="1048" w:customStyle="1">
    <w:name w:val="样式 ssss + 居中"/>
    <w:basedOn w:val="1031"/>
    <w:uiPriority w:val="0"/>
    <w:qFormat/>
    <w:pPr>
      <w:jc w:val="center"/>
    </w:pPr>
    <w:rPr>
      <w:rFonts w:cs="宋体"/>
      <w:szCs w:val="20"/>
    </w:rPr>
  </w:style>
  <w:style w:type="paragraph" w:styleId="1049" w:customStyle="1">
    <w:name w:val="样式 宋体 四号 黑色 左侧:  0.74 厘米 首行缩进:  0.74 厘米 行距: 1.5 倍行距"/>
    <w:basedOn w:val="782"/>
    <w:uiPriority w:val="0"/>
    <w:qFormat/>
    <w:pPr>
      <w:ind w:firstLine="420"/>
      <w:spacing w:line="360" w:lineRule="auto"/>
    </w:pPr>
    <w:rPr>
      <w:rFonts w:ascii="宋体"/>
      <w:color w:val="000000"/>
      <w:sz w:val="24"/>
      <w:szCs w:val="21"/>
    </w:rPr>
  </w:style>
  <w:style w:type="paragraph" w:styleId="1050" w:customStyle="1">
    <w:name w:val="样式 样式 ssss + 宋体 五号 + 首行缩进:  2 字符"/>
    <w:basedOn w:val="1051"/>
    <w:uiPriority w:val="0"/>
    <w:qFormat/>
    <w:pPr>
      <w:ind w:firstLine="480"/>
    </w:pPr>
  </w:style>
  <w:style w:type="paragraph" w:styleId="1051" w:customStyle="1">
    <w:name w:val="样式 ssss + 宋体 五号"/>
    <w:basedOn w:val="1031"/>
    <w:uiPriority w:val="0"/>
    <w:qFormat/>
    <w:pPr>
      <w:ind w:firstLine="420"/>
    </w:pPr>
    <w:rPr>
      <w:rFonts w:ascii="宋体" w:hAnsi="宋体" w:cs="宋体"/>
      <w:szCs w:val="20"/>
    </w:rPr>
  </w:style>
  <w:style w:type="paragraph" w:styleId="1052" w:customStyle="1">
    <w:name w:val="msonormalcxsplast"/>
    <w:basedOn w:val="782"/>
    <w:uiPriority w:val="0"/>
    <w:qFormat/>
    <w:pPr>
      <w:jc w:val="left"/>
      <w:spacing w:before="100" w:beforeAutospacing="1" w:after="100" w:afterAutospacing="1"/>
      <w:widowControl/>
    </w:pPr>
    <w:rPr>
      <w:rFonts w:ascii="宋体" w:hAnsi="宋体" w:cs="宋体"/>
      <w:sz w:val="24"/>
    </w:rPr>
  </w:style>
  <w:style w:type="paragraph" w:styleId="1053" w:customStyle="1">
    <w:name w:val="Char"/>
    <w:basedOn w:val="782"/>
    <w:uiPriority w:val="0"/>
    <w:qFormat/>
    <w:rPr>
      <w:rFonts w:ascii="Tahoma" w:hAnsi="Tahoma"/>
      <w:sz w:val="24"/>
      <w:szCs w:val="20"/>
    </w:rPr>
  </w:style>
  <w:style w:type="paragraph" w:styleId="1054" w:customStyle="1">
    <w:name w:val="xl25"/>
    <w:basedOn w:val="782"/>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55" w:customStyle="1">
    <w:name w:val="标题------4"/>
    <w:basedOn w:val="78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56" w:customStyle="1">
    <w:name w:val="msonormalcxspmiddle"/>
    <w:basedOn w:val="782"/>
    <w:uiPriority w:val="0"/>
    <w:qFormat/>
    <w:pPr>
      <w:jc w:val="left"/>
      <w:spacing w:before="100" w:beforeAutospacing="1" w:after="100" w:afterAutospacing="1"/>
      <w:widowControl/>
    </w:pPr>
    <w:rPr>
      <w:rFonts w:ascii="宋体" w:hAnsi="宋体" w:cs="宋体"/>
      <w:sz w:val="24"/>
    </w:rPr>
  </w:style>
  <w:style w:type="paragraph" w:styleId="1057" w:customStyle="1">
    <w:name w:val="Char Char Char Char Char Char Char Char Char Char Char Char Char1"/>
    <w:basedOn w:val="782"/>
    <w:uiPriority w:val="0"/>
    <w:qFormat/>
    <w:rPr>
      <w:sz w:val="24"/>
    </w:rPr>
  </w:style>
  <w:style w:type="paragraph" w:styleId="1058" w:customStyle="1">
    <w:name w:val="表格"/>
    <w:basedOn w:val="782"/>
    <w:uiPriority w:val="0"/>
    <w:qFormat/>
    <w:rPr>
      <w:rFonts w:ascii="Arial" w:hAnsi="Arial"/>
      <w:sz w:val="24"/>
    </w:rPr>
  </w:style>
  <w:style w:type="paragraph" w:styleId="1059" w:customStyle="1">
    <w:name w:val="正文样式1"/>
    <w:basedOn w:val="782"/>
    <w:uiPriority w:val="0"/>
    <w:qFormat/>
    <w:pPr>
      <w:ind w:firstLine="480"/>
      <w:spacing w:before="120" w:after="120" w:line="360" w:lineRule="auto"/>
    </w:pPr>
    <w:rPr>
      <w:sz w:val="24"/>
      <w:szCs w:val="20"/>
    </w:rPr>
  </w:style>
  <w:style w:type="paragraph" w:styleId="1060" w:customStyle="1">
    <w:name w:val="Char Char1 Char Char Char Char Char Char"/>
    <w:basedOn w:val="782"/>
    <w:uiPriority w:val="0"/>
    <w:qFormat/>
    <w:pPr>
      <w:jc w:val="left"/>
      <w:spacing w:after="160" w:line="240" w:lineRule="exact"/>
      <w:widowControl/>
    </w:pPr>
    <w:rPr>
      <w:rFonts w:ascii="Verdana" w:hAnsi="Verdana" w:eastAsia="仿宋_GB2312"/>
      <w:sz w:val="24"/>
      <w:szCs w:val="20"/>
      <w:lang w:eastAsia="en-US"/>
    </w:rPr>
  </w:style>
  <w:style w:type="paragraph" w:styleId="1061" w:customStyle="1">
    <w:name w:val="Char Char Char Char Char Char Char Char Char Char"/>
    <w:basedOn w:val="782"/>
    <w:uiPriority w:val="0"/>
    <w:qFormat/>
    <w:rPr>
      <w:rFonts w:ascii="Tahoma" w:hAnsi="Tahoma"/>
      <w:sz w:val="24"/>
      <w:szCs w:val="20"/>
    </w:rPr>
  </w:style>
  <w:style w:type="paragraph" w:styleId="1062" w:customStyle="1">
    <w:name w:val="Char1"/>
    <w:basedOn w:val="782"/>
    <w:uiPriority w:val="0"/>
    <w:qFormat/>
    <w:pPr>
      <w:tabs>
        <w:tab w:val="left" w:pos="360" w:leader="none"/>
      </w:tabs>
    </w:pPr>
    <w:rPr>
      <w:sz w:val="24"/>
    </w:rPr>
  </w:style>
  <w:style w:type="paragraph" w:styleId="1063" w:customStyle="1">
    <w:name w:val="标题1"/>
    <w:basedOn w:val="782"/>
    <w:next w:val="7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customStyle="1">
    <w:name w:val="Header2"/>
    <w:basedOn w:val="782"/>
    <w:uiPriority w:val="0"/>
    <w:qFormat/>
    <w:pPr>
      <w:numPr>
        <w:ilvl w:val="0"/>
        <w:numId w:val="1"/>
      </w:numPr>
    </w:pPr>
  </w:style>
  <w:style w:type="paragraph" w:styleId="1065" w:customStyle="1">
    <w:name w:val="Char Char 字元 字元 字元 Char Char Char Char"/>
    <w:basedOn w:val="782"/>
    <w:uiPriority w:val="0"/>
    <w:qFormat/>
    <w:pPr>
      <w:spacing w:line="360" w:lineRule="auto"/>
    </w:pPr>
    <w:rPr>
      <w:sz w:val="24"/>
      <w:szCs w:val="20"/>
    </w:rPr>
  </w:style>
  <w:style w:type="paragraph" w:styleId="1066" w:customStyle="1">
    <w:name w:val="2cxspmiddle"/>
    <w:basedOn w:val="782"/>
    <w:uiPriority w:val="0"/>
    <w:qFormat/>
    <w:pPr>
      <w:jc w:val="left"/>
      <w:spacing w:before="100" w:beforeAutospacing="1" w:after="100" w:afterAutospacing="1"/>
      <w:widowControl/>
    </w:pPr>
    <w:rPr>
      <w:rFonts w:ascii="宋体" w:hAnsi="宋体" w:cs="宋体"/>
      <w:sz w:val="24"/>
    </w:rPr>
  </w:style>
  <w:style w:type="paragraph" w:styleId="106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69" w:customStyle="1">
    <w:name w:val="网格型1"/>
    <w:basedOn w:val="79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0" w:customStyle="1">
    <w:name w:val="列出段落1"/>
    <w:basedOn w:val="782"/>
    <w:uiPriority w:val="34"/>
    <w:qFormat/>
    <w:pPr>
      <w:contextualSpacing/>
      <w:ind w:left="720"/>
      <w:jc w:val="left"/>
      <w:widowControl/>
    </w:pPr>
    <w:rPr>
      <w:sz w:val="24"/>
      <w:lang w:eastAsia="en-US" w:bidi="en-US"/>
    </w:rPr>
  </w:style>
  <w:style w:type="paragraph" w:styleId="1071" w:customStyle="1">
    <w:name w:val="DAS正文"/>
    <w:basedOn w:val="782"/>
    <w:uiPriority w:val="0"/>
    <w:qFormat/>
    <w:pPr>
      <w:ind w:right="181" w:firstLine="480"/>
      <w:spacing w:line="360" w:lineRule="auto"/>
    </w:pPr>
    <w:rPr>
      <w:rFonts w:ascii="Verdana" w:hAnsi="Verdana"/>
      <w:sz w:val="24"/>
      <w:szCs w:val="20"/>
    </w:rPr>
  </w:style>
  <w:style w:type="paragraph" w:styleId="1072" w:customStyle="1">
    <w:name w:val="普通(网站) Char"/>
    <w:basedOn w:val="782"/>
    <w:uiPriority w:val="99"/>
    <w:qFormat/>
    <w:pPr>
      <w:jc w:val="left"/>
      <w:spacing w:before="100" w:beforeAutospacing="1" w:after="100" w:afterAutospacing="1"/>
      <w:widowControl/>
    </w:pPr>
    <w:rPr>
      <w:rFonts w:ascii="宋体" w:hAnsi="宋体" w:cs="宋体"/>
      <w:sz w:val="24"/>
    </w:rPr>
  </w:style>
  <w:style w:type="paragraph" w:styleId="1073">
    <w:name w:val="No Spacing"/>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74" w:customStyle="1">
    <w:name w:val="首行缩进"/>
    <w:basedOn w:val="782"/>
    <w:uiPriority w:val="99"/>
    <w:qFormat/>
    <w:pPr>
      <w:ind w:firstLine="480"/>
    </w:pPr>
    <w:rPr>
      <w:rFonts w:ascii="等线" w:hAnsi="等线" w:eastAsia="等线"/>
      <w:szCs w:val="22"/>
      <w:lang w:val="zh-CN"/>
    </w:rPr>
  </w:style>
  <w:style w:type="paragraph" w:styleId="1075" w:customStyle="1">
    <w:name w:val="p0"/>
    <w:basedOn w:val="782"/>
    <w:uiPriority w:val="0"/>
    <w:qFormat/>
    <w:pPr>
      <w:widowControl/>
    </w:pPr>
    <w:rPr>
      <w:sz w:val="20"/>
      <w:szCs w:val="21"/>
      <w:lang w:val="zh-CN"/>
    </w:rPr>
  </w:style>
  <w:style w:type="paragraph" w:styleId="1076" w:customStyle="1">
    <w:name w:val="Table Text"/>
    <w:basedOn w:val="782"/>
    <w:uiPriority w:val="0"/>
    <w:semiHidden/>
    <w:qFormat/>
    <w:rPr>
      <w:rFonts w:ascii="仿宋" w:hAnsi="仿宋" w:eastAsia="仿宋" w:cs="仿宋"/>
      <w:sz w:val="24"/>
      <w:lang w:eastAsia="en-US"/>
    </w:rPr>
  </w:style>
  <w:style w:type="table" w:styleId="1077" w:customStyle="1">
    <w:name w:val="Table Normal"/>
    <w:uiPriority w:val="0"/>
    <w:unhideWhenUsed/>
    <w:qFormat/>
    <w:tblPr>
      <w:tblCellMar>
        <w:left w:w="0" w:type="dxa"/>
        <w:top w:w="0" w:type="dxa"/>
        <w:right w:w="0" w:type="dxa"/>
        <w:bottom w:w="0" w:type="dxa"/>
      </w:tblCellMar>
    </w:tblPr>
  </w:style>
  <w:style w:type="character" w:styleId="1078" w:customStyle="1">
    <w:name w:val="NormalCharacter"/>
    <w:uiPriority w:val="99"/>
    <w:qFormat/>
  </w:style>
  <w:style w:type="character" w:styleId="1079"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80" w:customStyle="1">
    <w:name w:val="font91"/>
    <w:uiPriority w:val="0"/>
    <w:qFormat/>
    <w:rPr>
      <w:rFonts w:hint="default" w:ascii="Times New Roman" w:hAnsi="Times New Roman" w:cs="Times New Roman"/>
      <w:color w:val="000000"/>
      <w:sz w:val="20"/>
      <w:szCs w:val="20"/>
      <w:u w:val="none"/>
    </w:rPr>
  </w:style>
  <w:style w:type="character" w:styleId="1081" w:customStyle="1">
    <w:name w:val="font11"/>
    <w:uiPriority w:val="0"/>
    <w:qFormat/>
    <w:rPr>
      <w:rFonts w:hint="eastAsia" w:ascii="宋体" w:hAnsi="宋体" w:eastAsia="宋体" w:cs="宋体"/>
      <w:color w:val="000000"/>
      <w:sz w:val="20"/>
      <w:szCs w:val="20"/>
      <w:u w:val="none"/>
    </w:rPr>
  </w:style>
  <w:style w:type="character" w:styleId="1082" w:customStyle="1">
    <w:name w:val="font101"/>
    <w:uiPriority w:val="0"/>
    <w:qFormat/>
    <w:rPr>
      <w:rFonts w:hint="default" w:ascii="Arial" w:hAnsi="Arial" w:cs="Arial"/>
      <w:color w:val="000000"/>
      <w:sz w:val="20"/>
      <w:szCs w:val="20"/>
      <w:u w:val="none"/>
    </w:rPr>
  </w:style>
  <w:style w:type="character" w:styleId="1083" w:customStyle="1">
    <w:name w:val="font291"/>
    <w:uiPriority w:val="0"/>
    <w:qFormat/>
    <w:rPr>
      <w:rFonts w:hint="eastAsia" w:ascii="宋体" w:hAnsi="宋体" w:eastAsia="宋体" w:cs="宋体"/>
      <w:color w:val="000000"/>
      <w:sz w:val="20"/>
      <w:szCs w:val="20"/>
      <w:u w:val="none"/>
    </w:rPr>
  </w:style>
  <w:style w:type="character" w:styleId="1084" w:customStyle="1">
    <w:name w:val="font61"/>
    <w:uiPriority w:val="0"/>
    <w:qFormat/>
    <w:rPr>
      <w:rFonts w:hint="eastAsia" w:ascii="等线" w:hAnsi="等线" w:eastAsia="等线" w:cs="等线"/>
      <w:color w:val="000000"/>
      <w:sz w:val="20"/>
      <w:szCs w:val="20"/>
      <w:u w:val="none"/>
    </w:rPr>
  </w:style>
  <w:style w:type="character" w:styleId="1085" w:customStyle="1">
    <w:name w:val="font71"/>
    <w:uiPriority w:val="0"/>
    <w:qFormat/>
    <w:rPr>
      <w:rFonts w:hint="eastAsia" w:ascii="宋体" w:hAnsi="宋体" w:eastAsia="宋体" w:cs="宋体"/>
      <w:color w:val="000000"/>
      <w:sz w:val="20"/>
      <w:szCs w:val="20"/>
      <w:u w:val="none"/>
    </w:rPr>
  </w:style>
  <w:style w:type="character" w:styleId="1086"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087"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088" w:customStyle="1">
    <w:name w:val="font81"/>
    <w:uiPriority w:val="0"/>
    <w:qFormat/>
    <w:rPr>
      <w:rFonts w:hint="eastAsia" w:ascii="宋体" w:hAnsi="宋体" w:eastAsia="宋体" w:cs="宋体"/>
      <w:color w:val="000000"/>
      <w:sz w:val="20"/>
      <w:szCs w:val="20"/>
      <w:u w:val="none"/>
    </w:rPr>
  </w:style>
  <w:style w:type="character" w:styleId="1089" w:customStyle="1">
    <w:name w:val="font112"/>
    <w:uiPriority w:val="0"/>
    <w:qFormat/>
    <w:rPr>
      <w:rFonts w:hint="eastAsia" w:ascii="等线" w:hAnsi="等线" w:eastAsia="等线" w:cs="等线"/>
      <w:color w:val="000000"/>
      <w:sz w:val="20"/>
      <w:szCs w:val="20"/>
      <w:u w:val="none"/>
    </w:rPr>
  </w:style>
  <w:style w:type="character" w:styleId="1090" w:customStyle="1">
    <w:name w:val="font312"/>
    <w:uiPriority w:val="0"/>
    <w:qFormat/>
    <w:rPr>
      <w:rFonts w:hint="default" w:ascii="Arial" w:hAnsi="Arial" w:cs="Arial"/>
      <w:color w:val="000000"/>
      <w:sz w:val="20"/>
      <w:szCs w:val="20"/>
      <w:u w:val="none"/>
    </w:rPr>
  </w:style>
  <w:style w:type="character" w:styleId="1091" w:customStyle="1">
    <w:name w:val="font321"/>
    <w:uiPriority w:val="0"/>
    <w:qFormat/>
    <w:rPr>
      <w:rFonts w:ascii="微软雅黑" w:hAnsi="微软雅黑" w:eastAsia="微软雅黑" w:cs="微软雅黑"/>
      <w:color w:val="000000"/>
      <w:sz w:val="20"/>
      <w:szCs w:val="20"/>
      <w:u w:val="none"/>
    </w:rPr>
  </w:style>
  <w:style w:type="character" w:styleId="1092" w:customStyle="1">
    <w:name w:val="font151"/>
    <w:uiPriority w:val="0"/>
    <w:qFormat/>
    <w:rPr>
      <w:rFonts w:hint="eastAsia" w:ascii="宋体" w:hAnsi="宋体" w:eastAsia="宋体" w:cs="宋体"/>
      <w:color w:val="000000"/>
      <w:sz w:val="22"/>
      <w:szCs w:val="22"/>
      <w:u w:val="none"/>
    </w:rPr>
  </w:style>
  <w:style w:type="character" w:styleId="1093" w:customStyle="1">
    <w:name w:val="font121"/>
    <w:uiPriority w:val="0"/>
    <w:qFormat/>
    <w:rPr>
      <w:rFonts w:hint="eastAsia" w:ascii="宋体" w:hAnsi="宋体" w:eastAsia="宋体" w:cs="宋体"/>
      <w:b/>
      <w:bCs/>
      <w:color w:val="000000"/>
      <w:sz w:val="20"/>
      <w:szCs w:val="20"/>
      <w:u w:val="none"/>
    </w:rPr>
  </w:style>
  <w:style w:type="character" w:styleId="1094" w:customStyle="1">
    <w:name w:val="font21"/>
    <w:uiPriority w:val="0"/>
    <w:qFormat/>
    <w:rPr>
      <w:rFonts w:hint="eastAsia" w:ascii="宋体" w:hAnsi="宋体" w:eastAsia="宋体" w:cs="宋体"/>
      <w:b/>
      <w:bCs/>
      <w:color w:val="000000"/>
      <w:sz w:val="24"/>
      <w:szCs w:val="24"/>
      <w:u w:val="none"/>
    </w:rPr>
  </w:style>
  <w:style w:type="character" w:styleId="1095" w:customStyle="1">
    <w:name w:val="font131"/>
    <w:uiPriority w:val="0"/>
    <w:qFormat/>
    <w:rPr>
      <w:rFonts w:ascii="宋体" w:hAnsi="宋体" w:eastAsia="宋体" w:cs="宋体"/>
      <w:b/>
      <w:bCs/>
      <w:color w:val="000000"/>
      <w:sz w:val="24"/>
      <w:szCs w:val="24"/>
      <w:u w:val="none"/>
    </w:rPr>
  </w:style>
  <w:style w:type="character" w:styleId="1096" w:customStyle="1">
    <w:name w:val="font141"/>
    <w:uiPriority w:val="0"/>
    <w:qFormat/>
    <w:rPr>
      <w:rFonts w:ascii="微软雅黑" w:hAnsi="微软雅黑" w:eastAsia="微软雅黑" w:cs="微软雅黑"/>
      <w:color w:val="000000"/>
      <w:sz w:val="24"/>
      <w:szCs w:val="24"/>
      <w:u w:val="none"/>
    </w:rPr>
  </w:style>
  <w:style w:type="paragraph" w:styleId="1097" w:customStyle="1">
    <w:name w:val="样式1"/>
    <w:basedOn w:val="782"/>
    <w:uiPriority w:val="0"/>
    <w:qFormat/>
    <w:pPr>
      <w:jc w:val="center"/>
    </w:pPr>
    <w:rPr>
      <w:szCs w:val="21"/>
    </w:rPr>
  </w:style>
  <w:style w:type="paragraph" w:styleId="1098" w:customStyle="1">
    <w:name w:val="正文首行缩进1"/>
    <w:basedOn w:val="1099"/>
    <w:uiPriority w:val="0"/>
    <w:qFormat/>
    <w:pPr>
      <w:ind w:firstLine="200"/>
      <w:spacing w:line="360" w:lineRule="auto"/>
    </w:pPr>
    <w:rPr>
      <w:rFonts w:ascii="仿宋_GB2312" w:hAnsi="Times New Roman" w:eastAsia="仿宋_GB2312"/>
      <w:sz w:val="30"/>
      <w:szCs w:val="30"/>
    </w:rPr>
  </w:style>
  <w:style w:type="paragraph" w:styleId="1099" w:customStyle="1">
    <w:name w:val="正文文本11"/>
    <w:basedOn w:val="782"/>
    <w:next w:val="782"/>
    <w:uiPriority w:val="0"/>
    <w:qFormat/>
    <w:rPr>
      <w:rFonts w:ascii="仿宋_GB2312" w:eastAsia="仿宋_GB2312"/>
      <w:sz w:val="24"/>
      <w:lang w:val="en-US" w:eastAsia="en-US"/>
    </w:rPr>
  </w:style>
  <w:style w:type="paragraph" w:styleId="1100" w:customStyle="1">
    <w:name w:val="正文文本1"/>
    <w:basedOn w:val="782"/>
    <w:next w:val="782"/>
    <w:uiPriority w:val="0"/>
    <w:qFormat/>
    <w:rPr>
      <w:rFonts w:ascii="楷体_GB2312" w:hAnsi="Arial" w:eastAsia="楷体_GB2312"/>
      <w:sz w:val="28"/>
      <w:szCs w:val="28"/>
    </w:rPr>
  </w:style>
  <w:style w:type="paragraph" w:styleId="1101" w:customStyle="1">
    <w:name w:val="正文+首行缩进2字符"/>
    <w:basedOn w:val="782"/>
    <w:uiPriority w:val="0"/>
    <w:qFormat/>
    <w:pPr>
      <w:ind w:firstLine="480"/>
    </w:pPr>
  </w:style>
  <w:style w:type="paragraph" w:styleId="1102" w:customStyle="1">
    <w:name w:val="正文首行缩进 21"/>
    <w:basedOn w:val="804"/>
    <w:uiPriority w:val="99"/>
    <w:unhideWhenUsed/>
    <w:qFormat/>
    <w:pPr>
      <w:ind w:firstLine="200"/>
    </w:pPr>
  </w:style>
  <w:style w:type="paragraph" w:styleId="1103" w:customStyle="1">
    <w:name w:val="正文首行缩进11"/>
    <w:basedOn w:val="1100"/>
    <w:uiPriority w:val="0"/>
    <w:qFormat/>
    <w:pPr>
      <w:ind w:firstLine="200"/>
      <w:spacing w:line="360" w:lineRule="auto"/>
    </w:pPr>
    <w:rPr>
      <w:rFonts w:ascii="仿宋_GB2312" w:eastAsia="仿宋_GB2312"/>
      <w:sz w:val="30"/>
      <w:szCs w:val="30"/>
    </w:rPr>
  </w:style>
  <w:style w:type="paragraph" w:styleId="1104" w:customStyle="1">
    <w:name w:val="普通(网站)1"/>
    <w:basedOn w:val="782"/>
    <w:uiPriority w:val="0"/>
    <w:qFormat/>
    <w:pPr>
      <w:jc w:val="left"/>
      <w:spacing w:before="100" w:beforeAutospacing="1" w:after="100" w:afterAutospacing="1"/>
      <w:widowControl/>
    </w:pPr>
    <w:rPr>
      <w:rFonts w:ascii="宋体" w:hAnsi="宋体"/>
      <w:color w:val="000000"/>
      <w:sz w:val="24"/>
    </w:rPr>
  </w:style>
  <w:style w:type="paragraph" w:styleId="1105" w:customStyle="1">
    <w:name w:val="纯文本2"/>
    <w:basedOn w:val="782"/>
    <w:uiPriority w:val="0"/>
    <w:qFormat/>
    <w:pPr>
      <w:jc w:val="left"/>
    </w:pPr>
    <w:rPr>
      <w:rFonts w:ascii="宋体" w:hAnsi="宋体" w:eastAsia="楷体_GB2312"/>
      <w:sz w:val="26"/>
      <w:szCs w:val="20"/>
      <w:lang w:bidi="zh-CN"/>
    </w:rPr>
  </w:style>
  <w:style w:type="paragraph" w:styleId="1106" w:customStyle="1">
    <w:name w:val="Table Paragraph"/>
    <w:basedOn w:val="782"/>
    <w:uiPriority w:val="0"/>
    <w:qFormat/>
    <w:rPr>
      <w:rFonts w:ascii="Calibri" w:hAnsi="Calibri" w:cs="Calibri"/>
    </w:rPr>
  </w:style>
  <w:style w:type="paragraph" w:styleId="1107" w:customStyle="1">
    <w:name w:val="页眉1"/>
    <w:basedOn w:val="782"/>
    <w:uiPriority w:val="0"/>
    <w:qFormat/>
    <w:pPr>
      <w:jc w:val="center"/>
      <w:tabs>
        <w:tab w:val="center" w:pos="4153" w:leader="none"/>
        <w:tab w:val="right" w:pos="8306" w:leader="none"/>
      </w:tabs>
      <w:pBdr>
        <w:bottom w:val="single" w:color="000000" w:sz="6" w:space="1"/>
      </w:pBdr>
    </w:pPr>
    <w:rPr>
      <w:sz w:val="18"/>
      <w:szCs w:val="18"/>
    </w:rPr>
  </w:style>
  <w:style w:type="paragraph" w:styleId="1108" w:customStyle="1">
    <w:name w:val="页脚1"/>
    <w:basedOn w:val="782"/>
    <w:uiPriority w:val="0"/>
    <w:qFormat/>
    <w:pPr>
      <w:jc w:val="left"/>
      <w:tabs>
        <w:tab w:val="center" w:pos="4153" w:leader="none"/>
        <w:tab w:val="right" w:pos="8306" w:leader="none"/>
      </w:tabs>
    </w:pPr>
    <w:rPr>
      <w:sz w:val="18"/>
      <w:szCs w:val="18"/>
    </w:rPr>
  </w:style>
  <w:style w:type="character" w:styleId="1109" w:customStyle="1">
    <w:name w:val="页码1"/>
    <w:uiPriority w:val="0"/>
    <w:qFormat/>
  </w:style>
  <w:style w:type="paragraph" w:styleId="1110" w:customStyle="1">
    <w:name w:val="索引 41"/>
    <w:basedOn w:val="782"/>
    <w:next w:val="782"/>
    <w:uiPriority w:val="0"/>
    <w:semiHidden/>
    <w:qFormat/>
    <w:pPr>
      <w:ind w:left="1260"/>
    </w:pPr>
    <w:rPr>
      <w:rFonts w:eastAsia="Calibri" w:cs="宋体"/>
      <w:sz w:val="20"/>
      <w:lang w:val="zh-CN"/>
    </w:rPr>
  </w:style>
  <w:style w:type="paragraph" w:styleId="1111" w:customStyle="1">
    <w:name w:val="正文文本缩进 212"/>
    <w:basedOn w:val="782"/>
    <w:uiPriority w:val="0"/>
    <w:qFormat/>
    <w:pPr>
      <w:ind w:left="420"/>
      <w:spacing w:after="120" w:line="480" w:lineRule="auto"/>
    </w:p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jpg"/><Relationship Id="rId23" Type="http://schemas.openxmlformats.org/officeDocument/2006/relationships/image" Target="media/image6.pn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 Id="rId30" Type="http://schemas.openxmlformats.org/officeDocument/2006/relationships/image" Target="media/image13.jpg"/><Relationship Id="rId31" Type="http://schemas.openxmlformats.org/officeDocument/2006/relationships/image" Target="media/image14.jpg"/><Relationship Id="rId32" Type="http://schemas.openxmlformats.org/officeDocument/2006/relationships/image" Target="media/image15.jpg"/><Relationship Id="rId33" Type="http://schemas.openxmlformats.org/officeDocument/2006/relationships/image" Target="media/image16.jpg"/><Relationship Id="rId34" Type="http://schemas.openxmlformats.org/officeDocument/2006/relationships/image" Target="media/image17.jpg"/><Relationship Id="rId35" Type="http://schemas.openxmlformats.org/officeDocument/2006/relationships/image" Target="media/image18.jpg"/><Relationship Id="rId36" Type="http://schemas.openxmlformats.org/officeDocument/2006/relationships/image" Target="media/image19.jpg"/><Relationship Id="rId37" Type="http://schemas.openxmlformats.org/officeDocument/2006/relationships/image" Target="media/image20.jpg"/><Relationship Id="rId38" Type="http://schemas.openxmlformats.org/officeDocument/2006/relationships/image" Target="media/image21.jpg"/><Relationship Id="rId39" Type="http://schemas.openxmlformats.org/officeDocument/2006/relationships/image" Target="media/image22.jpg"/><Relationship Id="rId40"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10</cp:revision>
  <dcterms:created xsi:type="dcterms:W3CDTF">2025-09-25T17:48:00Z</dcterms:created>
  <dcterms:modified xsi:type="dcterms:W3CDTF">2026-05-09T02:42:42Z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2AC3E11EF9244EE1AB56C4747D51A761_13</vt:lpwstr>
  </property>
  <property fmtid="{D5CDD505-2E9C-101B-9397-08002B2CF9AE}" pid="4" name="KSOTemplateDocerSaveRecord">
    <vt:lpwstr>eyJoZGlkIjoiMGJlNTBlZTJkMzNmMTJlYTRlNDRkMzg2YjliNjZmZjgiLCJ1c2VySWQiOiIxNjE0MzM0OTc0In0=</vt:lpwstr>
  </property>
</Properties>
</file>