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1015"/>
          <w:color w:val="auto"/>
          <w:highlight w:val="none"/>
        </w:rPr>
      </w:pPr>
      <w:r>
        <w:rPr>
          <w:color w:val="auto"/>
          <w:highlight w:val="none"/>
        </w:rPr>
      </w:r>
      <w:r/>
    </w:p>
    <w:p>
      <w:pPr>
        <w:jc w:val="center"/>
        <w:spacing w:before="120" w:after="120" w:line="360" w:lineRule="auto"/>
        <w:rPr>
          <w:rFonts w:ascii="宋体" w:hAnsi="宋体" w:cs="Arial"/>
          <w:b/>
          <w:bCs/>
          <w:color w:val="auto"/>
          <w:sz w:val="84"/>
          <w:szCs w:val="84"/>
          <w:highlight w:val="none"/>
        </w:rPr>
      </w:pPr>
      <w:r/>
      <w:bookmarkStart w:id="0" w:name="_Toc6590"/>
      <w:r/>
      <w:bookmarkStart w:id="1" w:name="_Toc513029200"/>
      <w:r/>
      <w:bookmarkStart w:id="2" w:name="_Toc479757206"/>
      <w:r/>
      <w:bookmarkStart w:id="3" w:name="_Toc16938516"/>
      <w:r/>
      <w:bookmarkStart w:id="4" w:name="_Toc20823272"/>
      <w:r/>
      <w:bookmarkStart w:id="5" w:name="_Toc523127445"/>
      <w:r/>
      <w:bookmarkStart w:id="6" w:name="_Toc120614211"/>
      <w:r>
        <w:rPr>
          <w:rFonts w:hint="eastAsia" w:ascii="宋体" w:hAnsi="宋体" w:cs="Arial"/>
          <w:b/>
          <w:bCs/>
          <w:color w:val="auto"/>
          <w:sz w:val="84"/>
          <w:szCs w:val="84"/>
          <w:highlight w:val="none"/>
        </w:rPr>
        <w:t xml:space="preserve"> </w:t>
      </w:r>
      <w:r/>
    </w:p>
    <w:p>
      <w:pPr>
        <w:pStyle w:val="1048"/>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8"/>
        <w:ind w:firstLine="0"/>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张家港市常阴沙现代农业示范园区镇区路灯提升改造能源管理服务项目</w:t>
      </w:r>
      <w:r/>
    </w:p>
    <w:p>
      <w:pPr>
        <w:pStyle w:val="1048"/>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eastAsia="zh-CN"/>
        </w:rPr>
        <w:t xml:space="preserve">项目</w:t>
      </w:r>
      <w:r>
        <w:rPr>
          <w:rFonts w:hint="eastAsia" w:ascii="宋体" w:hAnsi="宋体"/>
          <w:b/>
          <w:color w:val="auto"/>
          <w:sz w:val="32"/>
          <w:szCs w:val="32"/>
          <w:highlight w:val="none"/>
        </w:rPr>
        <w:t xml:space="preserve">编号：JSZC-320582-HYJS-G2026-0005</w:t>
      </w:r>
      <w:r/>
    </w:p>
    <w:p>
      <w:pPr>
        <w:pStyle w:val="1048"/>
        <w:ind w:firstLine="0"/>
        <w:jc w:val="center"/>
        <w:spacing w:before="0" w:after="0"/>
        <w:rPr>
          <w:rFonts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48"/>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78"/>
        <w:jc w:val="center"/>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张家港保税区宏宇建设咨询有限公司</w:t>
      </w:r>
      <w:r/>
    </w:p>
    <w:p>
      <w:pPr>
        <w:pStyle w:val="1048"/>
        <w:ind w:firstLine="0"/>
        <w:jc w:val="center"/>
        <w:rPr>
          <w:rFonts w:ascii="宋体" w:hAnsi="宋体" w:cs="宋体"/>
          <w:b/>
          <w:bCs/>
          <w:color w:val="auto"/>
          <w:sz w:val="32"/>
          <w:highlight w:val="none"/>
        </w:rPr>
      </w:pPr>
      <w:r/>
      <w:bookmarkStart w:id="7"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月</w:t>
      </w:r>
      <w:bookmarkEnd w:id="7"/>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8" w:name="_Toc120614210"/>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jc w:val="center"/>
        <w:rPr>
          <w:color w:val="auto"/>
          <w:sz w:val="24"/>
          <w:szCs w:val="24"/>
          <w:highlight w:val="none"/>
        </w:rPr>
      </w:pPr>
      <w:r>
        <w:rPr>
          <w:color w:val="auto"/>
          <w:sz w:val="24"/>
          <w:szCs w:val="24"/>
          <w:highlight w:val="none"/>
        </w:rPr>
      </w:r>
      <w:r/>
    </w:p>
    <w:p>
      <w:pPr>
        <w:pStyle w:val="1268"/>
        <w:tabs>
          <w:tab w:val="right" w:pos="10092" w:leader="dot"/>
        </w:tabs>
        <w:rPr>
          <w:rFonts w:ascii="宋体" w:hAnsi="宋体" w:cs="宋体"/>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TOC \o "1-2" \h \u </w:instrText>
      </w:r>
      <w:r>
        <w:rPr>
          <w:rFonts w:ascii="宋体" w:hAnsi="宋体"/>
          <w:b/>
          <w:bCs/>
          <w:color w:val="auto"/>
          <w:sz w:val="24"/>
          <w:szCs w:val="24"/>
          <w:highlight w:val="none"/>
        </w:rPr>
        <w:fldChar w:fldCharType="separate"/>
      </w:r>
      <w:r>
        <w:rPr>
          <w:color w:val="auto"/>
          <w:sz w:val="24"/>
          <w:szCs w:val="24"/>
          <w:highlight w:val="none"/>
        </w:rPr>
        <w:fldChar w:fldCharType="begin"/>
      </w:r>
      <w:r>
        <w:rPr>
          <w:color w:val="auto"/>
          <w:sz w:val="24"/>
          <w:szCs w:val="24"/>
          <w:highlight w:val="none"/>
        </w:rPr>
        <w:instrText xml:space="preserve"> HYPERLINK \l "_Toc21529" </w:instrText>
      </w:r>
      <w:r>
        <w:rPr>
          <w:color w:val="auto"/>
          <w:sz w:val="24"/>
          <w:szCs w:val="24"/>
          <w:highlight w:val="none"/>
        </w:rPr>
        <w:fldChar w:fldCharType="separate"/>
      </w:r>
      <w:r>
        <w:rPr>
          <w:rFonts w:hint="eastAsia" w:ascii="宋体" w:hAnsi="宋体" w:cs="宋体"/>
          <w:b/>
          <w:color w:val="auto"/>
          <w:sz w:val="24"/>
          <w:szCs w:val="24"/>
          <w:highlight w:val="none"/>
        </w:rPr>
        <w:t xml:space="preserve">第一章  投标邀请</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_Toc21529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r/>
    </w:p>
    <w:p>
      <w:pPr>
        <w:pStyle w:val="1268"/>
        <w:tabs>
          <w:tab w:val="right" w:pos="10092" w:leader="dot"/>
        </w:tabs>
        <w:rPr>
          <w:rFonts w:ascii="宋体" w:hAnsi="宋体" w:cs="宋体"/>
          <w:b/>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"_Toc16679" </w:instrText>
      </w:r>
      <w:r>
        <w:rPr>
          <w:color w:val="auto"/>
          <w:sz w:val="24"/>
          <w:szCs w:val="24"/>
          <w:highlight w:val="none"/>
        </w:rPr>
        <w:fldChar w:fldCharType="separate"/>
      </w:r>
      <w:r>
        <w:rPr>
          <w:rFonts w:hint="eastAsia" w:ascii="宋体" w:hAnsi="宋体" w:cs="宋体"/>
          <w:b/>
          <w:color w:val="auto"/>
          <w:sz w:val="24"/>
          <w:szCs w:val="24"/>
          <w:highlight w:val="none"/>
        </w:rPr>
        <w:t xml:space="preserve">第二章  投标人须知</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_Toc16679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r/>
    </w:p>
    <w:p>
      <w:pPr>
        <w:pStyle w:val="1268"/>
        <w:tabs>
          <w:tab w:val="right" w:pos="10092" w:leader="dot"/>
        </w:tabs>
        <w:rPr>
          <w:rFonts w:hint="eastAsia" w:ascii="宋体" w:hAnsi="宋体" w:eastAsia="宋体" w:cs="宋体"/>
          <w:b/>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 HYPERLINK \l "_Toc19809" </w:instrText>
      </w:r>
      <w:r>
        <w:rPr>
          <w:color w:val="auto"/>
          <w:sz w:val="24"/>
          <w:szCs w:val="24"/>
          <w:highlight w:val="none"/>
        </w:rPr>
        <w:fldChar w:fldCharType="separate"/>
      </w:r>
      <w:r>
        <w:rPr>
          <w:rFonts w:hint="eastAsia" w:ascii="宋体" w:hAnsi="宋体" w:cs="宋体"/>
          <w:b/>
          <w:color w:val="auto"/>
          <w:sz w:val="24"/>
          <w:szCs w:val="24"/>
          <w:highlight w:val="none"/>
        </w:rPr>
        <w:t xml:space="preserve">第三章 合同条款及格式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 xml:space="preserve">7</w:t>
      </w:r>
      <w:r/>
    </w:p>
    <w:p>
      <w:pPr>
        <w:pStyle w:val="1268"/>
        <w:tabs>
          <w:tab w:val="right" w:pos="10092" w:leader="dot"/>
        </w:tabs>
        <w:rPr>
          <w:rFonts w:hint="eastAsia" w:ascii="宋体" w:hAnsi="宋体" w:eastAsia="宋体" w:cs="宋体"/>
          <w:b/>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 HYPERLINK \l "_Toc28963" </w:instrText>
      </w:r>
      <w:r>
        <w:rPr>
          <w:color w:val="auto"/>
          <w:sz w:val="24"/>
          <w:szCs w:val="24"/>
          <w:highlight w:val="none"/>
        </w:rPr>
        <w:fldChar w:fldCharType="separate"/>
      </w:r>
      <w:r>
        <w:rPr>
          <w:rFonts w:hint="eastAsia" w:ascii="宋体" w:hAnsi="宋体" w:cs="宋体"/>
          <w:b/>
          <w:color w:val="auto"/>
          <w:sz w:val="24"/>
          <w:szCs w:val="24"/>
          <w:highlight w:val="none"/>
        </w:rPr>
        <w:t xml:space="preserve">第四章 项目需求</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 xml:space="preserve">5</w:t>
      </w:r>
      <w:r/>
    </w:p>
    <w:p>
      <w:pPr>
        <w:pStyle w:val="1268"/>
        <w:tabs>
          <w:tab w:val="right" w:pos="10092" w:leader="dot"/>
        </w:tabs>
        <w:rPr>
          <w:rFonts w:hint="eastAsia" w:ascii="宋体" w:hAnsi="宋体" w:eastAsia="宋体" w:cs="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 HYPERLINK \l "_Toc16086" </w:instrText>
      </w:r>
      <w:r>
        <w:rPr>
          <w:color w:val="auto"/>
          <w:sz w:val="24"/>
          <w:szCs w:val="24"/>
          <w:highlight w:val="none"/>
        </w:rPr>
        <w:fldChar w:fldCharType="separate"/>
      </w:r>
      <w:r>
        <w:rPr>
          <w:rFonts w:hint="eastAsia" w:ascii="宋体" w:hAnsi="宋体" w:cs="宋体"/>
          <w:b/>
          <w:color w:val="auto"/>
          <w:sz w:val="24"/>
          <w:szCs w:val="24"/>
          <w:highlight w:val="none"/>
        </w:rPr>
        <w:t xml:space="preserve">第五章 评标方法与评标标准</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 xml:space="preserve">2</w:t>
      </w:r>
      <w:r/>
    </w:p>
    <w:p>
      <w:pPr>
        <w:pStyle w:val="1268"/>
        <w:tabs>
          <w:tab w:val="right" w:pos="10092" w:leader="dot"/>
        </w:tabs>
        <w:rPr>
          <w:rFonts w:hint="eastAsia" w:eastAsia="宋体"/>
          <w:b/>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 HYPERLINK \l "_Toc18704" </w:instrText>
      </w:r>
      <w:r>
        <w:rPr>
          <w:color w:val="auto"/>
          <w:sz w:val="24"/>
          <w:szCs w:val="24"/>
          <w:highlight w:val="none"/>
        </w:rPr>
        <w:fldChar w:fldCharType="separate"/>
      </w:r>
      <w:r>
        <w:rPr>
          <w:rFonts w:hint="eastAsia" w:ascii="宋体" w:hAnsi="宋体" w:cs="宋体"/>
          <w:b/>
          <w:color w:val="auto"/>
          <w:sz w:val="24"/>
          <w:szCs w:val="24"/>
          <w:highlight w:val="none"/>
        </w:rPr>
        <w:t xml:space="preserve">第六章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 xml:space="preserve">8</w:t>
      </w:r>
      <w:r/>
    </w:p>
    <w:p>
      <w:pPr>
        <w:spacing w:line="360" w:lineRule="auto"/>
        <w:tabs>
          <w:tab w:val="left" w:pos="1440" w:leader="none"/>
        </w:tabs>
        <w:rPr>
          <w:rFonts w:ascii="宋体" w:hAnsi="宋体"/>
          <w:b/>
          <w:bCs/>
          <w:color w:val="auto"/>
          <w:sz w:val="24"/>
          <w:szCs w:val="24"/>
          <w:highlight w:val="none"/>
        </w:rPr>
      </w:pPr>
      <w:r>
        <w:rPr>
          <w:rFonts w:ascii="宋体" w:hAnsi="宋体"/>
          <w:b/>
          <w:bCs/>
          <w:color w:val="auto"/>
          <w:sz w:val="24"/>
          <w:szCs w:val="24"/>
          <w:highlight w:val="none"/>
        </w:rPr>
        <w:fldChar w:fldCharType="end"/>
      </w:r>
      <w:r/>
    </w:p>
    <w:p>
      <w:pPr>
        <w:pStyle w:val="1268"/>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eastAsia="宋体"/>
          <w:color w:val="auto"/>
          <w:highlight w:val="none"/>
          <w:lang w:eastAsia="zh-CN"/>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color w:val="auto"/>
          <w:highlight w:val="none"/>
          <w:lang w:eastAsia="zh-CN"/>
        </w:rPr>
        <w:tab/>
      </w:r>
      <w:bookmarkEnd w:id="8"/>
      <w:r/>
      <w:bookmarkStart w:id="297" w:name="_GoBack"/>
      <w:r/>
      <w:bookmarkEnd w:id="297"/>
      <w:r/>
      <w:r/>
    </w:p>
    <w:p>
      <w:pPr>
        <w:pStyle w:val="707"/>
        <w:ind w:firstLine="964"/>
        <w:jc w:val="center"/>
        <w:keepLines w:val="0"/>
        <w:keepNext w:val="0"/>
        <w:pageBreakBefore w:val="0"/>
        <w:spacing w:before="0" w:after="0" w:line="600" w:lineRule="exact"/>
        <w:widowControl/>
        <w:tabs>
          <w:tab w:val="left" w:pos="0" w:leader="none"/>
        </w:tabs>
        <w:rPr>
          <w:color w:val="auto"/>
          <w:highlight w:val="none"/>
        </w:rPr>
      </w:pPr>
      <w:r/>
      <w:bookmarkStart w:id="9" w:name="_Toc21529"/>
      <w:r>
        <w:rPr>
          <w:rStyle w:val="745"/>
          <w:rFonts w:hint="eastAsia" w:ascii="华文中宋" w:hAnsi="华文中宋" w:eastAsia="华文中宋" w:cs="华文中宋"/>
          <w:color w:val="auto"/>
          <w:sz w:val="48"/>
          <w:szCs w:val="48"/>
          <w:highlight w:val="none"/>
        </w:rPr>
        <w:t xml:space="preserve">第一章  投标邀请</w:t>
      </w:r>
      <w:bookmarkEnd w:id="9"/>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张家港市常阴沙现代农业示范园区镇区路灯提升改造能源管理服务项目</w:t>
      </w:r>
      <w:r>
        <w:rPr>
          <w:rFonts w:ascii="Segoe UI" w:hAnsi="Segoe UI" w:eastAsia="Segoe UI" w:cs="Segoe UI"/>
          <w:i w:val="0"/>
          <w:iCs w:val="0"/>
          <w:caps w:val="0"/>
          <w:color w:val="auto"/>
          <w:spacing w:val="0"/>
          <w:sz w:val="21"/>
          <w:szCs w:val="21"/>
          <w:highlight w:val="none"/>
          <w:shd w:val="clear" w:color="auto" w:fill="ffffff"/>
        </w:rPr>
        <w:t xml:space="preserve">JSZC-320582-HYJS-G2026-0005</w:t>
      </w:r>
      <w:r>
        <w:rPr>
          <w:rFonts w:hint="eastAsia" w:ascii="宋体" w:hAnsi="宋体" w:cs="宋体"/>
          <w:color w:val="auto"/>
          <w:sz w:val="24"/>
          <w:szCs w:val="24"/>
          <w:highlight w:val="none"/>
        </w:rPr>
        <w:t xml:space="preserve">招标项目的潜在投标人应在苏采云政府采购一体化平台（网址：http://jszfcg.jsczt.cn/） 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29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:30（北京时间）前递交投标文件。</w:t>
      </w:r>
      <w:r/>
    </w:p>
    <w:p>
      <w:pPr>
        <w:pStyle w:val="741"/>
        <w:ind w:firstLine="482"/>
        <w:keepLines w:val="0"/>
        <w:keepNext w:val="0"/>
        <w:pageBreakBefore w:val="0"/>
        <w:spacing w:beforeAutospacing="0" w:afterAutospacing="0" w:line="400" w:lineRule="exact"/>
        <w:widowControl/>
        <w:rPr>
          <w:rFonts w:ascii="宋体" w:hAnsi="宋体" w:cs="宋体"/>
          <w:b/>
          <w:bCs/>
          <w:color w:val="auto"/>
          <w:sz w:val="24"/>
          <w:szCs w:val="24"/>
          <w:highlight w:val="none"/>
        </w:rPr>
        <w:outlineLvl w:val="1"/>
      </w:pPr>
      <w:r/>
      <w:bookmarkStart w:id="10" w:name="_Toc28831"/>
      <w:r>
        <w:rPr>
          <w:rFonts w:hint="eastAsia" w:ascii="宋体" w:hAnsi="宋体" w:cs="宋体"/>
          <w:b/>
          <w:bCs/>
          <w:color w:val="auto"/>
          <w:sz w:val="24"/>
          <w:szCs w:val="24"/>
          <w:highlight w:val="none"/>
        </w:rPr>
        <w:t xml:space="preserve">一、项目基本情况</w:t>
      </w:r>
      <w:bookmarkEnd w:id="10"/>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项目编号：JSZC-320582-HYJS-G2026-0005</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张家港市常阴沙现代农业示范园区镇区路灯提升改造能源管理服务项目</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432.6250万元</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432.6250万元</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式：公开招标 </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采用能源托管模式实施常阴沙现代农业示范园区镇区路灯提升改造，园区维保范围内共计</w:t>
      </w:r>
      <w:r>
        <w:rPr>
          <w:rFonts w:hint="eastAsia" w:ascii="宋体" w:hAnsi="宋体" w:cs="宋体"/>
          <w:color w:val="auto"/>
          <w:sz w:val="24"/>
          <w:szCs w:val="24"/>
          <w:highlight w:val="none"/>
          <w:lang w:val="en-US" w:eastAsia="zh-CN"/>
        </w:rPr>
        <w:t xml:space="preserve">1024</w:t>
      </w:r>
      <w:r>
        <w:rPr>
          <w:rFonts w:hint="eastAsia" w:ascii="宋体" w:hAnsi="宋体" w:eastAsia="宋体" w:cs="宋体"/>
          <w:color w:val="auto"/>
          <w:sz w:val="24"/>
          <w:szCs w:val="24"/>
          <w:highlight w:val="none"/>
          <w:lang w:val="en-US" w:eastAsia="zh-CN"/>
        </w:rPr>
        <w:t xml:space="preserve">杆路灯、</w:t>
      </w:r>
      <w:r>
        <w:rPr>
          <w:rFonts w:hint="eastAsia" w:ascii="宋体" w:hAnsi="宋体" w:cs="宋体"/>
          <w:color w:val="auto"/>
          <w:sz w:val="24"/>
          <w:szCs w:val="24"/>
          <w:highlight w:val="none"/>
          <w:lang w:val="en-US" w:eastAsia="zh-CN"/>
        </w:rPr>
        <w:t xml:space="preserve">1048</w:t>
      </w:r>
      <w:r>
        <w:rPr>
          <w:rFonts w:hint="eastAsia" w:ascii="宋体" w:hAnsi="宋体" w:eastAsia="宋体" w:cs="宋体"/>
          <w:color w:val="auto"/>
          <w:sz w:val="24"/>
          <w:szCs w:val="24"/>
          <w:highlight w:val="none"/>
          <w:lang w:val="en-US" w:eastAsia="zh-CN"/>
        </w:rPr>
        <w:t xml:space="preserve">盏灯具，主要分布在红旗路、沿江路、人民路、永泰路等路段，本次改造包含路灯LED灯改造，路灯美化，智慧化改造及后续维保服务等。</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bidi="ar-SA"/>
        </w:rPr>
        <w:t xml:space="preserve">建设周期</w:t>
      </w:r>
      <w:r>
        <w:rPr>
          <w:rFonts w:hint="eastAsia" w:ascii="宋体" w:hAnsi="宋体" w:cs="宋体"/>
          <w:color w:val="auto"/>
          <w:sz w:val="24"/>
          <w:szCs w:val="24"/>
          <w:highlight w:val="none"/>
          <w:lang w:val="en-US" w:eastAsia="zh-CN" w:bidi="ar-SA"/>
        </w:rPr>
        <w:t xml:space="preserve">自合同签订之日起1个月内</w:t>
      </w:r>
      <w:r>
        <w:rPr>
          <w:rFonts w:hint="eastAsia" w:ascii="宋体" w:hAnsi="宋体" w:eastAsia="宋体" w:cs="宋体"/>
          <w:color w:val="auto"/>
          <w:sz w:val="24"/>
          <w:szCs w:val="24"/>
          <w:highlight w:val="none"/>
          <w:lang w:val="en-US" w:eastAsia="zh-CN" w:bidi="ar-SA"/>
        </w:rPr>
        <w:t xml:space="preserve">完成</w:t>
      </w:r>
      <w:r>
        <w:rPr>
          <w:rFonts w:hint="eastAsia" w:ascii="宋体" w:hAnsi="宋体" w:cs="宋体"/>
          <w:color w:val="auto"/>
          <w:sz w:val="24"/>
          <w:szCs w:val="24"/>
          <w:highlight w:val="none"/>
          <w:lang w:val="en-US" w:eastAsia="zh-CN" w:bidi="ar-SA"/>
        </w:rPr>
        <w:t xml:space="preserve">全部</w:t>
      </w:r>
      <w:r>
        <w:rPr>
          <w:rFonts w:hint="eastAsia" w:ascii="宋体" w:hAnsi="宋体" w:eastAsia="宋体" w:cs="宋体"/>
          <w:color w:val="auto"/>
          <w:sz w:val="24"/>
          <w:szCs w:val="24"/>
          <w:highlight w:val="none"/>
          <w:lang w:val="en-US" w:eastAsia="zh-CN" w:bidi="ar-SA"/>
        </w:rPr>
        <w:t xml:space="preserve">项目改造</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并通过竣工验收；竣工</w:t>
      </w:r>
      <w:r>
        <w:rPr>
          <w:rFonts w:hint="eastAsia" w:ascii="宋体" w:hAnsi="宋体" w:cs="宋体"/>
          <w:color w:val="auto"/>
          <w:sz w:val="24"/>
          <w:szCs w:val="24"/>
          <w:highlight w:val="none"/>
          <w:lang w:val="en-US" w:eastAsia="zh-CN"/>
        </w:rPr>
        <w:t xml:space="preserve">验收合格后次日起，进入10年的能源托管服务期。</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本项目（是/否）接受联合体投标：</w:t>
      </w:r>
      <w:bookmarkStart w:id="11" w:name="_Toc13118"/>
      <w:r>
        <w:rPr>
          <w:rFonts w:hint="eastAsia" w:ascii="宋体" w:hAnsi="宋体" w:cs="宋体"/>
          <w:color w:val="auto"/>
          <w:sz w:val="24"/>
          <w:szCs w:val="24"/>
          <w:highlight w:val="none"/>
          <w:lang w:val="en-US" w:eastAsia="zh-CN"/>
        </w:rPr>
        <w:t xml:space="preserve">是</w:t>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二、申请人的资格要求</w:t>
      </w:r>
      <w:bookmarkEnd w:id="11"/>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2.财务状况报告（成立不满一年不需提供）；</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3.依法缴纳税收和社会保障资金的相关材料（如依法享受缓缴、免缴税收、社会保障资金的，应提供相关证明材料）；</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6.授权委托书（被授权人非法定代表人的，应提供授权委托书；被授权人是法定代表人的，应提供授权委托书或法定代表人身份证明书）；</w:t>
      </w:r>
      <w:r/>
    </w:p>
    <w:p>
      <w:pPr>
        <w:pStyle w:val="741"/>
        <w:ind w:firstLine="480"/>
        <w:keepLines w:val="0"/>
        <w:keepNext w:val="0"/>
        <w:pageBreakBefore w:val="0"/>
        <w:spacing w:beforeAutospacing="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7.关于资格证明文件的书面承诺</w:t>
      </w:r>
      <w:r>
        <w:rPr>
          <w:rFonts w:hint="eastAsia" w:ascii="宋体" w:hAnsi="宋体" w:cs="宋体"/>
          <w:color w:val="auto"/>
          <w:sz w:val="24"/>
          <w:szCs w:val="24"/>
          <w:highlight w:val="none"/>
          <w:lang w:eastAsia="zh-CN"/>
        </w:rPr>
        <w:t xml:space="preserve">。</w:t>
      </w:r>
      <w:r/>
    </w:p>
    <w:p>
      <w:pPr>
        <w:ind w:firstLine="480"/>
        <w:jc w:val="left"/>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未被“信用中国”网站（www.creditchina.gov.cn）列入失信被执行人、重大税收违法案件当事人名单、政府采购严重失信行为记录名单。</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）落实政府采购政策需满足的资格要求：</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本项目属于面向中小企业预留采购份额项目，预留份额通过获得采购合同的投标单位将采购项目中的一定比例分包给一家或多家</w:t>
      </w:r>
      <w:r>
        <w:rPr>
          <w:rFonts w:ascii="宋体" w:hAnsi="宋体" w:eastAsia="宋体" w:cs="宋体"/>
          <w:color w:val="auto"/>
          <w:sz w:val="24"/>
          <w:szCs w:val="24"/>
          <w:highlight w:val="none"/>
        </w:rPr>
        <w:t xml:space="preserve">符合《中小企业划型标准规定》（工信部联企业〔2011〕300 号）的中小企业</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分包意向协议中预留给中小企业的金额应当不低于总金额的40%。接受分包的中小企业和分包企业之间不得存在直接控股、管理关系。</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如采购项目的投标单位自身为中小企业的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提供中小企业声明函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，视同符合本条资格要求，则可以不再进行分包。</w:t>
      </w:r>
      <w:r/>
    </w:p>
    <w:p>
      <w:pPr>
        <w:pStyle w:val="741"/>
        <w:ind w:firstLine="480"/>
        <w:keepLines w:val="0"/>
        <w:keepNext w:val="0"/>
        <w:pageBreakBefore w:val="0"/>
        <w:spacing w:beforeAutospacing="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本项目允许分包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分包范围仅限非核心、非主体部分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如劳务作业、日常维护、应急抢修服务等</w:t>
      </w:r>
      <w:r>
        <w:rPr>
          <w:rFonts w:hint="eastAsia" w:ascii="宋体" w:hAnsi="宋体" w:cs="宋体"/>
          <w:color w:val="auto"/>
          <w:sz w:val="24"/>
          <w:szCs w:val="24"/>
          <w:highlight w:val="none"/>
          <w:lang w:eastAsia="zh-CN"/>
        </w:rPr>
        <w:t xml:space="preserve">）</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小微企业不得将合同分包给大中型企业，中型企业不得将合同分包给大型企业。</w:t>
      </w:r>
      <w:r/>
    </w:p>
    <w:p>
      <w:pPr>
        <w:pStyle w:val="741"/>
        <w:ind w:firstLine="480"/>
        <w:keepLines w:val="0"/>
        <w:keepNext w:val="0"/>
        <w:pageBreakBefore w:val="0"/>
        <w:spacing w:beforeAutospacing="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三、获取招标文件</w:t>
      </w:r>
      <w:bookmarkEnd w:id="0"/>
      <w:r/>
      <w:r/>
    </w:p>
    <w:p>
      <w:pPr>
        <w:ind w:firstLine="480"/>
        <w:jc w:val="left"/>
        <w:keepLines w:val="0"/>
        <w:keepNext w:val="0"/>
        <w:pageBreakBefore w:val="0"/>
        <w:spacing w:line="400" w:lineRule="exact"/>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bidi="ar"/>
        </w:rPr>
        <w:t xml:space="preserve">时间：自本公告发布之日起</w:t>
      </w:r>
      <w:r>
        <w:rPr>
          <w:rFonts w:hint="eastAsia" w:ascii="宋体" w:hAnsi="宋体" w:cs="宋体"/>
          <w:color w:val="auto"/>
          <w:sz w:val="24"/>
          <w:szCs w:val="24"/>
          <w:highlight w:val="none"/>
          <w:lang w:val="en-US" w:eastAsia="zh-CN" w:bidi="ar"/>
        </w:rPr>
        <w:t xml:space="preserve">5个工作日</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地点：苏采云政府采购一体化平台（网址http://jszfcg.jsczt.cn/） </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方式：苏采云政府采购一体化平台（网址http://jszfcg.jsczt.cn/） </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售价：0.00元 </w:t>
      </w:r>
      <w:bookmarkStart w:id="12" w:name="_Toc13911"/>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四、提交投标文件截止时间、开标时间和地点</w:t>
      </w:r>
      <w:bookmarkEnd w:id="12"/>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29   13</w:t>
      </w:r>
      <w:r>
        <w:rPr>
          <w:rFonts w:hint="eastAsia" w:ascii="宋体" w:hAnsi="宋体" w:cs="宋体"/>
          <w:color w:val="auto"/>
          <w:sz w:val="24"/>
          <w:szCs w:val="24"/>
          <w:highlight w:val="none"/>
        </w:rPr>
        <w:t xml:space="preserve">:30（北京时间）</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地点：苏采云政府采购一体化平台（网址http://jszfcg.jsczt.cn/） </w:t>
      </w:r>
      <w:bookmarkStart w:id="13" w:name="_Toc7858"/>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五、公告期限</w:t>
      </w:r>
      <w:bookmarkEnd w:id="13"/>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bookmarkStart w:id="14" w:name="_Toc24543"/>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六、其他补充事宜</w:t>
      </w:r>
      <w:bookmarkEnd w:id="14"/>
      <w:r/>
      <w:r/>
    </w:p>
    <w:p>
      <w:pPr>
        <w:pStyle w:val="741"/>
        <w:ind w:firstLine="480"/>
        <w:keepLines w:val="0"/>
        <w:keepNext w:val="0"/>
        <w:pageBreakBefore w:val="0"/>
        <w:spacing w:beforeAutospacing="0" w:afterAutospacing="0"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（一）本项目接受联合体投标，联合体成员最多不得超过2家。</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以联合体形式参加投标的，联合体各方均应当满足《中华人民共和国政府采购法》第二十二条规定的条件。</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以联合体形式参加本次采购活动的，投标文件中须提供联合体协议书，并明确联合体牵头方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成员</w:t>
      </w:r>
      <w:r>
        <w:rPr>
          <w:rFonts w:hint="eastAsia" w:ascii="宋体" w:hAnsi="宋体" w:cs="宋体"/>
          <w:color w:val="auto"/>
          <w:sz w:val="24"/>
          <w:szCs w:val="24"/>
          <w:highlight w:val="none"/>
          <w:lang w:val="en-US" w:eastAsia="zh-CN"/>
        </w:rPr>
        <w:t xml:space="preserve">单位、各方</w:t>
      </w:r>
      <w:r>
        <w:rPr>
          <w:rFonts w:hint="eastAsia" w:ascii="宋体" w:hAnsi="宋体" w:cs="宋体"/>
          <w:color w:val="auto"/>
          <w:sz w:val="24"/>
          <w:szCs w:val="24"/>
          <w:highlight w:val="none"/>
        </w:rPr>
        <w:t xml:space="preserve">的主要权利和义务。</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以联合体形式参加本次采购活动的，联合体各方不得再以自己的名义单独参加同一标段的投标，也不得组成新的联合体或参加其他联合体参加同一标段的投标。</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以联合体形式参加本次采购活动的，由牵头</w:t>
      </w:r>
      <w:r>
        <w:rPr>
          <w:rFonts w:hint="eastAsia" w:ascii="宋体" w:hAnsi="宋体" w:cs="宋体"/>
          <w:color w:val="auto"/>
          <w:sz w:val="24"/>
          <w:szCs w:val="24"/>
          <w:highlight w:val="none"/>
          <w:lang w:val="en-US" w:eastAsia="zh-CN"/>
        </w:rPr>
        <w:t xml:space="preserve">方</w:t>
      </w:r>
      <w:r>
        <w:rPr>
          <w:rFonts w:hint="eastAsia" w:ascii="宋体" w:hAnsi="宋体" w:cs="宋体"/>
          <w:color w:val="auto"/>
          <w:sz w:val="24"/>
          <w:szCs w:val="24"/>
          <w:highlight w:val="none"/>
        </w:rPr>
        <w:t xml:space="preserve">负责投标、开标、合同签订与履约等事宜。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w:t>
      </w:r>
      <w:r>
        <w:rPr>
          <w:rFonts w:hint="eastAsia" w:ascii="宋体" w:hAnsi="宋体" w:cs="宋体"/>
          <w:i/>
          <w:color w:val="auto"/>
          <w:spacing w:val="8"/>
          <w:sz w:val="24"/>
          <w:highlight w:val="none"/>
          <w:u w:val="single"/>
          <w:lang w:val="en-US" w:eastAsia="zh-CN"/>
        </w:rPr>
        <w:t xml:space="preserve">二</w:t>
      </w:r>
      <w:r>
        <w:rPr>
          <w:rFonts w:hint="eastAsia" w:ascii="宋体" w:hAnsi="宋体" w:cs="宋体"/>
          <w:i/>
          <w:color w:val="auto"/>
          <w:spacing w:val="8"/>
          <w:sz w:val="24"/>
          <w:highlight w:val="none"/>
          <w:u w:val="single"/>
        </w:rPr>
        <w:t xml:space="preserve">）拒绝下述供应商参加本次采购活动：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rPr>
        <w:t xml:space="preserve">）其他注意事项：</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系统使用指导与咨询：18261002950、0512-69820854；QQ：3048755361、1315179389、895706745。</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请供应商确保电脑、系统及其他设备（视频输入输出设备等）无误，且开标直至项目结束始终保持系统在线状态。</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6.招标文件澄清或者修改内容的告知方式：招标文件的实质性变动或修改将在政府采购公告媒体网通知，投标人可自行下载。</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7.本次招标不收取投标保证金。</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8.本项目不允许进口产品投标。</w:t>
      </w:r>
      <w:bookmarkStart w:id="15" w:name="_Toc20362"/>
      <w:r/>
      <w:r/>
    </w:p>
    <w:p>
      <w:pPr>
        <w:pStyle w:val="741"/>
        <w:ind w:firstLine="482"/>
        <w:keepLines w:val="0"/>
        <w:keepNext w:val="0"/>
        <w:pageBreakBefore w:val="0"/>
        <w:spacing w:beforeAutospacing="0" w:afterAutospacing="0" w:line="400" w:lineRule="exact"/>
        <w:widowControl/>
        <w:rPr>
          <w:rFonts w:ascii="宋体" w:hAnsi="宋体" w:cs="宋体"/>
          <w:color w:val="auto"/>
          <w:sz w:val="24"/>
          <w:szCs w:val="24"/>
          <w:highlight w:val="none"/>
        </w:rPr>
      </w:pPr>
      <w:r>
        <w:rPr>
          <w:rStyle w:val="745"/>
          <w:rFonts w:hint="eastAsia" w:ascii="宋体" w:hAnsi="宋体" w:cs="宋体"/>
          <w:color w:val="auto"/>
          <w:sz w:val="24"/>
          <w:szCs w:val="24"/>
          <w:highlight w:val="none"/>
        </w:rPr>
        <w:t xml:space="preserve">七、对本次招标提出询问，请按以下方式联系</w:t>
      </w:r>
      <w:bookmarkEnd w:id="15"/>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val="en-US" w:eastAsia="zh-CN"/>
        </w:rPr>
        <w:t xml:space="preserve">张家港市常阴沙现代农业示范园区管理委员会</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单位地址：江苏省苏州市张家港市现代农业示范园区红旗中路1号</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default" w:ascii="宋体" w:hAnsi="宋体" w:cs="宋体"/>
          <w:color w:val="auto"/>
          <w:sz w:val="24"/>
          <w:szCs w:val="24"/>
          <w:highlight w:val="none"/>
          <w:lang w:val="en-US"/>
        </w:rPr>
        <w:t xml:space="preserve"> 邹卫海</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default" w:ascii="宋体" w:hAnsi="宋体" w:cs="宋体"/>
          <w:color w:val="auto"/>
          <w:sz w:val="24"/>
          <w:szCs w:val="24"/>
          <w:highlight w:val="none"/>
          <w:lang w:val="en-US"/>
        </w:rPr>
        <w:t xml:space="preserve"> 0512-58645182</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pStyle w:val="741"/>
        <w:ind w:firstLine="480"/>
        <w:keepLines w:val="0"/>
        <w:keepNext w:val="0"/>
        <w:pageBreakBefore w:val="0"/>
        <w:spacing w:beforeAutospacing="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张家港保税区宏宇建设咨询有限公司</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单位地址：张家港市</w:t>
      </w:r>
      <w:r>
        <w:rPr>
          <w:rFonts w:hint="eastAsia" w:ascii="宋体" w:hAnsi="宋体" w:cs="宋体"/>
          <w:color w:val="auto"/>
          <w:sz w:val="24"/>
          <w:szCs w:val="24"/>
          <w:highlight w:val="none"/>
          <w:lang w:val="en-US" w:eastAsia="zh-CN"/>
        </w:rPr>
        <w:t xml:space="preserve">国泰北路15号</w:t>
      </w:r>
      <w:r/>
    </w:p>
    <w:p>
      <w:pPr>
        <w:pStyle w:val="741"/>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朱小燕</w:t>
      </w:r>
      <w:r/>
    </w:p>
    <w:p>
      <w:pPr>
        <w:pStyle w:val="741"/>
        <w:ind w:firstLine="480"/>
        <w:keepLines w:val="0"/>
        <w:keepNext w:val="0"/>
        <w:pageBreakBefore w:val="0"/>
        <w:spacing w:beforeAutospacing="0" w:afterAutospacing="0"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13862265174</w:t>
      </w:r>
      <w:r/>
    </w:p>
    <w:p>
      <w:pPr>
        <w:pStyle w:val="741"/>
        <w:ind w:firstLine="480"/>
        <w:keepLines w:val="0"/>
        <w:keepNext w:val="0"/>
        <w:pageBreakBefore w:val="0"/>
        <w:spacing w:beforeAutospacing="0" w:afterAutospacing="0"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741"/>
        <w:ind w:firstLine="480"/>
        <w:keepLines w:val="0"/>
        <w:keepNext w:val="0"/>
        <w:pageBreakBefore w:val="0"/>
        <w:spacing w:beforeAutospacing="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朱小燕</w:t>
      </w:r>
      <w:r/>
    </w:p>
    <w:p>
      <w:pPr>
        <w:pStyle w:val="741"/>
        <w:ind w:firstLine="480"/>
        <w:keepLines w:val="0"/>
        <w:keepNext w:val="0"/>
        <w:pageBreakBefore w:val="0"/>
        <w:spacing w:beforeAutospacing="0" w:afterAutospacing="0"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13862265174</w:t>
      </w:r>
      <w:r/>
    </w:p>
    <w:p>
      <w:pPr>
        <w:pStyle w:val="741"/>
        <w:ind w:firstLine="480"/>
        <w:keepLines w:val="0"/>
        <w:keepNext w:val="0"/>
        <w:pageBreakBefore w:val="0"/>
        <w:spacing w:beforeAutospacing="0" w:afterAutospacing="0" w:line="40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1333"/>
        <w:ind w:firstLine="500"/>
        <w:keepLines w:val="0"/>
        <w:keepNext w:val="0"/>
        <w:pageBreakBefore w:val="0"/>
        <w:spacing w:line="400" w:lineRule="exact"/>
        <w:rPr>
          <w:rStyle w:val="946"/>
          <w:rFonts w:ascii="宋体" w:hAnsi="宋体" w:eastAsia="宋体" w:cs="宋体"/>
          <w:color w:val="auto"/>
          <w:spacing w:val="7"/>
          <w:highlight w:val="none"/>
        </w:rPr>
      </w:pPr>
      <w:r>
        <w:rPr>
          <w:rFonts w:ascii="宋体" w:hAnsi="宋体" w:eastAsia="宋体" w:cs="宋体"/>
          <w:color w:val="auto"/>
          <w:spacing w:val="7"/>
          <w:highlight w:val="none"/>
        </w:rPr>
      </w:r>
      <w:r/>
    </w:p>
    <w:p>
      <w:pPr>
        <w:pStyle w:val="1005"/>
        <w:pageBreakBefore/>
        <w:spacing w:line="360" w:lineRule="auto"/>
        <w:rPr>
          <w:rFonts w:ascii="宋体" w:hAnsi="宋体" w:eastAsia="宋体"/>
          <w:color w:val="auto"/>
          <w:highlight w:val="none"/>
        </w:rPr>
      </w:pPr>
      <w:r/>
      <w:bookmarkStart w:id="16" w:name="_Toc35266019"/>
      <w:r/>
      <w:bookmarkStart w:id="17" w:name="_Toc16679"/>
      <w:r/>
      <w:bookmarkStart w:id="18" w:name="_Toc38368119"/>
      <w:r/>
      <w:bookmarkStart w:id="19" w:name="_Toc29806"/>
      <w:r/>
      <w:bookmarkStart w:id="20" w:name="_Toc54615238"/>
      <w:r/>
      <w:bookmarkStart w:id="21" w:name="_Toc2329"/>
      <w:r>
        <w:rPr>
          <w:rFonts w:hint="eastAsia" w:ascii="宋体" w:hAnsi="宋体" w:eastAsia="宋体"/>
          <w:color w:val="auto"/>
          <w:highlight w:val="none"/>
        </w:rPr>
        <w:t xml:space="preserve">第二章  </w:t>
      </w:r>
      <w:bookmarkEnd w:id="1"/>
      <w:r/>
      <w:bookmarkEnd w:id="2"/>
      <w:r/>
      <w:bookmarkEnd w:id="3"/>
      <w:r/>
      <w:bookmarkEnd w:id="4"/>
      <w:r/>
      <w:bookmarkEnd w:id="5"/>
      <w:r/>
      <w:bookmarkEnd w:id="6"/>
      <w:r/>
      <w:bookmarkStart w:id="22" w:name="_Toc120614213"/>
      <w:r/>
      <w:bookmarkStart w:id="23" w:name="_Toc513029202"/>
      <w:r/>
      <w:bookmarkStart w:id="24" w:name="_Toc20823274"/>
      <w:r/>
      <w:bookmarkStart w:id="25" w:name="_Toc16938518"/>
      <w:r>
        <w:rPr>
          <w:rFonts w:hint="eastAsia" w:ascii="宋体" w:hAnsi="宋体" w:eastAsia="宋体"/>
          <w:color w:val="auto"/>
          <w:highlight w:val="none"/>
        </w:rPr>
        <w:t xml:space="preserve">投标人须知</w:t>
      </w:r>
      <w:bookmarkEnd w:id="16"/>
      <w:r/>
      <w:bookmarkEnd w:id="17"/>
      <w:r/>
      <w:bookmarkEnd w:id="18"/>
      <w:r/>
      <w:bookmarkEnd w:id="19"/>
      <w:r/>
      <w:bookmarkEnd w:id="20"/>
      <w:r/>
      <w:bookmarkEnd w:id="21"/>
      <w:r/>
      <w:bookmarkEnd w:id="22"/>
      <w:r/>
      <w:bookmarkEnd w:id="23"/>
      <w:r/>
      <w:bookmarkEnd w:id="24"/>
      <w:r/>
      <w:bookmarkEnd w:id="25"/>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26" w:name="_Toc23527"/>
      <w:r/>
      <w:bookmarkStart w:id="27" w:name="_Toc29619"/>
      <w:r/>
      <w:bookmarkStart w:id="28" w:name="_Toc38368120"/>
      <w:r/>
      <w:bookmarkStart w:id="29" w:name="_Toc16938519"/>
      <w:r/>
      <w:bookmarkStart w:id="30" w:name="_Toc20823275"/>
      <w:r/>
      <w:bookmarkStart w:id="31" w:name="_Toc35266020"/>
      <w:r/>
      <w:bookmarkStart w:id="32" w:name="_Toc120614214"/>
      <w:r/>
      <w:bookmarkStart w:id="33" w:name="_Toc54615239"/>
      <w:r/>
      <w:bookmarkStart w:id="34" w:name="_Toc513029203"/>
      <w:r/>
      <w:bookmarkStart w:id="35" w:name="_Toc16938558"/>
      <w:r/>
      <w:bookmarkStart w:id="36" w:name="_Toc513029242"/>
      <w:r/>
      <w:bookmarkStart w:id="37" w:name="_Toc479757207"/>
      <w:r/>
      <w:bookmarkStart w:id="38" w:name="_Toc120614221"/>
      <w:r/>
      <w:bookmarkStart w:id="39" w:name="_Toc20823314"/>
      <w:r>
        <w:rPr>
          <w:rStyle w:val="1067"/>
          <w:rFonts w:hint="eastAsia" w:ascii="宋体" w:hAnsi="宋体" w:eastAsia="宋体" w:cs="宋体"/>
          <w:b w:val="0"/>
          <w:bCs w:val="0"/>
          <w:color w:val="auto"/>
          <w:sz w:val="28"/>
          <w:szCs w:val="28"/>
          <w:highlight w:val="none"/>
        </w:rPr>
        <w:t xml:space="preserve">一、总则</w:t>
      </w:r>
      <w:bookmarkEnd w:id="26"/>
      <w:r/>
      <w:bookmarkEnd w:id="27"/>
      <w:r/>
      <w:bookmarkEnd w:id="28"/>
      <w:r/>
      <w:bookmarkEnd w:id="29"/>
      <w:r/>
      <w:bookmarkEnd w:id="30"/>
      <w:r/>
      <w:bookmarkEnd w:id="31"/>
      <w:r/>
      <w:bookmarkEnd w:id="32"/>
      <w:r/>
      <w:bookmarkEnd w:id="33"/>
      <w:r/>
      <w:bookmarkEnd w:id="34"/>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40" w:name="_Hlt16619475"/>
      <w:r/>
      <w:bookmarkEnd w:id="40"/>
      <w:r/>
      <w:bookmarkStart w:id="41" w:name="_Toc458694821"/>
      <w:r/>
      <w:bookmarkStart w:id="42" w:name="_Toc20823276"/>
      <w:r/>
      <w:bookmarkStart w:id="43" w:name="_Toc513029204"/>
      <w:r/>
      <w:bookmarkStart w:id="44" w:name="_Toc16938520"/>
      <w:r>
        <w:rPr>
          <w:rStyle w:val="1067"/>
          <w:rFonts w:hint="eastAsia" w:ascii="宋体" w:hAnsi="宋体" w:eastAsia="宋体" w:cs="宋体"/>
          <w:b w:val="0"/>
          <w:bCs w:val="0"/>
          <w:color w:val="auto"/>
          <w:sz w:val="28"/>
          <w:szCs w:val="28"/>
          <w:highlight w:val="none"/>
        </w:rPr>
        <w:t xml:space="preserve">1</w:t>
      </w:r>
      <w:bookmarkEnd w:id="41"/>
      <w:r>
        <w:rPr>
          <w:rStyle w:val="1067"/>
          <w:rFonts w:hint="eastAsia" w:ascii="宋体" w:hAnsi="宋体" w:eastAsia="宋体" w:cs="宋体"/>
          <w:b w:val="0"/>
          <w:bCs w:val="0"/>
          <w:color w:val="auto"/>
          <w:sz w:val="28"/>
          <w:szCs w:val="28"/>
          <w:highlight w:val="none"/>
        </w:rPr>
        <w:t xml:space="preserve">、招标方式</w:t>
      </w:r>
      <w:bookmarkEnd w:id="42"/>
      <w:r/>
      <w:bookmarkEnd w:id="43"/>
      <w:r/>
      <w:bookmarkEnd w:id="44"/>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45" w:name="_Toc20823277"/>
      <w:r/>
      <w:bookmarkStart w:id="46" w:name="_Toc513029205"/>
      <w:r/>
      <w:bookmarkStart w:id="47" w:name="_Toc16938521"/>
      <w:r>
        <w:rPr>
          <w:rStyle w:val="1067"/>
          <w:rFonts w:hint="eastAsia" w:ascii="宋体" w:hAnsi="宋体" w:eastAsia="宋体" w:cs="宋体"/>
          <w:b w:val="0"/>
          <w:bCs w:val="0"/>
          <w:color w:val="auto"/>
          <w:sz w:val="28"/>
          <w:szCs w:val="28"/>
          <w:highlight w:val="none"/>
        </w:rPr>
        <w:t xml:space="preserve">2、合格的投标人</w:t>
      </w:r>
      <w:bookmarkEnd w:id="45"/>
      <w:r/>
      <w:bookmarkEnd w:id="46"/>
      <w:r/>
      <w:bookmarkEnd w:id="47"/>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jc w:val="left"/>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48" w:name="_Toc513029206"/>
      <w:r/>
      <w:bookmarkStart w:id="49" w:name="_Toc16938522"/>
      <w:r/>
      <w:bookmarkStart w:id="50" w:name="_Toc20823278"/>
      <w:r>
        <w:rPr>
          <w:rStyle w:val="1067"/>
          <w:rFonts w:hint="eastAsia" w:ascii="宋体" w:hAnsi="宋体" w:eastAsia="宋体" w:cs="宋体"/>
          <w:b w:val="0"/>
          <w:bCs w:val="0"/>
          <w:color w:val="auto"/>
          <w:sz w:val="28"/>
          <w:szCs w:val="28"/>
          <w:highlight w:val="none"/>
        </w:rPr>
        <w:t xml:space="preserve">3、适用法律</w:t>
      </w:r>
      <w:bookmarkEnd w:id="48"/>
      <w:r/>
      <w:bookmarkEnd w:id="49"/>
      <w:r/>
      <w:bookmarkEnd w:id="50"/>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51" w:name="_Toc20823279"/>
      <w:r/>
      <w:bookmarkStart w:id="52" w:name="_Toc462564067"/>
      <w:r/>
      <w:bookmarkStart w:id="53" w:name="_Toc16938523"/>
      <w:r/>
      <w:bookmarkStart w:id="54" w:name="_Toc513029207"/>
      <w:r>
        <w:rPr>
          <w:rStyle w:val="1067"/>
          <w:rFonts w:hint="eastAsia" w:ascii="宋体" w:hAnsi="宋体" w:eastAsia="宋体" w:cs="宋体"/>
          <w:b w:val="0"/>
          <w:bCs w:val="0"/>
          <w:color w:val="auto"/>
          <w:sz w:val="28"/>
          <w:szCs w:val="28"/>
          <w:highlight w:val="none"/>
        </w:rPr>
        <w:t xml:space="preserve">4、投标费用</w:t>
      </w:r>
      <w:bookmarkEnd w:id="51"/>
      <w:r/>
      <w:bookmarkEnd w:id="52"/>
      <w:r/>
      <w:bookmarkEnd w:id="53"/>
      <w:r/>
      <w:bookmarkEnd w:id="54"/>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4.1投标人应自行承担所有与参加投标有关的费用，无论投标过程中的做法和结果如何，张家港保税区宏宇建设咨询有限公司在任何情况下均无义务和责任承担这些费用。</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本次招标采购代理机构收取代理服务费。</w:t>
      </w:r>
      <w:r/>
    </w:p>
    <w:p>
      <w:pPr>
        <w:ind w:firstLine="480"/>
        <w:jc w:val="left"/>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4.2.1 本项目采购代理服务费由中标（成交）供应商支付</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4.2.2 代理费用收取方式：转账</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 代理费用收取标准：本项目代理服务收费标准按照差额定率累进法计算：预算金额100万元以下部分，费率为该部分预算金额的1.5%；预算金额100万元（含）－500万元部分，费率为该部分预算金额的1.1%</w:t>
      </w:r>
      <w:bookmarkStart w:id="55" w:name="EB4bef91ec166246f78c716ddc8194a87a"/>
      <w:r/>
      <w:bookmarkEnd w:id="55"/>
      <w:r>
        <w:rPr>
          <w:rFonts w:hint="eastAsia" w:ascii="宋体" w:hAnsi="宋体" w:eastAsia="宋体" w:cs="宋体"/>
          <w:color w:val="auto"/>
          <w:sz w:val="24"/>
          <w:szCs w:val="24"/>
          <w:highlight w:val="none"/>
          <w:lang w:val="en-US" w:eastAsia="zh-CN"/>
        </w:rPr>
        <w:t xml:space="preserve">；也即</w:t>
      </w:r>
      <w:r>
        <w:rPr>
          <w:rFonts w:hint="eastAsia" w:ascii="宋体" w:hAnsi="宋体" w:cs="宋体"/>
          <w:color w:val="auto"/>
          <w:sz w:val="24"/>
          <w:szCs w:val="24"/>
          <w:highlight w:val="none"/>
          <w:lang w:val="en-US" w:eastAsia="zh-CN"/>
        </w:rPr>
        <w:t xml:space="preserve">51520</w:t>
      </w:r>
      <w:r>
        <w:rPr>
          <w:rFonts w:hint="eastAsia" w:ascii="宋体" w:hAnsi="宋体" w:eastAsia="宋体" w:cs="宋体"/>
          <w:color w:val="auto"/>
          <w:sz w:val="24"/>
          <w:szCs w:val="24"/>
          <w:highlight w:val="none"/>
          <w:lang w:val="en-US" w:eastAsia="zh-CN"/>
        </w:rPr>
        <w:t xml:space="preserve">元。</w:t>
      </w:r>
      <w:r/>
    </w:p>
    <w:p>
      <w:pPr>
        <w:ind w:firstLine="480"/>
        <w:jc w:val="left"/>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中标服务费收款账号：</w:t>
      </w:r>
      <w:r/>
    </w:p>
    <w:p>
      <w:pPr>
        <w:ind w:firstLine="480"/>
        <w:jc w:val="left"/>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账户名：</w:t>
      </w:r>
      <w:r>
        <w:rPr>
          <w:rFonts w:hint="eastAsia" w:ascii="宋体" w:hAnsi="宋体" w:eastAsia="宋体" w:cs="宋体"/>
          <w:color w:val="auto"/>
          <w:sz w:val="24"/>
          <w:szCs w:val="24"/>
          <w:highlight w:val="none"/>
          <w:lang w:val="en-US" w:eastAsia="zh-CN"/>
        </w:rPr>
        <w:t xml:space="preserve">张家港保税区宏宇建设咨询有限公司</w:t>
      </w:r>
      <w:r/>
    </w:p>
    <w:p>
      <w:pPr>
        <w:ind w:firstLine="480"/>
        <w:jc w:val="left"/>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账号：1052 5801 0400 1913 2 </w:t>
      </w:r>
      <w:r/>
    </w:p>
    <w:p>
      <w:pPr>
        <w:ind w:firstLine="480"/>
        <w:jc w:val="left"/>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开户行：中国农业银行张家港分行</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5、招标文件的约束力</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56" w:name="_Toc513029209"/>
      <w:r/>
      <w:bookmarkStart w:id="57" w:name="_Toc26767"/>
      <w:r/>
      <w:bookmarkStart w:id="58" w:name="_Toc38368121"/>
      <w:r/>
      <w:bookmarkStart w:id="59" w:name="_Toc20823281"/>
      <w:r/>
      <w:bookmarkStart w:id="60" w:name="_Toc12536"/>
      <w:r/>
      <w:bookmarkStart w:id="61" w:name="_Toc54615240"/>
      <w:r/>
      <w:bookmarkStart w:id="62" w:name="_Toc35266021"/>
      <w:r/>
      <w:bookmarkStart w:id="63" w:name="_Toc120614215"/>
      <w:r/>
      <w:bookmarkStart w:id="64" w:name="_Toc16938525"/>
      <w:r>
        <w:rPr>
          <w:rStyle w:val="1067"/>
          <w:rFonts w:hint="eastAsia" w:ascii="宋体" w:hAnsi="宋体" w:eastAsia="宋体" w:cs="宋体"/>
          <w:b w:val="0"/>
          <w:bCs w:val="0"/>
          <w:color w:val="auto"/>
          <w:sz w:val="28"/>
          <w:szCs w:val="28"/>
          <w:highlight w:val="none"/>
        </w:rPr>
        <w:t xml:space="preserve">二、招标文件</w:t>
      </w:r>
      <w:bookmarkEnd w:id="56"/>
      <w:r/>
      <w:bookmarkEnd w:id="57"/>
      <w:r/>
      <w:bookmarkEnd w:id="58"/>
      <w:r/>
      <w:bookmarkEnd w:id="59"/>
      <w:r/>
      <w:bookmarkEnd w:id="60"/>
      <w:r/>
      <w:bookmarkEnd w:id="61"/>
      <w:r/>
      <w:bookmarkEnd w:id="62"/>
      <w:r/>
      <w:bookmarkEnd w:id="63"/>
      <w:r/>
      <w:bookmarkEnd w:id="64"/>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65" w:name="_Toc20823282"/>
      <w:r/>
      <w:bookmarkStart w:id="66" w:name="_Toc16938526"/>
      <w:r/>
      <w:bookmarkStart w:id="67" w:name="_Toc513029210"/>
      <w:r>
        <w:rPr>
          <w:rStyle w:val="1067"/>
          <w:rFonts w:hint="eastAsia" w:ascii="宋体" w:hAnsi="宋体" w:eastAsia="宋体" w:cs="宋体"/>
          <w:b w:val="0"/>
          <w:bCs w:val="0"/>
          <w:color w:val="auto"/>
          <w:sz w:val="28"/>
          <w:szCs w:val="28"/>
          <w:highlight w:val="none"/>
        </w:rPr>
        <w:t xml:space="preserve">6、招标文件构成</w:t>
      </w:r>
      <w:bookmarkEnd w:id="65"/>
      <w:r/>
      <w:bookmarkEnd w:id="66"/>
      <w:r/>
      <w:bookmarkEnd w:id="67"/>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联系解决。</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68" w:name="_Toc20823284"/>
      <w:r/>
      <w:bookmarkStart w:id="69" w:name="_Toc513029212"/>
      <w:r/>
      <w:bookmarkStart w:id="70" w:name="_Toc16938528"/>
      <w:r/>
      <w:bookmarkStart w:id="71" w:name="_Toc462564071"/>
      <w:r>
        <w:rPr>
          <w:rStyle w:val="1067"/>
          <w:rFonts w:hint="eastAsia" w:ascii="宋体" w:hAnsi="宋体" w:eastAsia="宋体" w:cs="宋体"/>
          <w:b w:val="0"/>
          <w:bCs w:val="0"/>
          <w:color w:val="auto"/>
          <w:sz w:val="28"/>
          <w:szCs w:val="28"/>
          <w:highlight w:val="none"/>
        </w:rPr>
        <w:t xml:space="preserve">7、招标文件的澄清或修改</w:t>
      </w:r>
      <w:bookmarkEnd w:id="68"/>
      <w:r/>
      <w:bookmarkEnd w:id="69"/>
      <w:r/>
      <w:bookmarkEnd w:id="70"/>
      <w:r/>
      <w:bookmarkEnd w:id="71"/>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可以对招标文件进行澄清或修改。</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r>
        <w:rPr>
          <w:rFonts w:hint="eastAsia" w:ascii="宋体" w:hAnsi="宋体" w:eastAsia="宋体" w:cs="宋体"/>
          <w:bCs/>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72" w:name="_Toc120614216"/>
      <w:r/>
      <w:bookmarkStart w:id="73" w:name="_Toc513029213"/>
      <w:r/>
      <w:bookmarkStart w:id="74" w:name="_Toc12827"/>
      <w:r/>
      <w:bookmarkStart w:id="75" w:name="_Toc26824"/>
      <w:r/>
      <w:bookmarkStart w:id="76" w:name="_Toc462564072"/>
      <w:r/>
      <w:bookmarkStart w:id="77" w:name="_Toc38368122"/>
      <w:r/>
      <w:bookmarkStart w:id="78" w:name="_Toc35266022"/>
      <w:r/>
      <w:bookmarkStart w:id="79" w:name="_Toc20823285"/>
      <w:r/>
      <w:bookmarkStart w:id="80" w:name="_Toc16938529"/>
      <w:r/>
      <w:bookmarkStart w:id="81" w:name="_Toc54615241"/>
      <w:r>
        <w:rPr>
          <w:rStyle w:val="1067"/>
          <w:rFonts w:hint="eastAsia" w:ascii="宋体" w:hAnsi="宋体" w:eastAsia="宋体" w:cs="宋体"/>
          <w:b w:val="0"/>
          <w:bCs w:val="0"/>
          <w:color w:val="auto"/>
          <w:sz w:val="28"/>
          <w:szCs w:val="28"/>
          <w:highlight w:val="none"/>
        </w:rPr>
        <w:t xml:space="preserve">三、投标文件的编制</w:t>
      </w:r>
      <w:bookmarkEnd w:id="72"/>
      <w:r/>
      <w:bookmarkEnd w:id="73"/>
      <w:r/>
      <w:bookmarkEnd w:id="74"/>
      <w:r/>
      <w:bookmarkEnd w:id="75"/>
      <w:r/>
      <w:bookmarkEnd w:id="76"/>
      <w:r/>
      <w:bookmarkEnd w:id="77"/>
      <w:r/>
      <w:bookmarkEnd w:id="78"/>
      <w:r/>
      <w:bookmarkEnd w:id="79"/>
      <w:r/>
      <w:bookmarkEnd w:id="80"/>
      <w:r/>
      <w:bookmarkEnd w:id="81"/>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82" w:name="_Toc16938530"/>
      <w:r/>
      <w:bookmarkStart w:id="83" w:name="_Toc513029214"/>
      <w:r/>
      <w:bookmarkStart w:id="84" w:name="_Toc462564073"/>
      <w:r/>
      <w:bookmarkStart w:id="85" w:name="_Toc20823286"/>
      <w:r>
        <w:rPr>
          <w:rStyle w:val="1067"/>
          <w:rFonts w:hint="eastAsia" w:ascii="宋体" w:hAnsi="宋体" w:eastAsia="宋体" w:cs="宋体"/>
          <w:b w:val="0"/>
          <w:bCs w:val="0"/>
          <w:color w:val="auto"/>
          <w:sz w:val="28"/>
          <w:szCs w:val="28"/>
          <w:highlight w:val="none"/>
        </w:rPr>
        <w:t xml:space="preserve">8、投标文件的语言及度量衡单位</w:t>
      </w:r>
      <w:bookmarkEnd w:id="82"/>
      <w:r/>
      <w:bookmarkEnd w:id="83"/>
      <w:r/>
      <w:bookmarkEnd w:id="84"/>
      <w:r/>
      <w:bookmarkEnd w:id="85"/>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86" w:name="_Toc462564074"/>
      <w:r/>
      <w:bookmarkStart w:id="87" w:name="_Toc20823287"/>
      <w:r/>
      <w:bookmarkStart w:id="88" w:name="_Toc513029215"/>
      <w:r/>
      <w:bookmarkStart w:id="89" w:name="_Toc16938531"/>
      <w:r>
        <w:rPr>
          <w:rStyle w:val="1067"/>
          <w:rFonts w:hint="eastAsia" w:ascii="宋体" w:hAnsi="宋体" w:eastAsia="宋体" w:cs="宋体"/>
          <w:b w:val="0"/>
          <w:bCs w:val="0"/>
          <w:color w:val="auto"/>
          <w:sz w:val="28"/>
          <w:szCs w:val="28"/>
          <w:highlight w:val="none"/>
        </w:rPr>
        <w:t xml:space="preserve">9、投标文件构成</w:t>
      </w:r>
      <w:bookmarkEnd w:id="86"/>
      <w:r/>
      <w:bookmarkEnd w:id="87"/>
      <w:r/>
      <w:bookmarkEnd w:id="88"/>
      <w:r/>
      <w:bookmarkEnd w:id="89"/>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90" w:name="_Hlt26668975"/>
      <w:r/>
      <w:bookmarkEnd w:id="90"/>
      <w:r/>
      <w:bookmarkStart w:id="91" w:name="_Hlt26954838"/>
      <w:r/>
      <w:bookmarkEnd w:id="91"/>
      <w:r/>
      <w:bookmarkStart w:id="92" w:name="_Hlt26670360"/>
      <w:r/>
      <w:bookmarkEnd w:id="92"/>
      <w:r/>
      <w:bookmarkStart w:id="93" w:name="_Toc49090509"/>
      <w:r/>
      <w:bookmarkStart w:id="94" w:name="_Toc14577357"/>
      <w:r/>
      <w:bookmarkStart w:id="95" w:name="_Toc513029219"/>
      <w:r/>
      <w:bookmarkStart w:id="96" w:name="_Toc14577354"/>
      <w:r/>
      <w:bookmarkStart w:id="97" w:name="_Toc513029216"/>
      <w:r/>
      <w:bookmarkStart w:id="98" w:name="_Toc49090507"/>
      <w:r>
        <w:rPr>
          <w:rStyle w:val="1067"/>
          <w:rFonts w:hint="eastAsia" w:ascii="宋体" w:hAnsi="宋体" w:eastAsia="宋体" w:cs="宋体"/>
          <w:b w:val="0"/>
          <w:bCs w:val="0"/>
          <w:color w:val="auto"/>
          <w:sz w:val="28"/>
          <w:szCs w:val="28"/>
          <w:highlight w:val="none"/>
        </w:rPr>
        <w:t xml:space="preserve">10、投标函和开标一览表</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11、投标人资格证明文件</w:t>
      </w:r>
      <w:bookmarkEnd w:id="93"/>
      <w:r/>
      <w:bookmarkEnd w:id="94"/>
      <w:r/>
      <w:bookmarkEnd w:id="95"/>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9" w:name="_Hlt26668999"/>
      <w:r/>
      <w:bookmarkEnd w:id="99"/>
      <w:r>
        <w:rPr>
          <w:rFonts w:hint="eastAsia" w:ascii="宋体" w:hAnsi="宋体" w:eastAsia="宋体" w:cs="宋体"/>
          <w:color w:val="auto"/>
          <w:sz w:val="24"/>
          <w:szCs w:val="24"/>
          <w:highlight w:val="none"/>
        </w:rPr>
        <w:t xml:space="preserve">投标人应按招标文件的要求提交资格证明文件。</w:t>
      </w:r>
      <w:bookmarkEnd w:id="96"/>
      <w:r/>
      <w:bookmarkEnd w:id="97"/>
      <w:r/>
      <w:bookmarkEnd w:id="98"/>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100" w:name="_Toc14577355"/>
      <w:r/>
      <w:bookmarkStart w:id="101" w:name="_Toc49090508"/>
      <w:r/>
      <w:bookmarkStart w:id="102" w:name="_Toc49090510"/>
      <w:r/>
      <w:bookmarkStart w:id="103" w:name="_Toc14577359"/>
      <w:r>
        <w:rPr>
          <w:rStyle w:val="1067"/>
          <w:rFonts w:hint="eastAsia" w:ascii="宋体" w:hAnsi="宋体" w:eastAsia="宋体" w:cs="宋体"/>
          <w:b w:val="0"/>
          <w:bCs w:val="0"/>
          <w:color w:val="auto"/>
          <w:sz w:val="28"/>
          <w:szCs w:val="28"/>
          <w:highlight w:val="none"/>
        </w:rPr>
        <w:t xml:space="preserve">12.投标配置与分项报价</w:t>
      </w:r>
      <w:bookmarkStart w:id="104" w:name="_Hlt26670373"/>
      <w:r/>
      <w:bookmarkEnd w:id="104"/>
      <w:r>
        <w:rPr>
          <w:rStyle w:val="1067"/>
          <w:rFonts w:hint="eastAsia" w:ascii="宋体" w:hAnsi="宋体" w:eastAsia="宋体" w:cs="宋体"/>
          <w:b w:val="0"/>
          <w:bCs w:val="0"/>
          <w:color w:val="auto"/>
          <w:sz w:val="28"/>
          <w:szCs w:val="28"/>
          <w:highlight w:val="none"/>
        </w:rPr>
        <w:t xml:space="preserve">表</w:t>
      </w:r>
      <w:bookmarkEnd w:id="100"/>
      <w:r/>
      <w:bookmarkEnd w:id="101"/>
      <w:r>
        <w:rPr>
          <w:rStyle w:val="1067"/>
          <w:rFonts w:hint="eastAsia" w:ascii="宋体" w:hAnsi="宋体" w:eastAsia="宋体" w:cs="宋体"/>
          <w:b w:val="0"/>
          <w:bCs w:val="0"/>
          <w:color w:val="auto"/>
          <w:sz w:val="28"/>
          <w:szCs w:val="28"/>
          <w:highlight w:val="none"/>
        </w:rPr>
        <w:t xml:space="preserve">（或经费测算表）</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jc w:val="left"/>
        <w:pageBreakBefore w:val="0"/>
        <w:spacing w:line="42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12.4 项目总价应包括但不限于</w:t>
      </w:r>
      <w:r>
        <w:rPr>
          <w:rFonts w:hint="default" w:ascii="宋体" w:hAnsi="宋体" w:eastAsia="宋体" w:cs="宋体"/>
          <w:color w:val="auto"/>
          <w:sz w:val="24"/>
          <w:szCs w:val="22"/>
          <w:highlight w:val="none"/>
          <w:lang w:val="en-US" w:eastAsia="zh-CN" w:bidi="ar-SA"/>
        </w:rPr>
        <w:t xml:space="preserve">人员费用（含工资、奖金、福利、培训、社会保险、住房公积金等</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需满足本合同约定的人员配置要求</w:t>
      </w:r>
      <w:r>
        <w:rPr>
          <w:rFonts w:hint="default" w:ascii="宋体" w:hAnsi="宋体" w:eastAsia="宋体" w:cs="宋体"/>
          <w:color w:val="auto"/>
          <w:sz w:val="24"/>
          <w:szCs w:val="22"/>
          <w:highlight w:val="none"/>
          <w:lang w:val="en-US" w:eastAsia="zh-CN" w:bidi="ar-SA"/>
        </w:rPr>
        <w:t xml:space="preserve">）；道路路灯所有设施</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含LED灯具、单灯控制器、集中控制器、中国结装饰灯、LED电子显示屏、中杆灯、专线等</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2"/>
          <w:highlight w:val="none"/>
          <w:lang w:val="en-US" w:eastAsia="zh-CN" w:bidi="ar-SA"/>
        </w:rPr>
        <w:t xml:space="preserve">的设计、采购、运输、安装、调试、检测、验收等费用；通信费、系统使用费、电费、耗材费</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备品备件费等运行费用</w:t>
      </w:r>
      <w:r>
        <w:rPr>
          <w:rFonts w:hint="default" w:ascii="宋体" w:hAnsi="宋体" w:eastAsia="宋体" w:cs="宋体"/>
          <w:color w:val="auto"/>
          <w:sz w:val="24"/>
          <w:szCs w:val="22"/>
          <w:highlight w:val="none"/>
          <w:lang w:val="en-US" w:eastAsia="zh-CN" w:bidi="ar-SA"/>
        </w:rPr>
        <w:t xml:space="preserve">；后期维护、维修、设备更新等保障费用；管理费用、合理利润、各类税金</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2"/>
          <w:highlight w:val="none"/>
          <w:lang w:val="en-US" w:eastAsia="zh-CN" w:bidi="ar-SA"/>
        </w:rPr>
        <w:t xml:space="preserve">以及政策性文件规定、合同隐含的所有风险、责任、义务所涉及的费用</w:t>
      </w:r>
      <w:r>
        <w:rPr>
          <w:rFonts w:hint="eastAsia" w:ascii="宋体" w:hAnsi="宋体" w:eastAsia="宋体" w:cs="宋体"/>
          <w:color w:val="auto"/>
          <w:sz w:val="24"/>
          <w:szCs w:val="24"/>
          <w:highlight w:val="none"/>
        </w:rPr>
        <w:t xml:space="preserve">。 </w:t>
      </w:r>
      <w:bookmarkStart w:id="105" w:name="EB8486dd9157984dc9aa62437fb6aa6f0f"/>
      <w:r/>
      <w:bookmarkEnd w:id="105"/>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6" w:name="_Hlt26954846"/>
      <w:r/>
      <w:bookmarkEnd w:id="106"/>
      <w:r/>
      <w:bookmarkStart w:id="107" w:name="_Hlt26670482"/>
      <w:r/>
      <w:bookmarkEnd w:id="107"/>
      <w:r/>
      <w:bookmarkStart w:id="108" w:name="_Hlt26954848"/>
      <w:r/>
      <w:bookmarkEnd w:id="108"/>
      <w:r/>
      <w:bookmarkStart w:id="109" w:name="_Hlt26670486"/>
      <w:r/>
      <w:bookmarkEnd w:id="109"/>
      <w:r/>
      <w:bookmarkStart w:id="110" w:name="_Hlt26954731"/>
      <w:r/>
      <w:bookmarkEnd w:id="110"/>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13、技术及服务方案</w:t>
      </w:r>
      <w:r/>
    </w:p>
    <w:p>
      <w:pPr>
        <w:pStyle w:val="1234"/>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34"/>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14、投标人情况介绍</w:t>
      </w:r>
      <w:r/>
    </w:p>
    <w:p>
      <w:pPr>
        <w:ind w:firstLine="508"/>
        <w:jc w:val="left"/>
        <w:keepLines/>
        <w:keepNext/>
        <w:pageBreakBefore w:val="0"/>
        <w:spacing w:line="420" w:lineRule="exact"/>
        <w:rPr>
          <w:rStyle w:val="946"/>
          <w:rFonts w:hint="eastAsia" w:ascii="宋体" w:hAnsi="宋体" w:eastAsia="宋体" w:cs="宋体"/>
          <w:color w:val="auto"/>
          <w:spacing w:val="7"/>
          <w:sz w:val="24"/>
          <w:szCs w:val="24"/>
          <w:highlight w:val="none"/>
        </w:rPr>
        <w:outlineLvl w:val="3"/>
      </w:pPr>
      <w:r>
        <w:rPr>
          <w:rStyle w:val="946"/>
          <w:rFonts w:hint="eastAsia" w:ascii="宋体" w:hAnsi="宋体" w:eastAsia="宋体" w:cs="宋体"/>
          <w:color w:val="auto"/>
          <w:spacing w:val="7"/>
          <w:sz w:val="24"/>
          <w:szCs w:val="24"/>
          <w:highlight w:val="none"/>
        </w:rPr>
        <w:t xml:space="preserve">14.1 投标人的总体情况应在电子投标文件中作出说明。</w:t>
      </w:r>
      <w:bookmarkEnd w:id="102"/>
      <w:r/>
      <w:bookmarkEnd w:id="103"/>
      <w:r/>
      <w:bookmarkStart w:id="111" w:name="_Hlt26954734"/>
      <w:r/>
      <w:bookmarkEnd w:id="111"/>
      <w:r/>
      <w:bookmarkStart w:id="112" w:name="_Hlt26670489"/>
      <w:r/>
      <w:bookmarkEnd w:id="112"/>
      <w:r/>
      <w:bookmarkStart w:id="113" w:name="EBf6e5e332cb7245ab8f3a9801503c122b"/>
      <w:r/>
      <w:bookmarkEnd w:id="113"/>
      <w:r/>
      <w:bookmarkStart w:id="114" w:name="_Hlt26954850"/>
      <w:r/>
      <w:bookmarkEnd w:id="114"/>
      <w:r/>
      <w:bookmarkStart w:id="115" w:name="_Toc14577360"/>
      <w:r/>
      <w:bookmarkStart w:id="116" w:name="_Toc49090511"/>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15、投标保证金</w:t>
      </w:r>
      <w:r/>
    </w:p>
    <w:p>
      <w:pPr>
        <w:pStyle w:val="1234"/>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16、投标有效期</w:t>
      </w:r>
      <w:bookmarkEnd w:id="115"/>
      <w:r/>
      <w:bookmarkEnd w:id="116"/>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r>
        <w:rPr>
          <w:rFonts w:hint="eastAsia" w:ascii="宋体" w:hAnsi="宋体" w:eastAsia="宋体" w:cs="宋体"/>
          <w:bCs/>
          <w:color w:val="auto"/>
          <w:sz w:val="24"/>
          <w:szCs w:val="24"/>
          <w:highlight w:val="none"/>
          <w:lang w:eastAsia="zh-CN"/>
        </w:rPr>
        <w:t xml:space="preserve">张家港保税区宏宇建设咨询有限公司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r>
        <w:rPr>
          <w:rFonts w:hint="eastAsia" w:ascii="宋体" w:hAnsi="宋体" w:eastAsia="宋体" w:cs="宋体"/>
          <w:bCs/>
          <w:color w:val="auto"/>
          <w:sz w:val="24"/>
          <w:szCs w:val="24"/>
          <w:highlight w:val="none"/>
          <w:lang w:eastAsia="zh-CN"/>
        </w:rPr>
        <w:t xml:space="preserve">张家港保税区宏宇建设咨询有限公司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highlight w:val="none"/>
          <w:lang w:eastAsia="zh-CN"/>
        </w:rPr>
        <w:t xml:space="preserve">张家港保税区宏宇建设咨询有限公司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17、投标文件的签署</w:t>
      </w:r>
      <w:r/>
    </w:p>
    <w:p>
      <w:pPr>
        <w:ind w:firstLine="508"/>
        <w:jc w:val="left"/>
        <w:pageBreakBefore w:val="0"/>
        <w:spacing w:line="420" w:lineRule="exact"/>
        <w:rPr>
          <w:rStyle w:val="1067"/>
          <w:rFonts w:hint="eastAsia" w:ascii="宋体" w:hAnsi="宋体" w:eastAsia="宋体" w:cs="宋体"/>
          <w:b w:val="0"/>
          <w:bCs w:val="0"/>
          <w:color w:val="auto"/>
          <w:sz w:val="24"/>
          <w:szCs w:val="24"/>
          <w:highlight w:val="none"/>
        </w:rPr>
      </w:pPr>
      <w:r>
        <w:rPr>
          <w:rStyle w:val="946"/>
          <w:rFonts w:hint="eastAsia" w:ascii="宋体" w:hAnsi="宋体" w:eastAsia="宋体" w:cs="宋体"/>
          <w:color w:val="auto"/>
          <w:spacing w:val="7"/>
          <w:sz w:val="24"/>
          <w:szCs w:val="24"/>
          <w:highlight w:val="none"/>
        </w:rPr>
        <w:t xml:space="preserve">17.1 本招标文件所表述（指定）的公章是指法定名称章，不包括合同专用章、业务专用章等印章。</w:t>
      </w:r>
      <w:bookmarkStart w:id="117" w:name="EBfdb2e00cf1ee477a9cdb47d13b603829"/>
      <w:r/>
      <w:bookmarkEnd w:id="117"/>
      <w:r/>
      <w:bookmarkStart w:id="118" w:name="_Hlt26954852"/>
      <w:r/>
      <w:bookmarkEnd w:id="118"/>
      <w:r/>
      <w:bookmarkStart w:id="119" w:name="_Hlt26954739"/>
      <w:r/>
      <w:bookmarkEnd w:id="119"/>
      <w:r/>
      <w:bookmarkStart w:id="120" w:name="_Toc6388848"/>
      <w:r/>
      <w:bookmarkStart w:id="121" w:name="_Toc6389296"/>
      <w:r/>
      <w:bookmarkStart w:id="122" w:name="_Toc35266023"/>
      <w:r/>
      <w:bookmarkStart w:id="123" w:name="_Toc1358"/>
      <w:r/>
      <w:bookmarkStart w:id="124" w:name="_Toc38368123"/>
      <w:r/>
      <w:bookmarkStart w:id="125" w:name="_Toc54615242"/>
      <w:r/>
      <w:bookmarkStart w:id="126" w:name="_Toc20823296"/>
      <w:r/>
      <w:bookmarkStart w:id="127" w:name="_Toc16938540"/>
      <w:r/>
      <w:bookmarkStart w:id="128" w:name="_Toc120614217"/>
      <w:r/>
      <w:bookmarkStart w:id="129" w:name="_Toc513029224"/>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130" w:name="_Toc32444"/>
      <w:r>
        <w:rPr>
          <w:rStyle w:val="1067"/>
          <w:rFonts w:hint="eastAsia" w:ascii="宋体" w:hAnsi="宋体" w:eastAsia="宋体" w:cs="宋体"/>
          <w:b w:val="0"/>
          <w:bCs w:val="0"/>
          <w:color w:val="auto"/>
          <w:sz w:val="28"/>
          <w:szCs w:val="28"/>
          <w:highlight w:val="none"/>
        </w:rPr>
        <w:t xml:space="preserve">四、投标文件的制作、上传、递交</w:t>
      </w:r>
      <w:bookmarkEnd w:id="120"/>
      <w:r/>
      <w:bookmarkEnd w:id="121"/>
      <w:r/>
      <w:bookmarkEnd w:id="122"/>
      <w:r/>
      <w:bookmarkEnd w:id="123"/>
      <w:r/>
      <w:bookmarkEnd w:id="124"/>
      <w:r/>
      <w:bookmarkEnd w:id="125"/>
      <w:r/>
      <w:bookmarkEnd w:id="130"/>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18、投标文件的递交</w:t>
      </w:r>
      <w:r/>
    </w:p>
    <w:p>
      <w:pPr>
        <w:pStyle w:val="1251"/>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18.1 电子投标文件的递交</w:t>
      </w:r>
      <w:r/>
    </w:p>
    <w:p>
      <w:pPr>
        <w:pStyle w:val="1251"/>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bookmarkStart w:id="131" w:name="EB5e78b12e89984a20ab881c475623475b"/>
      <w:r/>
      <w:bookmarkEnd w:id="131"/>
      <w:r/>
      <w:bookmarkStart w:id="132" w:name="_Toc6388850"/>
      <w:r/>
      <w:bookmarkStart w:id="133" w:name="_Toc6389298"/>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rPr>
        <w:t xml:space="preserve">19、投标截止日期</w:t>
      </w:r>
      <w:bookmarkEnd w:id="132"/>
      <w:r/>
      <w:bookmarkEnd w:id="133"/>
      <w:r/>
      <w:r/>
    </w:p>
    <w:p>
      <w:pPr>
        <w:pStyle w:val="1314"/>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19.1 投标人上传电子投标文件的时间不得迟于招标公告中规定的投标截止时间。</w:t>
      </w:r>
      <w:r/>
    </w:p>
    <w:p>
      <w:pPr>
        <w:pStyle w:val="1314"/>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4" w:name="EB4c6421107b4c4e38bf2769d0237905a7"/>
      <w:r/>
      <w:bookmarkEnd w:id="134"/>
      <w:r/>
      <w:bookmarkStart w:id="135" w:name="_Toc6389299"/>
      <w:r/>
      <w:bookmarkStart w:id="136" w:name="_Toc6388851"/>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lang w:val="en-US" w:eastAsia="zh-CN"/>
        </w:rPr>
        <w:t xml:space="preserve">20、</w:t>
      </w:r>
      <w:r>
        <w:rPr>
          <w:rStyle w:val="1067"/>
          <w:rFonts w:hint="eastAsia" w:ascii="宋体" w:hAnsi="宋体" w:eastAsia="宋体" w:cs="宋体"/>
          <w:b w:val="0"/>
          <w:bCs w:val="0"/>
          <w:color w:val="auto"/>
          <w:sz w:val="28"/>
          <w:szCs w:val="28"/>
          <w:highlight w:val="none"/>
        </w:rPr>
        <w:t xml:space="preserve">投标文件的递交</w:t>
      </w:r>
      <w:bookmarkEnd w:id="135"/>
      <w:r/>
      <w:bookmarkEnd w:id="136"/>
      <w:r/>
      <w:r/>
    </w:p>
    <w:p>
      <w:pPr>
        <w:pStyle w:val="1314"/>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7" w:name="_Toc6388852"/>
      <w:r/>
      <w:bookmarkStart w:id="138" w:name="_Toc6389300"/>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rPr>
          <w:rStyle w:val="1067"/>
          <w:rFonts w:hint="eastAsia" w:ascii="宋体" w:hAnsi="宋体" w:eastAsia="宋体" w:cs="宋体"/>
          <w:b w:val="0"/>
          <w:bCs w:val="0"/>
          <w:color w:val="auto"/>
          <w:sz w:val="28"/>
          <w:szCs w:val="28"/>
          <w:highlight w:val="none"/>
          <w:lang w:val="en-US" w:eastAsia="zh-CN"/>
        </w:rPr>
        <w:t xml:space="preserve">21、</w:t>
      </w:r>
      <w:r>
        <w:rPr>
          <w:rStyle w:val="1067"/>
          <w:rFonts w:hint="eastAsia" w:ascii="宋体" w:hAnsi="宋体" w:eastAsia="宋体" w:cs="宋体"/>
          <w:b w:val="0"/>
          <w:bCs w:val="0"/>
          <w:color w:val="auto"/>
          <w:sz w:val="28"/>
          <w:szCs w:val="28"/>
          <w:highlight w:val="none"/>
        </w:rPr>
        <w:t xml:space="preserve">投标文件的修改和撤回</w:t>
      </w:r>
      <w:bookmarkEnd w:id="137"/>
      <w:r/>
      <w:bookmarkEnd w:id="138"/>
      <w:r/>
      <w:r/>
    </w:p>
    <w:p>
      <w:pPr>
        <w:pStyle w:val="1314"/>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126"/>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21.2 投标人撤回电子投标文件，则认为其不再参与本项目投标活动。</w:t>
      </w:r>
      <w:r/>
    </w:p>
    <w:p>
      <w:pPr>
        <w:pStyle w:val="1126"/>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21.3 在投标截止时间之后，投标人不得对其电子投标文件作任何修改。</w:t>
      </w:r>
      <w:r/>
    </w:p>
    <w:p>
      <w:pPr>
        <w:pStyle w:val="1126"/>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21.4 在投标截止时间至招标文件中规定的投标有效期满之间的这段时间内，投标人不得撤销其投标。</w:t>
      </w:r>
      <w:r/>
    </w:p>
    <w:p>
      <w:pPr>
        <w:pStyle w:val="1126"/>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21.5 不论投标人中标与否，投标文件均不退回。</w:t>
      </w:r>
      <w:bookmarkEnd w:id="126"/>
      <w:r/>
      <w:bookmarkEnd w:id="127"/>
      <w:r/>
      <w:bookmarkEnd w:id="128"/>
      <w:r/>
      <w:bookmarkEnd w:id="129"/>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bookmarkStart w:id="139" w:name="EB7c302f080cf342679641097daf23b42b"/>
      <w:r/>
      <w:bookmarkEnd w:id="139"/>
      <w:r/>
      <w:bookmarkStart w:id="140" w:name="_Toc513029229"/>
      <w:r/>
      <w:bookmarkStart w:id="141" w:name="_Toc35266024"/>
      <w:r/>
      <w:bookmarkStart w:id="142" w:name="_Toc120614218"/>
      <w:r/>
      <w:bookmarkStart w:id="143" w:name="_Toc38368124"/>
      <w:r/>
      <w:bookmarkStart w:id="144" w:name="_Toc17299"/>
      <w:r/>
      <w:bookmarkStart w:id="145" w:name="_Toc7542"/>
      <w:r/>
      <w:bookmarkStart w:id="146" w:name="_Toc16938545"/>
      <w:r/>
      <w:bookmarkStart w:id="147" w:name="_Toc54615243"/>
      <w:r/>
      <w:bookmarkStart w:id="148" w:name="_Toc20823301"/>
      <w:r>
        <w:rPr>
          <w:rStyle w:val="1067"/>
          <w:rFonts w:hint="eastAsia" w:ascii="宋体" w:hAnsi="宋体" w:eastAsia="宋体" w:cs="宋体"/>
          <w:b w:val="0"/>
          <w:bCs w:val="0"/>
          <w:color w:val="auto"/>
          <w:sz w:val="28"/>
          <w:szCs w:val="28"/>
          <w:highlight w:val="none"/>
          <w:lang w:val="en-US" w:eastAsia="zh-CN"/>
        </w:rPr>
        <w:t xml:space="preserve">五、开标与评标</w:t>
      </w:r>
      <w:bookmarkEnd w:id="140"/>
      <w:r/>
      <w:bookmarkEnd w:id="141"/>
      <w:r/>
      <w:bookmarkEnd w:id="142"/>
      <w:r/>
      <w:bookmarkEnd w:id="143"/>
      <w:r/>
      <w:bookmarkEnd w:id="144"/>
      <w:r/>
      <w:bookmarkEnd w:id="145"/>
      <w:r/>
      <w:bookmarkEnd w:id="146"/>
      <w:r/>
      <w:bookmarkEnd w:id="147"/>
      <w:r/>
      <w:bookmarkEnd w:id="148"/>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bookmarkStart w:id="149" w:name="_Toc20823302"/>
      <w:r/>
      <w:bookmarkStart w:id="150" w:name="_Toc16938546"/>
      <w:r/>
      <w:bookmarkStart w:id="151" w:name="_Toc513029230"/>
      <w:r>
        <w:rPr>
          <w:rStyle w:val="1067"/>
          <w:rFonts w:hint="eastAsia" w:ascii="宋体" w:hAnsi="宋体" w:eastAsia="宋体" w:cs="宋体"/>
          <w:b w:val="0"/>
          <w:bCs w:val="0"/>
          <w:color w:val="auto"/>
          <w:sz w:val="28"/>
          <w:szCs w:val="28"/>
          <w:highlight w:val="none"/>
          <w:lang w:val="en-US" w:eastAsia="zh-CN"/>
        </w:rPr>
        <w:t xml:space="preserve">22、开标</w:t>
      </w:r>
      <w:bookmarkEnd w:id="149"/>
      <w:r/>
      <w:bookmarkEnd w:id="150"/>
      <w:r/>
      <w:bookmarkEnd w:id="151"/>
      <w:r/>
      <w:r/>
    </w:p>
    <w:p>
      <w:pPr>
        <w:ind w:firstLine="508"/>
        <w:jc w:val="left"/>
        <w:pageBreakBefore w:val="0"/>
        <w:spacing w:line="420" w:lineRule="exact"/>
        <w:rPr>
          <w:rStyle w:val="946"/>
          <w:rFonts w:hint="eastAsia" w:ascii="宋体" w:hAnsi="宋体" w:eastAsia="宋体" w:cs="宋体"/>
          <w:color w:val="auto"/>
          <w:spacing w:val="7"/>
          <w:sz w:val="24"/>
          <w:szCs w:val="24"/>
          <w:highlight w:val="none"/>
        </w:rPr>
      </w:pPr>
      <w:r/>
      <w:bookmarkStart w:id="152" w:name="EB45a41a7a147945c0bb92535f2d40058d"/>
      <w:r/>
      <w:bookmarkEnd w:id="152"/>
      <w:r/>
      <w:bookmarkStart w:id="153" w:name="_Toc513029231"/>
      <w:r/>
      <w:bookmarkStart w:id="154" w:name="_Toc16938547"/>
      <w:r/>
      <w:bookmarkStart w:id="155" w:name="_Toc20823303"/>
      <w:r>
        <w:rPr>
          <w:rStyle w:val="946"/>
          <w:rFonts w:hint="eastAsia" w:ascii="宋体" w:hAnsi="宋体" w:eastAsia="宋体" w:cs="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pageBreakBefore w:val="0"/>
        <w:spacing w:line="420" w:lineRule="exact"/>
        <w:rPr>
          <w:rFonts w:hint="eastAsia" w:ascii="宋体" w:hAnsi="宋体" w:eastAsia="宋体" w:cs="宋体"/>
          <w:color w:val="auto"/>
          <w:sz w:val="24"/>
          <w:szCs w:val="24"/>
          <w:highlight w:val="none"/>
        </w:rPr>
      </w:pPr>
      <w:r>
        <w:rPr>
          <w:rStyle w:val="946"/>
          <w:rFonts w:hint="eastAsia" w:ascii="宋体" w:hAnsi="宋体" w:eastAsia="宋体" w:cs="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rPr>
          <w:rStyle w:val="1067"/>
          <w:rFonts w:hint="eastAsia" w:ascii="宋体" w:hAnsi="宋体" w:eastAsia="宋体" w:cs="宋体"/>
          <w:b w:val="0"/>
          <w:bCs w:val="0"/>
          <w:color w:val="auto"/>
          <w:sz w:val="28"/>
          <w:szCs w:val="28"/>
          <w:highlight w:val="none"/>
          <w:lang w:val="en-US" w:eastAsia="zh-CN"/>
        </w:rPr>
        <w:t xml:space="preserve">23、评标委员会</w:t>
      </w:r>
      <w:r/>
    </w:p>
    <w:p>
      <w:pPr>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23.1 开标后，</w:t>
      </w:r>
      <w:r>
        <w:rPr>
          <w:rStyle w:val="946"/>
          <w:rFonts w:hint="eastAsia" w:ascii="宋体" w:hAnsi="宋体" w:eastAsia="宋体" w:cs="宋体"/>
          <w:color w:val="auto"/>
          <w:spacing w:val="7"/>
          <w:sz w:val="24"/>
          <w:szCs w:val="24"/>
          <w:highlight w:val="none"/>
          <w:lang w:eastAsia="zh-CN"/>
        </w:rPr>
        <w:t xml:space="preserve">张家港保税区宏宇建设咨询有限公司</w:t>
      </w:r>
      <w:r>
        <w:rPr>
          <w:rStyle w:val="946"/>
          <w:rFonts w:hint="eastAsia" w:ascii="宋体" w:hAnsi="宋体" w:eastAsia="宋体" w:cs="宋体"/>
          <w:color w:val="auto"/>
          <w:spacing w:val="7"/>
          <w:sz w:val="24"/>
          <w:szCs w:val="24"/>
          <w:highlight w:val="none"/>
        </w:rPr>
        <w:t xml:space="preserve">将立即组织评标委员会（以下简称评委会）进行评标。</w:t>
      </w:r>
      <w:r/>
    </w:p>
    <w:p>
      <w:pPr>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23.2 评委会由评审专家、采购人代表组成，且人员构成符合政府采购有关规定。</w:t>
      </w:r>
      <w:r/>
    </w:p>
    <w:p>
      <w:pPr>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23.4评委会将对投标人的商业、技术秘密予以保密。</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rPr>
          <w:rStyle w:val="1067"/>
          <w:rFonts w:hint="eastAsia" w:ascii="宋体" w:hAnsi="宋体" w:eastAsia="宋体" w:cs="宋体"/>
          <w:b w:val="0"/>
          <w:bCs w:val="0"/>
          <w:color w:val="auto"/>
          <w:sz w:val="28"/>
          <w:szCs w:val="28"/>
          <w:highlight w:val="none"/>
          <w:lang w:val="en-US" w:eastAsia="zh-CN"/>
        </w:rPr>
        <w:t xml:space="preserve">24．评标过程的保密</w:t>
      </w:r>
      <w:bookmarkEnd w:id="153"/>
      <w:r/>
      <w:bookmarkEnd w:id="154"/>
      <w:r/>
      <w:bookmarkEnd w:id="155"/>
      <w:r>
        <w:rPr>
          <w:rStyle w:val="1067"/>
          <w:rFonts w:hint="eastAsia" w:ascii="宋体" w:hAnsi="宋体" w:eastAsia="宋体" w:cs="宋体"/>
          <w:b w:val="0"/>
          <w:bCs w:val="0"/>
          <w:color w:val="auto"/>
          <w:sz w:val="28"/>
          <w:szCs w:val="28"/>
          <w:highlight w:val="none"/>
          <w:lang w:val="en-US" w:eastAsia="zh-CN"/>
        </w:rPr>
        <w:t xml:space="preserve">与公正</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bookmarkStart w:id="156" w:name="_Toc513029232"/>
      <w:r/>
      <w:bookmarkStart w:id="157" w:name="_Toc20823304"/>
      <w:r/>
      <w:bookmarkStart w:id="158" w:name="_Toc16938548"/>
      <w:r>
        <w:rPr>
          <w:rStyle w:val="1067"/>
          <w:rFonts w:hint="eastAsia" w:ascii="宋体" w:hAnsi="宋体" w:eastAsia="宋体" w:cs="宋体"/>
          <w:b w:val="0"/>
          <w:bCs w:val="0"/>
          <w:color w:val="auto"/>
          <w:sz w:val="28"/>
          <w:szCs w:val="28"/>
          <w:highlight w:val="none"/>
          <w:lang w:val="en-US" w:eastAsia="zh-CN"/>
        </w:rPr>
        <w:t xml:space="preserve">25．投标的澄清</w:t>
      </w:r>
      <w:bookmarkEnd w:id="156"/>
      <w:r/>
      <w:bookmarkEnd w:id="157"/>
      <w:r/>
      <w:bookmarkEnd w:id="158"/>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155"/>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jc w:val="left"/>
        <w:pageBreakBefore w:val="0"/>
        <w:spacing w:line="420" w:lineRule="exact"/>
        <w:rPr>
          <w:rFonts w:hint="eastAsia" w:ascii="宋体" w:hAnsi="宋体" w:eastAsia="宋体" w:cs="宋体"/>
          <w:color w:val="auto"/>
          <w:sz w:val="24"/>
          <w:szCs w:val="24"/>
          <w:highlight w:val="none"/>
        </w:rPr>
      </w:pPr>
      <w:r>
        <w:rPr>
          <w:rStyle w:val="946"/>
          <w:rFonts w:hint="eastAsia" w:ascii="宋体" w:hAnsi="宋体" w:eastAsia="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6"/>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59" w:name="EB3164982f155e42e086cd4685f4d2aafa"/>
      <w:r/>
      <w:bookmarkEnd w:id="159"/>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25.3接到评委会澄清要求的投标人如未按规定做出澄清，其风险由投标人自行承担。</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bookmarkStart w:id="160" w:name="_Toc16938549"/>
      <w:r/>
      <w:bookmarkStart w:id="161" w:name="_Toc513029233"/>
      <w:r/>
      <w:bookmarkStart w:id="162" w:name="_Toc20823305"/>
      <w:r>
        <w:rPr>
          <w:rStyle w:val="1067"/>
          <w:rFonts w:hint="eastAsia" w:ascii="宋体" w:hAnsi="宋体" w:eastAsia="宋体" w:cs="宋体"/>
          <w:b w:val="0"/>
          <w:bCs w:val="0"/>
          <w:color w:val="auto"/>
          <w:sz w:val="28"/>
          <w:szCs w:val="28"/>
          <w:highlight w:val="none"/>
          <w:lang w:val="en-US" w:eastAsia="zh-CN"/>
        </w:rPr>
        <w:t xml:space="preserve">26、</w:t>
      </w:r>
      <w:bookmarkEnd w:id="160"/>
      <w:r/>
      <w:bookmarkEnd w:id="161"/>
      <w:r/>
      <w:bookmarkEnd w:id="162"/>
      <w:r>
        <w:rPr>
          <w:rStyle w:val="1067"/>
          <w:rFonts w:hint="eastAsia" w:ascii="宋体" w:hAnsi="宋体" w:eastAsia="宋体" w:cs="宋体"/>
          <w:b w:val="0"/>
          <w:bCs w:val="0"/>
          <w:color w:val="auto"/>
          <w:sz w:val="28"/>
          <w:szCs w:val="28"/>
          <w:highlight w:val="none"/>
          <w:lang w:val="en-US" w:eastAsia="zh-CN"/>
        </w:rPr>
        <w:t xml:space="preserve">对投标文件的初审</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63" w:name="EB8e3ec86c09a94dac9cc9034e6027ee19"/>
      <w:r/>
      <w:bookmarkEnd w:id="163"/>
      <w:r/>
      <w:r/>
    </w:p>
    <w:p>
      <w:pPr>
        <w:pStyle w:val="790"/>
        <w:spacing w:line="440" w:lineRule="exact"/>
        <w:rPr>
          <w:rFonts w:hint="eastAsia"/>
          <w:b/>
          <w:bCs/>
          <w:color w:val="auto"/>
          <w:highlight w:val="none"/>
        </w:rPr>
      </w:pPr>
      <w:r/>
      <w:bookmarkStart w:id="164" w:name="_Toc20823306"/>
      <w:r/>
      <w:bookmarkStart w:id="165" w:name="_Toc513029234"/>
      <w:r/>
      <w:bookmarkStart w:id="166" w:name="_Toc16938550"/>
      <w:r/>
      <w:bookmarkStart w:id="167" w:name="_Toc200451960"/>
      <w:r>
        <w:rPr>
          <w:rFonts w:hint="eastAsia"/>
          <w:b/>
          <w:bCs/>
          <w:color w:val="auto"/>
          <w:highlight w:val="none"/>
        </w:rPr>
        <w:t xml:space="preserve">26.6 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8"/>
        <w:ind w:firstLine="480"/>
        <w:jc w:val="left"/>
        <w:pageBreakBefore w:val="0"/>
        <w:spacing w:before="0" w:after="0"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rPr>
          <w:rStyle w:val="1067"/>
          <w:rFonts w:hint="eastAsia" w:ascii="宋体" w:hAnsi="宋体" w:eastAsia="宋体" w:cs="宋体"/>
          <w:b w:val="0"/>
          <w:bCs w:val="0"/>
          <w:color w:val="auto"/>
          <w:sz w:val="28"/>
          <w:szCs w:val="28"/>
          <w:highlight w:val="none"/>
          <w:lang w:val="en-US" w:eastAsia="zh-CN"/>
        </w:rPr>
        <w:t xml:space="preserve">27、</w:t>
      </w:r>
      <w:bookmarkEnd w:id="164"/>
      <w:r/>
      <w:bookmarkEnd w:id="165"/>
      <w:r/>
      <w:bookmarkEnd w:id="166"/>
      <w:r>
        <w:rPr>
          <w:rStyle w:val="1067"/>
          <w:rFonts w:hint="eastAsia" w:ascii="宋体" w:hAnsi="宋体" w:eastAsia="宋体" w:cs="宋体"/>
          <w:b w:val="0"/>
          <w:bCs w:val="0"/>
          <w:color w:val="auto"/>
          <w:sz w:val="28"/>
          <w:szCs w:val="28"/>
          <w:highlight w:val="none"/>
          <w:lang w:val="en-US" w:eastAsia="zh-CN"/>
        </w:rPr>
        <w:t xml:space="preserve">无效投标条款和废标条款</w:t>
      </w:r>
      <w:r/>
    </w:p>
    <w:p>
      <w:pPr>
        <w:pStyle w:val="1271"/>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 无效投标条款</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 投标人未按照招标文件要求上传电子投标文件的；</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27.1.2 投标人在规定时间内不解密投标文件或未成功解密投标文件的（因系统原因导致的除外)；</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27.1.3 投标文件中没有《开标一览表》或《开标一览表》未加盖投标人公章的；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27.1.4 投标文件中任何有选择的报价；</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27.1.5 投标文件报价出现前后不一致的，按招标文件规定修正后投标人不确认的；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27.1.6 不同投标人的投标文件由同一单位或者个人编制；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27.1.7 不同投标人委托同一单位或者个人办理投标事宜； </w:t>
      </w:r>
      <w:r/>
    </w:p>
    <w:p>
      <w:pPr>
        <w:pStyle w:val="1197"/>
        <w:ind w:firstLine="508"/>
        <w:jc w:val="left"/>
        <w:pageBreakBefore w:val="0"/>
        <w:spacing w:line="420" w:lineRule="exact"/>
        <w:tabs>
          <w:tab w:val="left" w:pos="220" w:leader="none"/>
        </w:tabs>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27.1.8不同投标人的投标文件制作机器码一致的；</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27.1.9 不同投标人的投标文件载明的项目管理成员或者联系人员为同一人；</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27.1.10 不同投标人的投标文件异常一致或者投标报价呈规律性差异；</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27.1.14 不同供应商的单位负责人为同一人或者存在直接控股、管理关系的；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27.1.15 为采购项目提供整体设计、规范编制或者项目管理、监理、检测等服务的；</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27.1.16 资格证明文件中要求加盖公章而未加盖公章的；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27.1.17 投标文件未按招标文件要求签署、盖章的；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27.1.18 不具备招标文件中规定的资格要求或未按招标文件规定的要求提供资格证明文件的；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27.1.19 报价超过招标文件中规定的预算金额或者最高限价的；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27.1.20 投标文件含有采购人不能接受的附加条件的；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27.1.21 不响应招标文件中规定的实质性要求的（本招标文件中斜体且有下划线部分为实质性要求）； </w:t>
      </w:r>
      <w:r/>
    </w:p>
    <w:p>
      <w:pPr>
        <w:pStyle w:val="1197"/>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27.1.22 法律、法规和采购文件规定的其他无效情形;  </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27.2 废标条款：</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(2)出现影响采购公正的违法、违规行为的；</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(3)投标人的报价均超过了采购预算，采购人不能支付的；</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(4)因重大变故，采购任务取消的。</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(5)因苏采云系统系统故障原因造成开标不成功的。</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1209"/>
        <w:ind w:firstLine="508"/>
        <w:jc w:val="left"/>
        <w:pageBreakBefore w:val="0"/>
        <w:spacing w:line="42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rPr>
      </w:pPr>
      <w:r/>
      <w:bookmarkStart w:id="168" w:name="_Toc16938551"/>
      <w:r/>
      <w:bookmarkStart w:id="169" w:name="_Toc20823307"/>
      <w:r/>
      <w:bookmarkStart w:id="170" w:name="_Toc513029235"/>
      <w:r/>
      <w:bookmarkStart w:id="171" w:name="_Toc120614219"/>
      <w:r/>
      <w:bookmarkStart w:id="172" w:name="_Toc38368125"/>
      <w:r/>
      <w:bookmarkStart w:id="173" w:name="_Toc28184"/>
      <w:r/>
      <w:bookmarkStart w:id="174" w:name="_Toc29240"/>
      <w:r/>
      <w:bookmarkStart w:id="175" w:name="_Toc54615244"/>
      <w:r/>
      <w:bookmarkStart w:id="176" w:name="_Toc35266025"/>
      <w:r>
        <w:rPr>
          <w:rStyle w:val="1067"/>
          <w:rFonts w:hint="eastAsia" w:ascii="宋体" w:hAnsi="宋体" w:eastAsia="宋体" w:cs="宋体"/>
          <w:b w:val="0"/>
          <w:bCs w:val="0"/>
          <w:color w:val="auto"/>
          <w:sz w:val="28"/>
          <w:szCs w:val="28"/>
          <w:highlight w:val="none"/>
        </w:rPr>
        <w:t xml:space="preserve">六、</w:t>
      </w:r>
      <w:bookmarkEnd w:id="168"/>
      <w:r/>
      <w:bookmarkEnd w:id="169"/>
      <w:r/>
      <w:bookmarkEnd w:id="170"/>
      <w:r>
        <w:rPr>
          <w:rStyle w:val="1067"/>
          <w:rFonts w:hint="eastAsia" w:ascii="宋体" w:hAnsi="宋体" w:eastAsia="宋体" w:cs="宋体"/>
          <w:b w:val="0"/>
          <w:bCs w:val="0"/>
          <w:color w:val="auto"/>
          <w:sz w:val="28"/>
          <w:szCs w:val="28"/>
          <w:highlight w:val="none"/>
        </w:rPr>
        <w:t xml:space="preserve">定标</w:t>
      </w:r>
      <w:bookmarkEnd w:id="171"/>
      <w:r/>
      <w:bookmarkEnd w:id="172"/>
      <w:r/>
      <w:bookmarkEnd w:id="173"/>
      <w:r/>
      <w:bookmarkEnd w:id="174"/>
      <w:r/>
      <w:bookmarkEnd w:id="175"/>
      <w:r/>
      <w:bookmarkEnd w:id="176"/>
      <w:r/>
      <w:r/>
    </w:p>
    <w:p>
      <w:pPr>
        <w:ind w:firstLine="560"/>
        <w:jc w:val="left"/>
        <w:keepLines/>
        <w:keepNext/>
        <w:pageBreakBefore w:val="0"/>
        <w:spacing w:line="420" w:lineRule="exact"/>
        <w:rPr>
          <w:rFonts w:hint="eastAsia" w:ascii="宋体" w:hAnsi="宋体" w:eastAsia="宋体" w:cs="宋体"/>
          <w:color w:val="auto"/>
          <w:sz w:val="28"/>
          <w:szCs w:val="28"/>
          <w:highlight w:val="none"/>
          <w:lang w:eastAsia="zh-CN"/>
        </w:rPr>
        <w:outlineLvl w:val="3"/>
      </w:pPr>
      <w:r/>
      <w:bookmarkStart w:id="177" w:name="_Toc513029238"/>
      <w:r/>
      <w:bookmarkStart w:id="178" w:name="_Toc16938554"/>
      <w:r/>
      <w:bookmarkStart w:id="179" w:name="_Toc20823310"/>
      <w:r>
        <w:rPr>
          <w:rFonts w:hint="eastAsia" w:ascii="宋体" w:hAnsi="宋体" w:eastAsia="宋体" w:cs="宋体"/>
          <w:color w:val="auto"/>
          <w:sz w:val="28"/>
          <w:szCs w:val="28"/>
          <w:highlight w:val="none"/>
        </w:rPr>
        <w:t xml:space="preserve">28、</w:t>
      </w:r>
      <w:bookmarkEnd w:id="177"/>
      <w:r>
        <w:rPr>
          <w:rFonts w:hint="eastAsia" w:ascii="宋体" w:hAnsi="宋体" w:eastAsia="宋体" w:cs="宋体"/>
          <w:color w:val="auto"/>
          <w:sz w:val="28"/>
          <w:szCs w:val="28"/>
          <w:highlight w:val="none"/>
        </w:rPr>
        <w:t xml:space="preserve">确定</w:t>
      </w:r>
      <w:bookmarkEnd w:id="178"/>
      <w:r/>
      <w:bookmarkEnd w:id="179"/>
      <w:r>
        <w:rPr>
          <w:rFonts w:hint="eastAsia" w:ascii="宋体" w:hAnsi="宋体" w:cs="宋体"/>
          <w:color w:val="auto"/>
          <w:sz w:val="28"/>
          <w:szCs w:val="28"/>
          <w:highlight w:val="none"/>
          <w:lang w:eastAsia="zh-CN"/>
        </w:rPr>
        <w:t xml:space="preserve">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bookmarkEnd w:id="167"/>
      <w:r>
        <w:rPr>
          <w:rFonts w:hint="eastAsia" w:ascii="宋体" w:hAnsi="宋体" w:eastAsia="宋体" w:cs="宋体"/>
          <w:color w:val="auto"/>
          <w:sz w:val="24"/>
          <w:szCs w:val="24"/>
          <w:highlight w:val="none"/>
        </w:rPr>
        <w:t xml:space="preserve">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w:t>
      </w:r>
      <w:r>
        <w:rPr>
          <w:rFonts w:hint="eastAsia" w:ascii="宋体" w:hAnsi="宋体" w:eastAsia="宋体" w:cs="宋体"/>
          <w:color w:val="auto"/>
          <w:sz w:val="24"/>
          <w:szCs w:val="24"/>
          <w:highlight w:val="none"/>
          <w:lang w:val="en-US" w:eastAsia="zh-CN"/>
        </w:rPr>
        <w:t xml:space="preserve">名单中按顺序</w:t>
      </w:r>
      <w:r>
        <w:rPr>
          <w:rFonts w:hint="eastAsia" w:ascii="宋体" w:hAnsi="宋体" w:eastAsia="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采购代理机构应当在评审结束后2个工作日内将</w:t>
      </w:r>
      <w:r>
        <w:rPr>
          <w:rFonts w:ascii="宋体" w:hAnsi="宋体" w:eastAsia="宋体" w:cs="宋体"/>
          <w:color w:val="auto"/>
          <w:sz w:val="24"/>
          <w:szCs w:val="24"/>
          <w:highlight w:val="none"/>
          <w:lang w:val="en-US" w:eastAsia="zh-CN"/>
        </w:rPr>
        <w:t xml:space="preserve">完整的</w:t>
      </w:r>
      <w:r>
        <w:rPr>
          <w:rFonts w:hint="eastAsia" w:ascii="宋体" w:hAnsi="宋体" w:eastAsia="宋体" w:cs="宋体"/>
          <w:color w:val="auto"/>
          <w:sz w:val="24"/>
          <w:szCs w:val="24"/>
          <w:highlight w:val="none"/>
        </w:rPr>
        <w:t xml:space="preserve">评审报告送采购人确认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采购人或者采购代理机构应当自</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确定之日起2个工作日内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在政府采购信息媒体上发布中标公告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中标公告期限为1个工作日。</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28.4若有充分证据证明，中标人出现下列情况之一的，一经查实，中标无效：</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jc w:val="left"/>
        <w:pageBreakBefore w:val="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pStyle w:val="938"/>
        <w:ind w:firstLine="560"/>
        <w:jc w:val="left"/>
        <w:pageBreakBefore w:val="0"/>
        <w:spacing w:before="0" w:after="0" w:line="420" w:lineRule="exact"/>
        <w:rPr>
          <w:rStyle w:val="1067"/>
          <w:rFonts w:hint="eastAsia" w:ascii="宋体" w:hAnsi="宋体" w:eastAsia="宋体" w:cs="宋体"/>
          <w:b w:val="0"/>
          <w:bCs w:val="0"/>
          <w:color w:val="auto"/>
          <w:sz w:val="28"/>
          <w:szCs w:val="28"/>
          <w:highlight w:val="none"/>
          <w:lang w:val="en-US" w:eastAsia="zh-CN"/>
        </w:rPr>
      </w:pPr>
      <w:r>
        <w:rPr>
          <w:rStyle w:val="1067"/>
          <w:rFonts w:hint="eastAsia" w:ascii="宋体" w:hAnsi="宋体" w:eastAsia="宋体" w:cs="宋体"/>
          <w:b w:val="0"/>
          <w:bCs w:val="0"/>
          <w:color w:val="auto"/>
          <w:sz w:val="28"/>
          <w:szCs w:val="28"/>
          <w:highlight w:val="none"/>
          <w:lang w:val="en-US" w:eastAsia="zh-CN"/>
        </w:rPr>
        <w:t xml:space="preserve">29、质疑</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29.1质疑形式</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式、采购需求、供应商资格条件、评标方法和评标标准、合同文本，向</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提出；涉及采购程序问题的，向</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有权不予受理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有权不予受理。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29.2特别提示</w:t>
      </w:r>
      <w:r/>
    </w:p>
    <w:p>
      <w:pPr>
        <w:ind w:firstLine="480"/>
        <w:jc w:val="left"/>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29.2.1根据财政部94号令第十一条规定，提出质疑的供应商应当是参与所质疑项目采购活动的供应商。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29.2.2供应商在法定质疑期内应一次性提出针对同一采购程序环节的质疑。</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29.2.3供应商提出质疑必须有理、有据，不得恶意质疑或提交虚假质疑。否则，一经查实，采购人或</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29.3其他</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29.3.1采购人或</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560"/>
        <w:jc w:val="left"/>
        <w:keepLines/>
        <w:keepNext/>
        <w:pageBreakBefore w:val="0"/>
        <w:spacing w:line="420" w:lineRule="exact"/>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30、中标通知书</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0"/>
        <w:jc w:val="left"/>
        <w:pageBreakBefore w:val="0"/>
        <w:spacing w:line="420" w:lineRule="exact"/>
        <w:rPr>
          <w:rFonts w:hint="eastAsia" w:ascii="宋体" w:hAnsi="宋体" w:eastAsia="宋体" w:cs="宋体"/>
          <w:bCs/>
          <w:color w:val="auto"/>
          <w:sz w:val="28"/>
          <w:szCs w:val="28"/>
          <w:highlight w:val="none"/>
        </w:rPr>
        <w:outlineLvl w:val="1"/>
      </w:pPr>
      <w:r/>
      <w:bookmarkStart w:id="180" w:name="_Toc10512"/>
      <w:r>
        <w:rPr>
          <w:rFonts w:hint="eastAsia" w:ascii="宋体" w:hAnsi="宋体" w:eastAsia="宋体" w:cs="宋体"/>
          <w:bCs/>
          <w:color w:val="auto"/>
          <w:sz w:val="28"/>
          <w:szCs w:val="28"/>
          <w:highlight w:val="none"/>
        </w:rPr>
        <w:t xml:space="preserve">七、授予合同</w:t>
      </w:r>
      <w:bookmarkEnd w:id="180"/>
      <w:r/>
      <w:r/>
    </w:p>
    <w:p>
      <w:pPr>
        <w:ind w:firstLine="560"/>
        <w:jc w:val="left"/>
        <w:keepLines/>
        <w:keepNext/>
        <w:pageBreakBefore w:val="0"/>
        <w:spacing w:line="420" w:lineRule="exact"/>
        <w:rPr>
          <w:rFonts w:hint="eastAsia" w:ascii="宋体" w:hAnsi="宋体" w:eastAsia="宋体" w:cs="宋体"/>
          <w:bCs/>
          <w:color w:val="auto"/>
          <w:sz w:val="28"/>
          <w:szCs w:val="28"/>
          <w:highlight w:val="none"/>
        </w:rPr>
        <w:outlineLvl w:val="3"/>
      </w:pPr>
      <w:r>
        <w:rPr>
          <w:rFonts w:hint="eastAsia" w:ascii="宋体" w:hAnsi="宋体" w:eastAsia="宋体" w:cs="宋体"/>
          <w:bCs/>
          <w:color w:val="auto"/>
          <w:sz w:val="28"/>
          <w:szCs w:val="28"/>
          <w:highlight w:val="none"/>
        </w:rPr>
        <w:t xml:space="preserve">31. 签订合同</w:t>
      </w:r>
      <w:r/>
    </w:p>
    <w:p>
      <w:pPr>
        <w:ind w:firstLine="480"/>
        <w:jc w:val="left"/>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jc w:val="left"/>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560"/>
        <w:jc w:val="left"/>
        <w:keepLines/>
        <w:keepNext/>
        <w:pageBreakBefore w:val="0"/>
        <w:spacing w:line="420" w:lineRule="exact"/>
        <w:rPr>
          <w:rFonts w:hint="eastAsia" w:ascii="宋体" w:hAnsi="宋体" w:eastAsia="宋体" w:cs="宋体"/>
          <w:bCs/>
          <w:color w:val="auto"/>
          <w:sz w:val="28"/>
          <w:szCs w:val="28"/>
          <w:highlight w:val="none"/>
        </w:rPr>
        <w:outlineLvl w:val="3"/>
      </w:pPr>
      <w:r>
        <w:rPr>
          <w:rFonts w:hint="eastAsia" w:ascii="宋体" w:hAnsi="宋体" w:eastAsia="宋体" w:cs="宋体"/>
          <w:bCs/>
          <w:color w:val="auto"/>
          <w:sz w:val="28"/>
          <w:szCs w:val="28"/>
          <w:highlight w:val="none"/>
        </w:rPr>
        <w:t xml:space="preserve">32、履约保证金</w:t>
      </w:r>
      <w:r/>
    </w:p>
    <w:p>
      <w:pPr>
        <w:pStyle w:val="1202"/>
        <w:ind w:firstLine="508"/>
        <w:jc w:val="left"/>
        <w:pageBreakBefore w:val="0"/>
        <w:spacing w:line="420" w:lineRule="exact"/>
        <w:rPr>
          <w:rFonts w:hint="eastAsia" w:ascii="宋体" w:hAnsi="宋体" w:eastAsia="宋体" w:cs="宋体"/>
          <w:color w:val="auto"/>
          <w:sz w:val="24"/>
          <w:szCs w:val="24"/>
          <w:highlight w:val="none"/>
        </w:rPr>
      </w:pPr>
      <w:r>
        <w:rPr>
          <w:rStyle w:val="946"/>
          <w:rFonts w:hint="eastAsia" w:ascii="宋体" w:hAnsi="宋体" w:eastAsia="宋体" w:cs="宋体"/>
          <w:color w:val="auto"/>
          <w:spacing w:val="7"/>
          <w:sz w:val="24"/>
          <w:szCs w:val="24"/>
          <w:highlight w:val="none"/>
        </w:rPr>
        <w:t xml:space="preserve">32.1 合同签订前，中标人向采购人交付的履约保证金为合同总价款</w:t>
      </w:r>
      <w:r>
        <w:rPr>
          <w:rStyle w:val="946"/>
          <w:rFonts w:hint="eastAsia" w:ascii="宋体" w:hAnsi="宋体" w:eastAsia="宋体" w:cs="宋体"/>
          <w:color w:val="auto"/>
          <w:spacing w:val="7"/>
          <w:sz w:val="24"/>
          <w:szCs w:val="24"/>
          <w:highlight w:val="none"/>
          <w:lang w:val="en-US" w:eastAsia="zh-CN"/>
        </w:rPr>
        <w:t xml:space="preserve">2</w:t>
      </w:r>
      <w:r>
        <w:rPr>
          <w:rStyle w:val="946"/>
          <w:rFonts w:hint="eastAsia" w:ascii="宋体" w:hAnsi="宋体" w:eastAsia="宋体" w:cs="宋体"/>
          <w:color w:val="auto"/>
          <w:spacing w:val="7"/>
          <w:sz w:val="24"/>
          <w:szCs w:val="24"/>
          <w:highlight w:val="none"/>
        </w:rPr>
        <w:t xml:space="preserve">％。</w:t>
      </w:r>
      <w:bookmarkStart w:id="181" w:name="EB8c6891da72364e93a7598f4884fbe954"/>
      <w:r/>
      <w:bookmarkEnd w:id="181"/>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w:t>
      </w:r>
      <w:r>
        <w:rPr>
          <w:rFonts w:hint="eastAsia" w:ascii="宋体" w:hAnsi="宋体" w:eastAsia="宋体" w:cs="宋体"/>
          <w:bCs/>
          <w:color w:val="auto"/>
          <w:sz w:val="24"/>
          <w:szCs w:val="24"/>
          <w:highlight w:val="none"/>
        </w:rPr>
        <w:t xml:space="preserve">融机构、担保机构出具的保函等非现金形式提交。</w:t>
      </w:r>
      <w:r/>
    </w:p>
    <w:p>
      <w:pPr>
        <w:ind w:firstLine="480"/>
        <w:jc w:val="left"/>
        <w:pageBreakBefore w:val="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jc w:val="left"/>
        <w:keepLines/>
        <w:keepNext/>
        <w:pageBreakBefore w:val="0"/>
        <w:spacing w:line="420" w:lineRule="exact"/>
        <w:rPr>
          <w:rFonts w:hint="eastAsia" w:ascii="宋体" w:hAnsi="宋体" w:eastAsia="宋体" w:cs="宋体"/>
          <w:bCs/>
          <w:color w:val="auto"/>
          <w:sz w:val="28"/>
          <w:szCs w:val="28"/>
          <w:highlight w:val="none"/>
        </w:rPr>
        <w:outlineLvl w:val="3"/>
      </w:pPr>
      <w:r>
        <w:rPr>
          <w:rFonts w:hint="eastAsia" w:ascii="宋体" w:hAnsi="宋体" w:eastAsia="宋体" w:cs="宋体"/>
          <w:bCs/>
          <w:color w:val="auto"/>
          <w:sz w:val="28"/>
          <w:szCs w:val="28"/>
          <w:highlight w:val="none"/>
        </w:rPr>
        <w:t xml:space="preserve">33、货物和服务的追加、添购。</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jc w:val="left"/>
        <w:keepLines/>
        <w:keepNext/>
        <w:pageBreakBefore w:val="0"/>
        <w:spacing w:line="420" w:lineRule="exact"/>
        <w:rPr>
          <w:rFonts w:hint="eastAsia" w:ascii="宋体" w:hAnsi="宋体" w:eastAsia="宋体" w:cs="宋体"/>
          <w:bCs/>
          <w:color w:val="auto"/>
          <w:sz w:val="28"/>
          <w:szCs w:val="28"/>
          <w:highlight w:val="none"/>
        </w:rPr>
        <w:outlineLvl w:val="3"/>
      </w:pPr>
      <w:r>
        <w:rPr>
          <w:rFonts w:hint="eastAsia" w:ascii="宋体" w:hAnsi="宋体" w:eastAsia="宋体" w:cs="宋体"/>
          <w:bCs/>
          <w:color w:val="auto"/>
          <w:sz w:val="28"/>
          <w:szCs w:val="28"/>
          <w:highlight w:val="none"/>
        </w:rPr>
        <w:t xml:space="preserve">34、监督</w:t>
      </w:r>
      <w:r/>
    </w:p>
    <w:p>
      <w:pPr>
        <w:ind w:firstLine="480"/>
        <w:jc w:val="left"/>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82" w:name="EB0f9f45dd5e234a13a81c333deb906690"/>
      <w:r/>
      <w:bookmarkEnd w:id="35"/>
      <w:bookmarkEnd w:id="36"/>
      <w:bookmarkEnd w:id="37"/>
      <w:bookmarkEnd w:id="38"/>
      <w:bookmarkEnd w:id="39"/>
      <w:bookmarkEnd w:id="182"/>
      <w:r/>
    </w:p>
    <w:p>
      <w:pPr>
        <w:rPr>
          <w:rFonts w:ascii="宋体" w:hAnsi="宋体"/>
          <w:color w:val="auto"/>
          <w:highlight w:val="none"/>
        </w:rPr>
      </w:pPr>
      <w:r/>
      <w:bookmarkStart w:id="183" w:name="EB445c3bd035294764b52dfc379b7b9568"/>
      <w:r/>
      <w:bookmarkEnd w:id="183"/>
      <w:r/>
      <w:r/>
    </w:p>
    <w:p>
      <w:pPr>
        <w:jc w:val="center"/>
        <w:pageBreakBefore/>
        <w:spacing w:before="240" w:after="60" w:line="360" w:lineRule="auto"/>
        <w:widowControl w:val="off"/>
        <w:rPr>
          <w:rFonts w:hint="eastAsia" w:ascii="宋体" w:hAnsi="宋体" w:eastAsia="宋体" w:cs="Times New Roman"/>
          <w:b/>
          <w:bCs/>
          <w:color w:val="auto"/>
          <w:sz w:val="44"/>
          <w:szCs w:val="32"/>
          <w:highlight w:val="none"/>
          <w:lang w:val="en-US" w:eastAsia="zh-CN" w:bidi="ar-SA"/>
        </w:rPr>
        <w:outlineLvl w:val="0"/>
      </w:pPr>
      <w:r/>
      <w:bookmarkStart w:id="184" w:name="_Toc256000008"/>
      <w:r/>
      <w:bookmarkStart w:id="185" w:name="_Toc5729"/>
      <w:r/>
      <w:bookmarkStart w:id="186" w:name="_Toc120614244"/>
      <w:r/>
      <w:bookmarkStart w:id="187" w:name="_Toc483515625"/>
      <w:r/>
      <w:bookmarkStart w:id="188" w:name="_Toc20823346"/>
      <w:r/>
      <w:bookmarkStart w:id="189" w:name="_Toc35266028"/>
      <w:r/>
      <w:bookmarkStart w:id="190" w:name="_Toc28963"/>
      <w:r/>
      <w:bookmarkStart w:id="191" w:name="_Toc38368128"/>
      <w:r/>
      <w:bookmarkStart w:id="192" w:name="_Toc350255489"/>
      <w:r/>
      <w:bookmarkStart w:id="193" w:name="_Toc54615246"/>
      <w:r/>
      <w:bookmarkStart w:id="194" w:name="_Hlt16619350"/>
      <w:r/>
      <w:bookmarkStart w:id="195" w:name="_Toc21415"/>
      <w:r/>
      <w:bookmarkStart w:id="196" w:name="_Toc16938590"/>
      <w:r>
        <w:rPr>
          <w:rFonts w:hint="eastAsia" w:ascii="宋体" w:hAnsi="宋体" w:eastAsia="宋体" w:cs="Times New Roman"/>
          <w:b/>
          <w:bCs/>
          <w:color w:val="auto"/>
          <w:sz w:val="44"/>
          <w:szCs w:val="32"/>
          <w:highlight w:val="none"/>
          <w:lang w:val="en-US" w:eastAsia="zh-CN" w:bidi="ar-SA"/>
        </w:rPr>
        <w:t xml:space="preserve">第三章 合同条款及格式</w:t>
      </w:r>
      <w:bookmarkEnd w:id="184"/>
      <w:r/>
      <w:r/>
    </w:p>
    <w:p>
      <w:pPr>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firstLine="480"/>
        <w:jc w:val="both"/>
        <w:spacing w:line="440" w:lineRule="exact"/>
        <w:widowControl w:val="off"/>
        <w:rPr>
          <w:rFonts w:ascii="宋体" w:hAnsi="宋体" w:eastAsia="Times New Roman" w:cs="Times New Roman"/>
          <w:bCs/>
          <w:color w:val="auto"/>
          <w:sz w:val="24"/>
          <w:szCs w:val="24"/>
          <w:highlight w:val="none"/>
        </w:rPr>
      </w:pPr>
      <w:r>
        <w:rPr>
          <w:rFonts w:hint="eastAsia" w:ascii="宋体" w:hAnsi="宋体" w:eastAsia="Times New Roman" w:cs="Times New Roman"/>
          <w:bCs/>
          <w:color w:val="auto"/>
          <w:sz w:val="24"/>
          <w:szCs w:val="22"/>
          <w:highlight w:val="none"/>
          <w:lang w:val="en-US" w:eastAsia="zh-CN" w:bidi="ar-SA"/>
        </w:rPr>
        <w:t xml:space="preserve">以下为中标</w:t>
      </w:r>
      <w:r>
        <w:rPr>
          <w:rFonts w:ascii="宋体" w:hAnsi="宋体" w:eastAsia="Times New Roman" w:cs="Times New Roman"/>
          <w:bCs/>
          <w:color w:val="auto"/>
          <w:sz w:val="24"/>
          <w:szCs w:val="22"/>
          <w:highlight w:val="none"/>
          <w:lang w:val="en-US" w:eastAsia="zh-CN" w:bidi="ar-SA"/>
        </w:rPr>
        <w:t xml:space="preserve">(</w:t>
      </w:r>
      <w:r>
        <w:rPr>
          <w:rFonts w:hint="eastAsia" w:ascii="宋体" w:hAnsi="宋体" w:eastAsia="Times New Roman" w:cs="Times New Roman"/>
          <w:bCs/>
          <w:color w:val="auto"/>
          <w:sz w:val="24"/>
          <w:szCs w:val="22"/>
          <w:highlight w:val="none"/>
          <w:lang w:val="en-US" w:eastAsia="zh-CN" w:bidi="ar-SA"/>
        </w:rPr>
        <w:t xml:space="preserve">成交</w:t>
      </w:r>
      <w:r>
        <w:rPr>
          <w:rFonts w:ascii="宋体" w:hAnsi="宋体" w:eastAsia="Times New Roman" w:cs="Times New Roman"/>
          <w:bCs/>
          <w:color w:val="auto"/>
          <w:sz w:val="24"/>
          <w:szCs w:val="22"/>
          <w:highlight w:val="none"/>
          <w:lang w:val="en-US" w:eastAsia="zh-CN" w:bidi="ar-SA"/>
        </w:rPr>
        <w:t xml:space="preserve">)</w:t>
      </w:r>
      <w:r>
        <w:rPr>
          <w:rFonts w:hint="eastAsia" w:ascii="宋体" w:hAnsi="宋体" w:eastAsia="Times New Roman" w:cs="Times New Roman"/>
          <w:bCs/>
          <w:color w:val="auto"/>
          <w:sz w:val="24"/>
          <w:szCs w:val="22"/>
          <w:highlight w:val="none"/>
          <w:lang w:val="en-US" w:eastAsia="zh-CN" w:bidi="ar-SA"/>
        </w:rPr>
        <w:t xml:space="preserve">后签定本项目合同的通用条款，中标</w:t>
      </w:r>
      <w:r>
        <w:rPr>
          <w:rFonts w:ascii="宋体" w:hAnsi="宋体" w:eastAsia="Times New Roman" w:cs="Times New Roman"/>
          <w:bCs/>
          <w:color w:val="auto"/>
          <w:sz w:val="24"/>
          <w:szCs w:val="22"/>
          <w:highlight w:val="none"/>
          <w:lang w:val="en-US" w:eastAsia="zh-CN" w:bidi="ar-SA"/>
        </w:rPr>
        <w:t xml:space="preserve">(</w:t>
      </w:r>
      <w:r>
        <w:rPr>
          <w:rFonts w:hint="eastAsia" w:ascii="宋体" w:hAnsi="宋体" w:eastAsia="Times New Roman" w:cs="Times New Roman"/>
          <w:bCs/>
          <w:color w:val="auto"/>
          <w:sz w:val="24"/>
          <w:szCs w:val="22"/>
          <w:highlight w:val="none"/>
          <w:lang w:val="en-US" w:eastAsia="zh-CN" w:bidi="ar-SA"/>
        </w:rPr>
        <w:t xml:space="preserve">成交</w:t>
      </w:r>
      <w:r>
        <w:rPr>
          <w:rFonts w:ascii="宋体" w:hAnsi="宋体" w:eastAsia="Times New Roman" w:cs="Times New Roman"/>
          <w:bCs/>
          <w:color w:val="auto"/>
          <w:sz w:val="24"/>
          <w:szCs w:val="22"/>
          <w:highlight w:val="none"/>
          <w:lang w:val="en-US" w:eastAsia="zh-CN" w:bidi="ar-SA"/>
        </w:rPr>
        <w:t xml:space="preserve">)</w:t>
      </w:r>
      <w:r>
        <w:rPr>
          <w:rFonts w:hint="eastAsia" w:ascii="宋体" w:hAnsi="宋体" w:eastAsia="Times New Roman" w:cs="Times New Roman"/>
          <w:bCs/>
          <w:color w:val="auto"/>
          <w:sz w:val="24"/>
          <w:szCs w:val="22"/>
          <w:highlight w:val="none"/>
          <w:lang w:val="en-US" w:eastAsia="zh-CN" w:bidi="ar-SA"/>
        </w:rPr>
        <w:t xml:space="preserve">供应商不得提出实质性的修改。</w:t>
      </w:r>
      <w:r/>
    </w:p>
    <w:p>
      <w:pPr>
        <w:ind w:firstLine="643"/>
        <w:jc w:val="center"/>
        <w:spacing w:line="440" w:lineRule="exact"/>
        <w:widowControl w:val="off"/>
        <w:rPr>
          <w:rFonts w:ascii="Times New Roman" w:hAnsi="Times New Roman" w:eastAsia="宋体" w:cs="Times New Roman"/>
          <w:b/>
          <w:bCs/>
          <w:color w:val="auto"/>
          <w:sz w:val="32"/>
          <w:szCs w:val="32"/>
          <w:highlight w:val="none"/>
        </w:rPr>
      </w:pPr>
      <w:r>
        <w:rPr>
          <w:rFonts w:hint="eastAsia" w:ascii="Calibri" w:hAnsi="Calibri" w:eastAsia="宋体" w:cs="Times New Roman"/>
          <w:b/>
          <w:bCs/>
          <w:color w:val="auto"/>
          <w:sz w:val="32"/>
          <w:szCs w:val="32"/>
          <w:highlight w:val="none"/>
          <w:lang w:val="en-US" w:eastAsia="zh-CN" w:bidi="ar-SA"/>
        </w:rPr>
        <w:t xml:space="preserve">张家港市政府采购合同</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项目名称：</w:t>
      </w:r>
      <w:bookmarkStart w:id="197" w:name="biaoduanname_1"/>
      <w:r>
        <w:rPr>
          <w:rFonts w:hint="eastAsia" w:ascii="宋体" w:hAnsi="宋体" w:eastAsia="宋体" w:cs="宋体"/>
          <w:color w:val="auto"/>
          <w:sz w:val="24"/>
          <w:szCs w:val="22"/>
          <w:highlight w:val="none"/>
          <w:lang w:val="en-US" w:eastAsia="zh-CN" w:bidi="ar-SA"/>
        </w:rPr>
        <w:t xml:space="preserve">             </w:t>
      </w:r>
      <w:bookmarkEnd w:id="197"/>
      <w:r>
        <w:rPr>
          <w:rFonts w:hint="eastAsia" w:ascii="宋体" w:hAnsi="宋体" w:eastAsia="宋体" w:cs="宋体"/>
          <w:color w:val="auto"/>
          <w:sz w:val="24"/>
          <w:szCs w:val="22"/>
          <w:highlight w:val="none"/>
          <w:lang w:val="en-US" w:eastAsia="zh-CN" w:bidi="ar-SA"/>
        </w:rPr>
        <w:t xml:space="preserve">               </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项目编号：</w:t>
      </w:r>
      <w:bookmarkStart w:id="198" w:name="projectno"/>
      <w:r>
        <w:rPr>
          <w:rFonts w:hint="eastAsia" w:ascii="宋体" w:hAnsi="宋体" w:eastAsia="宋体" w:cs="宋体"/>
          <w:color w:val="auto"/>
          <w:sz w:val="24"/>
          <w:szCs w:val="22"/>
          <w:highlight w:val="none"/>
          <w:lang w:val="en-US" w:eastAsia="zh-CN" w:bidi="ar-SA"/>
        </w:rPr>
        <w:t xml:space="preserve">           </w:t>
      </w:r>
      <w:bookmarkEnd w:id="198"/>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甲方：（买方）</w:t>
      </w:r>
      <w:r>
        <w:rPr>
          <w:rFonts w:hint="eastAsia" w:ascii="宋体" w:hAnsi="宋体" w:eastAsia="宋体" w:cs="宋体"/>
          <w:color w:val="auto"/>
          <w:sz w:val="24"/>
          <w:szCs w:val="22"/>
          <w:highlight w:val="none"/>
          <w:u w:val="single"/>
          <w:lang w:val="en-US" w:eastAsia="zh-CN" w:bidi="ar-SA"/>
        </w:rPr>
        <w:t xml:space="preserve"> </w:t>
      </w:r>
      <w:bookmarkStart w:id="199" w:name="jianshedanwei_1"/>
      <w:r>
        <w:rPr>
          <w:rFonts w:hint="eastAsia" w:ascii="宋体" w:hAnsi="宋体" w:eastAsia="宋体" w:cs="宋体"/>
          <w:color w:val="auto"/>
          <w:sz w:val="24"/>
          <w:szCs w:val="22"/>
          <w:highlight w:val="none"/>
          <w:u w:val="single"/>
          <w:lang w:val="en-US" w:eastAsia="zh-CN" w:bidi="ar-SA"/>
        </w:rPr>
        <w:t xml:space="preserve">        </w:t>
      </w:r>
      <w:bookmarkEnd w:id="199"/>
      <w:r>
        <w:rPr>
          <w:rFonts w:hint="eastAsia" w:ascii="宋体" w:hAnsi="宋体" w:eastAsia="宋体" w:cs="宋体"/>
          <w:color w:val="auto"/>
          <w:sz w:val="24"/>
          <w:szCs w:val="22"/>
          <w:highlight w:val="none"/>
          <w:u w:val="single"/>
          <w:lang w:val="en-US" w:eastAsia="zh-CN" w:bidi="ar-SA"/>
        </w:rPr>
        <w:t xml:space="preserve"> </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乙方：（卖方）</w:t>
      </w:r>
      <w:r>
        <w:rPr>
          <w:rFonts w:hint="eastAsia" w:ascii="宋体" w:hAnsi="宋体" w:eastAsia="宋体" w:cs="宋体"/>
          <w:color w:val="auto"/>
          <w:sz w:val="24"/>
          <w:szCs w:val="22"/>
          <w:highlight w:val="none"/>
          <w:u w:val="single"/>
          <w:lang w:val="en-US" w:eastAsia="zh-CN" w:bidi="ar-SA"/>
        </w:rPr>
        <w:t xml:space="preserve"> </w:t>
      </w:r>
      <w:bookmarkStart w:id="200" w:name="zhongbiaodanweiname_1"/>
      <w:r>
        <w:rPr>
          <w:rFonts w:hint="eastAsia" w:ascii="宋体" w:hAnsi="宋体" w:eastAsia="宋体" w:cs="宋体"/>
          <w:color w:val="auto"/>
          <w:sz w:val="24"/>
          <w:szCs w:val="22"/>
          <w:highlight w:val="none"/>
          <w:u w:val="single"/>
          <w:lang w:val="en-US" w:eastAsia="zh-CN" w:bidi="ar-SA"/>
        </w:rPr>
        <w:t xml:space="preserve">          </w:t>
      </w:r>
      <w:bookmarkEnd w:id="200"/>
      <w:r>
        <w:rPr>
          <w:rFonts w:hint="eastAsia" w:ascii="宋体" w:hAnsi="宋体" w:eastAsia="宋体" w:cs="宋体"/>
          <w:color w:val="auto"/>
          <w:sz w:val="24"/>
          <w:szCs w:val="22"/>
          <w:highlight w:val="none"/>
          <w:u w:val="single"/>
          <w:lang w:val="en-US" w:eastAsia="zh-CN" w:bidi="ar-SA"/>
        </w:rPr>
        <w:t xml:space="preserve"> </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甲、乙双方根据张家港保税区宏宇建设咨询有限公司</w:t>
      </w:r>
      <w:r>
        <w:rPr>
          <w:rFonts w:hint="eastAsia" w:ascii="宋体" w:hAnsi="宋体" w:eastAsia="宋体" w:cs="宋体"/>
          <w:color w:val="auto"/>
          <w:sz w:val="24"/>
          <w:szCs w:val="22"/>
          <w:highlight w:val="none"/>
          <w:u w:val="single"/>
          <w:lang w:val="en-US" w:eastAsia="zh-CN" w:bidi="ar-SA"/>
        </w:rPr>
        <w:t xml:space="preserve"> </w:t>
      </w:r>
      <w:bookmarkStart w:id="201" w:name="biaoduanname_2"/>
      <w:r>
        <w:rPr>
          <w:rFonts w:hint="eastAsia" w:ascii="宋体" w:hAnsi="宋体" w:eastAsia="宋体" w:cs="宋体"/>
          <w:color w:val="auto"/>
          <w:sz w:val="24"/>
          <w:szCs w:val="22"/>
          <w:highlight w:val="none"/>
          <w:u w:val="single"/>
          <w:lang w:val="en-US" w:eastAsia="zh-CN" w:bidi="ar-SA"/>
        </w:rPr>
        <w:t xml:space="preserve">       </w:t>
      </w:r>
      <w:bookmarkEnd w:id="201"/>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项目公开招标的结果</w:t>
      </w:r>
      <w:r>
        <w:rPr>
          <w:rFonts w:hint="eastAsia" w:ascii="宋体" w:hAnsi="宋体" w:cs="宋体"/>
          <w:color w:val="auto"/>
          <w:sz w:val="24"/>
          <w:szCs w:val="22"/>
          <w:highlight w:val="none"/>
          <w:lang w:val="en-US" w:eastAsia="zh-CN" w:bidi="ar-SA"/>
        </w:rPr>
        <w:t xml:space="preserve">（项目编号：</w:t>
      </w:r>
      <w:r>
        <w:rPr>
          <w:rFonts w:hint="eastAsia" w:ascii="宋体" w:hAnsi="宋体" w:cs="宋体"/>
          <w:color w:val="auto"/>
          <w:sz w:val="24"/>
          <w:szCs w:val="22"/>
          <w:highlight w:val="none"/>
          <w:u w:val="single"/>
          <w:lang w:val="en-US" w:eastAsia="zh-CN" w:bidi="ar-SA"/>
        </w:rPr>
        <w:t xml:space="preserve">              </w:t>
      </w:r>
      <w:r>
        <w:rPr>
          <w:rFonts w:hint="eastAsia" w:ascii="宋体" w:hAnsi="宋体" w:cs="宋体"/>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w:t>
      </w:r>
      <w:r>
        <w:rPr>
          <w:rFonts w:hint="default" w:ascii="宋体" w:hAnsi="宋体" w:eastAsia="宋体" w:cs="宋体"/>
          <w:color w:val="auto"/>
          <w:sz w:val="24"/>
          <w:szCs w:val="22"/>
          <w:highlight w:val="none"/>
          <w:lang w:val="en-US" w:eastAsia="zh-CN" w:bidi="ar-SA"/>
        </w:rPr>
        <w:t xml:space="preserve">遵循平等、自愿、公平和诚实信用的原则，经友好协商，签署本合同</w:t>
      </w:r>
      <w:r>
        <w:rPr>
          <w:rFonts w:hint="eastAsia" w:ascii="宋体" w:hAnsi="宋体" w:eastAsia="宋体" w:cs="宋体"/>
          <w:color w:val="auto"/>
          <w:sz w:val="24"/>
          <w:szCs w:val="22"/>
          <w:highlight w:val="none"/>
          <w:lang w:val="en-US" w:eastAsia="zh-CN" w:bidi="ar-SA"/>
        </w:rPr>
        <w:t xml:space="preserve">。</w:t>
      </w:r>
      <w:r/>
    </w:p>
    <w:p>
      <w:pPr>
        <w:ind w:firstLine="482"/>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一、服务内容</w:t>
      </w:r>
      <w:r/>
    </w:p>
    <w:tbl>
      <w:tblPr>
        <w:tblStyle w:val="717"/>
        <w:tblW w:w="9126"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86"/>
        <w:gridCol w:w="2340"/>
        <w:gridCol w:w="2700"/>
      </w:tblGrid>
      <w:tr>
        <w:trPr>
          <w:cantSplit/>
          <w:trHeight w:val="747"/>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ind w:left="0" w:right="0" w:firstLine="0"/>
              <w:jc w:val="center"/>
              <w:keepLines w:val="0"/>
              <w:keepNext w:val="0"/>
              <w:spacing w:before="0" w:beforeAutospacing="0" w:after="0" w:afterAutospacing="0" w:line="440" w:lineRule="exac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每年支付的服务费</w:t>
            </w:r>
            <w:r/>
          </w:p>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lang w:val="en-US" w:eastAsia="zh-CN" w:bidi="ar"/>
              </w:rPr>
              <w:t xml:space="preserve">（万元/年）</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10</w:t>
            </w:r>
            <w:r>
              <w:rPr>
                <w:rFonts w:hint="default" w:ascii="宋体" w:hAnsi="宋体" w:eastAsia="宋体" w:cs="宋体"/>
                <w:color w:val="auto"/>
                <w:sz w:val="24"/>
                <w:szCs w:val="24"/>
                <w:highlight w:val="none"/>
                <w:lang w:val="en-US" w:eastAsia="zh-CN" w:bidi="ar"/>
              </w:rPr>
              <w:t xml:space="preserve">年总计支付的服务费</w:t>
            </w:r>
            <w:r/>
          </w:p>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lang w:val="en-US" w:eastAsia="zh-CN" w:bidi="ar"/>
              </w:rPr>
              <w:t xml:space="preserve">（万元）</w:t>
            </w:r>
            <w:r/>
          </w:p>
        </w:tc>
      </w:tr>
      <w:tr>
        <w:trPr>
          <w:cantSplit/>
          <w:trHeight w:val="658"/>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ind w:left="0" w:right="0" w:firstLine="0"/>
              <w:jc w:val="both"/>
              <w:keepLines w:val="0"/>
              <w:keepNext w:val="0"/>
              <w:spacing w:before="0" w:beforeAutospacing="0" w:after="0" w:afterAutospacing="0" w:line="440" w:lineRule="exact"/>
              <w:widowControl w:val="off"/>
              <w:rPr>
                <w:rFonts w:hint="default" w:ascii="宋体" w:hAnsi="宋体" w:eastAsia="宋体" w:cs="宋体"/>
                <w:color w:val="auto"/>
                <w:sz w:val="24"/>
                <w:szCs w:val="24"/>
                <w:highlight w:val="none"/>
              </w:rPr>
              <w:suppressLineNumbers w:val="0"/>
            </w:pPr>
            <w:r/>
            <w:bookmarkStart w:id="202" w:name="biaoduanname_3"/>
            <w:r>
              <w:rPr>
                <w:rFonts w:hint="eastAsia" w:ascii="宋体" w:hAnsi="宋体" w:cs="宋体"/>
                <w:color w:val="auto"/>
                <w:sz w:val="24"/>
                <w:szCs w:val="24"/>
                <w:highlight w:val="none"/>
                <w:lang w:eastAsia="zh-CN"/>
              </w:rPr>
              <w:t xml:space="preserve">张家港市常阴沙现代农业示范园区镇区路灯提升改造能源管理服务项目</w:t>
            </w:r>
            <w:r>
              <w:rPr>
                <w:rFonts w:hint="eastAsia" w:ascii="宋体" w:hAnsi="宋体" w:eastAsia="宋体" w:cs="宋体"/>
                <w:color w:val="auto"/>
                <w:sz w:val="24"/>
                <w:szCs w:val="24"/>
                <w:highlight w:val="none"/>
                <w:lang w:val="en-US" w:eastAsia="zh-CN" w:bidi="ar-SA"/>
              </w:rPr>
              <w:t xml:space="preserve">   </w:t>
            </w:r>
            <w:bookmarkEnd w:id="202"/>
            <w:r>
              <w:rPr>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0" w:right="0" w:firstLine="0"/>
              <w:jc w:val="both"/>
              <w:keepLines w:val="0"/>
              <w:keepNext w:val="0"/>
              <w:spacing w:before="0" w:beforeAutospacing="0" w:after="0" w:afterAutospacing="0" w:line="440" w:lineRule="exac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   </w:t>
            </w:r>
            <w:bookmarkStart w:id="203" w:name="zhongbiaopricelow_1"/>
            <w:r>
              <w:rPr>
                <w:rFonts w:hint="eastAsia" w:ascii="宋体" w:hAnsi="宋体" w:eastAsia="宋体" w:cs="宋体"/>
                <w:color w:val="auto"/>
                <w:sz w:val="24"/>
                <w:szCs w:val="24"/>
                <w:highlight w:val="none"/>
                <w:lang w:val="en-US" w:eastAsia="zh-CN" w:bidi="ar-SA"/>
              </w:rPr>
              <w:t xml:space="preserve">         </w:t>
            </w:r>
            <w:bookmarkEnd w:id="203"/>
            <w:r>
              <w:rPr>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left="0" w:right="0" w:firstLine="0"/>
              <w:jc w:val="both"/>
              <w:keepLines w:val="0"/>
              <w:keepNext w:val="0"/>
              <w:spacing w:before="0" w:beforeAutospacing="0" w:after="0" w:afterAutospacing="0" w:line="440" w:lineRule="exac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  </w:t>
            </w:r>
            <w:bookmarkStart w:id="204" w:name="fuwuneirong"/>
            <w:r>
              <w:rPr>
                <w:rFonts w:hint="eastAsia" w:ascii="宋体" w:hAnsi="宋体" w:eastAsia="宋体" w:cs="宋体"/>
                <w:color w:val="auto"/>
                <w:sz w:val="24"/>
                <w:szCs w:val="24"/>
                <w:highlight w:val="none"/>
                <w:lang w:val="en-US" w:eastAsia="zh-CN" w:bidi="ar-SA"/>
              </w:rPr>
              <w:t xml:space="preserve">        </w:t>
            </w:r>
            <w:bookmarkEnd w:id="204"/>
            <w:r>
              <w:rPr>
                <w:rFonts w:hint="eastAsia" w:ascii="宋体" w:hAnsi="宋体" w:eastAsia="宋体" w:cs="宋体"/>
                <w:color w:val="auto"/>
                <w:sz w:val="24"/>
                <w:szCs w:val="24"/>
                <w:highlight w:val="none"/>
                <w:lang w:val="en-US" w:eastAsia="zh-CN" w:bidi="ar-SA"/>
              </w:rPr>
              <w:t xml:space="preserve">   </w:t>
            </w:r>
            <w:r/>
          </w:p>
        </w:tc>
      </w:tr>
    </w:tbl>
    <w:p>
      <w:pPr>
        <w:ind w:firstLine="472"/>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二、合同金额</w:t>
      </w:r>
      <w:r/>
    </w:p>
    <w:p>
      <w:pPr>
        <w:ind w:firstLine="480"/>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2"/>
          <w:highlight w:val="none"/>
          <w:lang w:val="en-US" w:eastAsia="zh-CN" w:bidi="ar-SA"/>
        </w:rPr>
        <w:t xml:space="preserve">2.1 本合同金额为（大写）：</w:t>
      </w:r>
      <w:r>
        <w:rPr>
          <w:rFonts w:hint="eastAsia" w:ascii="宋体" w:hAnsi="宋体" w:eastAsia="宋体" w:cs="宋体"/>
          <w:color w:val="auto"/>
          <w:sz w:val="24"/>
          <w:szCs w:val="22"/>
          <w:highlight w:val="none"/>
          <w:u w:val="single"/>
          <w:lang w:val="en-US" w:eastAsia="zh-CN" w:bidi="ar-SA"/>
        </w:rPr>
        <w:t xml:space="preserve"> </w:t>
      </w:r>
      <w:bookmarkStart w:id="205" w:name="zhongbiaopriceup"/>
      <w:r>
        <w:rPr>
          <w:rFonts w:hint="eastAsia" w:ascii="宋体" w:hAnsi="宋体" w:eastAsia="宋体" w:cs="宋体"/>
          <w:color w:val="auto"/>
          <w:sz w:val="24"/>
          <w:szCs w:val="22"/>
          <w:highlight w:val="none"/>
          <w:u w:val="single"/>
          <w:lang w:val="en-US" w:eastAsia="zh-CN" w:bidi="ar-SA"/>
        </w:rPr>
        <w:t xml:space="preserve">                   </w:t>
      </w:r>
      <w:bookmarkEnd w:id="205"/>
      <w:r>
        <w:rPr>
          <w:rFonts w:hint="eastAsia" w:ascii="宋体" w:hAnsi="宋体" w:eastAsia="宋体" w:cs="宋体"/>
          <w:color w:val="auto"/>
          <w:sz w:val="24"/>
          <w:szCs w:val="22"/>
          <w:highlight w:val="none"/>
          <w:lang w:val="en-US" w:eastAsia="zh-CN" w:bidi="ar-SA"/>
        </w:rPr>
        <w:t xml:space="preserve">（</w:t>
      </w:r>
      <w:r>
        <w:rPr>
          <w:rFonts w:hint="eastAsia" w:ascii="宋体" w:hAnsi="宋体" w:eastAsia="宋体" w:cs="宋体"/>
          <w:color w:val="auto"/>
          <w:sz w:val="24"/>
          <w:szCs w:val="22"/>
          <w:highlight w:val="none"/>
          <w:u w:val="single"/>
          <w:lang w:val="en-US" w:eastAsia="zh-CN" w:bidi="ar-SA"/>
        </w:rPr>
        <w:t xml:space="preserve"> </w:t>
      </w:r>
      <w:bookmarkStart w:id="206" w:name="zhongbiaopricelow_2"/>
      <w:r>
        <w:rPr>
          <w:rFonts w:hint="eastAsia" w:ascii="宋体" w:hAnsi="宋体" w:eastAsia="宋体" w:cs="宋体"/>
          <w:color w:val="auto"/>
          <w:sz w:val="24"/>
          <w:szCs w:val="22"/>
          <w:highlight w:val="none"/>
          <w:u w:val="single"/>
          <w:lang w:val="en-US" w:eastAsia="zh-CN" w:bidi="ar-SA"/>
        </w:rPr>
        <w:t xml:space="preserve">             </w:t>
      </w:r>
      <w:bookmarkEnd w:id="206"/>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元）人民币。</w:t>
      </w:r>
      <w:r/>
    </w:p>
    <w:p>
      <w:pPr>
        <w:jc w:val="left"/>
        <w:keepLines w:val="0"/>
        <w:keepNext w:val="0"/>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本项目总价为综合报价，</w:t>
      </w:r>
      <w:r>
        <w:rPr>
          <w:rFonts w:hint="default" w:ascii="宋体" w:hAnsi="宋体" w:eastAsia="宋体" w:cs="宋体"/>
          <w:color w:val="auto"/>
          <w:sz w:val="24"/>
          <w:szCs w:val="22"/>
          <w:highlight w:val="none"/>
          <w:lang w:val="en-US" w:eastAsia="zh-CN" w:bidi="ar-SA"/>
        </w:rPr>
        <w:t xml:space="preserve">应包括但不限于以下所有费用：人员费用（含工资、奖金、福利、培训、社会保险、住房公积金等</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需满足本合同约定的人员配置要求</w:t>
      </w:r>
      <w:r>
        <w:rPr>
          <w:rFonts w:hint="default" w:ascii="宋体" w:hAnsi="宋体" w:eastAsia="宋体" w:cs="宋体"/>
          <w:color w:val="auto"/>
          <w:sz w:val="24"/>
          <w:szCs w:val="22"/>
          <w:highlight w:val="none"/>
          <w:lang w:val="en-US" w:eastAsia="zh-CN" w:bidi="ar-SA"/>
        </w:rPr>
        <w:t xml:space="preserve">）；道路路灯所有设施</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含LED灯具、单灯控制器、集中控制器、中国结装饰灯、LED电子显示屏、中杆灯、专线等</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2"/>
          <w:highlight w:val="none"/>
          <w:lang w:val="en-US" w:eastAsia="zh-CN" w:bidi="ar-SA"/>
        </w:rPr>
        <w:t xml:space="preserve">的设计、采购、运输、安装、调试、检测、验收等费用；通信费、系统使用费、电费、耗材费</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备品备件费等运行费用</w:t>
      </w:r>
      <w:r>
        <w:rPr>
          <w:rFonts w:hint="default" w:ascii="宋体" w:hAnsi="宋体" w:eastAsia="宋体" w:cs="宋体"/>
          <w:color w:val="auto"/>
          <w:sz w:val="24"/>
          <w:szCs w:val="22"/>
          <w:highlight w:val="none"/>
          <w:lang w:val="en-US" w:eastAsia="zh-CN" w:bidi="ar-SA"/>
        </w:rPr>
        <w:t xml:space="preserve">；后期维护、维修、设备更新等保障费用；管理费用、合理利润、各类税金</w:t>
      </w:r>
      <w:r>
        <w:rPr>
          <w:rFonts w:hint="eastAsia" w:ascii="宋体" w:hAnsi="宋体" w:cs="宋体"/>
          <w:color w:val="auto"/>
          <w:sz w:val="24"/>
          <w:szCs w:val="22"/>
          <w:highlight w:val="none"/>
          <w:lang w:val="en-US" w:eastAsia="zh-CN" w:bidi="ar-SA"/>
        </w:rPr>
        <w:t xml:space="preserve">，</w:t>
      </w:r>
      <w:r>
        <w:rPr>
          <w:rFonts w:hint="default" w:ascii="宋体" w:hAnsi="宋体" w:eastAsia="宋体" w:cs="宋体"/>
          <w:color w:val="auto"/>
          <w:sz w:val="24"/>
          <w:szCs w:val="22"/>
          <w:highlight w:val="none"/>
          <w:lang w:val="en-US" w:eastAsia="zh-CN" w:bidi="ar-SA"/>
        </w:rPr>
        <w:t xml:space="preserve">以及政策性文件规定、合同隐含的所有风险、责任、义务所涉及的费用</w:t>
      </w:r>
      <w:r>
        <w:rPr>
          <w:rFonts w:hint="eastAsia" w:ascii="宋体" w:hAnsi="宋体" w:eastAsia="宋体" w:cs="宋体"/>
          <w:color w:val="auto"/>
          <w:sz w:val="24"/>
          <w:szCs w:val="22"/>
          <w:highlight w:val="none"/>
          <w:lang w:val="en-US" w:eastAsia="zh-CN" w:bidi="ar-SA"/>
        </w:rPr>
        <w:t xml:space="preserve">。</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基于本合同所涉路灯设施开展的智慧城市增值服务，其收入归乙方所有，但该增值服务必须符合国家法律法规、行业标准及张家港市地方政策规定，且需报甲方及政府相关主管部门审批通过后方可实施。</w:t>
      </w:r>
      <w:r/>
    </w:p>
    <w:p>
      <w:pPr>
        <w:ind w:firstLine="482"/>
        <w:jc w:val="both"/>
        <w:spacing w:line="440" w:lineRule="exact"/>
        <w:widowControl w:val="off"/>
        <w:rPr>
          <w:rFonts w:ascii="宋体" w:hAnsi="宋体" w:eastAsia="宋体" w:cs="宋体"/>
          <w:color w:val="auto"/>
          <w:sz w:val="24"/>
          <w:szCs w:val="24"/>
          <w:highlight w:val="none"/>
          <w:u w:val="single"/>
        </w:rPr>
      </w:pPr>
      <w:r>
        <w:rPr>
          <w:rFonts w:hint="eastAsia" w:ascii="宋体" w:hAnsi="宋体" w:eastAsia="宋体" w:cs="宋体"/>
          <w:b/>
          <w:bCs/>
          <w:color w:val="auto"/>
          <w:sz w:val="24"/>
          <w:szCs w:val="22"/>
          <w:highlight w:val="none"/>
          <w:lang w:val="en-US" w:eastAsia="zh-CN" w:bidi="ar-SA"/>
        </w:rPr>
        <w:t xml:space="preserve">三、履约保证金</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3.1合同签订前，乙方向</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交纳人民币</w:t>
      </w:r>
      <w:r>
        <w:rPr>
          <w:rFonts w:hint="eastAsia" w:ascii="宋体" w:hAnsi="宋体" w:eastAsia="宋体" w:cs="宋体"/>
          <w:color w:val="auto"/>
          <w:sz w:val="24"/>
          <w:szCs w:val="22"/>
          <w:highlight w:val="none"/>
          <w:u w:val="single"/>
          <w:lang w:val="en-US" w:eastAsia="zh-CN" w:bidi="ar-SA"/>
        </w:rPr>
        <w:t xml:space="preserve"> </w:t>
      </w:r>
      <w:bookmarkStart w:id="207" w:name="lvbzj"/>
      <w:r>
        <w:rPr>
          <w:rFonts w:hint="eastAsia" w:ascii="宋体" w:hAnsi="宋体" w:eastAsia="宋体" w:cs="宋体"/>
          <w:color w:val="auto"/>
          <w:sz w:val="24"/>
          <w:szCs w:val="22"/>
          <w:highlight w:val="none"/>
          <w:u w:val="single"/>
          <w:lang w:val="en-US" w:eastAsia="zh-CN" w:bidi="ar-SA"/>
        </w:rPr>
        <w:t xml:space="preserve">   </w:t>
      </w:r>
      <w:bookmarkEnd w:id="207"/>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元</w:t>
      </w:r>
      <w:r>
        <w:rPr>
          <w:rFonts w:hint="default" w:ascii="宋体" w:hAnsi="宋体" w:eastAsia="宋体" w:cs="宋体"/>
          <w:color w:val="auto"/>
          <w:sz w:val="24"/>
          <w:szCs w:val="22"/>
          <w:highlight w:val="none"/>
          <w:lang w:val="en-US" w:eastAsia="zh-CN" w:bidi="ar-SA"/>
        </w:rPr>
        <w:t xml:space="preserve">（大写：_______元整）</w:t>
      </w:r>
      <w:r>
        <w:rPr>
          <w:rFonts w:hint="eastAsia" w:ascii="宋体" w:hAnsi="宋体" w:eastAsia="宋体" w:cs="宋体"/>
          <w:color w:val="auto"/>
          <w:sz w:val="24"/>
          <w:szCs w:val="22"/>
          <w:highlight w:val="none"/>
          <w:lang w:val="en-US" w:eastAsia="zh-CN" w:bidi="ar-SA"/>
        </w:rPr>
        <w:t xml:space="preserve">作为本合同的履约保证金。履约保证金应当以支票、汇票、本票或者金融机构、担保机构出具的保函等非现金形式提交。</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3.2甲方付清全部合同金额的同时返还履约保证金。逾期退还的，应当支付逾期利息，且逾期利息的利率不得低于合同订立时1年期贷款市场报价利率。</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3.3</w:t>
      </w:r>
      <w:r>
        <w:rPr>
          <w:rFonts w:hint="default" w:ascii="宋体" w:hAnsi="宋体" w:eastAsia="宋体" w:cs="宋体"/>
          <w:color w:val="auto"/>
          <w:sz w:val="24"/>
          <w:szCs w:val="22"/>
          <w:highlight w:val="none"/>
          <w:lang w:val="en-US" w:eastAsia="zh-CN" w:bidi="ar-SA"/>
        </w:rPr>
        <w:t xml:space="preserve">乙方存在不履行本合同主要义务、履行义务不符合约定且拒不整改等违约情形的，履约保证金不予退</w:t>
      </w:r>
      <w:r>
        <w:rPr>
          <w:rFonts w:hint="eastAsia" w:ascii="宋体" w:hAnsi="宋体" w:eastAsia="宋体" w:cs="宋体"/>
          <w:color w:val="auto"/>
          <w:sz w:val="24"/>
          <w:szCs w:val="22"/>
          <w:highlight w:val="none"/>
          <w:lang w:val="en-US" w:eastAsia="zh-CN" w:bidi="ar-SA"/>
        </w:rPr>
        <w:t xml:space="preserve">还。</w:t>
      </w:r>
      <w:r/>
    </w:p>
    <w:p>
      <w:pPr>
        <w:ind w:firstLine="472"/>
        <w:jc w:val="left"/>
        <w:keepLines w:val="0"/>
        <w:keepNext w:val="0"/>
        <w:pageBreakBefore w:val="0"/>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2"/>
          <w:highlight w:val="none"/>
          <w:lang w:val="en-US" w:eastAsia="zh-CN" w:bidi="ar-SA"/>
        </w:rPr>
        <w:t xml:space="preserve">四、转包或分包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4.1 本合同约定的全部服务内容，</w:t>
      </w:r>
      <w:r>
        <w:rPr>
          <w:rFonts w:hint="eastAsia" w:ascii="宋体" w:hAnsi="宋体" w:eastAsia="宋体" w:cs="宋体"/>
          <w:color w:val="auto"/>
          <w:sz w:val="24"/>
          <w:szCs w:val="24"/>
          <w:highlight w:val="none"/>
          <w:lang w:val="en-US" w:eastAsia="zh-CN"/>
        </w:rPr>
        <w:t xml:space="preserve">原则上</w:t>
      </w:r>
      <w:r>
        <w:rPr>
          <w:rFonts w:hint="default" w:ascii="宋体" w:hAnsi="宋体" w:eastAsia="宋体" w:cs="宋体"/>
          <w:color w:val="auto"/>
          <w:sz w:val="24"/>
          <w:szCs w:val="24"/>
          <w:highlight w:val="none"/>
          <w:lang w:val="en-US" w:eastAsia="zh-CN"/>
        </w:rPr>
        <w:t xml:space="preserve">由乙方自行组织实施并直接提供</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未经甲方书面同意，乙方不得将本合同权利义务</w:t>
      </w:r>
      <w:r>
        <w:rPr>
          <w:rFonts w:hint="eastAsia" w:ascii="宋体" w:hAnsi="宋体" w:eastAsia="宋体" w:cs="宋体"/>
          <w:color w:val="auto"/>
          <w:sz w:val="24"/>
          <w:szCs w:val="24"/>
          <w:highlight w:val="none"/>
          <w:lang w:val="en-US" w:eastAsia="zh-CN"/>
        </w:rPr>
        <w:t xml:space="preserve">整体</w:t>
      </w:r>
      <w:r>
        <w:rPr>
          <w:rFonts w:hint="default" w:ascii="宋体" w:hAnsi="宋体" w:eastAsia="宋体" w:cs="宋体"/>
          <w:color w:val="auto"/>
          <w:sz w:val="24"/>
          <w:szCs w:val="24"/>
          <w:highlight w:val="none"/>
          <w:lang w:val="en-US" w:eastAsia="zh-CN"/>
        </w:rPr>
        <w:t xml:space="preserve">转让给任何第三方。</w:t>
      </w:r>
      <w:r/>
    </w:p>
    <w:p>
      <w:pPr>
        <w:ind w:firstLine="48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ascii="宋体" w:hAnsi="宋体" w:eastAsia="宋体" w:cs="宋体"/>
          <w:color w:val="auto"/>
          <w:sz w:val="24"/>
          <w:szCs w:val="24"/>
          <w:highlight w:val="none"/>
        </w:rPr>
        <w:t xml:space="preserve">乙方确需分包本合同部分非主体、非关键性工作的，必须在分包意向协议中载明拟分包内容及分包对象，并事先经甲方书面审核同意。乙方就分包项目向甲方承担连带责任。</w:t>
      </w:r>
      <w:r/>
    </w:p>
    <w:p>
      <w:pPr>
        <w:ind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4.3 乙方违反本条约定的，按下列情形处理：</w:t>
      </w:r>
      <w:r/>
    </w:p>
    <w:p>
      <w:pPr>
        <w:ind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 转包或违法分包： 乙方将项目转包、或将主体</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关键性工作分包、或未经甲方同意擅自分包的，甲方有权立即终止本合同，没收履约保证金，并要求乙方承担由此造成的一切损失；同时乙方将被列入政府采购不良行为记录。</w:t>
      </w:r>
      <w:r/>
    </w:p>
    <w:p>
      <w:pPr>
        <w:ind w:firstLine="48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(2) 分包违约：若分包对象不符合资质要求、分包比例违规或分包对象出现违约，乙方应立即整改并承担相应赔偿责任。</w:t>
      </w:r>
      <w:r/>
    </w:p>
    <w:p>
      <w:pPr>
        <w:ind w:firstLine="472"/>
        <w:jc w:val="left"/>
        <w:keepLines w:val="0"/>
        <w:keepNext w:val="0"/>
        <w:pageBreakBefore w:val="0"/>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五、服务期限：</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2"/>
          <w:highlight w:val="none"/>
          <w:lang w:val="en-US" w:eastAsia="zh-CN" w:bidi="ar-SA"/>
        </w:rPr>
        <w:t xml:space="preserve">本合同</w:t>
      </w:r>
      <w:r>
        <w:rPr>
          <w:rFonts w:hint="eastAsia" w:ascii="宋体" w:hAnsi="宋体" w:eastAsia="宋体" w:cs="宋体"/>
          <w:color w:val="auto"/>
          <w:sz w:val="24"/>
          <w:szCs w:val="22"/>
          <w:highlight w:val="none"/>
          <w:lang w:val="en-US" w:eastAsia="zh-CN" w:bidi="ar-SA"/>
        </w:rPr>
        <w:t xml:space="preserve">服务期限为</w:t>
      </w:r>
      <w:r>
        <w:rPr>
          <w:rFonts w:hint="eastAsia" w:ascii="宋体" w:hAnsi="宋体" w:eastAsia="宋体" w:cs="宋体"/>
          <w:color w:val="auto"/>
          <w:sz w:val="24"/>
          <w:szCs w:val="22"/>
          <w:highlight w:val="none"/>
          <w:u w:val="single"/>
          <w:lang w:val="en-US" w:eastAsia="zh-CN" w:bidi="ar-SA"/>
        </w:rPr>
        <w:t xml:space="preserve"> </w:t>
      </w:r>
      <w:bookmarkStart w:id="208" w:name="fuwuqixianyue"/>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bookmarkEnd w:id="208"/>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cs="宋体"/>
          <w:color w:val="auto"/>
          <w:sz w:val="24"/>
          <w:szCs w:val="22"/>
          <w:highlight w:val="none"/>
          <w:lang w:val="en-US" w:eastAsia="zh-CN" w:bidi="ar-SA"/>
        </w:rPr>
        <w:t xml:space="preserve">年</w:t>
      </w:r>
      <w:r>
        <w:rPr>
          <w:rFonts w:hint="default" w:ascii="宋体" w:hAnsi="宋体" w:eastAsia="宋体" w:cs="宋体"/>
          <w:color w:val="auto"/>
          <w:sz w:val="24"/>
          <w:szCs w:val="24"/>
          <w:highlight w:val="none"/>
          <w:lang w:val="en-US" w:eastAsia="zh-CN" w:bidi="ar"/>
        </w:rPr>
        <w:t xml:space="preserve">（含建设期）</w:t>
      </w:r>
      <w:r>
        <w:rPr>
          <w:rFonts w:hint="eastAsia" w:ascii="宋体" w:hAnsi="宋体" w:eastAsia="宋体" w:cs="宋体"/>
          <w:color w:val="auto"/>
          <w:sz w:val="24"/>
          <w:szCs w:val="22"/>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其中，建设期自合同生效之日起_____个月，且最迟不晚于2026年____月____日前完成项目改造并通过竣工验收，每延误1日乙方支付违约金0.5万元，从履约保证金中扣除；服务期自项目验收合格次日起计算，为期</w:t>
      </w:r>
      <w:r>
        <w:rPr>
          <w:rFonts w:hint="eastAsia" w:ascii="宋体" w:hAnsi="宋体" w:eastAsia="宋体" w:cs="宋体"/>
          <w:color w:val="auto"/>
          <w:sz w:val="24"/>
          <w:szCs w:val="24"/>
          <w:highlight w:val="none"/>
          <w:lang w:val="en-US" w:eastAsia="zh-CN" w:bidi="ar"/>
        </w:rPr>
        <w:t xml:space="preserve">10年能源托管服务期</w:t>
      </w:r>
      <w:r>
        <w:rPr>
          <w:rFonts w:hint="default" w:ascii="宋体" w:hAnsi="宋体" w:eastAsia="宋体" w:cs="宋体"/>
          <w:color w:val="auto"/>
          <w:sz w:val="24"/>
          <w:szCs w:val="24"/>
          <w:highlight w:val="none"/>
          <w:lang w:val="en-US" w:eastAsia="zh-CN" w:bidi="ar"/>
        </w:rPr>
        <w:t xml:space="preserve">，即自____年____月____日至____年____月____日止。</w:t>
      </w:r>
      <w:r/>
    </w:p>
    <w:p>
      <w:pPr>
        <w:ind w:firstLine="472"/>
        <w:jc w:val="left"/>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六、货款支付</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Courier New"/>
          <w:bCs/>
          <w:color w:val="auto"/>
          <w:sz w:val="24"/>
          <w:szCs w:val="24"/>
          <w:highlight w:val="none"/>
          <w:lang w:val="en-US" w:eastAsia="zh-CN" w:bidi="ar-SA"/>
        </w:rPr>
        <w:t xml:space="preserve">6.1 </w:t>
      </w:r>
      <w:r>
        <w:rPr>
          <w:rFonts w:hint="eastAsia" w:ascii="宋体" w:hAnsi="宋体" w:eastAsia="宋体" w:cs="Times New Roman"/>
          <w:color w:val="auto"/>
          <w:sz w:val="24"/>
          <w:szCs w:val="24"/>
          <w:highlight w:val="none"/>
          <w:lang w:val="en-US" w:eastAsia="zh-CN" w:bidi="ar-SA"/>
        </w:rPr>
        <w:t xml:space="preserve">结付程序：</w:t>
      </w:r>
      <w:r>
        <w:rPr>
          <w:rFonts w:hint="eastAsia" w:ascii="宋体" w:hAnsi="宋体" w:eastAsia="宋体" w:cs="宋体"/>
          <w:bCs/>
          <w:color w:val="auto"/>
          <w:sz w:val="24"/>
          <w:szCs w:val="24"/>
          <w:highlight w:val="none"/>
          <w:u w:val="single"/>
          <w:lang w:val="en-US" w:eastAsia="zh-CN" w:bidi="ar-SA"/>
        </w:rPr>
        <w:t xml:space="preserve"> </w:t>
      </w:r>
      <w:bookmarkStart w:id="209" w:name="jiefuchengxu"/>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bookmarkEnd w:id="209"/>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6.2结付期限：</w:t>
      </w:r>
      <w:bookmarkStart w:id="210" w:name="jiefuqixian"/>
      <w:r>
        <w:rPr>
          <w:rFonts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bookmarkEnd w:id="210"/>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          </w:t>
      </w:r>
      <w:r/>
    </w:p>
    <w:p>
      <w:pPr>
        <w:ind w:firstLine="470"/>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6.3乙方收款账户</w:t>
      </w:r>
      <w:r>
        <w:rPr>
          <w:rFonts w:hint="eastAsia" w:ascii="宋体" w:hAnsi="宋体" w:cs="宋体"/>
          <w:color w:val="auto"/>
          <w:sz w:val="24"/>
          <w:szCs w:val="24"/>
          <w:highlight w:val="none"/>
          <w:lang w:val="en-US" w:eastAsia="zh-CN" w:bidi="ar-SA"/>
        </w:rPr>
        <w:t xml:space="preserve">信息</w:t>
      </w:r>
      <w:r>
        <w:rPr>
          <w:rFonts w:hint="eastAsia" w:ascii="宋体" w:hAnsi="宋体" w:eastAsia="宋体" w:cs="宋体"/>
          <w:color w:val="auto"/>
          <w:sz w:val="24"/>
          <w:szCs w:val="24"/>
          <w:highlight w:val="none"/>
          <w:lang w:val="en-US" w:eastAsia="zh-CN" w:bidi="ar-SA"/>
        </w:rPr>
        <w:t xml:space="preserve">：</w:t>
      </w:r>
      <w:r/>
    </w:p>
    <w:p>
      <w:pPr>
        <w:ind w:firstLine="470"/>
        <w:jc w:val="both"/>
        <w:spacing w:line="440" w:lineRule="exact"/>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账户名称：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firstLine="470"/>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u w:val="single"/>
          <w:lang w:val="en-US" w:eastAsia="zh-CN" w:bidi="ar-SA"/>
        </w:rPr>
        <w:t xml:space="preserve"> </w:t>
      </w:r>
      <w:bookmarkStart w:id="211" w:name="yifangzhanghao"/>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bookmarkEnd w:id="211"/>
      <w:r/>
      <w:r/>
    </w:p>
    <w:p>
      <w:pPr>
        <w:ind w:firstLine="470"/>
        <w:jc w:val="both"/>
        <w:spacing w:line="440" w:lineRule="exact"/>
        <w:widowControl w:val="off"/>
        <w:rPr>
          <w:rFonts w:hint="default" w:ascii="宋体" w:hAnsi="宋体" w:eastAsia="宋体" w:cs="宋体"/>
          <w:color w:val="auto"/>
          <w:sz w:val="24"/>
          <w:szCs w:val="24"/>
          <w:highlight w:val="none"/>
          <w:u w:val="none"/>
          <w:lang w:val="en-US" w:eastAsia="zh-CN" w:bidi="ar-SA"/>
        </w:rPr>
      </w:pPr>
      <w:r>
        <w:rPr>
          <w:rFonts w:hint="eastAsia" w:ascii="宋体" w:hAnsi="宋体" w:cs="宋体"/>
          <w:color w:val="auto"/>
          <w:sz w:val="24"/>
          <w:szCs w:val="24"/>
          <w:highlight w:val="none"/>
          <w:u w:val="none"/>
          <w:lang w:val="en-US" w:eastAsia="zh-CN" w:bidi="ar-SA"/>
        </w:rPr>
        <w:t xml:space="preserve">银行账号：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firstLine="420"/>
        <w:jc w:val="left"/>
        <w:spacing w:line="440" w:lineRule="exact"/>
        <w:widowControl w:val="off"/>
        <w:rPr>
          <w:rFonts w:ascii="宋体" w:hAnsi="宋体" w:eastAsia="宋体" w:cs="宋体"/>
          <w:color w:val="auto"/>
          <w:sz w:val="24"/>
          <w:szCs w:val="24"/>
          <w:highlight w:val="none"/>
        </w:rPr>
      </w:pPr>
      <w:r>
        <w:rPr>
          <w:rFonts w:hint="eastAsia" w:ascii="Calibri" w:hAnsi="Calibri" w:eastAsia="宋体" w:cs="宋体"/>
          <w:color w:val="auto"/>
          <w:sz w:val="24"/>
          <w:szCs w:val="24"/>
          <w:highlight w:val="none"/>
          <w:lang w:val="en-US" w:eastAsia="zh-CN" w:bidi="ar-SA"/>
        </w:rPr>
        <w:t xml:space="preserve">6.4甲方合同款支付方式：</w:t>
      </w:r>
      <w:r>
        <w:rPr>
          <w:rFonts w:hint="eastAsia" w:ascii="Calibri" w:hAnsi="Calibri" w:eastAsia="宋体" w:cs="宋体"/>
          <w:color w:val="auto"/>
          <w:sz w:val="24"/>
          <w:szCs w:val="24"/>
          <w:highlight w:val="none"/>
          <w:u w:val="single"/>
          <w:lang w:val="en-US" w:eastAsia="zh-CN" w:bidi="ar-SA"/>
        </w:rPr>
        <w:t xml:space="preserve"> </w:t>
      </w:r>
      <w:bookmarkStart w:id="212" w:name="hetongzhifutype"/>
      <w:r>
        <w:rPr>
          <w:rFonts w:hint="eastAsia" w:ascii="Calibri" w:hAnsi="Calibri" w:eastAsia="宋体" w:cs="宋体"/>
          <w:color w:val="auto"/>
          <w:sz w:val="24"/>
          <w:szCs w:val="24"/>
          <w:highlight w:val="none"/>
          <w:u w:val="single"/>
          <w:lang w:val="en-US" w:eastAsia="zh-CN" w:bidi="ar-SA"/>
        </w:rPr>
        <w:t xml:space="preserve">                      </w:t>
      </w:r>
      <w:bookmarkEnd w:id="212"/>
      <w:r>
        <w:rPr>
          <w:rFonts w:hint="eastAsia" w:ascii="Calibri" w:hAnsi="Calibri" w:eastAsia="宋体" w:cs="宋体"/>
          <w:color w:val="auto"/>
          <w:sz w:val="24"/>
          <w:szCs w:val="24"/>
          <w:highlight w:val="none"/>
          <w:u w:val="single"/>
          <w:lang w:val="en-US" w:eastAsia="zh-CN" w:bidi="ar-SA"/>
        </w:rPr>
        <w:t xml:space="preserve"> </w:t>
      </w:r>
      <w:r>
        <w:rPr>
          <w:rFonts w:hint="eastAsia" w:ascii="Calibri" w:hAnsi="Calibri" w:eastAsia="宋体" w:cs="宋体"/>
          <w:color w:val="auto"/>
          <w:sz w:val="24"/>
          <w:szCs w:val="24"/>
          <w:highlight w:val="none"/>
          <w:lang w:val="en-US" w:eastAsia="zh-CN" w:bidi="ar-SA"/>
        </w:rPr>
        <w:t xml:space="preserve">（若乙方为中小企业，</w:t>
      </w:r>
      <w:r>
        <w:rPr>
          <w:rFonts w:hint="eastAsia" w:cs="宋体"/>
          <w:color w:val="auto"/>
          <w:sz w:val="24"/>
          <w:szCs w:val="24"/>
          <w:highlight w:val="none"/>
          <w:lang w:val="en-US" w:eastAsia="zh-CN" w:bidi="ar-SA"/>
        </w:rPr>
        <w:t xml:space="preserve">甲方</w:t>
      </w:r>
      <w:r>
        <w:rPr>
          <w:rFonts w:hint="eastAsia" w:ascii="Calibri" w:hAnsi="Calibri" w:eastAsia="宋体" w:cs="宋体"/>
          <w:color w:val="auto"/>
          <w:sz w:val="24"/>
          <w:szCs w:val="24"/>
          <w:highlight w:val="none"/>
          <w:lang w:val="en-US" w:eastAsia="zh-CN" w:bidi="ar-SA"/>
        </w:rPr>
        <w:t xml:space="preserve">不得强制其接受非现金支付方式）</w:t>
      </w:r>
      <w:r>
        <w:rPr>
          <w:rFonts w:hint="eastAsia" w:cs="宋体"/>
          <w:color w:val="auto"/>
          <w:sz w:val="24"/>
          <w:szCs w:val="24"/>
          <w:highlight w:val="none"/>
          <w:lang w:val="en-US" w:eastAsia="zh-CN" w:bidi="ar-SA"/>
        </w:rPr>
        <w:t xml:space="preserve">。</w:t>
      </w:r>
      <w:r/>
    </w:p>
    <w:p>
      <w:pPr>
        <w:ind w:firstLine="482"/>
        <w:jc w:val="both"/>
        <w:spacing w:line="440" w:lineRule="exact"/>
        <w:widowControl w:val="off"/>
        <w:tabs>
          <w:tab w:val="center" w:pos="5131" w:leader="none"/>
        </w:tabs>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ind w:firstLine="482"/>
        <w:jc w:val="both"/>
        <w:spacing w:line="440" w:lineRule="exact"/>
        <w:widowControl w:val="off"/>
        <w:tabs>
          <w:tab w:val="center" w:pos="513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七、税</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7.1 本合同</w:t>
      </w:r>
      <w:r>
        <w:rPr>
          <w:rFonts w:hint="eastAsia" w:ascii="宋体" w:hAnsi="宋体" w:cs="宋体"/>
          <w:color w:val="auto"/>
          <w:sz w:val="24"/>
          <w:szCs w:val="22"/>
          <w:highlight w:val="none"/>
          <w:lang w:val="en-US" w:eastAsia="zh-CN" w:bidi="ar-SA"/>
        </w:rPr>
        <w:t xml:space="preserve">履行过程</w:t>
      </w:r>
      <w:r>
        <w:rPr>
          <w:rFonts w:hint="eastAsia" w:ascii="宋体" w:hAnsi="宋体" w:eastAsia="宋体" w:cs="宋体"/>
          <w:color w:val="auto"/>
          <w:sz w:val="24"/>
          <w:szCs w:val="22"/>
          <w:highlight w:val="none"/>
          <w:lang w:val="en-US" w:eastAsia="zh-CN" w:bidi="ar-SA"/>
        </w:rPr>
        <w:t xml:space="preserve">中</w:t>
      </w:r>
      <w:r>
        <w:rPr>
          <w:rFonts w:hint="eastAsia" w:ascii="宋体" w:hAnsi="宋体" w:cs="宋体"/>
          <w:color w:val="auto"/>
          <w:sz w:val="24"/>
          <w:szCs w:val="22"/>
          <w:highlight w:val="none"/>
          <w:lang w:val="en-US" w:eastAsia="zh-CN" w:bidi="ar-SA"/>
        </w:rPr>
        <w:t xml:space="preserve">所涉及的</w:t>
      </w:r>
      <w:r>
        <w:rPr>
          <w:rFonts w:hint="eastAsia" w:ascii="宋体" w:hAnsi="宋体" w:eastAsia="宋体" w:cs="宋体"/>
          <w:color w:val="auto"/>
          <w:sz w:val="24"/>
          <w:szCs w:val="22"/>
          <w:highlight w:val="none"/>
          <w:lang w:val="en-US" w:eastAsia="zh-CN" w:bidi="ar-SA"/>
        </w:rPr>
        <w:t xml:space="preserve">一切税费均由乙方负担。</w:t>
      </w:r>
      <w:r/>
    </w:p>
    <w:p>
      <w:pPr>
        <w:ind w:firstLine="482"/>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八、</w:t>
      </w:r>
      <w:r>
        <w:rPr>
          <w:rFonts w:hint="eastAsia" w:ascii="宋体" w:hAnsi="宋体" w:eastAsia="宋体" w:cs="宋体"/>
          <w:b/>
          <w:color w:val="auto"/>
          <w:sz w:val="24"/>
          <w:szCs w:val="22"/>
          <w:highlight w:val="none"/>
          <w:lang w:val="en-US" w:eastAsia="zh-CN" w:bidi="ar-SA"/>
        </w:rPr>
        <w:t xml:space="preserve">管理事项</w:t>
      </w:r>
      <w:r/>
    </w:p>
    <w:p>
      <w:pPr>
        <w:ind w:firstLine="480"/>
        <w:jc w:val="both"/>
        <w:spacing w:line="440" w:lineRule="exact"/>
        <w:widowControl w:val="off"/>
        <w:rPr>
          <w:rFonts w:hint="eastAsia"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8.1 乙方应严格按照本项目招标文件要求、乙方投标文件承诺及本合同约定，制定详细的服务实施方案、人员管理规范、安全作业制度、应急处置流程等。</w:t>
      </w:r>
      <w:r/>
    </w:p>
    <w:p>
      <w:pPr>
        <w:ind w:firstLine="480"/>
        <w:jc w:val="both"/>
        <w:spacing w:line="440" w:lineRule="exact"/>
        <w:widowControl w:val="off"/>
        <w:rPr>
          <w:rFonts w:hint="eastAsia"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8.2 甲方有权根据张家港市城市管理相关规定及项目实际需求，对乙方的服务实施过程进行全过程监督管理，乙方应积极配合，接受甲方的检查、考核及合理指令。</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九、双方权利义务</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9.1 甲方的权利和义务</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（1）负责审定乙方拟定的路灯安装、维护、维修等管理制度及服务方案，提出修改意见并监督实施。</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（2）有权对乙方的服务实施过程、制度执行情况进行定期或不定期检查、监督，并依据双方确认的考核细则进行月度、年度考核，考核结果作为服务费支付的重要依据。</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（3）负责审定乙方提交的路灯维修维护管理服务年度计划、资金使用计划及重大设备更新方案。</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（4）</w:t>
      </w:r>
      <w:r>
        <w:rPr>
          <w:rFonts w:hint="default" w:ascii="宋体" w:hAnsi="宋体" w:cs="宋体"/>
          <w:color w:val="auto"/>
          <w:sz w:val="24"/>
          <w:szCs w:val="22"/>
          <w:highlight w:val="none"/>
          <w:lang w:val="en-US" w:eastAsia="zh-CN" w:bidi="ar-SA"/>
        </w:rPr>
        <w:t xml:space="preserve">负责审核乙方提供的设备材料质量合格证、检测报告、验收报告等相关文件资料，对不符合合同约定的有权要求乙方整改。</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（5）若乙方存在严重违约行为（如服务质量严重不达标、擅自转包、拒不履行整改义务等），甲方有权单方解除合同，没收履约保证金，并要求乙方赔偿损失。</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（6）有权在服务期内根据张家港市城市发展、政策调整及项目实际需求，提出考核细则修改意见，经与乙方协商一致后，以补充协议形式确定，新的考核细则自双方签字盖章之日起生效。</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（7）负责委托国家电光源质量检验检测中心（上海）对各路段路灯照度参数进行定期或不定期复检抽查，</w:t>
      </w:r>
      <w:r>
        <w:rPr>
          <w:rFonts w:hint="default" w:ascii="宋体" w:hAnsi="宋体" w:eastAsia="宋体" w:cs="宋体"/>
          <w:color w:val="auto"/>
          <w:sz w:val="24"/>
          <w:szCs w:val="24"/>
          <w:highlight w:val="none"/>
          <w:lang w:val="en-US" w:eastAsia="zh-CN" w:bidi="ar"/>
        </w:rPr>
        <w:t xml:space="preserve">检测费用由乙方承担</w:t>
      </w:r>
      <w:r>
        <w:rPr>
          <w:rFonts w:hint="default" w:ascii="宋体" w:hAnsi="宋体" w:cs="宋体"/>
          <w:color w:val="auto"/>
          <w:sz w:val="24"/>
          <w:szCs w:val="22"/>
          <w:highlight w:val="none"/>
          <w:lang w:val="en-US" w:eastAsia="zh-CN" w:bidi="ar-SA"/>
        </w:rPr>
        <w:t xml:space="preserve">。</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（8）按照本合同约定及时审核乙方提交的结算资料，并按时支付服务费。</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（9）向乙方提供开展服务所需的基础资料（如路灯设施原有图纸、路段分布信息等），并协调相关部门为乙方开展工作提供必要便利</w:t>
      </w:r>
      <w:r>
        <w:rPr>
          <w:rFonts w:hint="eastAsia" w:ascii="宋体" w:hAnsi="宋体" w:cs="宋体"/>
          <w:color w:val="auto"/>
          <w:sz w:val="24"/>
          <w:szCs w:val="22"/>
          <w:highlight w:val="none"/>
          <w:lang w:val="en-US" w:eastAsia="zh-CN" w:bidi="ar-SA"/>
        </w:rPr>
        <w:t xml:space="preserve">；</w:t>
      </w:r>
      <w:r>
        <w:rPr>
          <w:rFonts w:hint="default" w:ascii="宋体" w:hAnsi="宋体" w:cs="宋体"/>
          <w:color w:val="auto"/>
          <w:sz w:val="24"/>
          <w:szCs w:val="22"/>
          <w:highlight w:val="none"/>
          <w:lang w:val="en-US" w:eastAsia="zh-CN" w:bidi="ar-SA"/>
        </w:rPr>
        <w:t xml:space="preserve">负责协调第三方系统对接事宜，确保第三方系统接口免费开放。</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9.2 乙方的权利和义务</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（1）严格遵守国家法律法规、行业标准及张家港市地方相关规定，依据本合同约定及项目技术要求</w:t>
      </w:r>
      <w:r>
        <w:rPr>
          <w:rFonts w:hint="eastAsia" w:ascii="宋体" w:hAnsi="宋体" w:cs="宋体"/>
          <w:color w:val="auto"/>
          <w:sz w:val="24"/>
          <w:szCs w:val="22"/>
          <w:highlight w:val="none"/>
          <w:lang w:val="en-US" w:eastAsia="zh-CN" w:bidi="ar-SA"/>
        </w:rPr>
        <w:t xml:space="preserve">，</w:t>
      </w:r>
      <w:r>
        <w:rPr>
          <w:rFonts w:hint="default" w:ascii="宋体" w:hAnsi="宋体" w:cs="宋体"/>
          <w:color w:val="auto"/>
          <w:sz w:val="24"/>
          <w:szCs w:val="22"/>
          <w:highlight w:val="none"/>
          <w:lang w:val="en-US" w:eastAsia="zh-CN" w:bidi="ar-SA"/>
        </w:rPr>
        <w:t xml:space="preserve">制定完善的路灯安装及维修维护管理制度、安全作业规范，并严格执行。所供LED灯具、控制器、电源等设备需符合本合同约定的技术参数及相关国家标准，其中LED灯具需具备CQC认证证书，单灯控制器、智能驱动电源需具备CQC认证证书及工信部无线电发射设备型号核准证书，且所有设备需接入张家港市智慧照明管理平台，满足平台对接及信创安全要求。</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2）按照合同约定及考核细则要求，全面履行路灯的维修维护管理服务职责，确保路灯设施完好率、亮灯率达到招标文件及投标文件承诺标准。承担甲方抽查灯具的检测费用，若检测不合格，乙方应在甲方规定期限内免费更换为合格灯具，且多次复检费用均包含在合同总价内，甲方不另行支付。</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（3）负责编制路灯维修维护年度管理计划、季度工作安排及月度工作小结，经甲方审定后组织实施，并定期向甲方汇报计划执行情况。</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4）严格执行安全生产相关规定，负责做好服务过程中的劳动安全防护工作，为作业人员配备合格的安全防护用品，制定安全事故应急预案。服务过程中发生的人身伤亡、财产损失等安全事故，其责任及费用均由乙方承担。</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（5）不得在路灯设施管理范围内擅自搭建临时性建筑、堆放杂物或从事其他影响设施安全及城市市容的活动，确因工作需要临时占用场地的，需提前报甲方及相关主管部门审批。</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（6）如遇张家港市重大活动、参观接待、应急抢险等任务，乙方应在甲方通知后1小时内组织人员到位，全力配合完成各项突击任务，确保路灯设施正常运行及周边环境整洁。</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7）必须规范用工管理，按约定配置足额合格人员并保持稳定，与所有服务人员签订合法的劳动合同，按时足额支付工资，依法缴纳社会保险及住房公积金，保障员工合法权益。如因用工问题引发劳动争议、纠纷或行政处罚，由乙方自行承担全部责任。</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（8）本合同终止或解除后，乙方须在30个工作日内，向甲方或政府相关部门完整移交全部资产（含新增及更新的路灯设施）、档案资料（含设计图纸、维修记录、检测报告等），确保移交资料的完整性、准确性</w:t>
      </w:r>
      <w:r>
        <w:rPr>
          <w:rFonts w:hint="eastAsia" w:ascii="宋体" w:hAnsi="宋体" w:cs="宋体"/>
          <w:color w:val="auto"/>
          <w:sz w:val="24"/>
          <w:szCs w:val="22"/>
          <w:highlight w:val="none"/>
          <w:lang w:val="en-US" w:eastAsia="zh-CN" w:bidi="ar-SA"/>
        </w:rPr>
        <w:t xml:space="preserve">；</w:t>
      </w:r>
      <w:r>
        <w:rPr>
          <w:rFonts w:hint="default" w:ascii="宋体" w:hAnsi="宋体" w:cs="宋体"/>
          <w:color w:val="auto"/>
          <w:sz w:val="24"/>
          <w:szCs w:val="22"/>
          <w:highlight w:val="none"/>
          <w:lang w:val="en-US" w:eastAsia="zh-CN" w:bidi="ar-SA"/>
        </w:rPr>
        <w:t xml:space="preserve">移交时需满足亮灯率100%、设备完好率99%，相关光照参数符合标准要求。</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（9）在签订本合同前，</w:t>
      </w:r>
      <w:r>
        <w:rPr>
          <w:rFonts w:hint="eastAsia" w:ascii="宋体" w:hAnsi="宋体" w:cs="宋体"/>
          <w:color w:val="auto"/>
          <w:sz w:val="24"/>
          <w:szCs w:val="22"/>
          <w:highlight w:val="none"/>
          <w:lang w:val="en-US" w:eastAsia="zh-CN" w:bidi="ar-SA"/>
        </w:rPr>
        <w:t xml:space="preserve">乙方必须配备可停放工程车辆的场地、路灯维修材料安置的仓库及24小时值班办公场地，</w:t>
      </w:r>
      <w:r>
        <w:rPr>
          <w:rFonts w:hint="default" w:ascii="宋体" w:hAnsi="宋体" w:cs="宋体"/>
          <w:color w:val="auto"/>
          <w:sz w:val="24"/>
          <w:szCs w:val="22"/>
          <w:highlight w:val="none"/>
          <w:lang w:val="en-US" w:eastAsia="zh-CN" w:bidi="ar-SA"/>
        </w:rPr>
        <w:t xml:space="preserve">确保30分钟内抵达任意故障现场</w:t>
      </w:r>
      <w:r>
        <w:rPr>
          <w:rFonts w:hint="eastAsia" w:ascii="宋体" w:hAnsi="宋体" w:cs="宋体"/>
          <w:color w:val="auto"/>
          <w:sz w:val="24"/>
          <w:szCs w:val="22"/>
          <w:highlight w:val="none"/>
          <w:lang w:val="en-US" w:eastAsia="zh-CN" w:bidi="ar-SA"/>
        </w:rPr>
        <w:t xml:space="preserve">；需提供固定场所租赁合同或房产证、土地证等证明材料</w:t>
      </w:r>
      <w:r>
        <w:rPr>
          <w:rFonts w:hint="default" w:ascii="宋体" w:hAnsi="宋体" w:cs="宋体"/>
          <w:color w:val="auto"/>
          <w:sz w:val="24"/>
          <w:szCs w:val="22"/>
          <w:highlight w:val="none"/>
          <w:lang w:val="en-US" w:eastAsia="zh-CN" w:bidi="ar-SA"/>
        </w:rPr>
        <w:t xml:space="preserve">，作为本合同附件。否则甲方有权按约定处罚。</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（10）</w:t>
      </w:r>
      <w:r>
        <w:rPr>
          <w:rFonts w:hint="default" w:ascii="宋体" w:hAnsi="宋体" w:cs="宋体"/>
          <w:color w:val="auto"/>
          <w:sz w:val="24"/>
          <w:szCs w:val="22"/>
          <w:highlight w:val="none"/>
          <w:lang w:val="en-US" w:eastAsia="zh-CN" w:bidi="ar-SA"/>
        </w:rPr>
        <w:t xml:space="preserve">承担本项目全部改造施工费用，负责更换下的原有路灯（产权归甲方所有）按甲方要求运至指定地点存放；配合甲方在竣工前完成现有电表过户，承担招标范围内路灯电费缴纳义务，若因未按时缴纳电费导致路灯不亮，引发的交通事故索赔、行政处罚等一切责任及费用由乙方全额承担。</w:t>
      </w:r>
      <w:r/>
    </w:p>
    <w:p>
      <w:pPr>
        <w:ind w:firstLine="482"/>
        <w:jc w:val="both"/>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2"/>
          <w:highlight w:val="none"/>
          <w:lang w:val="en-US" w:eastAsia="zh-CN" w:bidi="ar-SA"/>
        </w:rPr>
        <w:t xml:space="preserve">十、服务质量</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10.1 乙方提供的能源管理服务及路灯设施运行质量，应达到乙方投标文件所承诺的目标及本项目技术要求，具体标准包括但不限于：路灯设施完好率不低于99%，亮灯率不低于99%，照度参数符合《城市道路照明设计标准》（CJJ45-2015）相关要求，应急故障修复及时率100%；LED灯具光衰、道路照度需持续满足招标文件、投标承诺及国家/省规范；服务期内若政策有相应调整，按最新政策执行。</w:t>
      </w:r>
      <w:r/>
    </w:p>
    <w:p>
      <w:pPr>
        <w:ind w:firstLine="480"/>
        <w:jc w:val="both"/>
        <w:spacing w:line="440" w:lineRule="exact"/>
        <w:widowControl w:val="off"/>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10.2 项目建设期结束后，竣工验收以国家电光源质量检验检测中心（上海）现场实测后出具的《道路照明检测报告》合格为准；服务运维期内，服务质量以第三方检测机构定期或不定期抽查检测合格的报告及甲方月度、年度考核结果为准，检测费用由乙方承担。</w:t>
      </w:r>
      <w:r/>
    </w:p>
    <w:p>
      <w:pPr>
        <w:ind w:firstLine="480"/>
        <w:jc w:val="both"/>
        <w:spacing w:line="440" w:lineRule="exact"/>
        <w:widowControl w:val="off"/>
        <w:rPr>
          <w:rFonts w:hint="eastAsia" w:ascii="宋体" w:hAnsi="宋体" w:eastAsia="宋体" w:cs="宋体"/>
          <w:b/>
          <w:bCs/>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t xml:space="preserve">10.3 若服务质量未达到约定标准，乙方应在甲方提出的整改通知规定期限内完成整改，整改费用由乙方自行承担；逾期未整改或整改后仍不合格的，甲方有权按照考核细则进行处罚，直至终止合同。</w:t>
      </w:r>
      <w:r/>
    </w:p>
    <w:p>
      <w:pPr>
        <w:ind w:firstLine="482"/>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十一、</w:t>
      </w:r>
      <w:r>
        <w:rPr>
          <w:rFonts w:hint="eastAsia" w:ascii="宋体" w:hAnsi="宋体" w:eastAsia="宋体" w:cs="宋体"/>
          <w:b/>
          <w:color w:val="auto"/>
          <w:sz w:val="24"/>
          <w:szCs w:val="22"/>
          <w:highlight w:val="none"/>
          <w:lang w:val="en-US" w:eastAsia="zh-CN" w:bidi="ar-SA"/>
        </w:rPr>
        <w:t xml:space="preserve">违约责任</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11.1 甲方违反本合同约定，未向乙方提供必要的工作条件或未及时协调相关部门配合，导致乙方无法完成规定能源管理目标的，乙方有权要求甲方在10个工作日内解决；逾期未解决的，乙方有权暂停服务或终止合同，甲方应赔偿乙方因此遭受的直接经济损失。</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11.2 甲方无故逾期验收或办理合同款支付手续的，每逾期一日，应按逾期付款总额的万分之五向乙方支付违约金；逾期超过30日的，乙方有权暂停提供服务，由此产生的后果由甲方承担。</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11.3 乙方未按本合同约定及考核细则要求提供能源管理服务，或维保内容、质量不符合约定标准的，甲方有权依据《</w:t>
      </w:r>
      <w:r>
        <w:rPr>
          <w:rFonts w:hint="eastAsia" w:ascii="宋体" w:hAnsi="宋体" w:eastAsia="宋体" w:cs="宋体"/>
          <w:color w:val="auto"/>
          <w:sz w:val="24"/>
          <w:szCs w:val="24"/>
          <w:highlight w:val="none"/>
          <w:lang w:val="en-US" w:eastAsia="zh-CN"/>
        </w:rPr>
        <w:t xml:space="preserve">道路照明设施考核细则</w:t>
      </w:r>
      <w:r>
        <w:rPr>
          <w:rFonts w:hint="default" w:ascii="宋体" w:hAnsi="宋体" w:eastAsia="宋体" w:cs="宋体"/>
          <w:color w:val="auto"/>
          <w:sz w:val="24"/>
          <w:szCs w:val="22"/>
          <w:highlight w:val="none"/>
          <w:lang w:val="en-US" w:eastAsia="zh-CN" w:bidi="ar-SA"/>
        </w:rPr>
        <w:t xml:space="preserve">》扣除相应比例的服务费；造成甲方或第三方损失的，乙方应承担赔偿责任。</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11.4 乙方中标后一个月内未设立符合本合同约定条件的固定办事处，或办事处无法满足30分钟内到达故障现场要求的，甲方有权按考核办法每月扣除合同年度服务费的5%作为违约金；逾期超过3个月仍未达标，甲方有权单方终止合同，没收全部履约保证金，并要求乙方赔偿损失。</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11.5 乙方未按甲方要求及投标承诺配置路灯应急维修备品备件，或未在中标后30个工作日内将备品备件存入指定仓库的，甲方有权要求乙方在15个工作日内整改；逾期未整改的，甲方有权单方终止合同，没收全部履约保证金，由此导致的路灯故障无法及时修复的损失，由乙方承担。</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11.6 乙方未根据当地政府部门规定及甲方要求提前做好人员安排、路灯设备采购等准备工作，导致项目建设期延误或服务期内无法正常提供服务的，每延误一日，应向甲方支付合同总金额0.1%的违约金；延误超过30日的，甲方有权终止合同、没收履约保证金，并要求乙方赔偿由此造成的一切损失。</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11.7 乙方存在擅自转包分包、擅自停止服务、提供虚假检测报告或验收资料、泄露甲方商业秘密等严重违反合同约定或不服从甲方合理管理的行为，甲方有权立即终止合同，没收履约保证金，并要求乙方支付合同总金额10%的违约金，违约金不足以弥补甲方损失的，乙方仍需补足。</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11.8 本合同生效后，甲乙双方任何一方无正当理由要求终止合同的，除双方协商一致签订补充协议外，责任方须向对方支付合同总金额10%的违约金，并赔偿对方因此遭受的直接经济损失（包括但不限于前期投入、重新采购成本等）。</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11.9 合同终止情形及后续处理：</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（1）乙方存在本合同约定的终止合同违约情形的，甲方有权发出终止合同通知书，合同自通知书送达乙方之日起终止。</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2）能源托管期间，经检测发现路灯设施或服务质量不合格的，乙方应在甲方规定的整改期限内完成整改，整改期间甲方停止支付相应能源托管费用；检测合格后，甲方一次性补付停付的费用。若乙方拒不整改或整改后仍不合格，甲方有权终止合同，终止后不再支付任何托管费用。</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3）合同终止后，乙方应确保路灯设施正常运行至甲方另行采购的服务单位就位，在此期间产生的所有费用由乙方承担；新服务单位就位后，乙方应在15个工作日内完成原有照明设施的拆除工作，拆除过程中产生的绿地开挖、路面修复等审批及费用均由乙方承担。</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（4）若因乙方未按时缴纳电费导致路灯不亮，在此期间引发的交通事故索赔、行政处罚等一切责任及费用，均由乙方全额承担。</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（5）</w:t>
      </w:r>
      <w:r>
        <w:rPr>
          <w:rFonts w:hint="default" w:ascii="宋体" w:hAnsi="宋体" w:eastAsia="宋体" w:cs="宋体"/>
          <w:color w:val="auto"/>
          <w:sz w:val="24"/>
          <w:szCs w:val="22"/>
          <w:highlight w:val="none"/>
          <w:lang w:val="en-US" w:eastAsia="zh-CN" w:bidi="ar-SA"/>
        </w:rPr>
        <w:t xml:space="preserve">乙方存在下列行为之一的，甲方有权单方终止合同并没收全部履约保证金：①月度考核扣款超出月能源托管费用的40%及以上（二次及以上）；</w:t>
      </w:r>
      <w:r>
        <w:rPr>
          <w:rFonts w:hint="default" w:ascii="宋体" w:hAnsi="宋体" w:eastAsia="宋体" w:cs="宋体"/>
          <w:color w:val="auto"/>
          <w:sz w:val="24"/>
          <w:szCs w:val="22"/>
          <w:highlight w:val="none"/>
          <w:lang w:val="en-US" w:eastAsia="zh-CN" w:bidi="ar-SA"/>
        </w:rPr>
        <w:t xml:space="preserve">②未提供合格服务，受到社会媒体曝光、群众投诉、上级部门批评达三次；③亮灯率考核连续两个月低于98%；④设备完好率连续两个月低于95%；⑤收到限期整改意见书后，超过三周未整改或拒不整改；⑥未按要求保障大型节庆活动照明设施正常运行，或接到书面通知后未响应现场保障需求；⑦未按甲方要求提供备品备件（按应急清单配置并承诺，竣工验收后入库）；⑧中标后15日内未提供人员、车辆及设备相关证明材料，或实际进场人员、设备与投标文件不一致且未获甲方确认，或确认后仍不满足要求；⑨其他严重不遵守合同约定事项或不服从采购人管理的行为。</w:t>
      </w:r>
      <w:r/>
    </w:p>
    <w:p>
      <w:pPr>
        <w:ind w:firstLine="472"/>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十二、不可抗力事件处理</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12.1 本合同所称不可抗力，是指不能预见、不能避免并不能克服的客观情况，包括但不限于地震、台风、洪水、火灾、战争、政策调整等。</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12.2 在合同有效期内，任何一方因不可抗力事件导致不能履行或不能完全履行本合同义务的，应在不可抗力事件发生后48小时内书面通知对方，并在事件发生后15个工作日内，向对方提交有关权威机构出具的证明文件（如气象部门证明、政府公告等）。</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12.3 因不可抗力导致合同履行延误的，合同履行期可相应延长，延长期限与不可抗力影响期限一致，双方互不承担违约责任。不可抗力影响消除后，受影响方应立即通知对方，并积极采取措施恢复合同履行。</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12.4 若不可抗力事件持续120天以上，双方应在事件发生后通过友好协商，确定是否继续履行本合同。</w:t>
      </w:r>
      <w:r/>
    </w:p>
    <w:p>
      <w:pPr>
        <w:ind w:firstLine="472"/>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十三、诉讼</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13.1 本合同履行过程中，双方如发生争议，应首先通过友好协商解决；协商不成的，任何一方均有权向本合同签订地有管辖权的人民法院提起诉讼。</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13.2 本合同签订地约定为：江苏省张家港市。</w:t>
      </w:r>
      <w:r/>
    </w:p>
    <w:p>
      <w:pPr>
        <w:ind w:firstLine="480"/>
        <w:jc w:val="both"/>
        <w:spacing w:line="440" w:lineRule="exact"/>
        <w:widowControl w:val="off"/>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t xml:space="preserve">13.3 争议解决期间，除争议事项外，双方应继续履行本合同其他义务。</w:t>
      </w:r>
      <w:r/>
    </w:p>
    <w:p>
      <w:pPr>
        <w:ind w:firstLine="472"/>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十四、合同其他文件</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14.1下列文件为本合同不可分割部份，与本合同具有同等效力。</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w:t>
      </w:r>
      <w:r>
        <w:rPr>
          <w:rFonts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)中标通知书；</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w:t>
      </w:r>
      <w:r>
        <w:rPr>
          <w:rFonts w:ascii="宋体" w:hAnsi="宋体" w:eastAsia="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乙方中标</w:t>
      </w:r>
      <w:r>
        <w:rPr>
          <w:rFonts w:hint="eastAsia" w:ascii="宋体" w:hAnsi="宋体" w:eastAsia="宋体" w:cs="宋体"/>
          <w:color w:val="auto"/>
          <w:sz w:val="24"/>
          <w:szCs w:val="22"/>
          <w:highlight w:val="none"/>
          <w:lang w:val="en-US" w:eastAsia="zh-CN" w:bidi="ar-SA"/>
        </w:rPr>
        <w:t xml:space="preserve">的投标</w:t>
      </w:r>
      <w:r>
        <w:rPr>
          <w:rFonts w:hint="eastAsia" w:ascii="宋体" w:hAnsi="宋体" w:cs="宋体"/>
          <w:color w:val="auto"/>
          <w:sz w:val="24"/>
          <w:szCs w:val="22"/>
          <w:highlight w:val="none"/>
          <w:lang w:val="en-US" w:eastAsia="zh-CN" w:bidi="ar-SA"/>
        </w:rPr>
        <w:t xml:space="preserve">文件</w:t>
      </w:r>
      <w:r>
        <w:rPr>
          <w:rFonts w:hint="eastAsia" w:ascii="宋体" w:hAnsi="宋体" w:eastAsia="宋体" w:cs="宋体"/>
          <w:color w:val="auto"/>
          <w:sz w:val="24"/>
          <w:szCs w:val="22"/>
          <w:highlight w:val="none"/>
          <w:lang w:val="en-US" w:eastAsia="zh-CN" w:bidi="ar-SA"/>
        </w:rPr>
        <w:t xml:space="preserve">；</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w:t>
      </w:r>
      <w:r>
        <w:rPr>
          <w:rFonts w:ascii="宋体" w:hAnsi="宋体" w:eastAsia="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本项目</w:t>
      </w:r>
      <w:r>
        <w:rPr>
          <w:rFonts w:hint="eastAsia" w:ascii="宋体" w:hAnsi="宋体" w:eastAsia="宋体" w:cs="宋体"/>
          <w:color w:val="auto"/>
          <w:sz w:val="24"/>
          <w:szCs w:val="22"/>
          <w:highlight w:val="none"/>
          <w:lang w:val="en-US" w:eastAsia="zh-CN" w:bidi="ar-SA"/>
        </w:rPr>
        <w:t xml:space="preserve">招标文件；</w:t>
      </w:r>
      <w:r/>
    </w:p>
    <w:p>
      <w:pPr>
        <w:ind w:firstLine="480"/>
        <w:jc w:val="both"/>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w:t>
      </w:r>
      <w:r>
        <w:rPr>
          <w:rFonts w:ascii="宋体" w:hAnsi="宋体" w:eastAsia="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乙方</w:t>
      </w:r>
      <w:r>
        <w:rPr>
          <w:rFonts w:hint="eastAsia" w:ascii="宋体" w:hAnsi="宋体" w:eastAsia="宋体" w:cs="宋体"/>
          <w:color w:val="auto"/>
          <w:sz w:val="24"/>
          <w:szCs w:val="22"/>
          <w:highlight w:val="none"/>
          <w:lang w:val="en-US" w:eastAsia="zh-CN" w:bidi="ar-SA"/>
        </w:rPr>
        <w:t xml:space="preserve">在招投标过程中所作的其他承诺、声明、书面澄清等。</w:t>
      </w:r>
      <w:r/>
    </w:p>
    <w:p>
      <w:pPr>
        <w:ind w:firstLine="470"/>
        <w:jc w:val="both"/>
        <w:spacing w:line="44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lang w:val="en-US" w:eastAsia="zh-CN" w:bidi="ar-SA"/>
        </w:rPr>
        <w:t xml:space="preserve">十五、合同生效及其它</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15.1合同经双方法定代表人（或负责人）或授权委托代表人签字，并加盖双方公章后生效,生效后报送张家港市政府采购管理中心备案。</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15.2 本合同未尽事宜，双方应遵照《中华人民共和国民法典》合同编及相关政府采购法律法规，经甲乙双方协商一致后签订补充协议。</w:t>
      </w:r>
      <w:r>
        <w:rPr>
          <w:rFonts w:hint="default" w:ascii="宋体" w:hAnsi="宋体" w:eastAsia="宋体" w:cs="宋体"/>
          <w:color w:val="auto"/>
          <w:sz w:val="24"/>
          <w:szCs w:val="22"/>
          <w:highlight w:val="none"/>
          <w:lang w:val="en-US" w:eastAsia="zh-CN" w:bidi="ar-SA"/>
        </w:rPr>
        <w:t xml:space="preserve">补充协议与本合同具有同等法律效力。</w:t>
      </w:r>
      <w:r/>
    </w:p>
    <w:p>
      <w:pPr>
        <w:ind w:firstLine="48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15.3本合同正本一式六份，具有同等法律效力，</w:t>
      </w:r>
      <w:r>
        <w:rPr>
          <w:rFonts w:hint="eastAsia" w:ascii="宋体" w:hAnsi="宋体" w:cs="宋体"/>
          <w:color w:val="auto"/>
          <w:sz w:val="24"/>
          <w:szCs w:val="22"/>
          <w:highlight w:val="none"/>
          <w:lang w:val="en-US" w:eastAsia="zh-CN" w:bidi="ar-SA"/>
        </w:rPr>
        <w:t xml:space="preserve">其中</w:t>
      </w:r>
      <w:r>
        <w:rPr>
          <w:rFonts w:hint="eastAsia" w:ascii="宋体" w:hAnsi="宋体" w:eastAsia="宋体" w:cs="宋体"/>
          <w:color w:val="auto"/>
          <w:sz w:val="24"/>
          <w:szCs w:val="22"/>
          <w:highlight w:val="none"/>
          <w:lang w:val="en-US" w:eastAsia="zh-CN" w:bidi="ar-SA"/>
        </w:rPr>
        <w:t xml:space="preserve">甲方</w:t>
      </w:r>
      <w:r>
        <w:rPr>
          <w:rFonts w:hint="eastAsia" w:ascii="宋体" w:hAnsi="宋体" w:cs="宋体"/>
          <w:color w:val="auto"/>
          <w:sz w:val="24"/>
          <w:szCs w:val="22"/>
          <w:highlight w:val="none"/>
          <w:lang w:val="en-US" w:eastAsia="zh-CN" w:bidi="ar-SA"/>
        </w:rPr>
        <w:t xml:space="preserve">执</w:t>
      </w:r>
      <w:r>
        <w:rPr>
          <w:rFonts w:hint="eastAsia" w:ascii="宋体" w:hAnsi="宋体" w:eastAsia="宋体" w:cs="宋体"/>
          <w:color w:val="auto"/>
          <w:sz w:val="24"/>
          <w:szCs w:val="22"/>
          <w:highlight w:val="none"/>
          <w:lang w:val="en-US" w:eastAsia="zh-CN" w:bidi="ar-SA"/>
        </w:rPr>
        <w:t xml:space="preserve">三份，乙方、张家港市政府采购管理中心、张家港保税区宏宇建设咨询有限公司各执一份。</w:t>
      </w:r>
      <w:r/>
    </w:p>
    <w:p>
      <w:pPr>
        <w:ind w:firstLine="480"/>
        <w:jc w:val="both"/>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甲方：</w:t>
      </w:r>
      <w:bookmarkStart w:id="213" w:name="jianshedanwei_2"/>
      <w:r/>
      <w:bookmarkEnd w:id="213"/>
      <w:r>
        <w:rPr>
          <w:rStyle w:val="1369"/>
          <w:rFonts w:hint="eastAsia" w:ascii="宋体" w:hAnsi="宋体" w:eastAsia="宋体" w:cs="Courier New"/>
          <w:color w:val="auto"/>
          <w:highlight w:val="none"/>
        </w:rPr>
        <w:t xml:space="preserve">                                 乙方：</w:t>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地址：</w:t>
      </w:r>
      <w:bookmarkStart w:id="214" w:name="jianshedanweiaddress"/>
      <w:r/>
      <w:bookmarkEnd w:id="214"/>
      <w:r>
        <w:rPr>
          <w:rStyle w:val="1369"/>
          <w:rFonts w:hint="eastAsia" w:ascii="宋体" w:hAnsi="宋体" w:eastAsia="宋体" w:cs="Courier New"/>
          <w:color w:val="auto"/>
          <w:highlight w:val="none"/>
        </w:rPr>
        <w:t xml:space="preserve">                                 地址：</w:t>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法定代表人或授权代表：</w:t>
      </w:r>
      <w:bookmarkStart w:id="215" w:name="jianshedanweifaren"/>
      <w:r/>
      <w:bookmarkEnd w:id="215"/>
      <w:r>
        <w:rPr>
          <w:rStyle w:val="1369"/>
          <w:rFonts w:hint="eastAsia" w:ascii="宋体" w:hAnsi="宋体" w:eastAsia="宋体" w:cs="Courier New"/>
          <w:color w:val="auto"/>
          <w:highlight w:val="none"/>
        </w:rPr>
        <w:t xml:space="preserve">                 法定代表人或授权代表：</w:t>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联系电话：</w:t>
      </w:r>
      <w:bookmarkStart w:id="216" w:name="jianshedanweifarentel"/>
      <w:r/>
      <w:bookmarkEnd w:id="216"/>
      <w:r>
        <w:rPr>
          <w:rStyle w:val="1369"/>
          <w:rFonts w:hint="eastAsia" w:ascii="宋体" w:hAnsi="宋体" w:eastAsia="宋体" w:cs="Courier New"/>
          <w:color w:val="auto"/>
          <w:highlight w:val="none"/>
        </w:rPr>
        <w:t xml:space="preserve">                             联系电话：</w:t>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   </w:t>
      </w:r>
      <w:r/>
    </w:p>
    <w:p>
      <w:pPr>
        <w:pStyle w:val="1333"/>
        <w:spacing w:line="440" w:lineRule="exact"/>
        <w:rPr>
          <w:rStyle w:val="1369"/>
          <w:rFonts w:hint="eastAsia" w:ascii="宋体" w:hAnsi="宋体" w:eastAsia="宋体" w:cs="Courier New"/>
          <w:color w:val="auto"/>
          <w:highlight w:val="none"/>
        </w:rPr>
      </w:pPr>
      <w:r>
        <w:rPr>
          <w:rFonts w:hint="eastAsia" w:ascii="宋体" w:hAnsi="宋体" w:eastAsia="宋体" w:cs="Courier New"/>
          <w:color w:val="auto"/>
          <w:highlight w:val="none"/>
        </w:rPr>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采购代理机构：</w:t>
      </w:r>
      <w:r>
        <w:rPr>
          <w:rStyle w:val="1369"/>
          <w:rFonts w:hint="eastAsia" w:ascii="宋体" w:hAnsi="宋体" w:eastAsia="宋体" w:cs="Courier New"/>
          <w:color w:val="auto"/>
          <w:highlight w:val="none"/>
        </w:rPr>
        <w:t xml:space="preserve">张家港保税区宏宇建设咨询有限公司</w:t>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地址：张家港市杨舍镇</w:t>
      </w:r>
      <w:r>
        <w:rPr>
          <w:rStyle w:val="1369"/>
          <w:rFonts w:hint="eastAsia" w:ascii="宋体" w:hAnsi="宋体" w:eastAsia="宋体" w:cs="Courier New"/>
          <w:color w:val="auto"/>
          <w:highlight w:val="none"/>
        </w:rPr>
        <w:t xml:space="preserve">国泰北路15号</w:t>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经办人：</w:t>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联系电话：</w:t>
      </w:r>
      <w:r>
        <w:rPr>
          <w:rStyle w:val="1369"/>
          <w:rFonts w:hint="eastAsia" w:ascii="宋体" w:hAnsi="宋体" w:eastAsia="宋体" w:cs="Courier New"/>
          <w:color w:val="auto"/>
          <w:highlight w:val="none"/>
        </w:rPr>
        <w:t xml:space="preserve">0512-58358805</w:t>
      </w:r>
      <w:r/>
    </w:p>
    <w:p>
      <w:pPr>
        <w:pStyle w:val="1333"/>
        <w:ind w:firstLine="480"/>
        <w:spacing w:line="440" w:lineRule="exact"/>
        <w:rPr>
          <w:rStyle w:val="1369"/>
          <w:rFonts w:hint="eastAsia" w:ascii="宋体" w:hAnsi="宋体" w:eastAsia="宋体" w:cs="Courier New"/>
          <w:color w:val="auto"/>
          <w:highlight w:val="none"/>
        </w:rPr>
      </w:pPr>
      <w:r>
        <w:rPr>
          <w:rFonts w:hint="eastAsia" w:ascii="宋体" w:hAnsi="宋体" w:eastAsia="宋体" w:cs="Courier New"/>
          <w:color w:val="auto"/>
          <w:highlight w:val="none"/>
        </w:rPr>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备案方：张家港市政府采购管理办公室</w:t>
      </w:r>
      <w:r/>
    </w:p>
    <w:p>
      <w:pPr>
        <w:pStyle w:val="1333"/>
        <w:ind w:firstLine="480"/>
        <w:spacing w:line="440" w:lineRule="exact"/>
        <w:rPr>
          <w:rStyle w:val="1369"/>
          <w:rFonts w:hint="eastAsia" w:ascii="宋体" w:hAnsi="宋体" w:eastAsia="宋体" w:cs="Courier New"/>
          <w:color w:val="auto"/>
          <w:highlight w:val="none"/>
        </w:rPr>
      </w:pPr>
      <w:r>
        <w:rPr>
          <w:rStyle w:val="1369"/>
          <w:rFonts w:ascii="宋体" w:hAnsi="宋体" w:eastAsia="宋体" w:cs="Courier New"/>
          <w:color w:val="auto"/>
          <w:highlight w:val="none"/>
        </w:rPr>
        <w:t xml:space="preserve">联系人：</w:t>
      </w:r>
      <w:r/>
    </w:p>
    <w:p>
      <w:pPr>
        <w:pStyle w:val="1333"/>
        <w:ind w:firstLine="480"/>
        <w:spacing w:line="440" w:lineRule="exact"/>
        <w:rPr>
          <w:rStyle w:val="1369"/>
          <w:rFonts w:ascii="宋体" w:hAnsi="宋体" w:eastAsia="宋体" w:cs="Courier New"/>
          <w:color w:val="auto"/>
          <w:highlight w:val="none"/>
        </w:rPr>
      </w:pPr>
      <w:r>
        <w:rPr>
          <w:rStyle w:val="1369"/>
          <w:rFonts w:ascii="宋体" w:hAnsi="宋体" w:eastAsia="宋体" w:cs="Courier New"/>
          <w:color w:val="auto"/>
          <w:highlight w:val="none"/>
        </w:rPr>
        <w:t xml:space="preserve">联系电话：</w:t>
      </w:r>
      <w:r/>
    </w:p>
    <w:p>
      <w:pPr>
        <w:pStyle w:val="1333"/>
        <w:ind w:firstLine="480"/>
        <w:spacing w:line="440" w:lineRule="exact"/>
        <w:rPr>
          <w:rStyle w:val="1369"/>
          <w:rFonts w:ascii="宋体" w:hAnsi="宋体" w:eastAsia="宋体" w:cs="Courier New"/>
          <w:color w:val="auto"/>
          <w:highlight w:val="none"/>
        </w:rPr>
      </w:pPr>
      <w:r>
        <w:rPr>
          <w:rFonts w:ascii="宋体" w:hAnsi="宋体" w:eastAsia="宋体" w:cs="Courier New"/>
          <w:color w:val="auto"/>
          <w:highlight w:val="none"/>
        </w:rPr>
      </w:r>
      <w:r/>
    </w:p>
    <w:p>
      <w:pPr>
        <w:pStyle w:val="1333"/>
        <w:ind w:firstLine="480"/>
        <w:spacing w:line="440" w:lineRule="exact"/>
        <w:rPr>
          <w:rStyle w:val="1369"/>
          <w:rFonts w:hint="eastAsia" w:ascii="宋体" w:hAnsi="宋体" w:eastAsia="宋体" w:cs="Courier New"/>
          <w:color w:val="auto"/>
          <w:highlight w:val="none"/>
        </w:rPr>
      </w:pPr>
      <w:r>
        <w:rPr>
          <w:rStyle w:val="1369"/>
          <w:rFonts w:hint="eastAsia" w:ascii="宋体" w:hAnsi="宋体" w:eastAsia="宋体" w:cs="Courier New"/>
          <w:color w:val="auto"/>
          <w:highlight w:val="none"/>
        </w:rPr>
        <w:t xml:space="preserve">签订日期：      年    月  日   </w:t>
      </w:r>
      <w:r/>
    </w:p>
    <w:p>
      <w:pPr>
        <w:pStyle w:val="10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第四章 项目需求</w:t>
      </w:r>
      <w:bookmarkStart w:id="217" w:name="_Toc274321794"/>
      <w:r/>
      <w:bookmarkEnd w:id="217"/>
      <w:r/>
      <w:bookmarkStart w:id="218" w:name="_Toc319429198"/>
      <w:r/>
      <w:bookmarkEnd w:id="218"/>
      <w:r/>
      <w:r/>
    </w:p>
    <w:p>
      <w:pPr>
        <w:spacing w:line="360" w:lineRule="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一、清单</w:t>
      </w:r>
      <w:r/>
    </w:p>
    <w:p>
      <w:pPr>
        <w:pStyle w:val="1297"/>
        <w:ind w:firstLine="499"/>
        <w:spacing w:before="120" w:line="440" w:lineRule="exact"/>
        <w:rPr>
          <w:rStyle w:val="946"/>
          <w:rFonts w:hint="eastAsia" w:ascii="宋体" w:hAnsi="宋体" w:eastAsia="宋体" w:cs="宋体"/>
          <w:b/>
          <w:bCs/>
          <w:color w:val="auto"/>
          <w:spacing w:val="7"/>
          <w:highlight w:val="none"/>
        </w:rPr>
      </w:pPr>
      <w:r>
        <w:rPr>
          <w:rStyle w:val="946"/>
          <w:rFonts w:hint="eastAsia" w:ascii="宋体" w:hAnsi="宋体" w:eastAsia="宋体" w:cs="宋体"/>
          <w:b/>
          <w:bCs/>
          <w:color w:val="auto"/>
          <w:spacing w:val="7"/>
          <w:highlight w:val="none"/>
        </w:rPr>
        <w:t xml:space="preserve">1.清单</w:t>
      </w:r>
      <w:r/>
    </w:p>
    <w:p>
      <w:pPr>
        <w:pStyle w:val="1157"/>
        <w:ind w:firstLine="499"/>
        <w:spacing w:line="500" w:lineRule="exact"/>
        <w:rPr>
          <w:rStyle w:val="1062"/>
          <w:rFonts w:ascii="宋体" w:hAnsi="宋体" w:cs="宋体"/>
          <w:color w:val="auto"/>
          <w:sz w:val="24"/>
          <w:szCs w:val="24"/>
          <w:highlight w:val="none"/>
        </w:rPr>
      </w:pPr>
      <w:r>
        <w:rPr>
          <w:rStyle w:val="1062"/>
          <w:rFonts w:hint="eastAsia" w:ascii="宋体" w:hAnsi="宋体" w:cs="宋体"/>
          <w:b/>
          <w:bCs/>
          <w:color w:val="auto"/>
          <w:sz w:val="24"/>
          <w:szCs w:val="24"/>
          <w:highlight w:val="none"/>
        </w:rPr>
        <w:t xml:space="preserve">（一）清单</w:t>
      </w:r>
      <w:r/>
    </w:p>
    <w:tbl>
      <w:tblPr>
        <w:tblStyle w:val="717"/>
        <w:tblW w:w="51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6"/>
        <w:gridCol w:w="1924"/>
        <w:gridCol w:w="851"/>
        <w:gridCol w:w="851"/>
        <w:gridCol w:w="851"/>
        <w:gridCol w:w="2093"/>
        <w:gridCol w:w="1308"/>
        <w:gridCol w:w="1309"/>
      </w:tblGrid>
      <w:tr>
        <w:trPr>
          <w:jc w:val="center"/>
          <w:trHeight w:val="567"/>
        </w:trPr>
        <w:tc>
          <w:tcPr>
            <w:shd w:val="clear" w:color="auto" w:fill="auto"/>
            <w:tcMar>
              <w:top w:w="100" w:type="dxa"/>
              <w:bottom w:w="100" w:type="dxa"/>
            </w:tcMar>
            <w:tcW w:w="58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序号</w:t>
            </w:r>
            <w:r/>
          </w:p>
        </w:tc>
        <w:tc>
          <w:tcPr>
            <w:shd w:val="clear" w:color="auto" w:fill="auto"/>
            <w:tcMar>
              <w:top w:w="100" w:type="dxa"/>
              <w:bottom w:w="100" w:type="dxa"/>
            </w:tcMar>
            <w:tcW w:w="1803"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名称</w:t>
            </w:r>
            <w:r/>
          </w:p>
        </w:tc>
        <w:tc>
          <w:tcPr>
            <w:shd w:val="clear" w:color="auto" w:fill="auto"/>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数量</w:t>
            </w:r>
            <w:r/>
          </w:p>
        </w:tc>
        <w:tc>
          <w:tcPr>
            <w:shd w:val="clear" w:color="auto" w:fill="auto"/>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单位</w:t>
            </w:r>
            <w:r/>
          </w:p>
        </w:tc>
        <w:tc>
          <w:tcPr>
            <w:shd w:val="clear" w:color="auto" w:fill="auto"/>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图片</w:t>
            </w:r>
            <w:r/>
          </w:p>
        </w:tc>
        <w:tc>
          <w:tcPr>
            <w:shd w:val="clear" w:color="auto" w:fill="auto"/>
            <w:tcMar>
              <w:top w:w="100" w:type="dxa"/>
              <w:bottom w:w="100" w:type="dxa"/>
            </w:tcMar>
            <w:tcW w:w="1961"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所属行业</w:t>
            </w:r>
            <w:r/>
          </w:p>
        </w:tc>
        <w:tc>
          <w:tcPr>
            <w:shd w:val="clear" w:color="auto" w:fill="auto"/>
            <w:tcMar>
              <w:top w:w="100" w:type="dxa"/>
              <w:bottom w:w="100" w:type="dxa"/>
            </w:tcMar>
            <w:tcW w:w="1226"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标的类型</w:t>
            </w:r>
            <w:r/>
          </w:p>
        </w:tc>
        <w:tc>
          <w:tcPr>
            <w:shd w:val="clear" w:color="auto" w:fill="auto"/>
            <w:tcMar>
              <w:top w:w="100" w:type="dxa"/>
              <w:bottom w:w="100" w:type="dxa"/>
            </w:tcMar>
            <w:tcW w:w="122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b/>
                <w:bCs/>
                <w:color w:val="auto"/>
                <w:sz w:val="24"/>
                <w:szCs w:val="24"/>
                <w:highlight w:val="none"/>
              </w:rPr>
              <w:suppressLineNumbers w:val="0"/>
            </w:pPr>
            <w:r>
              <w:rPr>
                <w:rStyle w:val="1062"/>
                <w:rFonts w:hint="eastAsia" w:ascii="宋体" w:hAnsi="宋体" w:cs="宋体"/>
                <w:b/>
                <w:bCs/>
                <w:color w:val="auto"/>
                <w:sz w:val="24"/>
                <w:szCs w:val="24"/>
                <w:highlight w:val="none"/>
              </w:rPr>
              <w:t xml:space="preserve">标的属性</w:t>
            </w:r>
            <w:r/>
          </w:p>
        </w:tc>
      </w:tr>
      <w:tr>
        <w:trPr>
          <w:jc w:val="center"/>
          <w:trHeight w:val="567"/>
        </w:trPr>
        <w:tc>
          <w:tcPr>
            <w:tcMar>
              <w:top w:w="100" w:type="dxa"/>
              <w:bottom w:w="100" w:type="dxa"/>
            </w:tcMar>
            <w:tcW w:w="58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1</w:t>
            </w:r>
            <w:r/>
          </w:p>
        </w:tc>
        <w:tc>
          <w:tcPr>
            <w:tcMar>
              <w:top w:w="100" w:type="dxa"/>
              <w:bottom w:w="100" w:type="dxa"/>
            </w:tcMar>
            <w:tcW w:w="1803"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张家港市常阴沙现代农业示范园区镇区路灯提升改造能源管理服务项目</w:t>
            </w:r>
            <w:r/>
          </w:p>
        </w:tc>
        <w:tc>
          <w:tcPr>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1.00</w:t>
            </w:r>
            <w:r/>
          </w:p>
        </w:tc>
        <w:tc>
          <w:tcPr>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项</w:t>
            </w:r>
            <w:r/>
          </w:p>
        </w:tc>
        <w:tc>
          <w:tcPr>
            <w:tcMar>
              <w:top w:w="100" w:type="dxa"/>
              <w:bottom w:w="100" w:type="dxa"/>
            </w:tcMar>
            <w:tcW w:w="79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无</w:t>
            </w:r>
            <w:r/>
          </w:p>
        </w:tc>
        <w:tc>
          <w:tcPr>
            <w:tcMar>
              <w:top w:w="100" w:type="dxa"/>
              <w:bottom w:w="100" w:type="dxa"/>
            </w:tcMar>
            <w:tcW w:w="1961"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946"/>
                <w:rFonts w:ascii="宋体" w:hAnsi="宋体" w:eastAsia="宋体" w:cs="宋体"/>
                <w:color w:val="auto"/>
                <w:spacing w:val="7"/>
                <w:sz w:val="24"/>
                <w:szCs w:val="24"/>
                <w:highlight w:val="none"/>
              </w:rPr>
              <w:t xml:space="preserve">其他未列明行业</w:t>
            </w:r>
            <w:r/>
          </w:p>
        </w:tc>
        <w:tc>
          <w:tcPr>
            <w:tcMar>
              <w:top w:w="100" w:type="dxa"/>
              <w:bottom w:w="100" w:type="dxa"/>
            </w:tcMar>
            <w:tcW w:w="1226"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主要采购标的</w:t>
            </w:r>
            <w:r/>
          </w:p>
        </w:tc>
        <w:tc>
          <w:tcPr>
            <w:tcMar>
              <w:top w:w="100" w:type="dxa"/>
              <w:bottom w:w="100" w:type="dxa"/>
            </w:tcMar>
            <w:tcW w:w="1227" w:type="dxa"/>
            <w:vAlign w:val="center"/>
            <w:textDirection w:val="lrTb"/>
            <w:noWrap/>
          </w:tcPr>
          <w:p>
            <w:pPr>
              <w:pStyle w:val="1168"/>
              <w:ind w:left="0" w:right="0"/>
              <w:jc w:val="center"/>
              <w:keepLines w:val="0"/>
              <w:keepNext w:val="0"/>
              <w:spacing w:before="0" w:beforeAutospacing="0" w:after="0" w:afterAutospacing="0"/>
              <w:widowControl/>
              <w:rPr>
                <w:rStyle w:val="1062"/>
                <w:rFonts w:hint="default" w:ascii="宋体" w:hAnsi="宋体" w:cs="宋体"/>
                <w:color w:val="auto"/>
                <w:sz w:val="24"/>
                <w:szCs w:val="24"/>
                <w:highlight w:val="none"/>
              </w:rPr>
              <w:suppressLineNumbers w:val="0"/>
            </w:pPr>
            <w:r>
              <w:rPr>
                <w:rStyle w:val="1062"/>
                <w:rFonts w:hint="eastAsia" w:ascii="宋体" w:hAnsi="宋体" w:cs="宋体"/>
                <w:color w:val="auto"/>
                <w:sz w:val="24"/>
                <w:szCs w:val="24"/>
                <w:highlight w:val="none"/>
              </w:rPr>
              <w:t xml:space="preserve">服务类</w:t>
            </w:r>
            <w:r/>
          </w:p>
        </w:tc>
      </w:tr>
    </w:tbl>
    <w:p>
      <w:pPr>
        <w:pStyle w:val="1168"/>
        <w:jc w:val="both"/>
        <w:rPr>
          <w:rStyle w:val="946"/>
          <w:rFonts w:hint="eastAsia" w:ascii="宋体" w:hAnsi="宋体" w:eastAsia="宋体" w:cs="宋体"/>
          <w:color w:val="auto"/>
          <w:highlight w:val="none"/>
        </w:rPr>
      </w:pPr>
      <w:r>
        <w:rPr>
          <w:rFonts w:hint="eastAsia" w:ascii="宋体" w:hAnsi="宋体" w:eastAsia="宋体" w:cs="宋体"/>
          <w:color w:val="auto"/>
          <w:highlight w:val="none"/>
        </w:rPr>
      </w:r>
      <w:r/>
    </w:p>
    <w:p>
      <w:pPr>
        <w:pStyle w:val="1168"/>
        <w:jc w:val="both"/>
        <w:rPr>
          <w:rStyle w:val="946"/>
          <w:rFonts w:hint="eastAsia" w:ascii="宋体" w:hAnsi="宋体" w:eastAsia="宋体" w:cs="宋体"/>
          <w:color w:val="auto"/>
          <w:highlight w:val="none"/>
        </w:rPr>
      </w:pPr>
      <w:r>
        <w:rPr>
          <w:rFonts w:hint="eastAsia" w:ascii="宋体" w:hAnsi="宋体" w:eastAsia="宋体" w:cs="宋体"/>
          <w:color w:val="auto"/>
          <w:highlight w:val="none"/>
        </w:rPr>
      </w:r>
      <w:r/>
    </w:p>
    <w:p>
      <w:pPr>
        <w:pStyle w:val="1157"/>
        <w:ind w:firstLine="500"/>
        <w:spacing w:line="440" w:lineRule="exact"/>
        <w:rPr>
          <w:rStyle w:val="946"/>
          <w:rFonts w:hint="eastAsia" w:ascii="宋体" w:hAnsi="宋体" w:eastAsia="宋体" w:cs="宋体"/>
          <w:color w:val="auto"/>
          <w:spacing w:val="7"/>
          <w:sz w:val="24"/>
          <w:szCs w:val="24"/>
          <w:highlight w:val="none"/>
        </w:rPr>
      </w:pPr>
      <w:r>
        <w:rPr>
          <w:rStyle w:val="946"/>
          <w:rFonts w:ascii="宋体" w:hAnsi="宋体" w:eastAsia="宋体" w:cs="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7"/>
        <w:ind w:firstLine="499"/>
        <w:spacing w:before="120" w:line="440" w:lineRule="exact"/>
        <w:rPr>
          <w:rStyle w:val="946"/>
          <w:rFonts w:hint="eastAsia" w:ascii="宋体" w:hAnsi="宋体" w:eastAsia="宋体" w:cs="宋体"/>
          <w:color w:val="auto"/>
          <w:spacing w:val="7"/>
          <w:sz w:val="24"/>
          <w:szCs w:val="24"/>
          <w:highlight w:val="none"/>
        </w:rPr>
      </w:pPr>
      <w:r>
        <w:rPr>
          <w:rStyle w:val="946"/>
          <w:rFonts w:ascii="宋体" w:hAnsi="宋体" w:eastAsia="宋体" w:cs="宋体"/>
          <w:b/>
          <w:bCs/>
          <w:color w:val="auto"/>
          <w:spacing w:val="7"/>
          <w:sz w:val="24"/>
          <w:szCs w:val="24"/>
          <w:highlight w:val="none"/>
        </w:rPr>
        <w:t xml:space="preserve">2.核心产品清单</w:t>
      </w:r>
      <w:r>
        <w:rPr>
          <w:rStyle w:val="946"/>
          <w:rFonts w:hint="eastAsia" w:ascii="宋体" w:hAnsi="宋体" w:eastAsia="宋体" w:cs="宋体"/>
          <w:b/>
          <w:bCs/>
          <w:color w:val="auto"/>
          <w:spacing w:val="7"/>
          <w:sz w:val="24"/>
          <w:szCs w:val="24"/>
          <w:highlight w:val="none"/>
        </w:rPr>
        <w:t xml:space="preserve">：</w:t>
      </w:r>
      <w:r>
        <w:rPr>
          <w:rStyle w:val="946"/>
          <w:rFonts w:hint="eastAsia" w:ascii="宋体" w:hAnsi="宋体" w:eastAsia="宋体" w:cs="宋体"/>
          <w:color w:val="auto"/>
          <w:spacing w:val="7"/>
          <w:sz w:val="24"/>
          <w:szCs w:val="24"/>
          <w:highlight w:val="none"/>
        </w:rPr>
        <w:t xml:space="preserve">无</w:t>
      </w:r>
      <w:r/>
    </w:p>
    <w:p>
      <w:pPr>
        <w:pStyle w:val="1297"/>
        <w:ind w:firstLine="500"/>
        <w:spacing w:line="44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34"/>
        <w:ind w:firstLine="500"/>
        <w:spacing w:line="440" w:lineRule="exact"/>
        <w:rPr>
          <w:rStyle w:val="946"/>
          <w:rFonts w:hint="eastAsia" w:ascii="宋体" w:hAnsi="宋体" w:eastAsia="宋体" w:cs="宋体"/>
          <w:color w:val="auto"/>
          <w:spacing w:val="7"/>
          <w:sz w:val="24"/>
          <w:szCs w:val="24"/>
          <w:highlight w:val="none"/>
        </w:rPr>
      </w:pPr>
      <w:r>
        <w:rPr>
          <w:rStyle w:val="946"/>
          <w:rFonts w:hint="eastAsia" w:ascii="宋体" w:hAnsi="宋体" w:eastAsia="宋体" w:cs="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7"/>
        <w:ind w:firstLine="499"/>
        <w:spacing w:before="120" w:line="440" w:lineRule="exact"/>
        <w:rPr>
          <w:rStyle w:val="946"/>
          <w:rFonts w:hint="eastAsia" w:ascii="宋体" w:hAnsi="宋体" w:eastAsia="宋体" w:cs="宋体"/>
          <w:b/>
          <w:bCs/>
          <w:color w:val="auto"/>
          <w:spacing w:val="7"/>
          <w:sz w:val="24"/>
          <w:szCs w:val="24"/>
          <w:highlight w:val="none"/>
        </w:rPr>
      </w:pPr>
      <w:r>
        <w:rPr>
          <w:rStyle w:val="946"/>
          <w:rFonts w:ascii="宋体" w:hAnsi="宋体" w:eastAsia="宋体" w:cs="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34"/>
        <w:ind w:firstLine="500"/>
        <w:spacing w:line="440" w:lineRule="exact"/>
        <w:rPr>
          <w:rStyle w:val="946"/>
          <w:rFonts w:hint="eastAsia" w:ascii="宋体" w:hAnsi="宋体" w:eastAsia="宋体" w:cs="宋体"/>
          <w:color w:val="auto"/>
          <w:spacing w:val="7"/>
          <w:sz w:val="24"/>
          <w:szCs w:val="24"/>
          <w:highlight w:val="none"/>
        </w:rPr>
      </w:pPr>
      <w:r>
        <w:rPr>
          <w:rStyle w:val="946"/>
          <w:rFonts w:ascii="宋体" w:hAnsi="宋体" w:eastAsia="宋体" w:cs="宋体"/>
          <w:color w:val="auto"/>
          <w:spacing w:val="7"/>
          <w:sz w:val="24"/>
          <w:szCs w:val="24"/>
          <w:highlight w:val="none"/>
        </w:rPr>
        <w:t xml:space="preserve">节能产品政府采购品目清单：</w:t>
      </w:r>
      <w:r>
        <w:rPr>
          <w:rStyle w:val="946"/>
          <w:rFonts w:hint="eastAsia" w:ascii="宋体" w:hAnsi="宋体" w:eastAsia="宋体" w:cs="宋体"/>
          <w:color w:val="auto"/>
          <w:spacing w:val="7"/>
          <w:sz w:val="24"/>
          <w:szCs w:val="24"/>
          <w:highlight w:val="none"/>
        </w:rPr>
        <w:t xml:space="preserve">无</w:t>
      </w:r>
      <w:r/>
    </w:p>
    <w:p>
      <w:pPr>
        <w:pStyle w:val="1134"/>
        <w:ind w:firstLine="500"/>
        <w:spacing w:line="440" w:lineRule="exact"/>
        <w:rPr>
          <w:rStyle w:val="946"/>
          <w:rFonts w:hint="eastAsia" w:ascii="宋体" w:hAnsi="宋体" w:eastAsia="宋体" w:cs="宋体"/>
          <w:color w:val="auto"/>
          <w:spacing w:val="7"/>
          <w:sz w:val="24"/>
          <w:szCs w:val="24"/>
          <w:highlight w:val="none"/>
          <w:lang w:val="zh-CN"/>
        </w:rPr>
      </w:pPr>
      <w:r>
        <w:rPr>
          <w:rStyle w:val="946"/>
          <w:rFonts w:ascii="宋体" w:hAnsi="宋体" w:eastAsia="宋体" w:cs="宋体"/>
          <w:color w:val="auto"/>
          <w:spacing w:val="7"/>
          <w:sz w:val="24"/>
          <w:szCs w:val="24"/>
          <w:highlight w:val="none"/>
        </w:rPr>
        <w:t xml:space="preserve"> </w:t>
      </w:r>
      <w:r>
        <w:rPr>
          <w:rStyle w:val="946"/>
          <w:rFonts w:hint="eastAsia" w:ascii="宋体" w:hAnsi="宋体" w:eastAsia="宋体" w:cs="宋体"/>
          <w:color w:val="auto"/>
          <w:spacing w:val="7"/>
          <w:sz w:val="24"/>
          <w:szCs w:val="24"/>
          <w:highlight w:val="none"/>
          <w:lang w:val="zh-CN"/>
        </w:rPr>
        <w:t xml:space="preserve">注：以</w:t>
      </w:r>
      <w:r>
        <w:rPr>
          <w:rStyle w:val="946"/>
          <w:rFonts w:hint="eastAsia" w:ascii="宋体" w:hAnsi="宋体" w:eastAsia="宋体" w:cs="宋体"/>
          <w:color w:val="auto"/>
          <w:spacing w:val="7"/>
          <w:sz w:val="24"/>
          <w:szCs w:val="24"/>
          <w:highlight w:val="none"/>
        </w:rPr>
        <w:t xml:space="preserve">★</w:t>
      </w:r>
      <w:r>
        <w:rPr>
          <w:rStyle w:val="946"/>
          <w:rFonts w:hint="eastAsia" w:ascii="宋体" w:hAnsi="宋体" w:eastAsia="宋体" w:cs="宋体"/>
          <w:color w:val="auto"/>
          <w:spacing w:val="7"/>
          <w:sz w:val="24"/>
          <w:szCs w:val="24"/>
          <w:highlight w:val="none"/>
          <w:lang w:val="zh-CN"/>
        </w:rPr>
        <w:t xml:space="preserve">标注的为政府强制采购产品</w:t>
      </w:r>
      <w:r/>
    </w:p>
    <w:p>
      <w:pPr>
        <w:pStyle w:val="1134"/>
        <w:ind w:firstLine="500"/>
        <w:spacing w:line="440" w:lineRule="exact"/>
        <w:rPr>
          <w:rStyle w:val="946"/>
          <w:rFonts w:hint="eastAsia" w:ascii="宋体" w:hAnsi="宋体" w:eastAsia="宋体" w:cs="宋体"/>
          <w:color w:val="auto"/>
          <w:spacing w:val="7"/>
          <w:sz w:val="24"/>
          <w:szCs w:val="24"/>
          <w:highlight w:val="none"/>
        </w:rPr>
      </w:pPr>
      <w:r>
        <w:rPr>
          <w:rStyle w:val="946"/>
          <w:rFonts w:ascii="宋体" w:hAnsi="宋体" w:eastAsia="宋体" w:cs="宋体"/>
          <w:color w:val="auto"/>
          <w:spacing w:val="7"/>
          <w:sz w:val="24"/>
          <w:szCs w:val="24"/>
          <w:highlight w:val="none"/>
        </w:rPr>
        <w:t xml:space="preserve">凡“节能产品政府采购品目清单”中以★标注的为政府强制采购产品</w:t>
      </w:r>
      <w:r/>
    </w:p>
    <w:p>
      <w:pPr>
        <w:pStyle w:val="1134"/>
        <w:ind w:firstLine="500"/>
        <w:spacing w:line="440" w:lineRule="exact"/>
        <w:rPr>
          <w:rStyle w:val="946"/>
          <w:rFonts w:hint="eastAsia" w:ascii="宋体" w:hAnsi="宋体" w:eastAsia="宋体" w:cs="宋体"/>
          <w:color w:val="auto"/>
          <w:spacing w:val="7"/>
          <w:sz w:val="24"/>
          <w:szCs w:val="24"/>
          <w:highlight w:val="none"/>
        </w:rPr>
      </w:pPr>
      <w:r>
        <w:rPr>
          <w:rStyle w:val="946"/>
          <w:rFonts w:ascii="宋体" w:hAnsi="宋体" w:eastAsia="宋体" w:cs="宋体"/>
          <w:color w:val="auto"/>
          <w:spacing w:val="7"/>
          <w:sz w:val="24"/>
          <w:szCs w:val="24"/>
          <w:highlight w:val="none"/>
        </w:rPr>
        <w:t xml:space="preserve">环境标志产品政府采购品目清单:</w:t>
      </w:r>
      <w:r>
        <w:rPr>
          <w:rStyle w:val="946"/>
          <w:rFonts w:hint="eastAsia" w:ascii="宋体" w:hAnsi="宋体" w:eastAsia="宋体" w:cs="宋体"/>
          <w:color w:val="auto"/>
          <w:spacing w:val="7"/>
          <w:sz w:val="24"/>
          <w:szCs w:val="24"/>
          <w:highlight w:val="none"/>
        </w:rPr>
        <w:t xml:space="preserve">无</w:t>
      </w:r>
      <w:r/>
    </w:p>
    <w:p>
      <w:pPr>
        <w:pStyle w:val="114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4、绿色采购其他政策： </w:t>
      </w:r>
      <w:r/>
    </w:p>
    <w:p>
      <w:pPr>
        <w:pStyle w:val="114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4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500" w:lineRule="exact"/>
        <w:widowControl w:val="off"/>
        <w:rPr>
          <w:rFonts w:ascii="宋体" w:hAnsi="宋体" w:eastAsia="Times New Roman"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注意事项：</w:t>
      </w:r>
      <w:r/>
    </w:p>
    <w:p>
      <w:pPr>
        <w:pStyle w:val="1204"/>
        <w:numPr>
          <w:ilvl w:val="0"/>
          <w:numId w:val="0"/>
        </w:numPr>
        <w:keepLines w:val="0"/>
        <w:keepNext w:val="0"/>
        <w:pageBreakBefore w:val="0"/>
        <w:spacing w:afterAutospacing="0" w:line="400" w:lineRule="exact"/>
        <w:widowControl/>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pacing w:val="7"/>
          <w:sz w:val="24"/>
          <w:szCs w:val="24"/>
          <w:highlight w:val="none"/>
          <w:lang w:val="en-US" w:eastAsia="zh-CN" w:bidi="ar-SA"/>
        </w:rPr>
        <w:t xml:space="preserve">在项目实施过程中，涉及到与第三方系统对接的，由采购人配合协调与第三方系统主管单位、第三方系统供应商沟通协调，确保第三方系统接口免费开放。</w:t>
      </w:r>
      <w:r/>
    </w:p>
    <w:p>
      <w:pPr>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二、技术要求</w:t>
      </w:r>
      <w:bookmarkStart w:id="219" w:name="OLE_LINK1"/>
      <w:r/>
      <w:bookmarkEnd w:id="219"/>
      <w:r/>
    </w:p>
    <w:tbl>
      <w:tblPr>
        <w:tblStyle w:val="744"/>
        <w:tblW w:w="91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245"/>
        <w:gridCol w:w="6809"/>
      </w:tblGrid>
      <w:tr>
        <w:trPr>
          <w:trHeight w:val="23"/>
        </w:trPr>
        <w:tc>
          <w:tcPr>
            <w:tcW w:w="1048" w:type="dxa"/>
            <w:vAlign w:val="center"/>
            <w:textDirection w:val="lrTb"/>
            <w:noWrap w:val="false"/>
          </w:tcPr>
          <w:p>
            <w:pPr>
              <w:numPr>
                <w:ilvl w:val="0"/>
                <w:numId w:val="0"/>
              </w:numPr>
              <w:ind w:left="0" w:right="0" w:firstLine="240"/>
              <w:jc w:val="center"/>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序号</w:t>
            </w:r>
            <w:r/>
          </w:p>
        </w:tc>
        <w:tc>
          <w:tcPr>
            <w:tcW w:w="1245" w:type="dxa"/>
            <w:vAlign w:val="center"/>
            <w:textDirection w:val="lrTb"/>
            <w:noWrap w:val="false"/>
          </w:tcPr>
          <w:p>
            <w:pPr>
              <w:numPr>
                <w:ilvl w:val="0"/>
                <w:numId w:val="0"/>
              </w:numPr>
              <w:ind w:left="0" w:right="0" w:firstLine="240"/>
              <w:jc w:val="center"/>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名称</w:t>
            </w:r>
            <w:r/>
          </w:p>
        </w:tc>
        <w:tc>
          <w:tcPr>
            <w:tcW w:w="6809" w:type="dxa"/>
            <w:vAlign w:val="center"/>
            <w:textDirection w:val="lrTb"/>
            <w:noWrap w:val="false"/>
          </w:tcPr>
          <w:p>
            <w:pPr>
              <w:numPr>
                <w:ilvl w:val="0"/>
                <w:numId w:val="0"/>
              </w:numPr>
              <w:ind w:left="0" w:right="0" w:firstLine="240"/>
              <w:jc w:val="center"/>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技术要求</w:t>
            </w:r>
            <w:r/>
          </w:p>
        </w:tc>
      </w:tr>
      <w:tr>
        <w:trPr>
          <w:trHeight w:val="23"/>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项目背景</w:t>
            </w:r>
            <w:r/>
          </w:p>
        </w:tc>
        <w:tc>
          <w:tcPr>
            <w:tcW w:w="6809" w:type="dxa"/>
            <w:vAlign w:val="center"/>
            <w:textDirection w:val="lrTb"/>
            <w:noWrap w:val="false"/>
          </w:tcPr>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常阴沙维保范围内现有路灯</w:t>
            </w:r>
            <w:r>
              <w:rPr>
                <w:rFonts w:hint="eastAsia" w:ascii="宋体" w:hAnsi="宋体" w:cs="宋体"/>
                <w:color w:val="auto"/>
                <w:sz w:val="24"/>
                <w:szCs w:val="24"/>
                <w:highlight w:val="none"/>
                <w:lang w:val="en-US" w:eastAsia="zh-CN"/>
              </w:rPr>
              <w:t xml:space="preserve">1024</w:t>
            </w:r>
            <w:r>
              <w:rPr>
                <w:rFonts w:hint="eastAsia" w:ascii="宋体" w:hAnsi="宋体" w:eastAsia="宋体" w:cs="宋体"/>
                <w:color w:val="auto"/>
                <w:sz w:val="24"/>
                <w:szCs w:val="24"/>
                <w:highlight w:val="none"/>
                <w:lang w:val="en-US" w:eastAsia="zh-CN"/>
              </w:rPr>
              <w:t xml:space="preserve">杆、10</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盏，主要分布于红旗路、沿江路、人民路、永泰路等路段。本次改造包含路灯LED灯改造，路灯美化，智慧化改造及后续10年维保服务等。</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项目主要内容分为以下几部分：</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传统路灯节能化改造：对高压钠灯光源灯具785盏，LED光源灯具34盏，在满足城市道路照明标准的前提下，对常阴沙市政道路819余盏钠灯（含金卤灯、节能灯、无单灯控制的LED灯等）进行节能改造，更换为具有单灯控制功能的LED路灯</w:t>
            </w:r>
            <w:bookmarkStart w:id="220" w:name="_Hlk176386558"/>
            <w:r/>
            <w:bookmarkStart w:id="221" w:name="_Hlk176384588"/>
            <w:r>
              <w:rPr>
                <w:rFonts w:hint="eastAsia" w:ascii="宋体" w:hAnsi="宋体" w:eastAsia="宋体" w:cs="宋体"/>
                <w:color w:val="auto"/>
                <w:sz w:val="24"/>
                <w:szCs w:val="24"/>
                <w:highlight w:val="none"/>
                <w:lang w:val="en-US" w:eastAsia="zh-CN"/>
              </w:rPr>
              <w:t xml:space="preserve">。加装的路灯智能控制系统须接入现有张家港市智慧照明管理平台，所有操作与数据均应在该平台操作显示，</w:t>
            </w:r>
            <w:bookmarkEnd w:id="220"/>
            <w:r>
              <w:rPr>
                <w:rFonts w:hint="default" w:ascii="宋体" w:hAnsi="宋体" w:eastAsia="宋体" w:cs="宋体"/>
                <w:color w:val="auto"/>
                <w:sz w:val="24"/>
                <w:szCs w:val="24"/>
                <w:highlight w:val="none"/>
                <w:lang w:val="en-US" w:eastAsia="zh-CN"/>
              </w:rPr>
              <w:t xml:space="preserve">平台对接及开发费用由中标单位承担并提供承诺书</w:t>
            </w:r>
            <w:r>
              <w:rPr>
                <w:rFonts w:hint="eastAsia" w:ascii="宋体" w:hAnsi="宋体" w:eastAsia="宋体" w:cs="宋体"/>
                <w:color w:val="auto"/>
                <w:sz w:val="24"/>
                <w:szCs w:val="24"/>
                <w:highlight w:val="none"/>
                <w:lang w:val="en-US" w:eastAsia="zh-CN"/>
              </w:rPr>
              <w:t xml:space="preserve">；中标人需承担上述路灯及相关配套设施</w:t>
            </w:r>
            <w:bookmarkStart w:id="222" w:name="_Hlk176365031"/>
            <w:r>
              <w:rPr>
                <w:rFonts w:hint="eastAsia" w:ascii="宋体" w:hAnsi="宋体" w:eastAsia="宋体" w:cs="宋体"/>
                <w:color w:val="auto"/>
                <w:sz w:val="24"/>
                <w:szCs w:val="24"/>
                <w:highlight w:val="none"/>
                <w:lang w:val="en-US" w:eastAsia="zh-CN"/>
              </w:rPr>
              <w:t xml:space="preserve">（包括灯具、单灯控制器、控制箱等相关路灯附属设施）</w:t>
            </w:r>
            <w:bookmarkEnd w:id="222"/>
            <w:r>
              <w:rPr>
                <w:rFonts w:hint="eastAsia" w:ascii="宋体" w:hAnsi="宋体" w:eastAsia="宋体" w:cs="宋体"/>
                <w:color w:val="auto"/>
                <w:sz w:val="24"/>
                <w:szCs w:val="24"/>
                <w:highlight w:val="none"/>
                <w:lang w:val="en-US" w:eastAsia="zh-CN"/>
              </w:rPr>
              <w:t xml:space="preserve">的日常运维。</w:t>
            </w:r>
            <w:bookmarkEnd w:id="221"/>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（2）太阳能路灯维护：太阳能路灯</w:t>
            </w:r>
            <w:r>
              <w:rPr>
                <w:rFonts w:hint="eastAsia" w:ascii="宋体" w:hAnsi="宋体" w:cs="宋体"/>
                <w:color w:val="auto"/>
                <w:sz w:val="24"/>
                <w:szCs w:val="24"/>
                <w:highlight w:val="none"/>
                <w:lang w:val="en-US" w:eastAsia="zh-CN"/>
              </w:rPr>
              <w:t xml:space="preserve">229</w:t>
            </w:r>
            <w:r>
              <w:rPr>
                <w:rFonts w:hint="eastAsia" w:ascii="宋体" w:hAnsi="宋体" w:eastAsia="宋体" w:cs="宋体"/>
                <w:color w:val="auto"/>
                <w:sz w:val="24"/>
                <w:szCs w:val="24"/>
                <w:highlight w:val="none"/>
                <w:lang w:val="en-US" w:eastAsia="zh-CN"/>
              </w:rPr>
              <w:t xml:space="preserve">盏，中标人承担硬件(包括但不限于灯具、太阳能电池板、光伏储能专用锂电池系统等) 及连接线缆的日常维护、巡检、故障处理，以及其他保障系统正常运行的维护服务工作。</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（3）集中控制设备改造：对招标范围内路灯的配电箱改造升级，安装通信模块及数据监测模块，实现对配电箱、线路、灯具等路灯设施设备运行数据的监测、控制及调节，保障用电安全、供电可靠、用能清晰。</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中标人需承担本项目全部费用，</w:t>
            </w:r>
            <w:r>
              <w:rPr>
                <w:rFonts w:hint="default" w:ascii="宋体" w:hAnsi="宋体" w:eastAsia="宋体" w:cs="宋体"/>
                <w:color w:val="auto"/>
                <w:sz w:val="24"/>
                <w:szCs w:val="24"/>
                <w:highlight w:val="none"/>
                <w:lang w:val="en-US" w:eastAsia="zh-CN"/>
              </w:rPr>
              <w:t xml:space="preserve">包括但不限于：灯具及配套设备采购、运输装卸、安装调试、检测验收、技术资料、培训、10年托管期内电费、平台运维费、网络资费、日常运维费，以及第三方服务费（前期调研、中标服务等）、保险、税金、利润及合同约定的所有风险、责任相关费用。</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人</w:t>
            </w:r>
            <w:r>
              <w:rPr>
                <w:rFonts w:hint="default" w:ascii="宋体" w:hAnsi="宋体" w:eastAsia="宋体" w:cs="宋体"/>
                <w:color w:val="auto"/>
                <w:sz w:val="24"/>
                <w:szCs w:val="24"/>
                <w:highlight w:val="none"/>
                <w:lang w:val="en-US" w:eastAsia="zh-CN"/>
              </w:rPr>
              <w:t xml:space="preserve">须对现有路灯及附属设备开展详细勘查、测试，全面评估故障、安全隐患、设备性能等指标，出具节能改造及智能控制系统方案，于合同签订后30日内提交采购</w:t>
            </w:r>
            <w:r>
              <w:rPr>
                <w:rFonts w:hint="eastAsia" w:ascii="宋体" w:hAnsi="宋体" w:eastAsia="宋体" w:cs="宋体"/>
                <w:color w:val="auto"/>
                <w:sz w:val="24"/>
                <w:szCs w:val="24"/>
                <w:highlight w:val="none"/>
                <w:lang w:val="en-US" w:eastAsia="zh-CN"/>
              </w:rPr>
              <w:t xml:space="preserve">人</w:t>
            </w:r>
            <w:r>
              <w:rPr>
                <w:rFonts w:hint="default" w:ascii="宋体" w:hAnsi="宋体" w:eastAsia="宋体" w:cs="宋体"/>
                <w:color w:val="auto"/>
                <w:sz w:val="24"/>
                <w:szCs w:val="24"/>
                <w:highlight w:val="none"/>
                <w:lang w:val="en-US" w:eastAsia="zh-CN"/>
              </w:rPr>
              <w:t xml:space="preserve">书面确认后实施。采购单位委托具备资质的工程监理机构负责改造期间质量、安全、进度、文明施工监理，监理费用由采购</w:t>
            </w:r>
            <w:r>
              <w:rPr>
                <w:rFonts w:hint="eastAsia" w:ascii="宋体" w:hAnsi="宋体" w:eastAsia="宋体" w:cs="宋体"/>
                <w:color w:val="auto"/>
                <w:sz w:val="24"/>
                <w:szCs w:val="24"/>
                <w:highlight w:val="none"/>
                <w:lang w:val="en-US" w:eastAsia="zh-CN"/>
              </w:rPr>
              <w:t xml:space="preserve">人</w:t>
            </w:r>
            <w:r>
              <w:rPr>
                <w:rFonts w:hint="default" w:ascii="宋体" w:hAnsi="宋体" w:eastAsia="宋体" w:cs="宋体"/>
                <w:color w:val="auto"/>
                <w:sz w:val="24"/>
                <w:szCs w:val="24"/>
                <w:highlight w:val="none"/>
                <w:lang w:val="en-US" w:eastAsia="zh-CN"/>
              </w:rPr>
              <w:t xml:space="preserve">承担。</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采购人将委托具有相应资质的工程监理机构对改造建设期间的质量、安全、进度、文明施工等情况进行监理，相应的监理费用由采购人支付。</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中标人承担招标范围内路灯电费缴纳，采购人配合中标人在竣工前完成现有电表的</w:t>
            </w:r>
            <w:r>
              <w:rPr>
                <w:rFonts w:hint="eastAsia" w:ascii="宋体" w:hAnsi="宋体" w:cs="宋体"/>
                <w:color w:val="auto"/>
                <w:sz w:val="24"/>
                <w:szCs w:val="24"/>
                <w:highlight w:val="none"/>
                <w:lang w:val="en-US" w:eastAsia="zh-CN"/>
              </w:rPr>
              <w:t xml:space="preserve">清点</w:t>
            </w:r>
            <w:r>
              <w:rPr>
                <w:rFonts w:hint="eastAsia" w:ascii="宋体" w:hAnsi="宋体" w:eastAsia="宋体" w:cs="宋体"/>
                <w:color w:val="auto"/>
                <w:sz w:val="24"/>
                <w:szCs w:val="24"/>
                <w:highlight w:val="none"/>
                <w:lang w:val="en-US" w:eastAsia="zh-CN"/>
              </w:rPr>
              <w:t xml:space="preserve">，具体详见《城市道路路灯电表清单》。</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2</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建设标准</w:t>
            </w:r>
            <w:r/>
          </w:p>
        </w:tc>
        <w:tc>
          <w:tcPr>
            <w:tcW w:w="6809" w:type="dxa"/>
            <w:vAlign w:val="center"/>
            <w:textDirection w:val="lrTb"/>
            <w:noWrap w:val="false"/>
          </w:tcPr>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本项目技术要求中引用以下技术规范和标准（包括但不限于），如有最新规范以新规范为准：</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lang w:val="en-US"/>
              </w:rPr>
              <w:t xml:space="preserve">（1）</w:t>
            </w:r>
            <w:r>
              <w:rPr>
                <w:rStyle w:val="946"/>
                <w:rFonts w:hint="eastAsia" w:ascii="宋体" w:hAnsi="宋体" w:eastAsia="宋体" w:cs="宋体"/>
                <w:b w:val="0"/>
                <w:i w:val="0"/>
                <w:iCs/>
                <w:color w:val="auto"/>
                <w:sz w:val="24"/>
                <w:szCs w:val="24"/>
                <w:highlight w:val="none"/>
                <w:u w:val="none"/>
              </w:rPr>
              <w:t xml:space="preserve">项目验收标准及测量方法：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w:t>
            </w:r>
            <w:r>
              <w:rPr>
                <w:rStyle w:val="946"/>
                <w:rFonts w:hint="eastAsia" w:ascii="宋体" w:hAnsi="宋体" w:eastAsia="宋体" w:cs="宋体"/>
                <w:b w:val="0"/>
                <w:i w:val="0"/>
                <w:iCs/>
                <w:color w:val="auto"/>
                <w:sz w:val="24"/>
                <w:szCs w:val="24"/>
                <w:highlight w:val="none"/>
                <w:u w:val="none"/>
                <w:lang w:val="en-US"/>
              </w:rPr>
              <w:t xml:space="preserve"> </w:t>
            </w:r>
            <w:r>
              <w:rPr>
                <w:rStyle w:val="946"/>
                <w:rFonts w:hint="eastAsia" w:ascii="宋体" w:hAnsi="宋体" w:eastAsia="宋体" w:cs="宋体"/>
                <w:b w:val="0"/>
                <w:i w:val="0"/>
                <w:iCs/>
                <w:color w:val="auto"/>
                <w:sz w:val="24"/>
                <w:szCs w:val="24"/>
                <w:highlight w:val="none"/>
                <w:u w:val="none"/>
              </w:rPr>
              <w:t xml:space="preserve">5700-2023 《照明测量方法》；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CJJ</w:t>
            </w:r>
            <w:r>
              <w:rPr>
                <w:rStyle w:val="946"/>
                <w:rFonts w:hint="eastAsia" w:ascii="宋体" w:hAnsi="宋体" w:eastAsia="宋体" w:cs="宋体"/>
                <w:b w:val="0"/>
                <w:i w:val="0"/>
                <w:iCs/>
                <w:color w:val="auto"/>
                <w:sz w:val="24"/>
                <w:szCs w:val="24"/>
                <w:highlight w:val="none"/>
                <w:u w:val="none"/>
                <w:lang w:val="en-US"/>
              </w:rPr>
              <w:t xml:space="preserve"> </w:t>
            </w:r>
            <w:r>
              <w:rPr>
                <w:rStyle w:val="946"/>
                <w:rFonts w:hint="eastAsia" w:ascii="宋体" w:hAnsi="宋体" w:eastAsia="宋体" w:cs="宋体"/>
                <w:b w:val="0"/>
                <w:i w:val="0"/>
                <w:iCs/>
                <w:color w:val="auto"/>
                <w:sz w:val="24"/>
                <w:szCs w:val="24"/>
                <w:highlight w:val="none"/>
                <w:u w:val="none"/>
              </w:rPr>
              <w:t xml:space="preserve">45-2015《城市道路照明设计标准》；</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lang w:val="en-US"/>
              </w:rPr>
              <w:t xml:space="preserve">（2）</w:t>
            </w:r>
            <w:r>
              <w:rPr>
                <w:rStyle w:val="946"/>
                <w:rFonts w:hint="eastAsia" w:ascii="宋体" w:hAnsi="宋体" w:eastAsia="宋体" w:cs="宋体"/>
                <w:b w:val="0"/>
                <w:i w:val="0"/>
                <w:iCs/>
                <w:color w:val="auto"/>
                <w:sz w:val="24"/>
                <w:szCs w:val="24"/>
                <w:highlight w:val="none"/>
                <w:u w:val="none"/>
              </w:rPr>
              <w:t xml:space="preserve">灯具产品规范与标准：</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GB7000.1-2015 《灯具 第1部分:一般要求与试验》；                      </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GB7000.203-2013《灯具 第2-3部分：特殊要求道路与街路照明灯具》；</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GB/T20138-2023《电气设备外壳对外界机械碰撞的防护等级》</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GB/T17626.5-2019 《电磁兼容试验和测量技术浪涌(冲击)抗扰度试验》</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GB/T2423.10-2019 《环境试验第2部分：试验方法试验Fc：振动(正弦)》</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GB17743-2021《电气照明和类似设备的无线电骚扰特性的限值和测量方法》；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GB17625.1-2012  《电磁兼容限值谐波电流发射限值（设备每相输入电流≤16A）》；</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18595-2014  《一般照明用设备电磁兼容抗扰度要求》；</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 4208-2008 《外壳防护等级（IP代码）》；</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 24819-2009《普通照明用LED模块安全要求》；</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24824-2009《普通照明用LED模块测试方式》</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9468-2008 《灯具分布光度测量的一般要求》；</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24825-2022《LED模块用直流或交流电子控制装置性能规范》</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2423.22-2012《环境试验第2部分：试验方法试验N：温度变化》</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24824-2009  《普通照明用LED模块测试方法》；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 2423.17-2008《电工电子产品环境试验 第2部分：试验方法》；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IES LM-79-08《固态照明产品电气和光度测量方法》；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IES LM-79-19《固态照明产品光学和电气测量方法》</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GB/T24825-2022 《LED模块用直流或交流电子控制装置性能规范》</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GB/T2423.22-2012 《环境试验第2部分：试验方法试验N：温度变化》</w:t>
            </w:r>
            <w:r/>
          </w:p>
          <w:p>
            <w:pPr>
              <w:pStyle w:val="1259"/>
              <w:ind w:left="0" w:right="0" w:firstLine="0"/>
              <w:jc w:val="left"/>
              <w:keepLines w:val="0"/>
              <w:keepNext w:val="0"/>
              <w:pageBreakBefore w:val="0"/>
              <w:spacing w:before="0" w:beforeAutospacing="0" w:after="0" w:afterAutospacing="0" w:line="260" w:lineRule="atLeast"/>
              <w:widowControl w:val="off"/>
              <w:rPr>
                <w:rStyle w:val="946"/>
                <w:rFonts w:hint="eastAsia" w:ascii="宋体" w:hAnsi="宋体" w:eastAsia="宋体" w:cs="宋体"/>
                <w:b w:val="0"/>
                <w:i w:val="0"/>
                <w:iCs/>
                <w:color w:val="auto"/>
                <w:sz w:val="24"/>
                <w:szCs w:val="24"/>
                <w:highlight w:val="none"/>
                <w:u w:val="none"/>
              </w:rPr>
              <w:suppressLineNumbers w:val="0"/>
            </w:pPr>
            <w:r>
              <w:rPr>
                <w:rStyle w:val="946"/>
                <w:rFonts w:hint="eastAsia" w:ascii="宋体" w:hAnsi="宋体" w:eastAsia="宋体" w:cs="宋体"/>
                <w:b w:val="0"/>
                <w:i w:val="0"/>
                <w:iCs/>
                <w:color w:val="auto"/>
                <w:sz w:val="24"/>
                <w:szCs w:val="24"/>
                <w:highlight w:val="none"/>
                <w:u w:val="none"/>
              </w:rPr>
              <w:t xml:space="preserve">GB19510.12-2005 《灯的控制装置1部分:与灯具联用的杂类电子线路的特殊要求》；</w:t>
            </w:r>
            <w:r/>
          </w:p>
          <w:p>
            <w:pPr>
              <w:pStyle w:val="1259"/>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z w:val="24"/>
                <w:szCs w:val="24"/>
                <w:highlight w:val="none"/>
                <w:vertAlign w:val="baseline"/>
                <w:lang w:val="en-US" w:eastAsia="zh-CN"/>
              </w:rPr>
              <w:suppressLineNumbers w:val="0"/>
            </w:pPr>
            <w:r>
              <w:rPr>
                <w:rStyle w:val="946"/>
                <w:rFonts w:hint="eastAsia" w:ascii="宋体" w:hAnsi="宋体" w:eastAsia="宋体" w:cs="宋体"/>
                <w:b w:val="0"/>
                <w:i w:val="0"/>
                <w:iCs/>
                <w:color w:val="auto"/>
                <w:sz w:val="24"/>
                <w:szCs w:val="24"/>
                <w:highlight w:val="none"/>
                <w:u w:val="none"/>
                <w:lang w:val="en-US" w:eastAsia="zh-CN"/>
              </w:rPr>
              <w:t xml:space="preserve">依据《城市道路照明设计标准》（CJJ45-2015）的道路照度要求及灯具设备技术参数，采用高光效LED灯具对现有照明灯具实施节能改造，灯具防护等级</w:t>
            </w:r>
            <w:r>
              <w:rPr>
                <w:rFonts w:hint="eastAsia" w:ascii="宋体" w:hAnsi="宋体" w:eastAsia="宋体" w:cs="宋体"/>
                <w:color w:val="auto"/>
                <w:sz w:val="24"/>
                <w:szCs w:val="24"/>
                <w:highlight w:val="none"/>
                <w:vertAlign w:val="baseline"/>
                <w:lang w:val="en-US" w:eastAsia="zh-CN"/>
              </w:rPr>
              <w:t xml:space="preserve">≥</w:t>
            </w:r>
            <w:r>
              <w:rPr>
                <w:rStyle w:val="946"/>
                <w:rFonts w:hint="eastAsia" w:ascii="宋体" w:hAnsi="宋体" w:eastAsia="宋体" w:cs="宋体"/>
                <w:b w:val="0"/>
                <w:i w:val="0"/>
                <w:iCs/>
                <w:color w:val="auto"/>
                <w:sz w:val="24"/>
                <w:szCs w:val="24"/>
                <w:highlight w:val="none"/>
                <w:u w:val="none"/>
                <w:lang w:val="en-US" w:eastAsia="zh-CN"/>
              </w:rPr>
              <w:t xml:space="preserve">IP65。投标人须确保改造后的道路照明相关指标及LED灯具符合上述标准及本项目路灯技术要求。</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3</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灯具要求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（1）额定供电电压为AC220V，在电压波动±20%范围内灯具需能正常工作；</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（2）色温要求：主干路及次干路灯具色温为4000K；</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（3）显色指数Ra≥70，整灯光效≥</w:t>
            </w:r>
            <w:r>
              <w:rPr>
                <w:rFonts w:hint="eastAsia" w:ascii="宋体" w:hAnsi="宋体" w:cs="宋体"/>
                <w:color w:val="auto"/>
                <w:sz w:val="24"/>
                <w:szCs w:val="24"/>
                <w:highlight w:val="none"/>
                <w:vertAlign w:val="baseline"/>
                <w:lang w:val="en-US" w:eastAsia="zh-CN"/>
              </w:rPr>
              <w:t xml:space="preserve">140</w:t>
            </w:r>
            <w:r>
              <w:rPr>
                <w:rFonts w:hint="eastAsia" w:ascii="宋体" w:hAnsi="宋体" w:eastAsia="宋体" w:cs="宋体"/>
                <w:color w:val="auto"/>
                <w:sz w:val="24"/>
                <w:szCs w:val="24"/>
                <w:highlight w:val="none"/>
                <w:vertAlign w:val="baseline"/>
                <w:lang w:val="en-US" w:eastAsia="zh-CN"/>
              </w:rPr>
              <w:t xml:space="preserve">Lm/W；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（4）功率因数≥0.95；</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（5）防护等级≥IP66；</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（6）电器绝缘等级为Class I；</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（7）适用环境温度范围-40℃~+50℃；</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8）壳体采用压铸铝合金或高强度塑料材质，外表面喷塑或烤漆处理；具备雨水自洁性能和对流散热性能；开闭紧固装置需为金属材质，采用上开盖免工具开启设计；需有独立的电源腔，内部导线应为耐高温导线；需配备防坠落结构，安装接口尺寸为φ60mm。</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（9）符合GB 37478-2019 《道路和隧道照明用LED灯具能效限定值及能效等级》中1级能效等级要求，同时满足GB/T 20138-2006《电气设备外壳对外界机械碰撞的防护等级》，防冲击性能</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IK08。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（10）需获得中国质量认证中心(CQC 认证)出具的认证证书。</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（11）浪涌抗扰度符合《一般照明用设备电磁兼容抗扰度要求》GB/T18595 的规定。</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（12）控制装置的浪涌抗扰度符合《电磁兼容试验和测量技术浪涌(冲击)抗扰度试验》GB 17626.5的规定；</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（13）驱动电源效率≥</w:t>
            </w:r>
            <w:r>
              <w:rPr>
                <w:rFonts w:hint="eastAsia" w:ascii="宋体" w:hAnsi="宋体" w:cs="宋体"/>
                <w:color w:val="auto"/>
                <w:sz w:val="24"/>
                <w:szCs w:val="24"/>
                <w:highlight w:val="none"/>
                <w:vertAlign w:val="baseline"/>
                <w:lang w:val="en-US" w:eastAsia="zh-CN"/>
              </w:rPr>
              <w:t xml:space="preserve">88</w:t>
            </w:r>
            <w:r>
              <w:rPr>
                <w:rFonts w:hint="eastAsia" w:ascii="宋体" w:hAnsi="宋体" w:eastAsia="宋体" w:cs="宋体"/>
                <w:color w:val="auto"/>
                <w:sz w:val="24"/>
                <w:szCs w:val="24"/>
                <w:highlight w:val="none"/>
                <w:vertAlign w:val="baseline"/>
                <w:lang w:val="en-US" w:eastAsia="zh-CN"/>
              </w:rPr>
              <w:t xml:space="preserve">%，具有过流、短路、涌浪电压抑制等保护功能，内置10KV浪涌保护器。</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（14）LED发光芯片采用原厂封装大功率LED发光管，单颗光源额定功率</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2W，芯片光效≥180Lm/W，严禁采用COB集成式芯片。</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（15）灯具使用寿命</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50000h。</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（16）单灯智能控制器、集中控制器须全部接入路灯控制平台。</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17</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bidi="ar-SA"/>
              </w:rPr>
              <w:t xml:space="preserve">需包含相应的电源，满足灯具使用。</w:t>
            </w:r>
            <w:r/>
          </w:p>
          <w:p>
            <w:pPr>
              <w:pStyle w:val="752"/>
              <w:ind w:left="0" w:right="0" w:firstLine="0"/>
              <w:keepLines w:val="0"/>
              <w:keepNext w:val="0"/>
              <w:spacing w:before="0" w:beforeAutospacing="0" w:after="0" w:afterAutospacing="0"/>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▲（18）LED灯具通过GB/T 2423.17-2018盐雾测试，且测试时间≥168h。</w:t>
            </w:r>
            <w:r/>
          </w:p>
          <w:p>
            <w:pPr>
              <w:pStyle w:val="752"/>
              <w:ind w:left="0" w:right="0" w:firstLine="0"/>
              <w:keepLines w:val="0"/>
              <w:keepNext w:val="0"/>
              <w:spacing w:before="0" w:beforeAutospacing="0" w:after="0" w:afterAutospacing="0"/>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▲（19）实验室实测光通量维持率，实测6000H,且灯具总光通量维持率≥98%</w:t>
            </w:r>
            <w:r/>
          </w:p>
          <w:p>
            <w:pPr>
              <w:pStyle w:val="752"/>
              <w:ind w:left="0" w:right="0" w:firstLine="0"/>
              <w:keepLines w:val="0"/>
              <w:keepNext w:val="0"/>
              <w:spacing w:before="0" w:beforeAutospacing="0" w:after="0" w:afterAutospacing="0"/>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▲（20）LED道路灯具灯具结温测试，TTs-T散热器=（2.1℃至5℃）</w:t>
            </w:r>
            <w:r>
              <w:rPr>
                <w:rFonts w:hint="eastAsia" w:ascii="宋体" w:eastAsia="宋体" w:cs="宋体"/>
                <w:color w:val="auto"/>
                <w:sz w:val="24"/>
                <w:szCs w:val="24"/>
                <w:highlight w:val="none"/>
                <w:vertAlign w:val="baseline"/>
                <w:lang w:val="en-US" w:eastAsia="zh-CN"/>
              </w:rPr>
              <w:t xml:space="preserve">。</w:t>
            </w:r>
            <w:r/>
          </w:p>
          <w:p>
            <w:pPr>
              <w:pStyle w:val="752"/>
              <w:ind w:left="0" w:right="0" w:firstLine="0"/>
              <w:keepLines w:val="0"/>
              <w:keepNext w:val="0"/>
              <w:spacing w:before="0" w:beforeAutospacing="0" w:after="0" w:afterAutospacing="0"/>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（21）需通过CQC认证，具备中国质量认证中心认可的检测机构出具的认证证书，同时体现Ta值、控制端口调光、WF2</w:t>
            </w:r>
            <w:r>
              <w:rPr>
                <w:rFonts w:hint="eastAsia" w:ascii="宋体" w:eastAsia="宋体" w:cs="宋体"/>
                <w:color w:val="auto"/>
                <w:sz w:val="24"/>
                <w:szCs w:val="24"/>
                <w:highlight w:val="none"/>
                <w:vertAlign w:val="baseline"/>
                <w:lang w:val="en-US" w:eastAsia="zh-CN"/>
              </w:rPr>
              <w:t xml:space="preserve">。</w:t>
            </w:r>
            <w:r/>
          </w:p>
          <w:p>
            <w:pPr>
              <w:pStyle w:val="752"/>
              <w:ind w:left="0" w:right="0" w:firstLine="0"/>
              <w:keepLines w:val="0"/>
              <w:keepNext w:val="0"/>
              <w:spacing w:before="0" w:beforeAutospacing="0" w:after="0" w:afterAutospacing="0"/>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b/>
                <w:bCs/>
                <w:i w:val="0"/>
                <w:iCs w:val="0"/>
                <w:color w:val="auto"/>
                <w:sz w:val="24"/>
                <w:szCs w:val="24"/>
                <w:highlight w:val="none"/>
                <w:u w:val="none"/>
                <w:vertAlign w:val="baseline"/>
                <w:lang w:val="en-US" w:eastAsia="zh-CN"/>
              </w:rPr>
              <w:t xml:space="preserve">以上“▲”项需提供由</w:t>
            </w:r>
            <w:r>
              <w:rPr>
                <w:rFonts w:hint="eastAsia" w:ascii="宋体" w:eastAsia="宋体" w:cs="宋体"/>
                <w:b/>
                <w:bCs/>
                <w:i w:val="0"/>
                <w:iCs w:val="0"/>
                <w:color w:val="auto"/>
                <w:sz w:val="24"/>
                <w:szCs w:val="24"/>
                <w:highlight w:val="none"/>
                <w:u w:val="none"/>
                <w:vertAlign w:val="baseline"/>
                <w:lang w:val="en-US" w:eastAsia="zh-CN"/>
              </w:rPr>
              <w:t xml:space="preserve">国家认可的</w:t>
            </w:r>
            <w:r>
              <w:rPr>
                <w:rFonts w:hint="eastAsia" w:ascii="宋体" w:hAnsi="宋体" w:eastAsia="宋体" w:cs="宋体"/>
                <w:b/>
                <w:bCs/>
                <w:i w:val="0"/>
                <w:iCs w:val="0"/>
                <w:color w:val="auto"/>
                <w:sz w:val="24"/>
                <w:szCs w:val="24"/>
                <w:highlight w:val="none"/>
                <w:u w:val="none"/>
                <w:vertAlign w:val="baseline"/>
                <w:lang w:val="en-US" w:eastAsia="zh-CN"/>
              </w:rPr>
              <w:t xml:space="preserve">电光源质量检验检测中心出具的检测报告,报告需具有CMA和CNAS认证标志并支持二维码验真伪，允许同系列、不同功率</w:t>
            </w:r>
            <w:r>
              <w:rPr>
                <w:rFonts w:hint="eastAsia" w:ascii="宋体" w:eastAsia="宋体" w:cs="宋体"/>
                <w:b/>
                <w:bCs/>
                <w:i w:val="0"/>
                <w:iCs w:val="0"/>
                <w:color w:val="auto"/>
                <w:sz w:val="24"/>
                <w:szCs w:val="24"/>
                <w:highlight w:val="none"/>
                <w:u w:val="none"/>
                <w:vertAlign w:val="baseline"/>
                <w:lang w:val="en-US" w:eastAsia="zh-CN"/>
              </w:rPr>
              <w:t xml:space="preserve">。</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4</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单灯控制器要求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（1）需通过CQC认证，具备中国质量认证中心认可的检测机构出具的认证证书。同时体现Ta值、IP等级</w:t>
            </w:r>
            <w:r>
              <w:rPr>
                <w:rFonts w:hint="eastAsia" w:ascii="宋体" w:hAnsi="宋体" w:cs="宋体"/>
                <w:color w:val="auto"/>
                <w:sz w:val="24"/>
                <w:szCs w:val="24"/>
                <w:highlight w:val="none"/>
                <w:vertAlign w:val="baseline"/>
                <w:lang w:val="en-US" w:eastAsia="zh-CN"/>
              </w:rPr>
              <w:t xml:space="preserve">。</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（2）通讯方式：采用4G Cat.1方式实现单灯控制，需获得中华人民共和国工业和信息化部颁发的无线电发射设备型号核准证书。</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（3）灯具控制：支持不少于1路灯具的开关控制及状态检测，配备不少于1路0~10V调光接口，可根据平台级、设备级多级调光策略实现节能控制。</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（4）防护性能：工作温度范围：</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-40℃~65℃，防护等级≥IP67。</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（5）数据采集：支持采集灯具电压、电流、功率、功率因素、能耗、开关灯状态、调光等级、亮灯时间、工作时间等数据采集，采集误差≤</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（6）告警功能：支持异常开灯、异常关灯、倾斜告警、通信异常/离线、欠流、欠压、过流、 过压等故障告警；灯具故障恢复正常后，可主动向平台上报告解除报警信息。</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（7）运行安全监测：内置漏电交流传感器，可检测灯具漏电情况并自动向平台告警，保障用电安全；集成倾角传感器，可监控杆体倾斜状况，异常时及时告警，保障物理安全。</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（8）内置RTC实时时钟和超级电容电池，掉电后仍可准确记录时间，可根据设定的时控计划自主运行，时钟及存储信号掉电后不丢失，确保恢复供电后继续正常运行。</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（9）支持远程在线升级方式进行程序升级。</w:t>
            </w:r>
            <w:r/>
          </w:p>
        </w:tc>
      </w:tr>
      <w:tr>
        <w:trPr>
          <w:trHeight w:val="23"/>
        </w:trPr>
        <w:tc>
          <w:tcPr>
            <w:shd w:val="clear" w:color="auto" w:fill="auto"/>
            <w:tcW w:w="1048" w:type="dxa"/>
            <w:vAlign w:val="center"/>
            <w:textDirection w:val="lrTb"/>
            <w:noWrap w:val="false"/>
          </w:tcPr>
          <w:p>
            <w:pPr>
              <w:ind w:left="0" w:right="0" w:firstLine="240"/>
              <w:jc w:val="left"/>
              <w:keepLines w:val="0"/>
              <w:keepNext w:val="0"/>
              <w:pageBreakBefore w:val="0"/>
              <w:spacing w:before="0" w:beforeAutospacing="0" w:after="0" w:afterAutospacing="0" w:line="260" w:lineRule="atLeas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路灯集中控制器要求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（1）具备液晶显示功能。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（2）采用高可靠性 Linux 操作系统作为嵌入式应用平台。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（3）具有 10/100M 以太网接口、RS485 接口、USB 接口。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（4）支持 LTE 通信方式及以太网远程通讯方式。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（5）支持远程 OTA 升级，同时支持通过以太网、U 盘进行本地程序升级。</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（6）内置智能电表，可实现远程电能等数据读取，支持外置电表远程数据读取。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（7）支持三相相电压、线电压检测，三相相电流、线电流检测。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（8）内置6路DO 开关量输出、4路开关量输入检测、2路交流输入检测。 </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（9）支持各种供电数据分析，形成</w:t>
            </w:r>
            <w:r>
              <w:rPr>
                <w:rFonts w:hint="eastAsia" w:ascii="宋体" w:hAnsi="宋体" w:eastAsia="宋体" w:cs="宋体"/>
                <w:color w:val="auto"/>
                <w:sz w:val="24"/>
                <w:szCs w:val="24"/>
                <w:highlight w:val="none"/>
                <w:lang w:val="en-US" w:eastAsia="zh-CN" w:bidi="ar"/>
              </w:rPr>
              <w:t xml:space="preserve">告警</w:t>
            </w:r>
            <w:r>
              <w:rPr>
                <w:rFonts w:hint="eastAsia" w:ascii="宋体" w:hAnsi="宋体" w:eastAsia="宋体" w:cs="宋体"/>
                <w:color w:val="auto"/>
                <w:sz w:val="24"/>
                <w:szCs w:val="24"/>
                <w:highlight w:val="none"/>
                <w:vertAlign w:val="baseline"/>
                <w:lang w:val="en-US" w:eastAsia="zh-CN"/>
              </w:rPr>
              <w:t xml:space="preserve">判断。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（10）内置 wifi 模块，支持现场手机调试。 </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（11）防水等级≥IP20。</w:t>
            </w:r>
            <w:r/>
          </w:p>
          <w:p>
            <w:pPr>
              <w:numPr>
                <w:ilvl w:val="0"/>
                <w:numId w:val="0"/>
              </w:numPr>
              <w:ind w:left="0" w:right="0" w:firstLine="0"/>
              <w:jc w:val="left"/>
              <w:keepLines w:val="0"/>
              <w:keepNext w:val="0"/>
              <w:pageBreakBefore w:val="0"/>
              <w:spacing w:before="0" w:beforeAutospacing="0" w:after="0" w:afterAutospacing="0" w:line="260" w:lineRule="atLeast"/>
              <w:rPr>
                <w:rFonts w:hint="eastAsia"/>
                <w:color w:val="auto"/>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路灯</w:t>
            </w:r>
            <w:r>
              <w:rPr>
                <w:rFonts w:hint="eastAsia" w:ascii="宋体" w:hAnsi="宋体" w:eastAsia="宋体" w:cs="宋体"/>
                <w:color w:val="auto"/>
                <w:szCs w:val="21"/>
                <w:highlight w:val="none"/>
              </w:rPr>
              <w:t xml:space="preserve">集中控制器须全部接入路灯控制平台。</w:t>
            </w:r>
            <w:r/>
          </w:p>
        </w:tc>
      </w:tr>
      <w:tr>
        <w:trPr>
          <w:trHeight w:val="23"/>
        </w:trPr>
        <w:tc>
          <w:tcPr>
            <w:shd w:val="clear" w:color="auto" w:fill="auto"/>
            <w:tcW w:w="1048" w:type="dxa"/>
            <w:vAlign w:val="center"/>
            <w:textDirection w:val="lrTb"/>
            <w:noWrap w:val="false"/>
          </w:tcPr>
          <w:p>
            <w:pPr>
              <w:ind w:left="0" w:right="0" w:firstLine="240"/>
              <w:jc w:val="left"/>
              <w:keepLines w:val="0"/>
              <w:keepNext w:val="0"/>
              <w:pageBreakBefore w:val="0"/>
              <w:spacing w:before="0" w:beforeAutospacing="0" w:after="0" w:afterAutospacing="0" w:line="260" w:lineRule="atLeas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路灯控制平台服务要求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（1）数据采集：将路灯的运行数据全程采集记录电流、电压、有功功率、功率因素等运行数据并统计；输出数据采集电压、电流数据。</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（2）电能统计：具备日电能统计和累计电能统计功能，便于EMC分析。</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（3）电源状态采集：采集工作温度、路灯运行状态数据（含数据偏离、调光值、故障、过载等）。</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（4）运行日志：统计输入电压过压、欠压、异常断电、电源温度、工作时间等运行参数。</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（5）故障告警：设备出现过流、过压、欠压、欠流、异常亮灯、异常灭灯等情况时主动上报。</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（6）远程控制：支持全天候读取路灯数据、控制开关灯、制定并执行调光策略。</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（7）固件升级：支持固件在线OTA升级，无需拆开灯具即可完成功能升级，快速修复问题。</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（8）策略支持：</w:t>
            </w:r>
            <w:r>
              <w:rPr>
                <w:rFonts w:hint="eastAsia" w:ascii="宋体" w:hAnsi="宋体" w:eastAsia="宋体" w:cs="宋体"/>
                <w:color w:val="auto"/>
                <w:sz w:val="24"/>
                <w:szCs w:val="24"/>
                <w:highlight w:val="none"/>
                <w:lang w:val="en-US" w:eastAsia="zh-CN" w:bidi="ar"/>
              </w:rPr>
              <w:t xml:space="preserve">可根据项目需求设定路灯用电节能调光及开关策略，同时可接收指令执行应急实时控制（开/关/调光）。</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（9）硬件配套：包含以上软件运行的相应服务器。</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（10）平台对接：</w:t>
            </w:r>
            <w:r>
              <w:rPr>
                <w:rFonts w:hint="default" w:ascii="宋体" w:hAnsi="宋体" w:eastAsia="宋体" w:cs="宋体"/>
                <w:b/>
                <w:bCs/>
                <w:i/>
                <w:iCs/>
                <w:color w:val="auto"/>
                <w:sz w:val="24"/>
                <w:szCs w:val="24"/>
                <w:highlight w:val="none"/>
                <w:u w:val="single"/>
                <w:lang w:val="en-US" w:eastAsia="zh-CN" w:bidi="ar"/>
              </w:rPr>
              <w:t xml:space="preserve">采购人</w:t>
            </w:r>
            <w:r>
              <w:rPr>
                <w:rFonts w:hint="eastAsia" w:ascii="宋体" w:hAnsi="宋体" w:cs="宋体"/>
                <w:b/>
                <w:bCs/>
                <w:i/>
                <w:iCs/>
                <w:strike w:val="0"/>
                <w:color w:val="auto"/>
                <w:sz w:val="24"/>
                <w:szCs w:val="24"/>
                <w:highlight w:val="none"/>
                <w:u w:val="single"/>
                <w:lang w:val="en-US" w:eastAsia="zh-CN" w:bidi="ar"/>
              </w:rPr>
              <w:t xml:space="preserve">配合</w:t>
            </w:r>
            <w:r>
              <w:rPr>
                <w:rFonts w:hint="default" w:ascii="宋体" w:hAnsi="宋体" w:eastAsia="宋体" w:cs="宋体"/>
                <w:b/>
                <w:bCs/>
                <w:i/>
                <w:iCs/>
                <w:color w:val="auto"/>
                <w:sz w:val="24"/>
                <w:szCs w:val="24"/>
                <w:highlight w:val="none"/>
                <w:u w:val="single"/>
                <w:lang w:val="en-US" w:eastAsia="zh-CN" w:bidi="ar"/>
              </w:rPr>
              <w:t xml:space="preserve">协调</w:t>
            </w:r>
            <w:r>
              <w:rPr>
                <w:rFonts w:hint="eastAsia" w:ascii="宋体" w:hAnsi="宋体" w:cs="宋体"/>
                <w:b/>
                <w:bCs/>
                <w:i/>
                <w:iCs/>
                <w:color w:val="auto"/>
                <w:sz w:val="24"/>
                <w:szCs w:val="24"/>
                <w:highlight w:val="none"/>
                <w:u w:val="single"/>
                <w:lang w:val="en-US" w:eastAsia="zh-CN" w:bidi="ar"/>
              </w:rPr>
              <w:t xml:space="preserve">与</w:t>
            </w:r>
            <w:r>
              <w:rPr>
                <w:rFonts w:hint="eastAsia" w:ascii="宋体" w:hAnsi="宋体" w:eastAsia="宋体" w:cs="宋体"/>
                <w:b/>
                <w:bCs/>
                <w:i/>
                <w:iCs/>
                <w:color w:val="auto"/>
                <w:sz w:val="24"/>
                <w:szCs w:val="24"/>
                <w:highlight w:val="none"/>
                <w:u w:val="single"/>
                <w:lang w:val="en-US" w:eastAsia="zh-CN" w:bidi="ar"/>
              </w:rPr>
              <w:t xml:space="preserve">张家港市智能照明管理平台对接</w:t>
            </w:r>
            <w:r>
              <w:rPr>
                <w:rFonts w:hint="default" w:ascii="宋体" w:hAnsi="宋体" w:eastAsia="宋体" w:cs="宋体"/>
                <w:b/>
                <w:bCs/>
                <w:i/>
                <w:iCs/>
                <w:color w:val="auto"/>
                <w:sz w:val="24"/>
                <w:szCs w:val="24"/>
                <w:highlight w:val="none"/>
                <w:u w:val="single"/>
                <w:lang w:val="en-US" w:eastAsia="zh-CN" w:bidi="ar"/>
              </w:rPr>
              <w:t xml:space="preserve">；投标人须提供承诺书，承诺可完成对接，否则按废标处理</w:t>
            </w:r>
            <w:r>
              <w:rPr>
                <w:rFonts w:hint="eastAsia" w:ascii="宋体" w:hAnsi="宋体" w:eastAsia="宋体" w:cs="宋体"/>
                <w:b/>
                <w:bCs/>
                <w:i/>
                <w:iCs/>
                <w:color w:val="auto"/>
                <w:sz w:val="24"/>
                <w:szCs w:val="24"/>
                <w:highlight w:val="none"/>
                <w:u w:val="single"/>
                <w:vertAlign w:val="baseline"/>
                <w:lang w:val="en-US" w:eastAsia="zh-CN"/>
              </w:rPr>
              <w:t xml:space="preserve">。</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（11）安全防护：为保障数据安全，平台需满足信创要求</w:t>
            </w:r>
            <w:r>
              <w:rPr>
                <w:rFonts w:hint="eastAsia" w:ascii="宋体" w:hAnsi="宋体" w:cs="宋体"/>
                <w:color w:val="auto"/>
                <w:sz w:val="24"/>
                <w:szCs w:val="24"/>
                <w:highlight w:val="none"/>
                <w:vertAlign w:val="baseline"/>
                <w:lang w:val="en-US" w:eastAsia="zh-CN"/>
              </w:rPr>
              <w:t xml:space="preserve">。</w:t>
            </w:r>
            <w:r/>
          </w:p>
        </w:tc>
      </w:tr>
      <w:tr>
        <w:trPr>
          <w:trHeight w:val="23"/>
        </w:trPr>
        <w:tc>
          <w:tcPr>
            <w:shd w:val="clear" w:color="auto" w:fill="auto"/>
            <w:tcW w:w="1048" w:type="dxa"/>
            <w:vAlign w:val="center"/>
            <w:textDirection w:val="lrTb"/>
            <w:noWrap w:val="false"/>
          </w:tcPr>
          <w:p>
            <w:pPr>
              <w:ind w:left="0" w:right="0" w:firstLine="240"/>
              <w:jc w:val="left"/>
              <w:keepLines w:val="0"/>
              <w:keepNext w:val="0"/>
              <w:pageBreakBefore w:val="0"/>
              <w:spacing w:before="0" w:beforeAutospacing="0" w:after="0" w:afterAutospacing="0" w:line="260" w:lineRule="atLeas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专线要求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配置1条不少于1个固定IP的互联网专线，服务期为10年。</w:t>
            </w:r>
            <w:r/>
          </w:p>
        </w:tc>
      </w:tr>
      <w:tr>
        <w:trPr>
          <w:trHeight w:val="23"/>
        </w:trPr>
        <w:tc>
          <w:tcPr>
            <w:shd w:val="clear" w:color="auto" w:fill="auto"/>
            <w:tcW w:w="1048" w:type="dxa"/>
            <w:vAlign w:val="center"/>
            <w:textDirection w:val="lrTb"/>
            <w:noWrap w:val="false"/>
          </w:tcPr>
          <w:p>
            <w:pPr>
              <w:ind w:left="0" w:right="0" w:firstLine="240"/>
              <w:jc w:val="left"/>
              <w:keepLines w:val="0"/>
              <w:keepNext w:val="0"/>
              <w:pageBreakBefore w:val="0"/>
              <w:spacing w:before="0" w:beforeAutospacing="0" w:after="0" w:afterAutospacing="0" w:line="260" w:lineRule="atLeas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美化路灯（中国结，暂定）要求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采用中国结装饰灯，主体材质采用高强度ABS塑料，尺寸规格1200mm×600mm；配备20瓦LED柔性灯带，弯折性良好，可贴合中国结造型；框架及紧固件采用不锈钢材质，质地坚韧，确保稳固。</w:t>
            </w:r>
            <w:r/>
          </w:p>
        </w:tc>
      </w:tr>
      <w:tr>
        <w:trPr>
          <w:trHeight w:val="23"/>
        </w:trPr>
        <w:tc>
          <w:tcPr>
            <w:shd w:val="clear" w:color="auto" w:fill="auto"/>
            <w:tcW w:w="1048" w:type="dxa"/>
            <w:vAlign w:val="center"/>
            <w:textDirection w:val="lrTb"/>
            <w:noWrap w:val="false"/>
          </w:tcPr>
          <w:p>
            <w:pPr>
              <w:ind w:left="0" w:right="0" w:firstLine="240"/>
              <w:jc w:val="left"/>
              <w:keepLines w:val="0"/>
              <w:keepNext w:val="0"/>
              <w:pageBreakBefore w:val="0"/>
              <w:spacing w:before="0" w:beforeAutospacing="0" w:after="0" w:afterAutospacing="0" w:line="260" w:lineRule="atLeast"/>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双面LED电子显示屏要求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（1）色彩处理能力：</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16bit。</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（2）刷新频率：</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3840HZ。</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（3）单面分辨率：128</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256dot。</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（4）点间距：≤4mm。</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（5）防护等级：</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IP65。</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（6）单面尺寸:</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512mm</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1024mm。</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（7）供电电压：220V。</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（8）具备短路保护、漏电保护、防雷保护功能。</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（9）通信接口：支持4G+wifi+网口集群控制。</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（10）内置2个33W音响。</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（11）支持远程发布节目、远程升级、远程一键断电。</w:t>
            </w:r>
            <w:r/>
          </w:p>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（12）支持防潮、防霉菌、防盐雾、防尘、防水、防晒、防静电、阻燃等性能。</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0</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新增中杆路灯要求</w:t>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新装12米中杆灯1套，含3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vertAlign w:val="baseline"/>
                <w:lang w:val="en-US" w:eastAsia="zh-CN"/>
              </w:rPr>
              <w:t xml:space="preserve">100W投光灯具及相应单灯控制器，负责完成安装调试工作并接入路灯控制平台，安装地点由采购人指定。</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1</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安装调试要求</w:t>
            </w:r>
            <w:r/>
          </w:p>
        </w:tc>
        <w:tc>
          <w:tcPr>
            <w:tcW w:w="6809" w:type="dxa"/>
            <w:vAlign w:val="center"/>
            <w:textDirection w:val="lrTb"/>
            <w:noWrap w:val="false"/>
          </w:tcPr>
          <w:p>
            <w:pPr>
              <w:pStyle w:val="790"/>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（1）安装过程需遵守国家、省级、张家港市相关法律法规及制度要求。</w:t>
            </w:r>
            <w:r/>
          </w:p>
          <w:p>
            <w:pPr>
              <w:pStyle w:val="790"/>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安装、运输等过程中遵守安全生产管理规定，严格按照安全标准组织制作，采取必要安全防护措施，消除隐患；因中标人管理不善或安全辅助措施不力造成周边环境破坏或安全事故的，责任及相关费用由中标人承担。</w:t>
            </w:r>
            <w:r/>
          </w:p>
          <w:p>
            <w:pPr>
              <w:pStyle w:val="790"/>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（3）中标人承担改造施工全部费用，包含安装和改造费用，并对安装质量、产品及工程第三者责任负责。</w:t>
            </w:r>
            <w:r/>
          </w:p>
          <w:p>
            <w:pPr>
              <w:ind w:left="0" w:right="0" w:firstLine="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（4）中标人编制施工方案，经采购人及监理方(如有)认可后方可实施，在施工期间接受采购人及监理方(如有) 现场督导。</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（5）中标人需提供相应路灯管理平台，</w:t>
            </w:r>
            <w:r>
              <w:rPr>
                <w:rFonts w:hint="eastAsia" w:ascii="宋体" w:hAnsi="宋体" w:eastAsia="宋体" w:cs="宋体"/>
                <w:color w:val="auto"/>
                <w:sz w:val="24"/>
                <w:szCs w:val="24"/>
                <w:highlight w:val="none"/>
                <w:lang w:val="en-US" w:eastAsia="zh-CN" w:bidi="ar"/>
              </w:rPr>
              <w:t xml:space="preserve">满足路灯状态实时监测及控制需求</w:t>
            </w:r>
            <w:r>
              <w:rPr>
                <w:rFonts w:hint="eastAsia" w:ascii="宋体" w:hAnsi="宋体" w:eastAsia="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（6）更换下的原有路灯产权归采购人所有，中标人需根据采购人要求，</w:t>
            </w:r>
            <w:r>
              <w:rPr>
                <w:rFonts w:hint="eastAsia" w:ascii="宋体" w:hAnsi="宋体" w:eastAsia="宋体" w:cs="宋体"/>
                <w:color w:val="auto"/>
                <w:sz w:val="24"/>
                <w:szCs w:val="24"/>
                <w:highlight w:val="none"/>
                <w:lang w:val="en-US" w:eastAsia="zh-CN" w:bidi="ar"/>
              </w:rPr>
              <w:t xml:space="preserve">将其运至指定地点存放</w:t>
            </w:r>
            <w:r>
              <w:rPr>
                <w:rFonts w:hint="eastAsia" w:ascii="宋体" w:hAnsi="宋体" w:eastAsia="宋体" w:cs="宋体"/>
                <w:color w:val="auto"/>
                <w:sz w:val="24"/>
                <w:szCs w:val="24"/>
                <w:highlight w:val="none"/>
                <w:lang w:val="en-US" w:eastAsia="zh-CN"/>
              </w:rPr>
              <w:t xml:space="preserve">。</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2</w:t>
            </w:r>
            <w:r/>
          </w:p>
        </w:tc>
        <w:tc>
          <w:tcPr>
            <w:tcW w:w="124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olor w:val="auto"/>
                <w:sz w:val="24"/>
                <w:szCs w:val="24"/>
                <w:highlight w:val="none"/>
              </w:rPr>
              <w:t xml:space="preserve">合同期维护及服务要求</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节能改造路灯819盏，太阳能路灯</w:t>
            </w:r>
            <w:r>
              <w:rPr>
                <w:rFonts w:hint="eastAsia" w:ascii="宋体" w:hAnsi="宋体"/>
                <w:color w:val="auto"/>
                <w:sz w:val="24"/>
                <w:szCs w:val="24"/>
                <w:highlight w:val="none"/>
                <w:lang w:val="en-US" w:eastAsia="zh-CN"/>
              </w:rPr>
              <w:t xml:space="preserve">229</w:t>
            </w:r>
            <w:r>
              <w:rPr>
                <w:rFonts w:hint="eastAsia" w:ascii="宋体" w:hAnsi="宋体" w:eastAsia="宋体"/>
                <w:color w:val="auto"/>
                <w:sz w:val="24"/>
                <w:szCs w:val="24"/>
                <w:highlight w:val="none"/>
                <w:lang w:val="en-US" w:eastAsia="zh-CN"/>
              </w:rPr>
              <w:t xml:space="preserve">盏</w:t>
            </w:r>
            <w:r>
              <w:rPr>
                <w:rFonts w:hint="eastAsia" w:ascii="宋体" w:hAnsi="宋体" w:eastAsia="宋体"/>
                <w:color w:val="auto"/>
                <w:sz w:val="24"/>
                <w:szCs w:val="24"/>
                <w:highlight w:val="none"/>
                <w:lang w:eastAsia="zh-CN"/>
              </w:rPr>
              <w:t xml:space="preserve">）</w:t>
            </w:r>
            <w:r/>
          </w:p>
          <w:p>
            <w:pPr>
              <w:numPr>
                <w:ilvl w:val="0"/>
                <w:numId w:val="0"/>
              </w:numPr>
              <w:ind w:left="0" w:right="0"/>
              <w:jc w:val="left"/>
              <w:keepLines w:val="0"/>
              <w:keepNext w:val="0"/>
              <w:pageBreakBefore w:val="0"/>
              <w:spacing w:before="0" w:beforeAutospacing="0" w:after="0" w:afterAutospacing="0" w:line="260" w:lineRule="atLeast"/>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r>
            <w:r/>
          </w:p>
        </w:tc>
        <w:tc>
          <w:tcPr>
            <w:tcW w:w="680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60" w:lineRule="atLeast"/>
              <w:rPr>
                <w:rFonts w:hint="default"/>
                <w:color w:val="auto"/>
                <w:sz w:val="24"/>
                <w:szCs w:val="24"/>
                <w:highlight w:val="none"/>
                <w:lang w:val="en-US" w:eastAsia="zh-CN"/>
              </w:rPr>
              <w:suppressLineNumbers w:val="0"/>
            </w:pPr>
            <w:r>
              <w:rPr>
                <w:rFonts w:hint="eastAsia"/>
                <w:color w:val="auto"/>
                <w:sz w:val="24"/>
                <w:szCs w:val="24"/>
                <w:highlight w:val="none"/>
                <w:lang w:val="en-US" w:eastAsia="zh-CN"/>
              </w:rPr>
              <w:t xml:space="preserve">1、维护要求</w:t>
            </w:r>
            <w:r/>
          </w:p>
          <w:p>
            <w:pPr>
              <w:numPr>
                <w:ilvl w:val="0"/>
                <w:numId w:val="0"/>
              </w:numPr>
              <w:ind w:left="0" w:right="0" w:firstLine="0"/>
              <w:jc w:val="left"/>
              <w:keepLines w:val="0"/>
              <w:keepNext w:val="0"/>
              <w:pageBreakBefore w:val="0"/>
              <w:spacing w:before="0" w:beforeAutospacing="0" w:after="0" w:afterAutospacing="0" w:line="260" w:lineRule="atLeast"/>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（1）设备日常维护：负责硬件(包括但不限于灯具、单灯控制器等) 及连接线缆的日常维护、巡检、故障处理，以及其他保障系统正常运行的维护服务工作。</w:t>
            </w:r>
            <w:r/>
          </w:p>
          <w:p>
            <w:pPr>
              <w:ind w:left="0" w:right="0"/>
              <w:jc w:val="left"/>
              <w:keepLines w:val="0"/>
              <w:keepNext w:val="0"/>
              <w:spacing w:before="0" w:beforeAutospacing="0" w:after="0" w:afterAutospacing="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（2）系统软件日常维护：</w:t>
            </w:r>
            <w:r>
              <w:rPr>
                <w:rFonts w:hint="default" w:ascii="宋体" w:hAnsi="宋体" w:eastAsia="宋体" w:cs="宋体"/>
                <w:color w:val="auto"/>
                <w:sz w:val="24"/>
                <w:szCs w:val="24"/>
                <w:highlight w:val="none"/>
                <w:lang w:val="en-US" w:eastAsia="zh-CN" w:bidi="ar"/>
              </w:rPr>
              <w:t xml:space="preserve">负责接入张家港市智慧照明管理平台灯具的管理平台日常巡检、维护，确保系统正常</w:t>
            </w:r>
            <w:r>
              <w:rPr>
                <w:rFonts w:hint="eastAsia" w:ascii="宋体" w:hAnsi="宋体" w:eastAsia="宋体" w:cs="宋体"/>
                <w:color w:val="auto"/>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260" w:lineRule="atLeast"/>
              <w:widowControl/>
              <w:rPr>
                <w:rFonts w:hint="eastAsia"/>
                <w:color w:val="auto"/>
                <w:sz w:val="24"/>
                <w:szCs w:val="24"/>
                <w:highlight w:val="none"/>
                <w:lang w:val="en-US" w:eastAsia="zh-CN"/>
              </w:rPr>
              <w:suppressLineNumbers w:val="0"/>
            </w:pPr>
            <w:r>
              <w:rPr>
                <w:rFonts w:hint="eastAsia"/>
                <w:i/>
                <w:iCs/>
                <w:color w:val="auto"/>
                <w:sz w:val="24"/>
                <w:szCs w:val="24"/>
                <w:highlight w:val="none"/>
                <w:u w:val="single"/>
                <w:lang w:val="en-US" w:eastAsia="zh-CN"/>
              </w:rPr>
              <w:t xml:space="preserve">（3）运维指标：亮灯率≥99%，设备完好率≥99%；服务期内若政策有相应调整，按最新政策执行</w:t>
            </w:r>
            <w:r>
              <w:rPr>
                <w:rFonts w:hint="eastAsia"/>
                <w:color w:val="auto"/>
                <w:sz w:val="24"/>
                <w:szCs w:val="24"/>
                <w:highlight w:val="none"/>
                <w:lang w:val="en-US" w:eastAsia="zh-CN"/>
              </w:rPr>
              <w:t xml:space="preserve">。</w:t>
            </w:r>
            <w:r/>
          </w:p>
          <w:p>
            <w:pPr>
              <w:ind w:left="0" w:right="0"/>
              <w:jc w:val="left"/>
              <w:keepLines w:val="0"/>
              <w:keepNext w:val="0"/>
              <w:spacing w:before="0" w:beforeAutospacing="0" w:after="0" w:afterAutospacing="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（4）运维方式：</w:t>
            </w:r>
            <w:r>
              <w:rPr>
                <w:rFonts w:hint="default" w:ascii="宋体" w:hAnsi="宋体" w:eastAsia="宋体" w:cs="宋体"/>
                <w:color w:val="auto"/>
                <w:sz w:val="24"/>
                <w:szCs w:val="24"/>
                <w:highlight w:val="none"/>
                <w:lang w:val="en-US" w:eastAsia="zh-CN" w:bidi="ar"/>
              </w:rPr>
              <w:t xml:space="preserve">①线上运维（平台接入灯具）：后台24小时循环巡检，筛查故障并划分优先级，安排现场查验维修</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②</w:t>
            </w:r>
            <w:r>
              <w:rPr>
                <w:rFonts w:hint="eastAsia"/>
                <w:color w:val="auto"/>
                <w:sz w:val="24"/>
                <w:szCs w:val="24"/>
                <w:highlight w:val="none"/>
                <w:lang w:val="en-US" w:eastAsia="zh-CN"/>
              </w:rPr>
              <w:t xml:space="preserve">线下运维：工程人员定期对所有设备进行线下巡检，结合线上工单对故障设备现场检修，发现异常立即维修或更换，确保设备正常工作，满足监管部门日常监管要求</w:t>
            </w:r>
            <w:r>
              <w:rPr>
                <w:rFonts w:hint="eastAsia"/>
                <w:color w:val="auto"/>
                <w:sz w:val="24"/>
                <w:szCs w:val="24"/>
                <w:highlight w:val="none"/>
              </w:rPr>
              <w:t xml:space="preserve">。</w:t>
            </w:r>
            <w:r/>
          </w:p>
          <w:p>
            <w:pPr>
              <w:numPr>
                <w:ilvl w:val="0"/>
                <w:numId w:val="9"/>
              </w:numPr>
              <w:ind w:left="0" w:right="0" w:firstLine="0"/>
              <w:jc w:val="left"/>
              <w:keepLines w:val="0"/>
              <w:keepNext w:val="0"/>
              <w:pageBreakBefore w:val="0"/>
              <w:spacing w:before="0" w:beforeAutospacing="0" w:after="0" w:afterAutospacing="0" w:line="260" w:lineRule="atLeast"/>
              <w:rPr>
                <w:rFonts w:hint="eastAsia"/>
                <w:i/>
                <w:iCs/>
                <w:color w:val="auto"/>
                <w:sz w:val="24"/>
                <w:szCs w:val="24"/>
                <w:highlight w:val="none"/>
                <w:u w:val="single"/>
                <w:lang w:val="en-US" w:eastAsia="zh-CN"/>
              </w:rPr>
              <w:suppressLineNumbers w:val="0"/>
            </w:pPr>
            <w:r>
              <w:rPr>
                <w:rFonts w:hint="eastAsia"/>
                <w:i/>
                <w:iCs/>
                <w:color w:val="auto"/>
                <w:sz w:val="24"/>
                <w:szCs w:val="24"/>
                <w:highlight w:val="none"/>
                <w:u w:val="single"/>
                <w:lang w:val="en-US" w:eastAsia="zh-CN"/>
              </w:rPr>
              <w:t xml:space="preserve">本项目运维服务期为10年，服务期内中标人须保证本项目安全、稳定运行；负责项目能源托管清单内的节能诊断、项目建设、设备运营维护、电费代缴等工作。</w:t>
            </w:r>
            <w:r/>
          </w:p>
          <w:p>
            <w:pPr>
              <w:numPr>
                <w:ilvl w:val="0"/>
                <w:numId w:val="0"/>
              </w:numPr>
              <w:ind w:left="0" w:right="0" w:firstLine="0"/>
              <w:jc w:val="left"/>
              <w:keepLines w:val="0"/>
              <w:keepNext w:val="0"/>
              <w:pageBreakBefore w:val="0"/>
              <w:spacing w:before="0" w:beforeAutospacing="0" w:after="0" w:afterAutospacing="0" w:line="260" w:lineRule="atLeast"/>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（6）需配备高空抢修作业车、防撞缓冲车、维修巡检车辆及相应电工工具等路灯维修养护施工机械设备。</w:t>
            </w:r>
            <w:r/>
          </w:p>
          <w:p>
            <w:pPr>
              <w:numPr>
                <w:ilvl w:val="0"/>
                <w:numId w:val="0"/>
              </w:numPr>
              <w:ind w:left="0" w:right="0" w:firstLine="0"/>
              <w:jc w:val="left"/>
              <w:keepLines w:val="0"/>
              <w:keepNext w:val="0"/>
              <w:pageBreakBefore w:val="0"/>
              <w:spacing w:before="0" w:beforeAutospacing="0" w:after="0" w:afterAutospacing="0" w:line="260" w:lineRule="atLeast"/>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（7）对外公布维护单位值班电话并保持24小时开通，接待投诉时需热情诚恳、语气谦和，并做好详细记录。</w:t>
            </w:r>
            <w:r/>
          </w:p>
          <w:p>
            <w:pPr>
              <w:pStyle w:val="752"/>
              <w:ind w:left="0" w:right="0" w:firstLine="0"/>
              <w:keepLines w:val="0"/>
              <w:keepNext w:val="0"/>
              <w:pageBreakBefore w:val="0"/>
              <w:spacing w:before="0" w:beforeAutospacing="0" w:after="0" w:afterAutospacing="0" w:line="260" w:lineRule="atLeast"/>
              <w:rPr>
                <w:rFonts w:hint="eastAsia" w:ascii="宋体" w:hAnsi="宋体" w:eastAsia="宋体" w:cs="宋体"/>
                <w:strike w:val="0"/>
                <w:color w:val="auto"/>
                <w:sz w:val="24"/>
                <w:szCs w:val="24"/>
                <w:highlight w:val="none"/>
                <w:lang w:val="en-US" w:eastAsia="zh-CN"/>
              </w:rPr>
              <w:suppressLineNumbers w:val="0"/>
            </w:pPr>
            <w:r>
              <w:rPr>
                <w:rFonts w:hint="eastAsia" w:ascii="宋体" w:hAnsi="宋体" w:eastAsia="宋体" w:cs="宋体"/>
                <w:strike w:val="0"/>
                <w:color w:val="auto"/>
                <w:sz w:val="24"/>
                <w:szCs w:val="24"/>
                <w:highlight w:val="none"/>
                <w:lang w:val="en-US" w:eastAsia="zh-CN"/>
              </w:rPr>
              <w:t xml:space="preserve">（8）维护范围包含路灯、太阳能板、电池的维护及更换。</w:t>
            </w:r>
            <w:r/>
          </w:p>
          <w:p>
            <w:pPr>
              <w:numPr>
                <w:ilvl w:val="0"/>
                <w:numId w:val="0"/>
              </w:numPr>
              <w:ind w:left="0" w:right="0"/>
              <w:jc w:val="left"/>
              <w:keepLines w:val="0"/>
              <w:keepNext w:val="0"/>
              <w:pageBreakBefore w:val="0"/>
              <w:spacing w:before="0" w:beforeAutospacing="0" w:after="0" w:afterAutospacing="0" w:line="260" w:lineRule="atLeast"/>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（9）巡检要求：</w:t>
            </w:r>
            <w:r>
              <w:rPr>
                <w:rFonts w:hint="eastAsia"/>
                <w:color w:val="auto"/>
                <w:sz w:val="24"/>
                <w:szCs w:val="24"/>
                <w:highlight w:val="none"/>
              </w:rPr>
              <w:t xml:space="preserve">实行24小时人员值班制，每班需配备人员6人</w:t>
            </w:r>
            <w:r>
              <w:rPr>
                <w:rFonts w:hint="eastAsia"/>
                <w:color w:val="auto"/>
                <w:sz w:val="24"/>
                <w:szCs w:val="24"/>
                <w:highlight w:val="none"/>
                <w:lang w:eastAsia="zh-CN"/>
              </w:rPr>
              <w:t xml:space="preserve">，</w:t>
            </w:r>
            <w:r>
              <w:rPr>
                <w:rFonts w:hint="eastAsia"/>
                <w:color w:val="auto"/>
                <w:sz w:val="24"/>
                <w:szCs w:val="24"/>
                <w:highlight w:val="none"/>
              </w:rPr>
              <w:t xml:space="preserve">负责人1人、维护工2人</w:t>
            </w:r>
            <w:r>
              <w:rPr>
                <w:rFonts w:hint="eastAsia"/>
                <w:color w:val="auto"/>
                <w:sz w:val="24"/>
                <w:szCs w:val="24"/>
                <w:highlight w:val="none"/>
                <w:lang w:eastAsia="zh-CN"/>
              </w:rPr>
              <w:t xml:space="preserve">、</w:t>
            </w:r>
            <w:r>
              <w:rPr>
                <w:rFonts w:hint="eastAsia"/>
                <w:color w:val="auto"/>
                <w:sz w:val="24"/>
                <w:szCs w:val="24"/>
                <w:highlight w:val="none"/>
              </w:rPr>
              <w:t xml:space="preserve">GPRS集控巡查人员1人</w:t>
            </w:r>
            <w:r>
              <w:rPr>
                <w:rFonts w:hint="eastAsia"/>
                <w:color w:val="auto"/>
                <w:sz w:val="24"/>
                <w:szCs w:val="24"/>
                <w:highlight w:val="none"/>
                <w:lang w:eastAsia="zh-CN"/>
              </w:rPr>
              <w:t xml:space="preserve">、</w:t>
            </w:r>
            <w:r>
              <w:rPr>
                <w:rFonts w:hint="eastAsia"/>
                <w:color w:val="auto"/>
                <w:sz w:val="24"/>
                <w:szCs w:val="24"/>
                <w:highlight w:val="none"/>
              </w:rPr>
              <w:t xml:space="preserve">高压操作电工待命1人</w:t>
            </w:r>
            <w:r>
              <w:rPr>
                <w:rFonts w:hint="eastAsia"/>
                <w:color w:val="auto"/>
                <w:sz w:val="24"/>
                <w:szCs w:val="24"/>
                <w:highlight w:val="none"/>
                <w:lang w:eastAsia="zh-CN"/>
              </w:rPr>
              <w:t xml:space="preserve">、</w:t>
            </w:r>
            <w:r>
              <w:rPr>
                <w:rFonts w:hint="eastAsia"/>
                <w:color w:val="auto"/>
                <w:sz w:val="24"/>
                <w:szCs w:val="24"/>
                <w:highlight w:val="none"/>
              </w:rPr>
              <w:t xml:space="preserve">高空作业车驾驶员待命1人</w:t>
            </w:r>
            <w:r>
              <w:rPr>
                <w:rFonts w:hint="eastAsia"/>
                <w:color w:val="auto"/>
                <w:sz w:val="24"/>
                <w:szCs w:val="24"/>
                <w:highlight w:val="none"/>
                <w:lang w:eastAsia="zh-CN"/>
              </w:rPr>
              <w:t xml:space="preserve">。</w:t>
            </w:r>
            <w:r/>
          </w:p>
          <w:p>
            <w:pPr>
              <w:numPr>
                <w:ilvl w:val="0"/>
                <w:numId w:val="0"/>
              </w:numPr>
              <w:ind w:left="0" w:right="0" w:firstLine="480"/>
              <w:jc w:val="left"/>
              <w:keepLines w:val="0"/>
              <w:keepNext w:val="0"/>
              <w:pageBreakBefore w:val="0"/>
              <w:spacing w:before="0" w:beforeAutospacing="0" w:after="0" w:afterAutospacing="0" w:line="260" w:lineRule="atLeast"/>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主次干路的功能照明灯具应每周至少巡检一次，支小路的功能照明灯具应每月至少巡检一次；变压器、配电箱（柜）每月巡检一次；架</w:t>
            </w:r>
            <w:r>
              <w:rPr>
                <w:rFonts w:hint="eastAsia"/>
                <w:color w:val="auto"/>
                <w:sz w:val="24"/>
                <w:szCs w:val="24"/>
                <w:highlight w:val="none"/>
                <w:lang w:val="en-US" w:eastAsia="zh-CN"/>
              </w:rPr>
              <w:t xml:space="preserve">空线路每半年巡检一次；地埋电缆线路每年巡检一次；接地（或接零）装置每年在干燥季节巡检一次；独立的防雷装置应在每年的雷雨季节前巡检一次；漏电保护装置应每季巡检一次；集中控制装置、照明节电装置或其他智慧照明装置每半年巡检一次；中、高杆照明设施的卷扬机、钢丝绳、减速箱、导向滑轮等转动系统和控制系统应每年检修一次并添加润滑油。设施被盗频发地段应安排防盗人员每天巡查；连续高温、台风、雷雨或冰雪等特殊自然灾害性气候，应按城市照明监管机构要求进行防火、防汛、防台、防雷、抗雪等专项检查并增加巡检次数，必要时作临时断电处理。</w:t>
            </w:r>
            <w:r/>
          </w:p>
          <w:p>
            <w:pPr>
              <w:ind w:left="0" w:right="0"/>
              <w:jc w:val="left"/>
              <w:keepLines w:val="0"/>
              <w:keepNext w:val="0"/>
              <w:spacing w:before="0" w:beforeAutospacing="0" w:after="0" w:afterAutospacing="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（10）维护单位必须准备充足的维修材料及备品备件（灯杆、电缆的备品备件由采购人提供），</w:t>
            </w:r>
            <w:r>
              <w:rPr>
                <w:rFonts w:hint="default" w:ascii="宋体" w:hAnsi="宋体" w:eastAsia="宋体" w:cs="宋体"/>
                <w:color w:val="auto"/>
                <w:sz w:val="24"/>
                <w:szCs w:val="24"/>
                <w:highlight w:val="none"/>
                <w:lang w:val="en-US" w:eastAsia="zh-CN" w:bidi="ar"/>
              </w:rPr>
              <w:t xml:space="preserve">需与维护区域设施、投标文件一致。</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2、服务要求</w:t>
            </w:r>
            <w:r/>
          </w:p>
          <w:p>
            <w:pPr>
              <w:pStyle w:val="790"/>
              <w:ind w:left="0" w:right="0" w:firstLine="0"/>
              <w:keepLines w:val="0"/>
              <w:keepNext w:val="0"/>
              <w:pageBreakBefore w:val="0"/>
              <w:spacing w:before="0" w:beforeAutospacing="0" w:after="0" w:afterAutospacing="0" w:line="260" w:lineRule="atLeast"/>
              <w:rPr>
                <w:rFonts w:hint="eastAsia"/>
                <w:b/>
                <w:bCs/>
                <w:i/>
                <w:iCs/>
                <w:color w:val="auto"/>
                <w:sz w:val="24"/>
                <w:szCs w:val="24"/>
                <w:highlight w:val="none"/>
                <w:u w:val="single"/>
              </w:rPr>
              <w:suppressLineNumbers w:val="0"/>
            </w:pPr>
            <w:r>
              <w:rPr>
                <w:rFonts w:hint="eastAsia"/>
                <w:b/>
                <w:bCs/>
                <w:i/>
                <w:iCs/>
                <w:color w:val="auto"/>
                <w:sz w:val="24"/>
                <w:szCs w:val="24"/>
                <w:highlight w:val="none"/>
                <w:u w:val="single"/>
              </w:rPr>
              <w:t xml:space="preserve">(1)</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需无偿提供每种规格灯具备品，见备品表。放入</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在张家港地区的仓库，备品备件用掉，</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需在3天内无条件补足。</w:t>
            </w:r>
            <w:r/>
          </w:p>
          <w:p>
            <w:pPr>
              <w:pStyle w:val="790"/>
              <w:ind w:left="0" w:right="0" w:firstLine="0"/>
              <w:keepLines w:val="0"/>
              <w:keepNext w:val="0"/>
              <w:pageBreakBefore w:val="0"/>
              <w:spacing w:before="0" w:beforeAutospacing="0" w:after="0" w:afterAutospacing="0" w:line="260" w:lineRule="atLeast"/>
              <w:rPr>
                <w:rFonts w:hint="eastAsia"/>
                <w:b/>
                <w:bCs/>
                <w:i/>
                <w:iCs/>
                <w:color w:val="auto"/>
                <w:sz w:val="24"/>
                <w:szCs w:val="24"/>
                <w:highlight w:val="none"/>
                <w:u w:val="single"/>
              </w:rPr>
              <w:suppressLineNumbers w:val="0"/>
            </w:pPr>
            <w:r>
              <w:rPr>
                <w:rFonts w:hint="eastAsia"/>
                <w:b/>
                <w:bCs/>
                <w:i/>
                <w:iCs/>
                <w:color w:val="auto"/>
                <w:sz w:val="24"/>
                <w:szCs w:val="24"/>
                <w:highlight w:val="none"/>
                <w:u w:val="single"/>
              </w:rPr>
              <w:t xml:space="preserve">(2)因产品自身瑕疵、寿命造成的灯具损坏、损毁，由</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承担费用；因气象条件、自然灾害等不可抗力原因造成的项目灯具损坏、损毁，</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承担费用；因交通事故或者其他人为因素造成的项目灯具损坏、损毁，</w:t>
            </w:r>
            <w:bookmarkStart w:id="223" w:name="_Hlk176371675"/>
            <w:r/>
            <w:bookmarkStart w:id="224" w:name="_Hlk176371637"/>
            <w:r>
              <w:rPr>
                <w:rFonts w:hint="eastAsia"/>
                <w:b/>
                <w:bCs/>
                <w:i/>
                <w:iCs/>
                <w:color w:val="auto"/>
                <w:sz w:val="24"/>
                <w:szCs w:val="24"/>
                <w:highlight w:val="none"/>
                <w:u w:val="single"/>
              </w:rPr>
              <w:t xml:space="preserve">由</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配合</w:t>
            </w:r>
            <w:r>
              <w:rPr>
                <w:rFonts w:hint="eastAsia"/>
                <w:b/>
                <w:bCs/>
                <w:i/>
                <w:iCs/>
                <w:color w:val="auto"/>
                <w:sz w:val="24"/>
                <w:szCs w:val="24"/>
                <w:highlight w:val="none"/>
                <w:u w:val="single"/>
                <w:lang w:eastAsia="zh-CN"/>
              </w:rPr>
              <w:t xml:space="preserve">采购人</w:t>
            </w:r>
            <w:r>
              <w:rPr>
                <w:rFonts w:hint="eastAsia"/>
                <w:b/>
                <w:bCs/>
                <w:i/>
                <w:iCs/>
                <w:color w:val="auto"/>
                <w:sz w:val="24"/>
                <w:szCs w:val="24"/>
                <w:highlight w:val="none"/>
                <w:u w:val="single"/>
              </w:rPr>
              <w:t xml:space="preserve">报警并依相关法律确认费用承担主体追索</w:t>
            </w:r>
            <w:bookmarkEnd w:id="223"/>
            <w:r>
              <w:rPr>
                <w:rFonts w:hint="eastAsia"/>
                <w:b/>
                <w:bCs/>
                <w:i/>
                <w:iCs/>
                <w:color w:val="auto"/>
                <w:sz w:val="24"/>
                <w:szCs w:val="24"/>
                <w:highlight w:val="none"/>
                <w:u w:val="single"/>
              </w:rPr>
              <w:t xml:space="preserve">。</w:t>
            </w:r>
            <w:bookmarkEnd w:id="224"/>
            <w:r>
              <w:rPr>
                <w:rFonts w:hint="eastAsia"/>
                <w:b/>
                <w:bCs/>
                <w:i/>
                <w:iCs/>
                <w:color w:val="auto"/>
                <w:sz w:val="24"/>
                <w:szCs w:val="24"/>
                <w:highlight w:val="none"/>
                <w:u w:val="single"/>
              </w:rPr>
              <w:t xml:space="preserve">非产品自身瑕疵、寿命造成的灯具损坏、损毁等情况的突发事件出现，由</w:t>
            </w:r>
            <w:r>
              <w:rPr>
                <w:rFonts w:hint="eastAsia"/>
                <w:b/>
                <w:bCs/>
                <w:i/>
                <w:iCs/>
                <w:color w:val="auto"/>
                <w:sz w:val="24"/>
                <w:szCs w:val="24"/>
                <w:highlight w:val="none"/>
                <w:u w:val="single"/>
                <w:lang w:eastAsia="zh-CN"/>
              </w:rPr>
              <w:t xml:space="preserve">中标人</w:t>
            </w:r>
            <w:r>
              <w:rPr>
                <w:rFonts w:hint="eastAsia"/>
                <w:b/>
                <w:bCs/>
                <w:i/>
                <w:iCs/>
                <w:color w:val="auto"/>
                <w:sz w:val="24"/>
                <w:szCs w:val="24"/>
                <w:highlight w:val="none"/>
                <w:u w:val="single"/>
              </w:rPr>
              <w:t xml:space="preserve">负责。</w:t>
            </w:r>
            <w:r/>
          </w:p>
          <w:p>
            <w:pPr>
              <w:ind w:left="0" w:right="0"/>
              <w:jc w:val="left"/>
              <w:keepLines w:val="0"/>
              <w:keepNext w:val="0"/>
              <w:spacing w:before="0" w:beforeAutospacing="0" w:after="0" w:afterAutospacing="0"/>
              <w:widowControl/>
              <w:rPr>
                <w:rFonts w:hint="eastAsia" w:asciiTheme="minorHAnsi" w:hAnsiTheme="minorHAnsi" w:eastAsiaTheme="minorEastAsia" w:cstheme="minorBidi"/>
                <w:color w:val="auto"/>
                <w:sz w:val="24"/>
                <w:szCs w:val="24"/>
                <w:highlight w:val="none"/>
                <w:lang w:val="en-US" w:eastAsia="zh-CN" w:bidi="ar-SA"/>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
              </w:rPr>
              <w:t xml:space="preserve">服务期内LED产品光衰、道路照度须符合招标文件、投标承诺及国家/省规范，采购单位不定期委托第三方检测</w:t>
            </w:r>
            <w:r>
              <w:rPr>
                <w:rFonts w:hint="eastAsia" w:asciiTheme="minorHAnsi" w:hAnsiTheme="minorHAnsi" w:eastAsiaTheme="minorEastAsia" w:cstheme="minorBidi"/>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不达标者须30个工作日内更换；逾期未换且收到整改通知书的，暂停能源托管费用支付，逾期仍未达标则采购人有权终止合同</w:t>
            </w:r>
            <w:r>
              <w:rPr>
                <w:rFonts w:hint="eastAsia" w:asciiTheme="minorHAnsi" w:hAnsiTheme="minorHAnsi" w:eastAsiaTheme="minorEastAsia" w:cstheme="minorBidi"/>
                <w:color w:val="auto"/>
                <w:sz w:val="24"/>
                <w:szCs w:val="24"/>
                <w:highlight w:val="none"/>
                <w:lang w:val="en-US" w:eastAsia="zh-CN" w:bidi="ar-SA"/>
              </w:rPr>
              <w:t xml:space="preserve">。</w:t>
            </w:r>
            <w:r/>
          </w:p>
          <w:p>
            <w:pPr>
              <w:pStyle w:val="790"/>
              <w:ind w:left="0" w:right="0" w:firstLine="0"/>
              <w:keepLines w:val="0"/>
              <w:keepNext w:val="0"/>
              <w:pageBreakBefore w:val="0"/>
              <w:spacing w:before="0" w:beforeAutospacing="0" w:after="0" w:afterAutospacing="0" w:line="260" w:lineRule="atLeast"/>
              <w:rPr>
                <w:rFonts w:hint="eastAsia" w:asciiTheme="minorHAnsi" w:hAnsiTheme="minorHAnsi" w:eastAsiaTheme="minorEastAsia" w:cstheme="minorBidi"/>
                <w:color w:val="auto"/>
                <w:sz w:val="24"/>
                <w:szCs w:val="24"/>
                <w:highlight w:val="none"/>
                <w:lang w:val="en-US" w:eastAsia="zh-CN" w:bidi="ar-SA"/>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(5)项目合同结束后，节能设备所有权无偿移交给采购人，资产、财务同时移交。移交要求：</w:t>
            </w:r>
            <w:r/>
          </w:p>
          <w:p>
            <w:pPr>
              <w:pStyle w:val="790"/>
              <w:ind w:left="0" w:right="0" w:firstLine="0"/>
              <w:keepLines w:val="0"/>
              <w:keepNext w:val="0"/>
              <w:pageBreakBefore w:val="0"/>
              <w:spacing w:before="0" w:beforeAutospacing="0" w:after="0" w:afterAutospacing="0" w:line="260" w:lineRule="atLeast"/>
              <w:rPr>
                <w:rFonts w:hint="eastAsia" w:asciiTheme="minorHAnsi" w:hAnsiTheme="minorHAnsi" w:eastAsiaTheme="minorEastAsia" w:cstheme="minorBidi"/>
                <w:color w:val="auto"/>
                <w:sz w:val="24"/>
                <w:szCs w:val="24"/>
                <w:highlight w:val="none"/>
                <w:lang w:val="en-US" w:eastAsia="zh-CN" w:bidi="ar-SA"/>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①亮灯率100%，设备完好率99%。</w:t>
            </w:r>
            <w:r/>
          </w:p>
          <w:p>
            <w:pPr>
              <w:pStyle w:val="790"/>
              <w:ind w:left="0" w:right="0" w:firstLine="0"/>
              <w:keepLines w:val="0"/>
              <w:keepNext w:val="0"/>
              <w:pageBreakBefore w:val="0"/>
              <w:spacing w:before="0" w:beforeAutospacing="0" w:after="0" w:afterAutospacing="0" w:line="260" w:lineRule="atLeast"/>
              <w:rPr>
                <w:rFonts w:hint="eastAsia" w:asciiTheme="minorHAnsi" w:hAnsiTheme="minorHAnsi" w:eastAsiaTheme="minorEastAsia" w:cstheme="minorBidi"/>
                <w:color w:val="auto"/>
                <w:sz w:val="24"/>
                <w:szCs w:val="24"/>
                <w:highlight w:val="none"/>
                <w:lang w:val="en-US" w:eastAsia="zh-CN" w:bidi="ar-SA"/>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②现场路面光照度、均匀度、眩光限制阈值增量等相关参数满足《城市道路照明设计标准》CJJ45-2015 规定的对应道路类型的要求、光衰维持率符合采购要求，相关数据由采购人指定的第三方检测机构出具检测报告（根据城区路段情况各抽1%-2%的道路进行检测）。</w:t>
            </w:r>
            <w:r/>
          </w:p>
          <w:p>
            <w:pPr>
              <w:pStyle w:val="790"/>
              <w:ind w:left="0" w:right="0" w:firstLine="0"/>
              <w:keepLines w:val="0"/>
              <w:keepNext w:val="0"/>
              <w:pageBreakBefore w:val="0"/>
              <w:spacing w:before="0" w:beforeAutospacing="0" w:after="0" w:afterAutospacing="0" w:line="260" w:lineRule="atLeast"/>
              <w:rPr>
                <w:rFonts w:hint="eastAsia" w:asciiTheme="minorHAnsi" w:hAnsiTheme="minorHAnsi" w:eastAsiaTheme="minorEastAsia" w:cstheme="minorBidi"/>
                <w:color w:val="auto"/>
                <w:sz w:val="24"/>
                <w:szCs w:val="24"/>
                <w:highlight w:val="none"/>
                <w:lang w:val="en-US" w:eastAsia="zh-CN" w:bidi="ar-SA"/>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③多余备品备件归中标人所有。</w:t>
            </w:r>
            <w:r/>
          </w:p>
          <w:p>
            <w:pPr>
              <w:pStyle w:val="752"/>
              <w:ind w:left="0" w:right="0" w:firstLine="0"/>
              <w:keepLines w:val="0"/>
              <w:keepNext w:val="0"/>
              <w:pageBreakBefore w:val="0"/>
              <w:spacing w:before="0" w:beforeAutospacing="0" w:after="0" w:afterAutospacing="0" w:line="260" w:lineRule="atLeast"/>
              <w:rPr>
                <w:rFonts w:hint="eastAsia" w:ascii="宋体" w:hAnsi="宋体" w:eastAsia="宋体" w:cs="宋体"/>
                <w:strike w:val="0"/>
                <w:color w:val="auto"/>
                <w:sz w:val="24"/>
                <w:szCs w:val="24"/>
                <w:highlight w:val="none"/>
                <w:lang w:val="en-US" w:eastAsia="zh-CN"/>
              </w:rPr>
              <w:suppressLineNumbers w:val="0"/>
            </w:pPr>
            <w:r>
              <w:rPr>
                <w:rFonts w:hint="eastAsia" w:asciiTheme="minorHAnsi" w:hAnsiTheme="minorHAnsi" w:eastAsiaTheme="minorEastAsia" w:cstheme="minorBidi"/>
                <w:color w:val="auto"/>
                <w:sz w:val="24"/>
                <w:szCs w:val="24"/>
                <w:highlight w:val="none"/>
                <w:lang w:val="en-US" w:eastAsia="zh-CN" w:bidi="ar-SA"/>
              </w:rPr>
              <w:t xml:space="preserve">④甲乙双方就移交清单确认签字。</w:t>
            </w:r>
            <w:r/>
          </w:p>
        </w:tc>
      </w:tr>
      <w:tr>
        <w:trPr>
          <w:trHeight w:val="23"/>
        </w:trPr>
        <w:tc>
          <w:tcPr>
            <w:shd w:val="clear" w:color="auto" w:fill="auto"/>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3</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检验要求</w:t>
            </w:r>
            <w:r/>
          </w:p>
        </w:tc>
        <w:tc>
          <w:tcPr>
            <w:shd w:val="clear" w:color="auto" w:fill="auto"/>
            <w:tcW w:w="6809" w:type="dxa"/>
            <w:vAlign w:val="center"/>
            <w:textDirection w:val="lrTb"/>
            <w:noWrap w:val="false"/>
          </w:tcPr>
          <w:p>
            <w:pPr>
              <w:pStyle w:val="790"/>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b/>
                <w:bCs/>
                <w:i/>
                <w:iCs/>
                <w:color w:val="auto"/>
                <w:sz w:val="24"/>
                <w:szCs w:val="24"/>
                <w:highlight w:val="none"/>
                <w:u w:val="single"/>
                <w:lang w:val="en-US" w:eastAsia="zh-CN"/>
              </w:rPr>
              <w:suppressLineNumbers w:val="0"/>
            </w:pPr>
            <w:r>
              <w:rPr>
                <w:rFonts w:hint="eastAsia" w:ascii="宋体" w:hAnsi="宋体" w:eastAsia="宋体" w:cs="宋体"/>
                <w:b/>
                <w:bCs/>
                <w:i/>
                <w:iCs/>
                <w:color w:val="auto"/>
                <w:sz w:val="24"/>
                <w:szCs w:val="24"/>
                <w:highlight w:val="none"/>
                <w:u w:val="single"/>
                <w:lang w:val="en-US" w:eastAsia="zh-CN"/>
              </w:rPr>
              <w:t xml:space="preserve">（1）中标人需提供投标灯具中的</w:t>
            </w:r>
            <w:r>
              <w:rPr>
                <w:rFonts w:hint="eastAsia" w:cs="宋体"/>
                <w:b/>
                <w:bCs/>
                <w:i/>
                <w:iCs/>
                <w:color w:val="auto"/>
                <w:sz w:val="24"/>
                <w:szCs w:val="24"/>
                <w:highlight w:val="none"/>
                <w:u w:val="single"/>
                <w:lang w:val="en-US" w:eastAsia="zh-CN"/>
              </w:rPr>
              <w:t xml:space="preserve">120</w:t>
            </w:r>
            <w:r>
              <w:rPr>
                <w:rFonts w:hint="eastAsia" w:ascii="宋体" w:hAnsi="宋体" w:eastAsia="宋体" w:cs="宋体"/>
                <w:b/>
                <w:bCs/>
                <w:i/>
                <w:iCs/>
                <w:color w:val="auto"/>
                <w:sz w:val="24"/>
                <w:szCs w:val="24"/>
                <w:highlight w:val="none"/>
                <w:u w:val="single"/>
                <w:lang w:val="en-US" w:eastAsia="zh-CN"/>
              </w:rPr>
              <w:t xml:space="preserve">W灯具，由采购人送至指定检测单位进行指定检测项目复检；若复检结果与投标文件中所提供的材料存在负偏离，取消其中标资格。</w:t>
            </w:r>
            <w:r/>
          </w:p>
          <w:p>
            <w:pPr>
              <w:pStyle w:val="790"/>
              <w:numPr>
                <w:ilvl w:val="0"/>
                <w:numId w:val="0"/>
              </w:numPr>
              <w:ind w:left="0" w:right="0" w:firstLine="0"/>
              <w:jc w:val="left"/>
              <w:keepLines w:val="0"/>
              <w:keepNext w:val="0"/>
              <w:pageBreakBefore w:val="0"/>
              <w:spacing w:before="0" w:beforeAutospacing="0" w:after="0" w:afterAutospacing="0" w:line="260" w:lineRule="atLeast"/>
              <w:rPr>
                <w:rFonts w:hint="eastAsia" w:ascii="宋体" w:hAnsi="宋体" w:eastAsia="宋体" w:cs="宋体"/>
                <w:b/>
                <w:bCs/>
                <w:i/>
                <w:iCs/>
                <w:color w:val="auto"/>
                <w:sz w:val="24"/>
                <w:szCs w:val="24"/>
                <w:highlight w:val="none"/>
                <w:u w:val="single"/>
                <w:lang w:val="en-US" w:eastAsia="zh-CN"/>
              </w:rPr>
              <w:suppressLineNumbers w:val="0"/>
            </w:pPr>
            <w:r>
              <w:rPr>
                <w:rFonts w:hint="eastAsia" w:ascii="宋体" w:hAnsi="宋体" w:eastAsia="宋体" w:cs="宋体"/>
                <w:b/>
                <w:bCs/>
                <w:i/>
                <w:iCs/>
                <w:color w:val="auto"/>
                <w:sz w:val="24"/>
                <w:szCs w:val="24"/>
                <w:highlight w:val="none"/>
                <w:u w:val="single"/>
                <w:lang w:val="en-US" w:eastAsia="zh-CN"/>
              </w:rPr>
              <w:t xml:space="preserve">（2）中标人需向采购人提供招标文件要求的所有检测报告原件至采购人核验；若发现存在虚假或伪造情况，取消其中标资格。</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b/>
                <w:bCs/>
                <w:i/>
                <w:iCs/>
                <w:color w:val="auto"/>
                <w:sz w:val="24"/>
                <w:szCs w:val="24"/>
                <w:highlight w:val="none"/>
                <w:u w:val="single"/>
                <w:lang w:val="en-US" w:eastAsia="zh-CN"/>
              </w:rPr>
              <w:suppressLineNumbers w:val="0"/>
            </w:pPr>
            <w:r>
              <w:rPr>
                <w:rFonts w:hint="eastAsia" w:ascii="宋体" w:hAnsi="宋体" w:eastAsia="宋体" w:cs="宋体"/>
                <w:b/>
                <w:bCs/>
                <w:i/>
                <w:iCs/>
                <w:color w:val="auto"/>
                <w:sz w:val="24"/>
                <w:szCs w:val="24"/>
                <w:highlight w:val="none"/>
                <w:u w:val="single"/>
                <w:lang w:val="en-US" w:eastAsia="zh-CN"/>
              </w:rPr>
              <w:t xml:space="preserve">（3）签订合同后10日内</w:t>
            </w:r>
            <w:r>
              <w:rPr>
                <w:rFonts w:hint="eastAsia"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中标人需向采购人提交完整详尽的项目实施技术方案</w:t>
            </w:r>
            <w:r>
              <w:rPr>
                <w:rFonts w:hint="eastAsia"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施工组织方案</w:t>
            </w:r>
            <w:r>
              <w:rPr>
                <w:rFonts w:hint="eastAsia" w:cs="宋体"/>
                <w:b/>
                <w:bCs/>
                <w:i/>
                <w:iCs/>
                <w:color w:val="auto"/>
                <w:sz w:val="24"/>
                <w:szCs w:val="24"/>
                <w:highlight w:val="none"/>
                <w:u w:val="single"/>
                <w:lang w:val="en-US" w:eastAsia="zh-CN"/>
              </w:rPr>
              <w:t xml:space="preserve">及安全施工方案，</w:t>
            </w:r>
            <w:r>
              <w:rPr>
                <w:rFonts w:hint="eastAsia" w:ascii="宋体" w:hAnsi="宋体" w:eastAsia="宋体" w:cs="宋体"/>
                <w:b/>
                <w:bCs/>
                <w:i/>
                <w:iCs/>
                <w:color w:val="auto"/>
                <w:sz w:val="24"/>
                <w:szCs w:val="24"/>
                <w:highlight w:val="none"/>
                <w:u w:val="single"/>
                <w:lang w:val="en-US" w:eastAsia="zh-CN"/>
              </w:rPr>
              <w:t xml:space="preserve">同时提供各规格灯具样品各1套；</w:t>
            </w:r>
            <w:r>
              <w:rPr>
                <w:rFonts w:hint="eastAsia" w:ascii="宋体" w:hAnsi="宋体" w:cs="宋体"/>
                <w:b/>
                <w:bCs/>
                <w:i/>
                <w:iCs/>
                <w:color w:val="auto"/>
                <w:sz w:val="24"/>
                <w:szCs w:val="24"/>
                <w:highlight w:val="none"/>
                <w:u w:val="single"/>
                <w:lang w:val="en-US" w:eastAsia="zh-CN"/>
              </w:rPr>
              <w:t xml:space="preserve">所有方案报采购人审核，</w:t>
            </w:r>
            <w:r>
              <w:rPr>
                <w:rFonts w:hint="eastAsia" w:ascii="宋体" w:hAnsi="宋体" w:eastAsia="宋体" w:cs="宋体"/>
                <w:b/>
                <w:bCs/>
                <w:i/>
                <w:iCs/>
                <w:color w:val="auto"/>
                <w:sz w:val="24"/>
                <w:szCs w:val="24"/>
                <w:highlight w:val="none"/>
                <w:u w:val="single"/>
                <w:lang w:val="en-US" w:eastAsia="zh-CN"/>
              </w:rPr>
              <w:t xml:space="preserve">采购人</w:t>
            </w:r>
            <w:r>
              <w:rPr>
                <w:rFonts w:hint="eastAsia" w:ascii="宋体" w:hAnsi="宋体" w:cs="宋体"/>
                <w:b/>
                <w:bCs/>
                <w:i/>
                <w:iCs/>
                <w:color w:val="auto"/>
                <w:sz w:val="24"/>
                <w:szCs w:val="24"/>
                <w:highlight w:val="none"/>
                <w:u w:val="single"/>
                <w:lang w:val="en-US" w:eastAsia="zh-CN"/>
              </w:rPr>
              <w:t xml:space="preserve">同步</w:t>
            </w:r>
            <w:r>
              <w:rPr>
                <w:rFonts w:hint="eastAsia" w:ascii="宋体" w:hAnsi="宋体" w:eastAsia="宋体" w:cs="宋体"/>
                <w:b/>
                <w:bCs/>
                <w:i/>
                <w:iCs/>
                <w:color w:val="auto"/>
                <w:sz w:val="24"/>
                <w:szCs w:val="24"/>
                <w:highlight w:val="none"/>
                <w:u w:val="single"/>
                <w:lang w:val="en-US" w:eastAsia="zh-CN"/>
              </w:rPr>
              <w:t xml:space="preserve">审核灯具外形</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颜色与现场的协调性，经采购人确认达标后方可开展后续工作；</w:t>
            </w:r>
            <w:r>
              <w:rPr>
                <w:rFonts w:hint="eastAsia" w:ascii="宋体" w:hAnsi="宋体" w:eastAsia="宋体" w:cs="宋体"/>
                <w:b/>
                <w:bCs/>
                <w:i/>
                <w:iCs/>
                <w:color w:val="auto"/>
                <w:sz w:val="24"/>
                <w:szCs w:val="24"/>
                <w:highlight w:val="none"/>
                <w:u w:val="single"/>
                <w:lang w:val="en-US" w:eastAsia="zh-CN" w:bidi="ar"/>
              </w:rPr>
              <w:t xml:space="preserve">若</w:t>
            </w:r>
            <w:r>
              <w:rPr>
                <w:rFonts w:hint="eastAsia" w:ascii="宋体" w:hAnsi="宋体" w:eastAsia="宋体" w:cs="宋体"/>
                <w:b/>
                <w:bCs/>
                <w:i/>
                <w:iCs/>
                <w:color w:val="auto"/>
                <w:sz w:val="24"/>
                <w:szCs w:val="24"/>
                <w:highlight w:val="none"/>
                <w:u w:val="single"/>
                <w:lang w:val="en-US" w:eastAsia="zh-CN"/>
              </w:rPr>
              <w:t xml:space="preserve">发现现场样灯与招标文件规定要求不符，中标人需</w:t>
            </w:r>
            <w:r>
              <w:rPr>
                <w:rFonts w:hint="eastAsia" w:ascii="宋体" w:hAnsi="宋体" w:cs="宋体"/>
                <w:b/>
                <w:bCs/>
                <w:i/>
                <w:iCs/>
                <w:color w:val="auto"/>
                <w:sz w:val="24"/>
                <w:szCs w:val="24"/>
                <w:highlight w:val="none"/>
                <w:u w:val="single"/>
                <w:lang w:val="en-US" w:eastAsia="zh-CN"/>
              </w:rPr>
              <w:t xml:space="preserve">按</w:t>
            </w:r>
            <w:r>
              <w:rPr>
                <w:rFonts w:hint="eastAsia" w:ascii="宋体" w:hAnsi="宋体" w:eastAsia="宋体" w:cs="宋体"/>
                <w:b/>
                <w:bCs/>
                <w:i/>
                <w:iCs/>
                <w:color w:val="auto"/>
                <w:sz w:val="24"/>
                <w:szCs w:val="24"/>
                <w:highlight w:val="none"/>
                <w:u w:val="single"/>
                <w:lang w:val="en-US" w:eastAsia="zh-CN"/>
              </w:rPr>
              <w:t xml:space="preserve">采购人要求更换相应灯具。</w:t>
            </w:r>
            <w:r/>
          </w:p>
          <w:p>
            <w:pPr>
              <w:pStyle w:val="752"/>
              <w:ind w:left="0" w:right="0" w:firstLine="0"/>
              <w:keepLines w:val="0"/>
              <w:keepNext w:val="0"/>
              <w:spacing w:before="0" w:beforeAutospacing="0" w:after="0" w:afterAutospacing="0"/>
              <w:rPr>
                <w:rStyle w:val="946"/>
                <w:rFonts w:hint="eastAsia" w:ascii="宋体" w:eastAsia="宋体" w:cs="宋体"/>
                <w:b w:val="0"/>
                <w:i w:val="0"/>
                <w:iCs/>
                <w:color w:val="auto"/>
                <w:sz w:val="24"/>
                <w:szCs w:val="24"/>
                <w:highlight w:val="none"/>
                <w:u w:val="none"/>
                <w:lang w:val="en-US"/>
              </w:rPr>
              <w:suppressLineNumbers w:val="0"/>
            </w:pPr>
            <w:r>
              <w:rPr>
                <w:rStyle w:val="946"/>
                <w:rFonts w:hint="eastAsia" w:ascii="宋体" w:hAnsi="宋体" w:eastAsia="宋体" w:cs="宋体"/>
                <w:b w:val="0"/>
                <w:i w:val="0"/>
                <w:iCs/>
                <w:color w:val="auto"/>
                <w:sz w:val="24"/>
                <w:szCs w:val="24"/>
                <w:highlight w:val="none"/>
                <w:u w:val="none"/>
                <w:lang w:val="en-US" w:eastAsia="zh-CN"/>
              </w:rPr>
              <w:t xml:space="preserve">▲（4</w:t>
            </w:r>
            <w:r>
              <w:rPr>
                <w:rFonts w:hint="eastAsia" w:ascii="宋体" w:eastAsia="宋体" w:cs="宋体"/>
                <w:b w:val="0"/>
                <w:bCs w:val="0"/>
                <w:i w:val="0"/>
                <w:iCs w:val="0"/>
                <w:color w:val="auto"/>
                <w:sz w:val="24"/>
                <w:szCs w:val="24"/>
                <w:highlight w:val="none"/>
                <w:u w:val="none"/>
                <w:lang w:val="en-US" w:eastAsia="zh-CN"/>
              </w:rPr>
              <w:t xml:space="preserve">）结合常阴沙主要主干道情况，投标单位根据</w:t>
            </w:r>
            <w:r>
              <w:rPr>
                <w:rStyle w:val="946"/>
                <w:rFonts w:hint="eastAsia" w:ascii="宋体" w:hAnsi="宋体" w:eastAsia="宋体" w:cs="宋体"/>
                <w:b w:val="0"/>
                <w:i w:val="0"/>
                <w:iCs/>
                <w:color w:val="auto"/>
                <w:sz w:val="24"/>
                <w:szCs w:val="24"/>
                <w:highlight w:val="none"/>
                <w:u w:val="none"/>
              </w:rPr>
              <w:t xml:space="preserve">CJJ</w:t>
            </w:r>
            <w:r>
              <w:rPr>
                <w:rStyle w:val="946"/>
                <w:rFonts w:hint="eastAsia" w:ascii="宋体" w:hAnsi="宋体" w:eastAsia="宋体" w:cs="宋体"/>
                <w:b w:val="0"/>
                <w:i w:val="0"/>
                <w:iCs/>
                <w:color w:val="auto"/>
                <w:sz w:val="24"/>
                <w:szCs w:val="24"/>
                <w:highlight w:val="none"/>
                <w:u w:val="none"/>
                <w:lang w:val="en-US"/>
              </w:rPr>
              <w:t xml:space="preserve"> </w:t>
            </w:r>
            <w:r>
              <w:rPr>
                <w:rStyle w:val="946"/>
                <w:rFonts w:hint="eastAsia" w:ascii="宋体" w:hAnsi="宋体" w:eastAsia="宋体" w:cs="宋体"/>
                <w:b w:val="0"/>
                <w:i w:val="0"/>
                <w:iCs/>
                <w:color w:val="auto"/>
                <w:sz w:val="24"/>
                <w:szCs w:val="24"/>
                <w:highlight w:val="none"/>
                <w:u w:val="none"/>
              </w:rPr>
              <w:t xml:space="preserve">45-2015《城市道路照明设计标准》</w:t>
            </w:r>
            <w:r>
              <w:rPr>
                <w:rStyle w:val="946"/>
                <w:rFonts w:hint="eastAsia" w:ascii="宋体" w:eastAsia="宋体" w:cs="宋体"/>
                <w:b w:val="0"/>
                <w:i w:val="0"/>
                <w:iCs/>
                <w:color w:val="auto"/>
                <w:sz w:val="24"/>
                <w:szCs w:val="24"/>
                <w:highlight w:val="none"/>
                <w:u w:val="none"/>
                <w:lang w:val="en-US"/>
              </w:rPr>
              <w:t xml:space="preserve">进行场景构造检测</w:t>
            </w:r>
            <w:r>
              <w:rPr>
                <w:rStyle w:val="946"/>
                <w:rFonts w:hint="eastAsia" w:ascii="宋体" w:eastAsia="宋体" w:cs="宋体"/>
                <w:b w:val="0"/>
                <w:i w:val="0"/>
                <w:iCs/>
                <w:color w:val="auto"/>
                <w:sz w:val="24"/>
                <w:szCs w:val="24"/>
                <w:highlight w:val="none"/>
                <w:u w:val="none"/>
              </w:rPr>
              <w:t xml:space="preserve">，</w:t>
            </w:r>
            <w:r>
              <w:rPr>
                <w:rStyle w:val="946"/>
                <w:rFonts w:hint="eastAsia" w:ascii="宋体" w:eastAsia="宋体" w:cs="宋体"/>
                <w:b w:val="0"/>
                <w:i w:val="0"/>
                <w:iCs/>
                <w:color w:val="auto"/>
                <w:sz w:val="24"/>
                <w:szCs w:val="24"/>
                <w:highlight w:val="none"/>
                <w:u w:val="none"/>
                <w:lang w:val="en-US"/>
              </w:rPr>
              <w:t xml:space="preserve">检测标准按照3.3机动车道路照明标准值</w:t>
            </w:r>
            <w:r>
              <w:rPr>
                <w:rStyle w:val="946"/>
                <w:rFonts w:hint="eastAsia" w:ascii="宋体" w:eastAsia="宋体" w:cs="宋体"/>
                <w:b w:val="0"/>
                <w:i w:val="0"/>
                <w:iCs/>
                <w:strike w:val="0"/>
                <w:color w:val="auto"/>
                <w:sz w:val="24"/>
                <w:szCs w:val="24"/>
                <w:highlight w:val="none"/>
                <w:u w:val="none"/>
                <w:lang w:val="en-US"/>
              </w:rPr>
              <w:t xml:space="preserve">（快速路、主干道）</w:t>
            </w:r>
            <w:r>
              <w:rPr>
                <w:rStyle w:val="946"/>
                <w:rFonts w:hint="eastAsia" w:ascii="宋体" w:eastAsia="宋体" w:cs="宋体"/>
                <w:b w:val="0"/>
                <w:i w:val="0"/>
                <w:iCs/>
                <w:color w:val="auto"/>
                <w:sz w:val="24"/>
                <w:szCs w:val="24"/>
                <w:highlight w:val="none"/>
                <w:u w:val="none"/>
                <w:lang w:val="en-US"/>
              </w:rPr>
              <w:t xml:space="preserve">，监测内容包含但不限于整灯光效</w:t>
            </w:r>
            <w:r>
              <w:rPr>
                <w:rStyle w:val="946"/>
                <w:rFonts w:hint="eastAsia" w:ascii="宋体" w:eastAsia="宋体" w:cs="宋体"/>
                <w:b w:val="0"/>
                <w:i w:val="0"/>
                <w:iCs/>
                <w:color w:val="auto"/>
                <w:sz w:val="24"/>
                <w:szCs w:val="24"/>
                <w:highlight w:val="none"/>
                <w:u w:val="none"/>
                <w:lang w:val="en-US" w:eastAsia="zh-CN"/>
              </w:rPr>
              <w:t xml:space="preserve">、</w:t>
            </w:r>
            <w:r>
              <w:rPr>
                <w:rStyle w:val="946"/>
                <w:rFonts w:hint="eastAsia" w:ascii="宋体" w:eastAsia="宋体" w:cs="宋体"/>
                <w:b w:val="0"/>
                <w:i w:val="0"/>
                <w:iCs/>
                <w:color w:val="auto"/>
                <w:sz w:val="24"/>
                <w:szCs w:val="24"/>
                <w:highlight w:val="none"/>
                <w:u w:val="none"/>
                <w:lang w:val="en-US"/>
              </w:rPr>
              <w:t xml:space="preserve">平均亮度、总均匀度、平均照度、均匀度、炫光限制阈值增量等</w:t>
            </w:r>
            <w:r/>
          </w:p>
          <w:p>
            <w:pPr>
              <w:pStyle w:val="752"/>
              <w:ind w:left="0" w:right="0" w:firstLine="0"/>
              <w:keepLines w:val="0"/>
              <w:keepNext w:val="0"/>
              <w:spacing w:before="0" w:beforeAutospacing="0" w:after="0" w:afterAutospacing="0"/>
              <w:rPr>
                <w:rStyle w:val="946"/>
                <w:rFonts w:hint="default" w:ascii="宋体" w:eastAsia="宋体" w:cs="宋体"/>
                <w:b w:val="0"/>
                <w:i w:val="0"/>
                <w:iCs/>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vertAlign w:val="baseline"/>
                <w:lang w:val="en-US" w:eastAsia="zh-CN"/>
              </w:rPr>
              <w:t xml:space="preserve">以上“▲”项需提供由</w:t>
            </w:r>
            <w:r>
              <w:rPr>
                <w:rFonts w:hint="eastAsia" w:ascii="宋体" w:eastAsia="宋体" w:cs="宋体"/>
                <w:b/>
                <w:bCs/>
                <w:i w:val="0"/>
                <w:iCs w:val="0"/>
                <w:color w:val="auto"/>
                <w:sz w:val="24"/>
                <w:szCs w:val="24"/>
                <w:highlight w:val="none"/>
                <w:u w:val="none"/>
                <w:vertAlign w:val="baseline"/>
                <w:lang w:val="en-US" w:eastAsia="zh-CN"/>
              </w:rPr>
              <w:t xml:space="preserve">国家认可的</w:t>
            </w:r>
            <w:r>
              <w:rPr>
                <w:rFonts w:hint="eastAsia" w:ascii="宋体" w:hAnsi="宋体" w:eastAsia="宋体" w:cs="宋体"/>
                <w:b/>
                <w:bCs/>
                <w:i w:val="0"/>
                <w:iCs w:val="0"/>
                <w:color w:val="auto"/>
                <w:sz w:val="24"/>
                <w:szCs w:val="24"/>
                <w:highlight w:val="none"/>
                <w:u w:val="none"/>
                <w:vertAlign w:val="baseline"/>
                <w:lang w:val="en-US" w:eastAsia="zh-CN"/>
              </w:rPr>
              <w:t xml:space="preserve">电光源质量检验检测中心出具的检测报告,报告需具有CMA和CNAS认证标志并支持二维码验真伪，允许同系列、不同功率</w:t>
            </w:r>
            <w:r>
              <w:rPr>
                <w:rFonts w:hint="eastAsia" w:ascii="宋体" w:eastAsia="宋体" w:cs="宋体"/>
                <w:b/>
                <w:bCs/>
                <w:i w:val="0"/>
                <w:iCs w:val="0"/>
                <w:color w:val="auto"/>
                <w:sz w:val="24"/>
                <w:szCs w:val="24"/>
                <w:highlight w:val="none"/>
                <w:u w:val="none"/>
                <w:vertAlign w:val="baseline"/>
                <w:lang w:val="en-US" w:eastAsia="zh-CN"/>
              </w:rPr>
              <w:t xml:space="preserve">。</w:t>
            </w:r>
            <w:r/>
          </w:p>
        </w:tc>
      </w:tr>
      <w:tr>
        <w:trPr>
          <w:trHeight w:val="4870"/>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4</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人员配置要求</w:t>
            </w:r>
            <w:r/>
          </w:p>
        </w:tc>
        <w:tc>
          <w:tcPr>
            <w:shd w:val="clear" w:color="auto" w:fill="auto"/>
            <w:tcW w:w="6809" w:type="dxa"/>
            <w:vAlign w:val="center"/>
            <w:textDirection w:val="lrTb"/>
            <w:noWrap w:val="false"/>
          </w:tcPr>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改造安装过程中需提供如下管理人员：</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（1）项目经理(1人)：具备二级及以上建造师注册证书（机电工程）；</w:t>
            </w:r>
            <w:r>
              <w:rPr>
                <w:rFonts w:hint="eastAsia" w:ascii="宋体" w:hAnsi="宋体" w:eastAsia="宋体" w:cs="宋体"/>
                <w:color w:val="auto"/>
                <w:spacing w:val="7"/>
                <w:sz w:val="24"/>
                <w:szCs w:val="24"/>
                <w:highlight w:val="none"/>
                <w:lang w:val="en-US" w:eastAsia="zh-CN"/>
              </w:rPr>
              <w:t xml:space="preserve">具备高级及以上工程师职称证书、信息技术应用创新考试评价证书高级及以上、IT服务工程师(ITSS)证书。</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rPr>
              <w:t xml:space="preserve">（2）技术负责人(1人)：具备高级及以上工程师职称证书、网络工程师证书、IT服务工程师(ITSS)证书。</w:t>
            </w:r>
            <w:r/>
          </w:p>
          <w:p>
            <w:pPr>
              <w:ind w:left="0" w:right="0" w:firstLine="0"/>
              <w:jc w:val="left"/>
              <w:keepLines w:val="0"/>
              <w:keepNext w:val="0"/>
              <w:pageBreakBefore w:val="0"/>
              <w:spacing w:before="0" w:beforeAutospacing="0" w:after="0" w:afterAutospacing="0" w:line="260" w:lineRule="atLeast"/>
              <w:widowControl/>
              <w:rPr>
                <w:rFonts w:hint="eastAsia" w:ascii="宋体" w:hAnsi="宋体" w:eastAsia="宋体" w:cs="宋体"/>
                <w:color w:val="auto"/>
                <w:spacing w:val="7"/>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rPr>
              <w:t xml:space="preserve">（3）安全员(1人)：</w:t>
            </w:r>
            <w:r>
              <w:rPr>
                <w:rFonts w:hint="eastAsia" w:ascii="宋体" w:hAnsi="宋体" w:eastAsia="宋体" w:cs="宋体"/>
                <w:b w:val="0"/>
                <w:bCs w:val="0"/>
                <w:color w:val="auto"/>
                <w:spacing w:val="7"/>
                <w:sz w:val="24"/>
                <w:szCs w:val="24"/>
                <w:highlight w:val="none"/>
                <w:lang w:val="en-US" w:eastAsia="zh-CN"/>
              </w:rPr>
              <w:t xml:space="preserve">具备中级及以上工程师职称证书、信息安全保障人员认证证书</w:t>
            </w:r>
            <w:r>
              <w:rPr>
                <w:rFonts w:hint="eastAsia" w:ascii="宋体" w:hAnsi="宋体" w:cs="宋体"/>
                <w:b w:val="0"/>
                <w:bCs w:val="0"/>
                <w:color w:val="auto"/>
                <w:spacing w:val="7"/>
                <w:sz w:val="24"/>
                <w:szCs w:val="24"/>
                <w:highlight w:val="none"/>
                <w:lang w:val="en-US" w:eastAsia="zh-CN"/>
              </w:rPr>
              <w:t xml:space="preserve">。</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（4）高空电工(4人)：具备</w:t>
            </w:r>
            <w:r>
              <w:rPr>
                <w:rFonts w:hint="eastAsia" w:ascii="宋体" w:hAnsi="宋体" w:eastAsia="宋体" w:cs="宋体"/>
                <w:b/>
                <w:bCs/>
                <w:i/>
                <w:iCs/>
                <w:color w:val="auto"/>
                <w:sz w:val="24"/>
                <w:szCs w:val="24"/>
                <w:highlight w:val="none"/>
                <w:u w:val="single"/>
                <w:lang w:val="en-US" w:eastAsia="zh-CN" w:bidi="ar"/>
              </w:rPr>
              <w:t xml:space="preserve">特种作业操作证（</w:t>
            </w:r>
            <w:r>
              <w:rPr>
                <w:rStyle w:val="745"/>
                <w:rFonts w:hint="eastAsia" w:ascii="宋体" w:hAnsi="宋体" w:eastAsia="宋体" w:cs="宋体"/>
                <w:b/>
                <w:bCs/>
                <w:i/>
                <w:iCs/>
                <w:color w:val="auto"/>
                <w:sz w:val="24"/>
                <w:szCs w:val="24"/>
                <w:highlight w:val="none"/>
                <w:u w:val="single"/>
                <w:lang w:val="en-US" w:eastAsia="zh-CN" w:bidi="ar"/>
              </w:rPr>
              <w:t xml:space="preserve">低压电工作业）</w:t>
            </w:r>
            <w:r>
              <w:rPr>
                <w:rFonts w:hint="eastAsia" w:ascii="宋体" w:hAnsi="宋体" w:eastAsia="宋体" w:cs="宋体"/>
                <w:b/>
                <w:bCs/>
                <w:i/>
                <w:iCs/>
                <w:color w:val="auto"/>
                <w:spacing w:val="7"/>
                <w:sz w:val="24"/>
                <w:szCs w:val="24"/>
                <w:highlight w:val="none"/>
                <w:u w:val="single"/>
                <w:lang w:val="en-US" w:eastAsia="zh-CN"/>
              </w:rPr>
              <w:t xml:space="preserve">和</w:t>
            </w:r>
            <w:r>
              <w:rPr>
                <w:rFonts w:hint="eastAsia" w:ascii="宋体" w:hAnsi="宋体" w:eastAsia="宋体" w:cs="宋体"/>
                <w:b/>
                <w:bCs/>
                <w:i/>
                <w:iCs/>
                <w:color w:val="auto"/>
                <w:sz w:val="24"/>
                <w:szCs w:val="24"/>
                <w:highlight w:val="none"/>
                <w:u w:val="single"/>
                <w:lang w:val="en-US" w:eastAsia="zh-CN" w:bidi="ar"/>
              </w:rPr>
              <w:t xml:space="preserve">特种作业操作证（</w:t>
            </w:r>
            <w:r>
              <w:rPr>
                <w:rStyle w:val="745"/>
                <w:rFonts w:hint="eastAsia" w:ascii="宋体" w:hAnsi="宋体" w:eastAsia="宋体" w:cs="宋体"/>
                <w:b/>
                <w:bCs/>
                <w:i/>
                <w:iCs/>
                <w:color w:val="auto"/>
                <w:sz w:val="24"/>
                <w:szCs w:val="24"/>
                <w:highlight w:val="none"/>
                <w:u w:val="single"/>
                <w:lang w:val="en-US" w:eastAsia="zh-CN" w:bidi="ar"/>
              </w:rPr>
              <w:t xml:space="preserve">高处作业）</w:t>
            </w:r>
            <w:r>
              <w:rPr>
                <w:rFonts w:hint="eastAsia" w:ascii="宋体" w:hAnsi="宋体" w:eastAsia="宋体" w:cs="宋体"/>
                <w:b/>
                <w:bCs/>
                <w:i/>
                <w:iCs/>
                <w:color w:val="auto"/>
                <w:spacing w:val="7"/>
                <w:sz w:val="24"/>
                <w:szCs w:val="24"/>
                <w:highlight w:val="none"/>
                <w:u w:val="single"/>
                <w:lang w:val="en-US" w:eastAsia="zh-CN"/>
              </w:rPr>
              <w:t xml:space="preserve">。</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rPr>
              <w:t xml:space="preserve">（5）高空作业车操作员(2人)：具备</w:t>
            </w:r>
            <w:r>
              <w:rPr>
                <w:rFonts w:hint="default" w:eastAsia="宋体"/>
                <w:color w:val="auto"/>
                <w:spacing w:val="7"/>
                <w:highlight w:val="none"/>
                <w:lang w:val="en-US" w:eastAsia="zh-CN"/>
              </w:rPr>
              <w:t xml:space="preserve">建设机械施工上机操作证（机种为高空作业车）</w:t>
            </w:r>
            <w:r>
              <w:rPr>
                <w:rFonts w:hint="eastAsia" w:ascii="宋体" w:hAnsi="宋体" w:eastAsia="宋体" w:cs="宋体"/>
                <w:color w:val="auto"/>
                <w:spacing w:val="7"/>
                <w:sz w:val="24"/>
                <w:szCs w:val="24"/>
                <w:highlight w:val="none"/>
                <w:lang w:val="en-US" w:eastAsia="zh-CN"/>
              </w:rPr>
              <w:t xml:space="preserve">。</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color w:val="auto"/>
                <w:spacing w:val="7"/>
                <w:sz w:val="24"/>
                <w:szCs w:val="24"/>
                <w:highlight w:val="none"/>
                <w:lang w:val="en-US" w:eastAsia="zh-CN"/>
              </w:rPr>
              <w:t xml:space="preserve">注：以上人员的证书均在有效期内，请在投标文件中提供响应人员的证书扫描件及投标人为其缴纳的最近一期社保证明。</w:t>
            </w:r>
            <w:r/>
          </w:p>
        </w:tc>
      </w:tr>
      <w:tr>
        <w:trPr>
          <w:trHeight w:val="120"/>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cs="宋体"/>
                <w:color w:val="auto"/>
                <w:sz w:val="24"/>
                <w:szCs w:val="24"/>
                <w:highlight w:val="none"/>
                <w:vertAlign w:val="baseline"/>
                <w:lang w:val="en-US" w:eastAsia="zh-CN"/>
              </w:rPr>
              <w:t xml:space="preserve">15</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企业认证要求</w:t>
            </w:r>
            <w:r/>
          </w:p>
        </w:tc>
        <w:tc>
          <w:tcPr>
            <w:shd w:val="clear" w:color="auto" w:fill="auto"/>
            <w:tcW w:w="6809" w:type="dxa"/>
            <w:vAlign w:val="center"/>
            <w:textDirection w:val="lrTb"/>
            <w:noWrap w:val="false"/>
          </w:tcPr>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rPr>
              <w:t xml:space="preserve">本项目为路灯能源委托管理及灯具智能化改造，主要内容包括：对既有路灯系统进行节能诊断、方案设计、设备改造（如LED灯具替换、智能控制器加装）、能源数据采集与分析、远程监控运维及节能量核算等。为确保项目实施质量、环境友好性、信息安全及长期运维可靠性，投标人应具备成熟的管理体系。</w:t>
            </w:r>
            <w:r/>
          </w:p>
        </w:tc>
      </w:tr>
      <w:tr>
        <w:trPr>
          <w:trHeight w:val="23"/>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6</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olor w:val="auto"/>
                <w:sz w:val="24"/>
                <w:szCs w:val="24"/>
                <w:highlight w:val="none"/>
              </w:rPr>
              <w:t xml:space="preserve">验收标准</w:t>
            </w:r>
            <w:r/>
          </w:p>
        </w:tc>
        <w:tc>
          <w:tcPr>
            <w:shd w:val="clear" w:color="auto" w:fill="auto"/>
            <w:tcW w:w="6809" w:type="dxa"/>
            <w:vAlign w:val="center"/>
            <w:textDirection w:val="lrTb"/>
            <w:noWrap w:val="false"/>
          </w:tcPr>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1.本项目采取一次性工程整体验收方式。</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2.验收标准：最新CJJ45城市道路照明标准、招标文件和投标文件。</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3.验收</w:t>
            </w:r>
            <w:r>
              <w:rPr>
                <w:rFonts w:hint="eastAsia"/>
                <w:color w:val="auto"/>
                <w:sz w:val="24"/>
                <w:szCs w:val="24"/>
                <w:highlight w:val="none"/>
                <w:lang w:val="en-US" w:eastAsia="zh-CN"/>
              </w:rPr>
              <w:t xml:space="preserve">检测：</w:t>
            </w:r>
            <w:r>
              <w:rPr>
                <w:rFonts w:hint="eastAsia"/>
                <w:color w:val="auto"/>
                <w:sz w:val="24"/>
                <w:szCs w:val="24"/>
                <w:highlight w:val="none"/>
                <w:lang w:eastAsia="zh-CN"/>
              </w:rPr>
              <w:t xml:space="preserve">采购人</w:t>
            </w:r>
            <w:r>
              <w:rPr>
                <w:rFonts w:hint="eastAsia"/>
                <w:color w:val="auto"/>
                <w:sz w:val="24"/>
                <w:szCs w:val="24"/>
                <w:highlight w:val="none"/>
              </w:rPr>
              <w:t xml:space="preserve">指定第三方检测机构</w:t>
            </w:r>
            <w:r>
              <w:rPr>
                <w:rFonts w:hint="eastAsia"/>
                <w:color w:val="auto"/>
                <w:sz w:val="24"/>
                <w:szCs w:val="24"/>
                <w:highlight w:val="none"/>
                <w:lang w:eastAsia="zh-CN"/>
              </w:rPr>
              <w:t xml:space="preserve">（</w:t>
            </w:r>
            <w:r>
              <w:rPr>
                <w:rFonts w:hint="eastAsia"/>
                <w:color w:val="auto"/>
                <w:sz w:val="24"/>
                <w:szCs w:val="24"/>
                <w:highlight w:val="none"/>
              </w:rPr>
              <w:t xml:space="preserve">各抽1%-2%的道路进行检测</w:t>
            </w:r>
            <w:r>
              <w:rPr>
                <w:rFonts w:hint="eastAsia"/>
                <w:color w:val="auto"/>
                <w:sz w:val="24"/>
                <w:szCs w:val="24"/>
                <w:highlight w:val="none"/>
                <w:lang w:eastAsia="zh-CN"/>
              </w:rPr>
              <w:t xml:space="preserve">）</w:t>
            </w:r>
            <w:r>
              <w:rPr>
                <w:rFonts w:hint="eastAsia"/>
                <w:color w:val="auto"/>
                <w:sz w:val="24"/>
                <w:szCs w:val="24"/>
                <w:highlight w:val="none"/>
              </w:rPr>
              <w:t xml:space="preserve">对灯具功率、道路照度、亮度各项指标进行现场抽查，</w:t>
            </w:r>
            <w:r>
              <w:rPr>
                <w:rFonts w:hint="eastAsia"/>
                <w:color w:val="auto"/>
                <w:sz w:val="24"/>
                <w:szCs w:val="24"/>
                <w:highlight w:val="none"/>
                <w:lang w:val="en-US" w:eastAsia="zh-CN"/>
              </w:rPr>
              <w:t xml:space="preserve">验收</w:t>
            </w:r>
            <w:r>
              <w:rPr>
                <w:rFonts w:hint="eastAsia"/>
                <w:color w:val="auto"/>
                <w:sz w:val="24"/>
                <w:szCs w:val="24"/>
                <w:highlight w:val="none"/>
              </w:rPr>
              <w:t xml:space="preserve">检测费含在投标总价内。服务期内检测费用由</w:t>
            </w:r>
            <w:r>
              <w:rPr>
                <w:rFonts w:hint="eastAsia"/>
                <w:color w:val="auto"/>
                <w:sz w:val="24"/>
                <w:szCs w:val="24"/>
                <w:highlight w:val="none"/>
                <w:lang w:eastAsia="zh-CN"/>
              </w:rPr>
              <w:t xml:space="preserve">中标人</w:t>
            </w:r>
            <w:r>
              <w:rPr>
                <w:rFonts w:hint="eastAsia"/>
                <w:color w:val="auto"/>
                <w:sz w:val="24"/>
                <w:szCs w:val="24"/>
                <w:highlight w:val="none"/>
                <w:lang w:val="en-US" w:eastAsia="zh-CN"/>
              </w:rPr>
              <w:t xml:space="preserve">承担，不合格限期整改，整改合格后</w:t>
            </w:r>
            <w:r>
              <w:rPr>
                <w:rFonts w:hint="eastAsia"/>
                <w:color w:val="auto"/>
                <w:sz w:val="24"/>
                <w:szCs w:val="24"/>
                <w:highlight w:val="none"/>
              </w:rPr>
              <w:t xml:space="preserve">，</w:t>
            </w:r>
            <w:r>
              <w:rPr>
                <w:rFonts w:hint="eastAsia"/>
                <w:color w:val="auto"/>
                <w:sz w:val="24"/>
                <w:szCs w:val="24"/>
                <w:highlight w:val="none"/>
                <w:lang w:val="en-US" w:eastAsia="zh-CN"/>
              </w:rPr>
              <w:t xml:space="preserve">凭</w:t>
            </w:r>
            <w:r>
              <w:rPr>
                <w:rFonts w:hint="eastAsia"/>
                <w:color w:val="auto"/>
                <w:sz w:val="24"/>
                <w:szCs w:val="24"/>
                <w:highlight w:val="none"/>
              </w:rPr>
              <w:t xml:space="preserve">第三方检测机构出具《道路照明检测报告》提交项目竣工报告，</w:t>
            </w:r>
            <w:r>
              <w:rPr>
                <w:rFonts w:hint="eastAsia"/>
                <w:color w:val="auto"/>
                <w:sz w:val="24"/>
                <w:szCs w:val="24"/>
                <w:highlight w:val="none"/>
                <w:lang w:eastAsia="zh-CN"/>
              </w:rPr>
              <w:t xml:space="preserve">采购人</w:t>
            </w:r>
            <w:r>
              <w:rPr>
                <w:rFonts w:hint="eastAsia"/>
                <w:color w:val="auto"/>
                <w:sz w:val="24"/>
                <w:szCs w:val="24"/>
                <w:highlight w:val="none"/>
              </w:rPr>
              <w:t xml:space="preserve">收到项目竣工报告后30天内组织验收。</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4.施工安装</w:t>
            </w:r>
            <w:r>
              <w:rPr>
                <w:rFonts w:hint="eastAsia"/>
                <w:color w:val="auto"/>
                <w:sz w:val="24"/>
                <w:szCs w:val="24"/>
                <w:highlight w:val="none"/>
                <w:lang w:val="en-US" w:eastAsia="zh-CN"/>
              </w:rPr>
              <w:t xml:space="preserve">验收：</w:t>
            </w:r>
            <w:r>
              <w:rPr>
                <w:rFonts w:hint="eastAsia"/>
                <w:color w:val="auto"/>
                <w:sz w:val="24"/>
                <w:szCs w:val="24"/>
                <w:highlight w:val="none"/>
              </w:rPr>
              <w:t xml:space="preserve">按《城市道路照明施工及验收规程》(CJJ89-2012)对</w:t>
            </w:r>
            <w:r>
              <w:rPr>
                <w:rFonts w:hint="eastAsia"/>
                <w:color w:val="auto"/>
                <w:sz w:val="24"/>
                <w:szCs w:val="24"/>
                <w:highlight w:val="none"/>
                <w:lang w:eastAsia="zh-CN"/>
              </w:rPr>
              <w:t xml:space="preserve">投标人</w:t>
            </w:r>
            <w:r>
              <w:rPr>
                <w:rFonts w:hint="eastAsia"/>
                <w:color w:val="auto"/>
                <w:sz w:val="24"/>
                <w:szCs w:val="24"/>
                <w:highlight w:val="none"/>
              </w:rPr>
              <w:t xml:space="preserve">施工部分进行验收，竣工验收时要求亮灯率达到100%。 </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5.照明</w:t>
            </w:r>
            <w:r>
              <w:rPr>
                <w:rFonts w:hint="eastAsia"/>
                <w:color w:val="auto"/>
                <w:sz w:val="24"/>
                <w:szCs w:val="24"/>
                <w:highlight w:val="none"/>
                <w:lang w:val="en-US" w:eastAsia="zh-CN"/>
              </w:rPr>
              <w:t xml:space="preserve">验收：</w:t>
            </w:r>
            <w:r>
              <w:rPr>
                <w:rFonts w:hint="eastAsia"/>
                <w:color w:val="auto"/>
                <w:sz w:val="24"/>
                <w:szCs w:val="24"/>
                <w:highlight w:val="none"/>
              </w:rPr>
              <w:t xml:space="preserve">各项指标按《城市道路照明设计标准》（CJJ45-2015）要求进行测量。</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6.验收方法：第三方检测机构现场抽查并出具检测报告。</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color w:val="auto"/>
                <w:sz w:val="24"/>
                <w:szCs w:val="24"/>
                <w:highlight w:val="none"/>
              </w:rPr>
              <w:t xml:space="preserve">7.软件平台</w:t>
            </w:r>
            <w:r>
              <w:rPr>
                <w:rFonts w:hint="eastAsia" w:eastAsia="宋体"/>
                <w:color w:val="auto"/>
                <w:sz w:val="24"/>
                <w:szCs w:val="24"/>
                <w:highlight w:val="none"/>
                <w:lang w:val="en-US" w:eastAsia="zh-CN"/>
              </w:rPr>
              <w:t xml:space="preserve">验收：</w:t>
            </w:r>
            <w:r>
              <w:rPr>
                <w:rFonts w:hint="eastAsia"/>
                <w:color w:val="auto"/>
                <w:sz w:val="24"/>
                <w:szCs w:val="24"/>
                <w:highlight w:val="none"/>
              </w:rPr>
              <w:t xml:space="preserve">以使用部门出具的验收合格报告为准。</w:t>
            </w:r>
            <w:r/>
          </w:p>
        </w:tc>
      </w:tr>
      <w:tr>
        <w:trPr>
          <w:trHeight w:val="23"/>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7</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olor w:val="auto"/>
                <w:sz w:val="24"/>
                <w:szCs w:val="24"/>
                <w:highlight w:val="none"/>
              </w:rPr>
              <w:t xml:space="preserve">合同履行期内，</w:t>
            </w:r>
            <w:r>
              <w:rPr>
                <w:rFonts w:hint="eastAsia" w:ascii="宋体" w:hAnsi="宋体" w:eastAsia="宋体"/>
                <w:color w:val="auto"/>
                <w:sz w:val="24"/>
                <w:szCs w:val="24"/>
                <w:highlight w:val="none"/>
                <w:lang w:eastAsia="zh-CN"/>
              </w:rPr>
              <w:t xml:space="preserve">中标人</w:t>
            </w:r>
            <w:r>
              <w:rPr>
                <w:rFonts w:hint="eastAsia" w:ascii="宋体" w:hAnsi="宋体" w:eastAsia="宋体"/>
                <w:color w:val="auto"/>
                <w:sz w:val="24"/>
                <w:szCs w:val="24"/>
                <w:highlight w:val="none"/>
              </w:rPr>
              <w:t xml:space="preserve">有下列行为的，甲方有权单方终止合同并没收全部履约保证金</w:t>
            </w:r>
            <w:r/>
          </w:p>
        </w:tc>
        <w:tc>
          <w:tcPr>
            <w:shd w:val="clear" w:color="auto" w:fill="auto"/>
            <w:tcW w:w="6809" w:type="dxa"/>
            <w:vAlign w:val="center"/>
            <w:textDirection w:val="lrTb"/>
            <w:noWrap w:val="false"/>
          </w:tcPr>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1、月度考核扣款超出月能源托管管理的40% </w:t>
            </w:r>
            <w:r>
              <w:rPr>
                <w:rFonts w:hint="eastAsia"/>
                <w:color w:val="auto"/>
                <w:sz w:val="24"/>
                <w:szCs w:val="24"/>
                <w:highlight w:val="none"/>
                <w:lang w:val="en-US" w:eastAsia="zh-CN"/>
              </w:rPr>
              <w:t xml:space="preserve">及</w:t>
            </w:r>
            <w:r>
              <w:rPr>
                <w:rFonts w:hint="eastAsia"/>
                <w:color w:val="auto"/>
                <w:sz w:val="24"/>
                <w:szCs w:val="24"/>
                <w:highlight w:val="none"/>
              </w:rPr>
              <w:t xml:space="preserve">以上（二次及以上）</w:t>
            </w:r>
            <w:r>
              <w:rPr>
                <w:rFonts w:hint="eastAsia"/>
                <w:color w:val="auto"/>
                <w:sz w:val="24"/>
                <w:szCs w:val="24"/>
                <w:highlight w:val="none"/>
                <w:lang w:val="en-US" w:eastAsia="zh-CN"/>
              </w:rPr>
              <w:t xml:space="preserve">的</w:t>
            </w:r>
            <w:r>
              <w:rPr>
                <w:rFonts w:hint="eastAsia"/>
                <w:color w:val="auto"/>
                <w:sz w:val="24"/>
                <w:szCs w:val="24"/>
                <w:highlight w:val="none"/>
              </w:rPr>
              <w:t xml:space="preserve">；</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2、未提供合格服务，受到社会媒体曝光、群众投诉、上级部门批评</w:t>
            </w:r>
            <w:r>
              <w:rPr>
                <w:rFonts w:hint="eastAsia"/>
                <w:color w:val="auto"/>
                <w:sz w:val="24"/>
                <w:szCs w:val="24"/>
                <w:highlight w:val="none"/>
                <w:lang w:val="en-US" w:eastAsia="zh-CN"/>
              </w:rPr>
              <w:t xml:space="preserve">达</w:t>
            </w:r>
            <w:r>
              <w:rPr>
                <w:rFonts w:hint="eastAsia"/>
                <w:color w:val="auto"/>
                <w:sz w:val="24"/>
                <w:szCs w:val="24"/>
                <w:highlight w:val="none"/>
              </w:rPr>
              <w:t xml:space="preserve">三次的；</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3、亮灯率考核连续两个月低于98%的；</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rPr>
              <w:t xml:space="preserve">4、</w:t>
            </w:r>
            <w:r>
              <w:rPr>
                <w:rFonts w:hint="eastAsia"/>
                <w:color w:val="auto"/>
                <w:sz w:val="24"/>
                <w:szCs w:val="24"/>
                <w:highlight w:val="none"/>
                <w:lang w:val="en-US" w:eastAsia="zh-CN"/>
              </w:rPr>
              <w:t xml:space="preserve">设备</w:t>
            </w:r>
            <w:r>
              <w:rPr>
                <w:rFonts w:hint="eastAsia"/>
                <w:color w:val="auto"/>
                <w:sz w:val="24"/>
                <w:szCs w:val="24"/>
                <w:highlight w:val="none"/>
              </w:rPr>
              <w:t xml:space="preserve">完好率连续两个月低于95%的；</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color w:val="auto"/>
                <w:sz w:val="24"/>
                <w:szCs w:val="24"/>
                <w:highlight w:val="none"/>
              </w:rPr>
              <w:t xml:space="preserve">5、</w:t>
            </w:r>
            <w:r>
              <w:rPr>
                <w:rFonts w:hint="default" w:ascii="宋体" w:hAnsi="宋体" w:eastAsia="宋体" w:cs="宋体"/>
                <w:color w:val="auto"/>
                <w:sz w:val="24"/>
                <w:szCs w:val="24"/>
                <w:highlight w:val="none"/>
                <w:lang w:val="en-US" w:eastAsia="zh-CN" w:bidi="ar"/>
              </w:rPr>
              <w:t xml:space="preserve">收到限期整改意见书后</w:t>
            </w:r>
            <w:r>
              <w:rPr>
                <w:rFonts w:hint="eastAsia" w:ascii="宋体" w:hAnsi="宋体" w:eastAsia="宋体" w:cs="宋体"/>
                <w:color w:val="auto"/>
                <w:sz w:val="24"/>
                <w:szCs w:val="24"/>
                <w:highlight w:val="none"/>
                <w:lang w:val="en-US" w:eastAsia="zh-CN" w:bidi="ar"/>
              </w:rPr>
              <w:t xml:space="preserve">，超过三周未整改或拒不整改的；</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未按要求保障大型节庆活动照明设施正常运行，或接到书面通知后未响应现场保障需求</w:t>
            </w:r>
            <w:r>
              <w:rPr>
                <w:rFonts w:hint="eastAsia" w:ascii="宋体" w:hAnsi="宋体" w:eastAsia="宋体" w:cs="宋体"/>
                <w:color w:val="auto"/>
                <w:sz w:val="24"/>
                <w:szCs w:val="24"/>
                <w:highlight w:val="none"/>
                <w:lang w:val="en-US"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7、未按采购人要求提供备品备件的（</w:t>
            </w:r>
            <w:r>
              <w:rPr>
                <w:rFonts w:hint="default" w:ascii="宋体" w:hAnsi="宋体" w:eastAsia="宋体" w:cs="宋体"/>
                <w:color w:val="auto"/>
                <w:sz w:val="24"/>
                <w:szCs w:val="24"/>
                <w:highlight w:val="none"/>
                <w:lang w:val="en-US" w:eastAsia="zh-CN" w:bidi="ar"/>
              </w:rPr>
              <w:t xml:space="preserve">按应急清单配置并承诺，竣工验收后入库</w:t>
            </w:r>
            <w:r>
              <w:rPr>
                <w:rFonts w:hint="eastAsia" w:ascii="宋体" w:hAnsi="宋体" w:eastAsia="宋体" w:cs="宋体"/>
                <w:color w:val="auto"/>
                <w:sz w:val="24"/>
                <w:szCs w:val="24"/>
                <w:highlight w:val="none"/>
                <w:lang w:val="en-US"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rPr>
                <w:rFonts w:hint="default" w:ascii="宋体" w:hAnsi="宋体" w:eastAsia="宋体" w:cs="宋体"/>
                <w:color w:val="auto"/>
                <w:sz w:val="24"/>
                <w:szCs w:val="24"/>
                <w:highlight w:val="none"/>
                <w:lang w:val="en-US" w:eastAsia="zh-CN" w:bidi="ar"/>
              </w:rPr>
              <w:t xml:space="preserve">中标后15日内未提供人员、车辆及设备相关证明材料，或实际进场人员、设备与投标文件不一致且未获采购人确认，或确认后仍不满足要求；</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color w:val="auto"/>
                <w:spacing w:val="7"/>
                <w:sz w:val="24"/>
                <w:szCs w:val="24"/>
                <w:highlight w:val="none"/>
                <w:lang w:val="en-US" w:eastAsia="zh-CN"/>
              </w:rPr>
              <w:suppressLineNumbers w:val="0"/>
            </w:pPr>
            <w:r>
              <w:rPr>
                <w:rFonts w:hint="eastAsia"/>
                <w:color w:val="auto"/>
                <w:sz w:val="24"/>
                <w:szCs w:val="24"/>
                <w:highlight w:val="none"/>
              </w:rPr>
              <w:t xml:space="preserve">10、其他严重不遵守合同约定事项或不服从</w:t>
            </w:r>
            <w:r>
              <w:rPr>
                <w:rFonts w:hint="eastAsia" w:eastAsia="宋体"/>
                <w:color w:val="auto"/>
                <w:sz w:val="24"/>
                <w:szCs w:val="24"/>
                <w:highlight w:val="none"/>
                <w:lang w:eastAsia="zh-CN"/>
              </w:rPr>
              <w:t xml:space="preserve">采购人</w:t>
            </w:r>
            <w:r>
              <w:rPr>
                <w:rFonts w:hint="eastAsia"/>
                <w:color w:val="auto"/>
                <w:sz w:val="24"/>
                <w:szCs w:val="24"/>
                <w:highlight w:val="none"/>
              </w:rPr>
              <w:t xml:space="preserve">管理的行为。</w:t>
            </w:r>
            <w:r/>
          </w:p>
        </w:tc>
      </w:tr>
      <w:tr>
        <w:trPr>
          <w:trHeight w:val="23"/>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8</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olor w:val="auto"/>
                <w:sz w:val="24"/>
                <w:szCs w:val="24"/>
                <w:highlight w:val="none"/>
              </w:rPr>
              <w:t xml:space="preserve">投标方案</w:t>
            </w:r>
            <w:r>
              <w:rPr>
                <w:rFonts w:hint="eastAsia" w:ascii="宋体" w:hAnsi="宋体" w:eastAsia="宋体"/>
                <w:color w:val="auto"/>
                <w:sz w:val="24"/>
                <w:szCs w:val="24"/>
                <w:highlight w:val="none"/>
                <w:lang w:val="en-US" w:eastAsia="zh-CN"/>
              </w:rPr>
              <w:t xml:space="preserve">及履约能力</w:t>
            </w:r>
            <w:r>
              <w:rPr>
                <w:rFonts w:hint="eastAsia" w:ascii="宋体" w:hAnsi="宋体" w:eastAsia="宋体"/>
                <w:color w:val="auto"/>
                <w:sz w:val="24"/>
                <w:szCs w:val="24"/>
                <w:highlight w:val="none"/>
              </w:rPr>
              <w:t xml:space="preserve">要求</w:t>
            </w:r>
            <w:r/>
          </w:p>
        </w:tc>
        <w:tc>
          <w:tcPr>
            <w:shd w:val="clear" w:color="auto" w:fill="auto"/>
            <w:tcW w:w="6809" w:type="dxa"/>
            <w:vAlign w:val="center"/>
            <w:textDirection w:val="lrTb"/>
            <w:noWrap w:val="false"/>
          </w:tcPr>
          <w:p>
            <w:pPr>
              <w:pStyle w:val="790"/>
              <w:ind w:left="0" w:right="0" w:firstLine="0"/>
              <w:keepLines w:val="0"/>
              <w:keepNext w:val="0"/>
              <w:pageBreakBefore w:val="0"/>
              <w:spacing w:before="0" w:beforeAutospacing="0" w:after="0" w:afterAutospacing="0" w:line="260" w:lineRule="atLeast"/>
              <w:rPr>
                <w:rFonts w:hint="eastAsia" w:eastAsia="宋体"/>
                <w:color w:val="auto"/>
                <w:sz w:val="24"/>
                <w:szCs w:val="24"/>
                <w:highlight w:val="none"/>
                <w:lang w:eastAsia="zh-CN"/>
              </w:rPr>
              <w:suppressLineNumbers w:val="0"/>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针对本项目的需求提供实地路况的勘测及调研方案</w:t>
            </w:r>
            <w:r>
              <w:rPr>
                <w:rFonts w:hint="eastAsia"/>
                <w:color w:val="auto"/>
                <w:sz w:val="24"/>
                <w:szCs w:val="24"/>
                <w:highlight w:val="none"/>
                <w:lang w:eastAsia="zh-CN"/>
              </w:rPr>
              <w:t xml:space="preserve">（</w:t>
            </w:r>
            <w:r>
              <w:rPr>
                <w:rFonts w:hint="default" w:eastAsia="宋体"/>
                <w:color w:val="auto"/>
                <w:spacing w:val="7"/>
                <w:highlight w:val="none"/>
                <w:lang w:val="en-US" w:eastAsia="zh-CN"/>
              </w:rPr>
              <w:t xml:space="preserve">包括但不限于路段照片、道路名称、灯杆类型、车道数量、人行道宽度、绿化带宽度等</w:t>
            </w:r>
            <w:r>
              <w:rPr>
                <w:rFonts w:hint="eastAsia"/>
                <w:color w:val="auto"/>
                <w:sz w:val="24"/>
                <w:szCs w:val="24"/>
                <w:highlight w:val="none"/>
                <w:lang w:eastAsia="zh-CN"/>
              </w:rPr>
              <w:t xml:space="preserve">）。</w:t>
            </w:r>
            <w:r/>
          </w:p>
          <w:p>
            <w:pPr>
              <w:pStyle w:val="790"/>
              <w:ind w:left="0" w:right="0" w:firstLine="0"/>
              <w:keepLines w:val="0"/>
              <w:keepNext w:val="0"/>
              <w:pageBreakBefore w:val="0"/>
              <w:spacing w:before="0" w:beforeAutospacing="0" w:after="0" w:afterAutospacing="0" w:line="260" w:lineRule="atLeast"/>
              <w:rPr>
                <w:rFonts w:hint="eastAsia" w:eastAsia="宋体"/>
                <w:color w:val="auto"/>
                <w:sz w:val="24"/>
                <w:szCs w:val="24"/>
                <w:highlight w:val="none"/>
                <w:lang w:eastAsia="zh-CN"/>
              </w:rPr>
              <w:suppressLineNumbers w:val="0"/>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根据张家港常阴沙现代农业示范园市政道路照明情况提供节能改造方案</w:t>
            </w:r>
            <w:r>
              <w:rPr>
                <w:rFonts w:hint="eastAsia"/>
                <w:color w:val="auto"/>
                <w:sz w:val="24"/>
                <w:szCs w:val="24"/>
                <w:highlight w:val="none"/>
                <w:lang w:eastAsia="zh-CN"/>
              </w:rPr>
              <w:t xml:space="preserve">（</w:t>
            </w:r>
            <w:r>
              <w:rPr>
                <w:rFonts w:hint="default" w:eastAsia="宋体"/>
                <w:color w:val="auto"/>
                <w:spacing w:val="7"/>
                <w:highlight w:val="none"/>
                <w:lang w:val="en-US" w:eastAsia="zh-CN"/>
              </w:rPr>
              <w:t xml:space="preserve">重点考察产品配置完整性、设计合理性、改造计划科学性及方案可行性</w:t>
            </w:r>
            <w:r>
              <w:rPr>
                <w:rFonts w:hint="eastAsia"/>
                <w:color w:val="auto"/>
                <w:sz w:val="24"/>
                <w:szCs w:val="24"/>
                <w:highlight w:val="none"/>
                <w:lang w:eastAsia="zh-CN"/>
              </w:rPr>
              <w:t xml:space="preserve">）。</w:t>
            </w:r>
            <w:r/>
          </w:p>
          <w:p>
            <w:pPr>
              <w:pStyle w:val="790"/>
              <w:ind w:left="0" w:right="0" w:firstLine="0"/>
              <w:keepLines w:val="0"/>
              <w:keepNext w:val="0"/>
              <w:pageBreakBefore w:val="0"/>
              <w:spacing w:before="0" w:beforeAutospacing="0" w:after="0" w:afterAutospacing="0" w:line="260" w:lineRule="atLeast"/>
              <w:rPr>
                <w:rFonts w:hint="eastAsia" w:eastAsia="宋体"/>
                <w:color w:val="auto"/>
                <w:sz w:val="24"/>
                <w:szCs w:val="24"/>
                <w:highlight w:val="none"/>
                <w:lang w:eastAsia="zh-CN"/>
              </w:rPr>
              <w:suppressLineNumbers w:val="0"/>
            </w:pPr>
            <w:r>
              <w:rPr>
                <w:rFonts w:hint="eastAsia"/>
                <w:color w:val="auto"/>
                <w:sz w:val="24"/>
                <w:szCs w:val="24"/>
                <w:highlight w:val="none"/>
                <w:lang w:val="en-US" w:eastAsia="zh-CN"/>
              </w:rPr>
              <w:t xml:space="preserve">3</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针对本项目提供施工组织设计方案（包括但不限于路灯改造施工进度计划、项目管理、项目组织结构、验收、质量管理、安全施工、文明施工等</w:t>
            </w:r>
            <w:r>
              <w:rPr>
                <w:rFonts w:hint="eastAsia"/>
                <w:color w:val="auto"/>
                <w:sz w:val="24"/>
                <w:szCs w:val="24"/>
                <w:highlight w:val="none"/>
                <w:lang w:val="en-US" w:eastAsia="zh-CN"/>
              </w:rPr>
              <w:t xml:space="preserve">内容</w:t>
            </w:r>
            <w:r>
              <w:rPr>
                <w:rFonts w:hint="eastAsia"/>
                <w:color w:val="auto"/>
                <w:sz w:val="24"/>
                <w:szCs w:val="24"/>
                <w:highlight w:val="none"/>
              </w:rPr>
              <w:t xml:space="preserve">）</w:t>
            </w:r>
            <w:r>
              <w:rPr>
                <w:rFonts w:hint="eastAsia"/>
                <w:color w:val="auto"/>
                <w:sz w:val="24"/>
                <w:szCs w:val="24"/>
                <w:highlight w:val="none"/>
                <w:lang w:eastAsia="zh-CN"/>
              </w:rPr>
              <w:t xml:space="preserve">。</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default" w:eastAsia="宋体"/>
                <w:color w:val="auto"/>
                <w:spacing w:val="7"/>
                <w:highlight w:val="none"/>
                <w:lang w:val="en-US" w:eastAsia="zh-CN"/>
              </w:rPr>
              <w:t xml:space="preserve">针对本项目提供的质量保证措施方案</w:t>
            </w:r>
            <w:r>
              <w:rPr>
                <w:rFonts w:hint="eastAsia"/>
                <w:color w:val="auto"/>
                <w:spacing w:val="7"/>
                <w:highlight w:val="none"/>
                <w:lang w:val="en-US" w:eastAsia="zh-CN"/>
              </w:rPr>
              <w:t xml:space="preserve">（</w:t>
            </w:r>
            <w:r>
              <w:rPr>
                <w:rFonts w:hint="default" w:eastAsia="宋体"/>
                <w:color w:val="auto"/>
                <w:spacing w:val="7"/>
                <w:highlight w:val="none"/>
                <w:lang w:val="en-US" w:eastAsia="zh-CN"/>
              </w:rPr>
              <w:t xml:space="preserve">包括但不限于质量管理体系、质量控制流程、质控人员配备、材料进场质控标准等内容</w:t>
            </w:r>
            <w:r>
              <w:rPr>
                <w:rFonts w:hint="eastAsia"/>
                <w:color w:val="auto"/>
                <w:spacing w:val="7"/>
                <w:highlight w:val="none"/>
                <w:lang w:val="en-US" w:eastAsia="zh-CN"/>
              </w:rPr>
              <w:t xml:space="preserve">）</w:t>
            </w:r>
            <w:r>
              <w:rPr>
                <w:rFonts w:hint="eastAsia"/>
                <w:color w:val="auto"/>
                <w:sz w:val="24"/>
                <w:szCs w:val="24"/>
                <w:highlight w:val="none"/>
              </w:rPr>
              <w:t xml:space="preserve">。</w:t>
            </w:r>
            <w:r/>
          </w:p>
          <w:p>
            <w:pPr>
              <w:pStyle w:val="790"/>
              <w:ind w:left="0" w:right="0" w:firstLine="0"/>
              <w:keepLines w:val="0"/>
              <w:keepNext w:val="0"/>
              <w:pageBreakBefore w:val="0"/>
              <w:spacing w:before="0" w:beforeAutospacing="0" w:after="0" w:afterAutospacing="0" w:line="260" w:lineRule="atLeast"/>
              <w:rPr>
                <w:rFonts w:hint="eastAsia" w:eastAsia="宋体"/>
                <w:color w:val="auto"/>
                <w:sz w:val="24"/>
                <w:szCs w:val="24"/>
                <w:highlight w:val="none"/>
                <w:lang w:eastAsia="zh-CN"/>
              </w:rPr>
              <w:suppressLineNumbers w:val="0"/>
            </w:pP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针对本项目提供日常维护方案（包括但不限于运维人员配备、运维资料管理、日常巡查、日常维护、定期养护计划、培训方案、投诉响应时效等方面）</w:t>
            </w:r>
            <w:r>
              <w:rPr>
                <w:rFonts w:hint="eastAsia"/>
                <w:color w:val="auto"/>
                <w:sz w:val="24"/>
                <w:szCs w:val="24"/>
                <w:highlight w:val="none"/>
                <w:lang w:eastAsia="zh-CN"/>
              </w:rPr>
              <w:t xml:space="preserve">。</w:t>
            </w:r>
            <w:r/>
          </w:p>
          <w:p>
            <w:pPr>
              <w:pStyle w:val="790"/>
              <w:ind w:left="0" w:right="0" w:firstLine="0"/>
              <w:keepLines w:val="0"/>
              <w:keepNext w:val="0"/>
              <w:pageBreakBefore w:val="0"/>
              <w:spacing w:before="0" w:beforeAutospacing="0" w:after="0" w:afterAutospacing="0" w:line="260" w:lineRule="atLeast"/>
              <w:rPr>
                <w:rFonts w:hint="eastAsia"/>
                <w:color w:val="auto"/>
                <w:sz w:val="24"/>
                <w:szCs w:val="24"/>
                <w:highlight w:val="none"/>
              </w:rPr>
              <w:suppressLineNumbers w:val="0"/>
            </w:pPr>
            <w:r>
              <w:rPr>
                <w:rFonts w:hint="eastAsia"/>
                <w:color w:val="auto"/>
                <w:sz w:val="24"/>
                <w:szCs w:val="24"/>
                <w:highlight w:val="none"/>
                <w:lang w:val="en-US" w:eastAsia="zh-CN"/>
              </w:rPr>
              <w:t xml:space="preserve">6</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针对本项目提供项目移交方案（包括但不限于项目移交计划、移交措施等方面）。</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eastAsia="宋体"/>
                <w:color w:val="auto"/>
                <w:sz w:val="24"/>
                <w:szCs w:val="24"/>
                <w:highlight w:val="none"/>
                <w:lang w:val="en-US" w:eastAsia="zh-CN"/>
              </w:rPr>
              <w:t xml:space="preserve">7</w:t>
            </w:r>
            <w:r>
              <w:rPr>
                <w:rFonts w:hint="eastAsia"/>
                <w:color w:val="auto"/>
                <w:sz w:val="24"/>
                <w:szCs w:val="24"/>
                <w:highlight w:val="none"/>
              </w:rPr>
              <w:t xml:space="preserve">、</w:t>
            </w:r>
            <w:r>
              <w:rPr>
                <w:rFonts w:hint="default" w:ascii="宋体" w:hAnsi="宋体" w:eastAsia="宋体" w:cs="宋体"/>
                <w:color w:val="auto"/>
                <w:sz w:val="24"/>
                <w:szCs w:val="24"/>
                <w:highlight w:val="none"/>
                <w:lang w:val="en-US" w:eastAsia="zh-CN" w:bidi="ar"/>
              </w:rPr>
              <w:t xml:space="preserve">为有效应对本项目实施过程中可能出现的恶劣天气、设备故障、停电、人员安全等各类突发事件，最大限度降低突发事件对项目进度、质量及人员安全造成的影响，保障项目顺利推进，投标人成立应急抢险小组，并制定本应急预案。</w:t>
            </w:r>
            <w:r>
              <w:rPr>
                <w:rFonts w:hint="eastAsia" w:ascii="宋体" w:hAnsi="宋体" w:eastAsia="宋体" w:cs="宋体"/>
                <w:color w:val="auto"/>
                <w:sz w:val="24"/>
                <w:szCs w:val="24"/>
                <w:highlight w:val="none"/>
                <w:lang w:val="en-US" w:eastAsia="zh-CN" w:bidi="ar"/>
              </w:rPr>
              <w:t xml:space="preserve">应急预案包括但不限于</w:t>
            </w:r>
            <w:r>
              <w:rPr>
                <w:rFonts w:hint="default" w:ascii="宋体" w:hAnsi="宋体" w:eastAsia="宋体" w:cs="宋体"/>
                <w:color w:val="auto"/>
                <w:sz w:val="24"/>
                <w:szCs w:val="24"/>
                <w:highlight w:val="none"/>
                <w:lang w:val="en-US" w:eastAsia="zh-CN" w:bidi="ar"/>
              </w:rPr>
              <w:t xml:space="preserve">①应急组织机构与职责；②各项应急措施（含恶劣天气、自然灾害、疫情影响的应对措施，设备故障应急措施，停电导致设备无法正常工作的应急措施，人员人身安全应急措施等）；③应急保障（含人力、物资、通信等保障）</w:t>
            </w:r>
            <w:r>
              <w:rPr>
                <w:rFonts w:hint="eastAsia" w:ascii="宋体" w:hAnsi="宋体" w:eastAsia="宋体" w:cs="宋体"/>
                <w:color w:val="auto"/>
                <w:sz w:val="24"/>
                <w:szCs w:val="24"/>
                <w:highlight w:val="none"/>
                <w:lang w:val="en-US" w:eastAsia="zh-CN" w:bidi="ar"/>
              </w:rPr>
              <w:t xml:space="preserve">。</w:t>
            </w:r>
            <w:r/>
          </w:p>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8、投标人自2023年1月1日起至今(以合同签订日期为准)，有类似项目业绩。</w:t>
            </w:r>
            <w:r/>
          </w:p>
        </w:tc>
      </w:tr>
      <w:tr>
        <w:trPr>
          <w:trHeight w:val="23"/>
        </w:trPr>
        <w:tc>
          <w:tcPr>
            <w:tcW w:w="1048" w:type="dxa"/>
            <w:vAlign w:val="center"/>
            <w:textDirection w:val="lrTb"/>
            <w:noWrap w:val="false"/>
          </w:tcPr>
          <w:p>
            <w:pPr>
              <w:numPr>
                <w:ilvl w:val="0"/>
                <w:numId w:val="0"/>
              </w:numPr>
              <w:ind w:left="0" w:right="0" w:firstLine="240"/>
              <w:jc w:val="left"/>
              <w:keepLines w:val="0"/>
              <w:keepNext w:val="0"/>
              <w:pageBreakBefore w:val="0"/>
              <w:spacing w:before="0" w:beforeAutospacing="0" w:after="0" w:afterAutospacing="0" w:line="260" w:lineRule="atLeast"/>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cs="宋体"/>
                <w:color w:val="auto"/>
                <w:sz w:val="24"/>
                <w:szCs w:val="24"/>
                <w:highlight w:val="none"/>
                <w:vertAlign w:val="baseline"/>
                <w:lang w:val="en-US" w:eastAsia="zh-CN"/>
              </w:rPr>
              <w:t xml:space="preserve">19</w:t>
            </w:r>
            <w:r/>
          </w:p>
        </w:tc>
        <w:tc>
          <w:tcPr>
            <w:shd w:val="clear" w:color="auto" w:fill="auto"/>
            <w:tcW w:w="1245" w:type="dxa"/>
            <w:vAlign w:val="center"/>
            <w:textDirection w:val="lrTb"/>
            <w:noWrap w:val="false"/>
          </w:tcPr>
          <w:p>
            <w:pPr>
              <w:pStyle w:val="1259"/>
              <w:ind w:left="0" w:right="0"/>
              <w:jc w:val="left"/>
              <w:keepLines w:val="0"/>
              <w:keepNext w:val="0"/>
              <w:pageBreakBefore w:val="0"/>
              <w:spacing w:before="0" w:beforeAutospacing="0" w:after="0" w:afterAutospacing="0" w:line="260" w:lineRule="atLeast"/>
              <w:widowControl w:val="off"/>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报价要求</w:t>
            </w:r>
            <w:r/>
          </w:p>
        </w:tc>
        <w:tc>
          <w:tcPr>
            <w:shd w:val="clear" w:color="auto" w:fill="auto"/>
            <w:tcW w:w="6809" w:type="dxa"/>
            <w:vAlign w:val="center"/>
            <w:textDirection w:val="lrTb"/>
            <w:noWrap w:val="false"/>
          </w:tcPr>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1、本项目费用由如下部分组成：</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（1）传统灯具节能改造及日常维护费用:819盏×单盏报价×10年，最高限价225元/盏/年。</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（2）太阳能路灯维护费用:229盏×单盏报价×10年，最高限价150元/盏/年。</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3）节能改造灯具所用电费：根据节能改造方案测算，按目前电费单价0.79元/kwh，节能改造后819盏（含中国结、电子显示屏等辅助设备）需电费≤130000元/年。投标人结合自身节能改造方案，在保证满足上述采购人项目需求情况下，对电费自行报价，最高限价130000元/年。</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（4）零星维修费用：此项为维保项目范围外预留维修费用，由采购人按需执行，30000元/年，不可竞争。</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（5）其他零星电费代收代缴：此项为维保路灯范围外的公共设施电费支付，由供应商代收代缴，采购人承担，50000元/年，不可竞争。</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（6）零星辅助设备：</w:t>
            </w:r>
            <w:r>
              <w:rPr>
                <w:rFonts w:hint="eastAsia" w:ascii="宋体" w:hAnsi="宋体" w:eastAsia="宋体" w:cs="宋体"/>
                <w:b/>
                <w:bCs/>
                <w:i/>
                <w:iCs/>
                <w:color w:val="auto"/>
                <w:sz w:val="24"/>
                <w:szCs w:val="24"/>
                <w:highlight w:val="none"/>
                <w:u w:val="single"/>
                <w:lang w:val="en-US" w:eastAsia="zh-CN" w:bidi="ar"/>
              </w:rPr>
              <w:t xml:space="preserve">美化路灯（中国结）100杆、双面LED电子显示屏2套，中杆路灯安装1套，按报价清单要求填写。</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2、报价事项说明</w:t>
            </w:r>
            <w:r/>
          </w:p>
          <w:p>
            <w:pPr>
              <w:pStyle w:val="1197"/>
              <w:ind w:left="0" w:right="0" w:firstLine="0"/>
              <w:jc w:val="left"/>
              <w:keepLines w:val="0"/>
              <w:keepNext w:val="0"/>
              <w:pageBreakBefore w:val="0"/>
              <w:spacing w:before="0" w:beforeAutospacing="0" w:after="0" w:afterAutospacing="0" w:line="260" w:lineRule="atLeast"/>
              <w:widowControl w:val="off"/>
              <w:rPr>
                <w:rFonts w:hint="eastAsia"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（1）传统灯具节能改造及日常维护费用包含但不限于灯具、单灯控制器、电源、路灯集中控制器、路灯控制平台、网络专线等相关费用。</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b/>
                <w:bCs/>
                <w:i/>
                <w:iCs/>
                <w:color w:val="auto"/>
                <w:spacing w:val="7"/>
                <w:sz w:val="24"/>
                <w:szCs w:val="24"/>
                <w:highlight w:val="none"/>
                <w:u w:val="single"/>
                <w:lang w:val="en-US" w:eastAsia="zh-CN"/>
              </w:rPr>
              <w:suppressLineNumbers w:val="0"/>
            </w:pPr>
            <w:r>
              <w:rPr>
                <w:rFonts w:hint="eastAsia" w:ascii="宋体" w:hAnsi="宋体" w:eastAsia="宋体" w:cs="宋体"/>
                <w:b/>
                <w:bCs/>
                <w:i/>
                <w:iCs/>
                <w:color w:val="auto"/>
                <w:spacing w:val="7"/>
                <w:sz w:val="24"/>
                <w:szCs w:val="24"/>
                <w:highlight w:val="none"/>
                <w:u w:val="single"/>
                <w:lang w:val="en-US" w:eastAsia="zh-CN"/>
              </w:rPr>
              <w:t xml:space="preserve">（2）节能改造灯具所用电费需包含路灯本身及其元器件、</w:t>
            </w:r>
            <w:r>
              <w:rPr>
                <w:rFonts w:hint="eastAsia" w:ascii="宋体" w:hAnsi="宋体" w:eastAsia="宋体" w:cs="宋体"/>
                <w:b/>
                <w:bCs/>
                <w:i/>
                <w:iCs/>
                <w:color w:val="auto"/>
                <w:sz w:val="24"/>
                <w:szCs w:val="24"/>
                <w:highlight w:val="none"/>
                <w:u w:val="single"/>
                <w:lang w:val="en-US" w:eastAsia="zh-CN" w:bidi="ar"/>
              </w:rPr>
              <w:t xml:space="preserve">美化路灯（中国结）、双面LED电子显示屏、新装中杆路灯所使用的全部电费。</w:t>
            </w:r>
            <w:r/>
          </w:p>
          <w:p>
            <w:pPr>
              <w:pStyle w:val="1197"/>
              <w:ind w:left="0" w:right="0" w:firstLine="0"/>
              <w:jc w:val="left"/>
              <w:keepLines w:val="0"/>
              <w:keepNext w:val="0"/>
              <w:pageBreakBefore w:val="0"/>
              <w:spacing w:before="0" w:beforeAutospacing="0" w:after="0" w:afterAutospacing="0" w:line="260" w:lineRule="atLeast"/>
              <w:widowControl w:val="off"/>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iCs/>
                <w:color w:val="auto"/>
                <w:sz w:val="24"/>
                <w:szCs w:val="24"/>
                <w:highlight w:val="none"/>
                <w:u w:val="single"/>
                <w:lang w:val="en-US" w:eastAsia="zh-CN" w:bidi="ar"/>
              </w:rPr>
              <w:t xml:space="preserve">（3）投标人需填写报价清单、报价主要项目分析表。</w:t>
            </w:r>
            <w:r/>
          </w:p>
        </w:tc>
      </w:tr>
    </w:tbl>
    <w:p>
      <w:pPr>
        <w:ind w:firstLine="482"/>
        <w:jc w:val="left"/>
        <w:keepLines w:val="0"/>
        <w:keepNext w:val="0"/>
        <w:pageBreakBefore w:val="0"/>
        <w:spacing w:before="120" w:after="120" w:line="440" w:lineRule="exact"/>
        <w:widowControl w:val="off"/>
        <w:rPr>
          <w:rFonts w:hint="eastAsia" w:ascii="宋体" w:hAnsi="宋体"/>
          <w:b/>
          <w:bCs/>
          <w:color w:val="auto"/>
          <w:sz w:val="24"/>
          <w:szCs w:val="24"/>
          <w:highlight w:val="none"/>
          <w:lang w:eastAsia="zh-CN"/>
        </w:rPr>
      </w:pPr>
      <w:r/>
      <w:bookmarkStart w:id="225" w:name="EBb0ab975038a04efd86af0f0eaa5a524b"/>
      <w:r/>
      <w:bookmarkEnd w:id="225"/>
      <w:r>
        <w:rPr>
          <w:rFonts w:hint="eastAsia" w:ascii="宋体" w:hAnsi="宋体"/>
          <w:b/>
          <w:bCs/>
          <w:color w:val="auto"/>
          <w:sz w:val="24"/>
          <w:szCs w:val="24"/>
          <w:highlight w:val="none"/>
          <w:lang w:eastAsia="zh-CN"/>
        </w:rPr>
        <w:t xml:space="preserve">注：以上</w:t>
      </w:r>
      <w:r>
        <w:rPr>
          <w:rFonts w:hint="eastAsia" w:ascii="宋体" w:hAnsi="宋体"/>
          <w:b/>
          <w:bCs/>
          <w:color w:val="auto"/>
          <w:sz w:val="24"/>
          <w:szCs w:val="24"/>
          <w:highlight w:val="none"/>
        </w:rPr>
        <w:t xml:space="preserve">技术要求</w:t>
      </w:r>
      <w:r>
        <w:rPr>
          <w:rFonts w:ascii="宋体" w:hAnsi="宋体"/>
          <w:b/>
          <w:bCs/>
          <w:color w:val="auto"/>
          <w:sz w:val="24"/>
          <w:szCs w:val="24"/>
          <w:highlight w:val="none"/>
        </w:rPr>
        <w:t xml:space="preserve">中的实质性要求</w:t>
      </w:r>
      <w:r>
        <w:rPr>
          <w:rFonts w:hint="eastAsia" w:ascii="宋体" w:hAnsi="宋体"/>
          <w:b/>
          <w:bCs/>
          <w:i/>
          <w:color w:val="auto"/>
          <w:sz w:val="24"/>
          <w:szCs w:val="24"/>
          <w:highlight w:val="none"/>
          <w:u w:val="single"/>
        </w:rPr>
        <w:t xml:space="preserve">（加</w:t>
      </w:r>
      <w:r>
        <w:rPr>
          <w:rFonts w:ascii="宋体" w:hAnsi="宋体"/>
          <w:b/>
          <w:bCs/>
          <w:i/>
          <w:color w:val="auto"/>
          <w:sz w:val="24"/>
          <w:szCs w:val="24"/>
          <w:highlight w:val="none"/>
          <w:u w:val="single"/>
        </w:rPr>
        <w:t xml:space="preserve">斜体下划线内容</w:t>
      </w:r>
      <w:r>
        <w:rPr>
          <w:rFonts w:hint="eastAsia" w:ascii="宋体" w:hAnsi="宋体"/>
          <w:b/>
          <w:bCs/>
          <w:i/>
          <w:color w:val="auto"/>
          <w:sz w:val="24"/>
          <w:szCs w:val="24"/>
          <w:highlight w:val="none"/>
          <w:u w:val="single"/>
        </w:rPr>
        <w:t xml:space="preserve">）</w:t>
      </w:r>
      <w:r>
        <w:rPr>
          <w:rFonts w:hint="eastAsia" w:ascii="宋体" w:hAnsi="宋体"/>
          <w:b/>
          <w:bCs/>
          <w:i w:val="0"/>
          <w:iCs/>
          <w:color w:val="auto"/>
          <w:sz w:val="24"/>
          <w:szCs w:val="24"/>
          <w:highlight w:val="none"/>
          <w:u w:val="none"/>
          <w:lang w:val="en-US" w:eastAsia="zh-CN"/>
        </w:rPr>
        <w:t xml:space="preserve">须</w:t>
      </w:r>
      <w:r>
        <w:rPr>
          <w:rFonts w:ascii="宋体" w:hAnsi="宋体"/>
          <w:b/>
          <w:bCs/>
          <w:color w:val="auto"/>
          <w:sz w:val="24"/>
          <w:szCs w:val="24"/>
          <w:highlight w:val="none"/>
        </w:rPr>
        <w:t xml:space="preserve">逐条做出明确响应</w:t>
      </w:r>
      <w:r>
        <w:rPr>
          <w:rFonts w:hint="eastAsia" w:ascii="宋体" w:hAnsi="宋体"/>
          <w:b/>
          <w:bCs/>
          <w:color w:val="auto"/>
          <w:sz w:val="24"/>
          <w:szCs w:val="24"/>
          <w:highlight w:val="none"/>
        </w:rPr>
        <w:t xml:space="preserve">，否则视为非实质性响应</w:t>
      </w:r>
      <w:r>
        <w:rPr>
          <w:rFonts w:hint="eastAsia" w:ascii="宋体" w:hAnsi="宋体"/>
          <w:b/>
          <w:bCs/>
          <w:color w:val="auto"/>
          <w:sz w:val="24"/>
          <w:szCs w:val="24"/>
          <w:highlight w:val="none"/>
          <w:lang w:eastAsia="zh-CN"/>
        </w:rPr>
        <w:t xml:space="preserve">。</w:t>
      </w:r>
      <w:r/>
    </w:p>
    <w:p>
      <w:pPr>
        <w:spacing w:before="120" w:after="120" w:line="440" w:lineRule="exact"/>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三、商务条款</w:t>
      </w:r>
      <w:bookmarkEnd w:id="185"/>
      <w:bookmarkEnd w:id="186"/>
      <w:bookmarkEnd w:id="187"/>
      <w:bookmarkEnd w:id="188"/>
      <w:bookmarkEnd w:id="189"/>
      <w:bookmarkEnd w:id="190"/>
      <w:bookmarkEnd w:id="191"/>
      <w:bookmarkEnd w:id="192"/>
      <w:bookmarkEnd w:id="193"/>
      <w:bookmarkEnd w:id="194"/>
      <w:bookmarkEnd w:id="195"/>
      <w:bookmarkEnd w:id="196"/>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bookmarkStart w:id="226" w:name="_Toc35266029"/>
      <w:r/>
      <w:bookmarkStart w:id="227" w:name="_Toc54615247"/>
      <w:r/>
      <w:bookmarkStart w:id="228" w:name="_Toc16086"/>
      <w:r/>
      <w:bookmarkStart w:id="229" w:name="_Toc38368129"/>
      <w:r/>
      <w:bookmarkStart w:id="230" w:name="_Toc6156"/>
      <w:r/>
      <w:bookmarkStart w:id="231" w:name="_Toc31618"/>
      <w:r/>
      <w:bookmarkStart w:id="232" w:name="_Toc26554093"/>
      <w:r/>
      <w:bookmarkStart w:id="233" w:name="_Toc49090575"/>
      <w:r/>
      <w:bookmarkStart w:id="234" w:name="_Toc120614281"/>
      <w:r>
        <w:rPr>
          <w:rFonts w:hint="eastAsia" w:ascii="宋体" w:hAnsi="宋体" w:eastAsia="宋体" w:cs="宋体"/>
          <w:i/>
          <w:iCs/>
          <w:color w:val="auto"/>
          <w:sz w:val="24"/>
          <w:szCs w:val="24"/>
          <w:highlight w:val="none"/>
          <w:u w:val="single"/>
          <w:lang w:val="en-US" w:eastAsia="zh-CN"/>
        </w:rPr>
        <w:t xml:space="preserve">1 服务期限</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1.1服务期限</w:t>
      </w:r>
      <w:r/>
    </w:p>
    <w:p>
      <w:pPr>
        <w:pStyle w:val="741"/>
        <w:ind w:firstLine="480"/>
        <w:keepLines w:val="0"/>
        <w:keepNext w:val="0"/>
        <w:pageBreakBefore w:val="0"/>
        <w:spacing w:beforeAutospacing="0" w:afterAutospacing="0" w:line="400" w:lineRule="exact"/>
        <w:widowControl/>
        <w:rPr>
          <w:rFonts w:hint="eastAsia" w:ascii="宋体" w:hAnsi="宋体" w:eastAsia="宋体" w:cs="宋体"/>
          <w:i/>
          <w:iCs/>
          <w:color w:val="auto"/>
          <w:sz w:val="24"/>
          <w:szCs w:val="24"/>
          <w:highlight w:val="none"/>
          <w:u w:val="single"/>
          <w:lang w:val="en-US" w:eastAsia="zh-CN"/>
        </w:rPr>
      </w:pPr>
      <w:r/>
      <w:bookmarkStart w:id="235" w:name="_Hlk156939468"/>
      <w:r>
        <w:rPr>
          <w:rFonts w:hint="eastAsia" w:ascii="宋体" w:hAnsi="宋体" w:eastAsia="宋体" w:cs="宋体"/>
          <w:i/>
          <w:iCs/>
          <w:color w:val="auto"/>
          <w:sz w:val="24"/>
          <w:szCs w:val="24"/>
          <w:highlight w:val="none"/>
          <w:u w:val="single"/>
          <w:lang w:val="en-US" w:eastAsia="zh-CN"/>
        </w:rPr>
        <w:t xml:space="preserve">建设周期：</w:t>
      </w:r>
      <w:bookmarkEnd w:id="235"/>
      <w:r>
        <w:rPr>
          <w:rFonts w:hint="eastAsia" w:ascii="宋体" w:hAnsi="宋体" w:eastAsia="宋体" w:cs="宋体"/>
          <w:i/>
          <w:iCs/>
          <w:color w:val="auto"/>
          <w:sz w:val="24"/>
          <w:szCs w:val="24"/>
          <w:highlight w:val="none"/>
          <w:u w:val="single"/>
          <w:lang w:val="en-US" w:eastAsia="zh-CN"/>
        </w:rPr>
        <w:t xml:space="preserve">建设周期自合同签订之日起1个月内完成全部项目改造内容，并通过竣工验收;竣工验收每延误1日支付违约金0.5万元，从履约保证金中扣除；竣工验收合格后次日起，进入10年的能源托管服务期。</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1.2服务地点：由采购人指定。</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 货款支付</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2.1结付程序</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bookmarkStart w:id="236" w:name="_Hlk156939487"/>
      <w:r>
        <w:rPr>
          <w:rFonts w:hint="eastAsia" w:ascii="宋体" w:hAnsi="宋体" w:eastAsia="宋体" w:cs="宋体"/>
          <w:i/>
          <w:iCs/>
          <w:color w:val="auto"/>
          <w:sz w:val="24"/>
          <w:szCs w:val="24"/>
          <w:highlight w:val="none"/>
          <w:u w:val="single"/>
          <w:lang w:val="en-US" w:eastAsia="zh-CN"/>
        </w:rPr>
        <w:t xml:space="preserve">中标人按本合同内容合格地履行供货义务后，凭验收报告、销售发票到采购人处办理货款（或工程款）结算手续。</w:t>
      </w:r>
      <w:bookmarkEnd w:id="236"/>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2.2结付期限</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bookmarkStart w:id="237" w:name="_Hlk156939504"/>
      <w:r>
        <w:rPr>
          <w:rFonts w:hint="eastAsia" w:ascii="宋体" w:hAnsi="宋体" w:eastAsia="宋体" w:cs="宋体"/>
          <w:i/>
          <w:iCs/>
          <w:color w:val="auto"/>
          <w:sz w:val="24"/>
          <w:szCs w:val="24"/>
          <w:highlight w:val="none"/>
          <w:u w:val="single"/>
          <w:lang w:val="en-US" w:eastAsia="zh-CN"/>
        </w:rPr>
        <w:t xml:space="preserve">（1）服务费的支付：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合同签订后，采购人预付中标人年度费用的10%作为预付款，竣工验收合格后，每三个月支付一次服务费用，实际电费由中标人垫付，每三个月采购人结算一次（含电费调差、考核扣款、代缴外接电费用）。</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2.3支付方式：</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数字人民币</w:t>
      </w:r>
      <w:bookmarkEnd w:id="237"/>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3 投标货币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3.1投标货币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人民币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4 备品备件及耗材等要求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4.1备品备件及耗材等要求 </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见附件一</w:t>
      </w:r>
      <w:r>
        <w:rPr>
          <w:rFonts w:hint="default" w:ascii="宋体" w:hAnsi="宋体" w:eastAsia="宋体" w:cs="宋体"/>
          <w:i/>
          <w:iCs/>
          <w:color w:val="auto"/>
          <w:sz w:val="24"/>
          <w:szCs w:val="24"/>
          <w:highlight w:val="none"/>
          <w:u w:val="single"/>
          <w:lang w:val="en-US" w:eastAsia="zh-CN"/>
        </w:rPr>
        <w:t xml:space="preserve">《备品备件清单》</w:t>
      </w:r>
      <w:r>
        <w:rPr>
          <w:rFonts w:hint="eastAsia" w:ascii="宋体" w:hAnsi="宋体" w:eastAsia="宋体" w:cs="宋体"/>
          <w:i/>
          <w:iCs/>
          <w:color w:val="auto"/>
          <w:sz w:val="24"/>
          <w:szCs w:val="24"/>
          <w:highlight w:val="none"/>
          <w:u w:val="single"/>
          <w:lang w:val="en-US" w:eastAsia="zh-CN"/>
        </w:rPr>
        <w:t xml:space="preserve">。</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四、其他部分</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outlineLvl w:val="9"/>
      </w:pPr>
      <w:r/>
      <w:bookmarkStart w:id="238" w:name="_Hlk156939538"/>
      <w:r>
        <w:rPr>
          <w:rFonts w:hint="eastAsia" w:ascii="宋体" w:hAnsi="宋体" w:eastAsia="宋体" w:cs="宋体"/>
          <w:i/>
          <w:iCs/>
          <w:color w:val="auto"/>
          <w:sz w:val="24"/>
          <w:szCs w:val="24"/>
          <w:highlight w:val="none"/>
          <w:u w:val="single"/>
          <w:lang w:val="en-US" w:eastAsia="zh-CN"/>
        </w:rPr>
        <w:t xml:space="preserve">1.中标人须在合同签订前，配备可停放工程车辆的场地、路灯维修材料安置的仓库及24小时值班办公场地，</w:t>
      </w:r>
      <w:r>
        <w:rPr>
          <w:rFonts w:hint="default" w:ascii="宋体" w:hAnsi="宋体" w:eastAsia="宋体" w:cs="宋体"/>
          <w:i/>
          <w:iCs/>
          <w:color w:val="auto"/>
          <w:sz w:val="24"/>
          <w:szCs w:val="24"/>
          <w:highlight w:val="none"/>
          <w:u w:val="single"/>
          <w:lang w:val="en-US" w:eastAsia="zh-CN"/>
        </w:rPr>
        <w:t xml:space="preserve">确保30分钟内抵达任意故障现场</w:t>
      </w:r>
      <w:r>
        <w:rPr>
          <w:rFonts w:hint="eastAsia" w:ascii="宋体" w:hAnsi="宋体" w:eastAsia="宋体" w:cs="宋体"/>
          <w:i/>
          <w:iCs/>
          <w:color w:val="auto"/>
          <w:sz w:val="24"/>
          <w:szCs w:val="24"/>
          <w:highlight w:val="none"/>
          <w:u w:val="single"/>
          <w:lang w:val="en-US" w:eastAsia="zh-CN"/>
        </w:rPr>
        <w:t xml:space="preserve">。需提供固定场所租赁合同或房产证、土地证等证明材料，无法提供者取消中标资格。</w:t>
      </w:r>
      <w:bookmarkEnd w:id="238"/>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2.为满足</w:t>
      </w:r>
      <w:r>
        <w:rPr>
          <w:rFonts w:hint="default" w:ascii="宋体" w:hAnsi="宋体" w:eastAsia="宋体" w:cs="宋体"/>
          <w:i w:val="0"/>
          <w:iCs w:val="0"/>
          <w:color w:val="auto"/>
          <w:sz w:val="24"/>
          <w:szCs w:val="24"/>
          <w:highlight w:val="none"/>
          <w:u w:val="none"/>
          <w:lang w:val="en-US" w:eastAsia="zh-CN"/>
        </w:rPr>
        <w:t xml:space="preserve">CJJ45-2015</w:t>
      </w:r>
      <w:r>
        <w:rPr>
          <w:rFonts w:hint="eastAsia" w:ascii="宋体" w:hAnsi="宋体" w:eastAsia="宋体" w:cs="宋体"/>
          <w:i w:val="0"/>
          <w:iCs w:val="0"/>
          <w:color w:val="auto"/>
          <w:sz w:val="24"/>
          <w:szCs w:val="24"/>
          <w:highlight w:val="none"/>
          <w:u w:val="none"/>
          <w:lang w:val="en-US" w:eastAsia="zh-CN"/>
        </w:rPr>
        <w:t xml:space="preserve">《城市道路照明设计标准》，结合项目现场实际情况，确保改造后路面光照度、均匀度等相关参数，均须满足《城市道路照明设计标准》CJJ45-2015 中对应道路类型所规定的标准，</w:t>
      </w:r>
      <w:r>
        <w:rPr>
          <w:rFonts w:hint="default" w:ascii="宋体" w:hAnsi="宋体" w:eastAsia="宋体" w:cs="宋体"/>
          <w:i w:val="0"/>
          <w:iCs w:val="0"/>
          <w:color w:val="auto"/>
          <w:sz w:val="24"/>
          <w:szCs w:val="24"/>
          <w:highlight w:val="none"/>
          <w:u w:val="none"/>
          <w:lang w:val="en-US" w:eastAsia="zh-CN"/>
        </w:rPr>
        <w:t xml:space="preserve">现有路灯情况及改造后LED灯具功率要求明确如下：</w:t>
      </w:r>
      <w:r/>
    </w:p>
    <w:p>
      <w:pPr>
        <w:pStyle w:val="790"/>
        <w:numPr>
          <w:ilvl w:val="0"/>
          <w:numId w:val="0"/>
        </w:num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r>
      <w:r/>
    </w:p>
    <w:p>
      <w:pPr>
        <w:pStyle w:val="790"/>
        <w:numPr>
          <w:ilvl w:val="0"/>
          <w:numId w:val="10"/>
        </w:num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现状灯具情况：</w:t>
      </w:r>
      <w:r/>
    </w:p>
    <w:p>
      <w:pPr>
        <w:pStyle w:val="790"/>
        <w:numPr>
          <w:ilvl w:val="0"/>
          <w:numId w:val="0"/>
        </w:numPr>
        <w:jc w:val="center"/>
        <w:keepLines w:val="0"/>
        <w:keepNext w:val="0"/>
        <w:pageBreakBefore w:val="0"/>
        <w:spacing w:line="440" w:lineRule="exact"/>
        <w:widowControl w:val="off"/>
        <w:rPr>
          <w:rFonts w:hint="eastAsia" w:cs="宋体"/>
          <w:color w:val="auto"/>
          <w:highlight w:val="none"/>
        </w:rPr>
        <w:outlineLvl w:val="9"/>
      </w:pPr>
      <w:r>
        <w:rPr>
          <w:rFonts w:hint="eastAsia" w:cs="宋体"/>
          <w:color w:val="auto"/>
          <w:highlight w:val="none"/>
        </w:rPr>
        <w:t xml:space="preserve">表3.2.1 常阴沙现代农业示范园区道路照明维护统计表</w:t>
      </w:r>
      <w:r/>
    </w:p>
    <w:tbl>
      <w:tblPr>
        <w:tblStyle w:val="717"/>
        <w:tblW w:w="4831" w:type="pct"/>
        <w:tblInd w:w="93" w:type="dxa"/>
        <w:tblLayout w:type="fixed"/>
        <w:tblCellMar>
          <w:left w:w="108" w:type="dxa"/>
          <w:top w:w="0" w:type="dxa"/>
          <w:right w:w="108" w:type="dxa"/>
          <w:bottom w:w="0" w:type="dxa"/>
        </w:tblCellMar>
        <w:tblLook w:val="04A0" w:firstRow="1" w:lastRow="0" w:firstColumn="1" w:lastColumn="0" w:noHBand="0" w:noVBand="1"/>
      </w:tblPr>
      <w:tblGrid>
        <w:gridCol w:w="546"/>
        <w:gridCol w:w="923"/>
        <w:gridCol w:w="832"/>
        <w:gridCol w:w="633"/>
        <w:gridCol w:w="600"/>
        <w:gridCol w:w="898"/>
        <w:gridCol w:w="711"/>
        <w:gridCol w:w="721"/>
        <w:gridCol w:w="1073"/>
        <w:gridCol w:w="1245"/>
        <w:gridCol w:w="952"/>
      </w:tblGrid>
      <w:tr>
        <w:trPr>
          <w:trHeight w:val="267"/>
        </w:trPr>
        <w:tc>
          <w:tcPr>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起-讫</w:t>
            </w:r>
            <w:r/>
          </w:p>
        </w:tc>
        <w:tc>
          <w:tcPr>
            <w:tcBorders>
              <w:top w:val="single" w:color="000000" w:sz="4" w:space="0"/>
              <w:left w:val="single" w:color="000000" w:sz="4" w:space="0"/>
              <w:bottom w:val="single" w:color="000000" w:sz="4" w:space="0"/>
              <w:right w:val="single" w:color="000000" w:sz="4" w:space="0"/>
            </w:tcBorders>
            <w:tcW w:w="346" w:type="pct"/>
            <w:vAlign w:val="center"/>
            <w:vMerge w:val="restart"/>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总杆数</w:t>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总盏数</w:t>
            </w:r>
            <w:r/>
          </w:p>
        </w:tc>
        <w:tc>
          <w:tcPr>
            <w:gridSpan w:val="4"/>
            <w:tcBorders>
              <w:top w:val="single" w:color="000000" w:sz="4" w:space="0"/>
              <w:left w:val="single" w:color="000000" w:sz="4" w:space="0"/>
              <w:bottom w:val="single" w:color="000000" w:sz="4" w:space="0"/>
              <w:right w:val="single" w:color="000000" w:sz="4" w:space="0"/>
            </w:tcBorders>
            <w:tcW w:w="1863"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照片设施详情</w:t>
            </w:r>
            <w:r/>
          </w:p>
        </w:tc>
        <w:tc>
          <w:tcPr>
            <w:tcBorders>
              <w:top w:val="single" w:color="000000" w:sz="4" w:space="0"/>
              <w:left w:val="single" w:color="000000" w:sz="4" w:space="0"/>
              <w:bottom w:val="single" w:color="000000" w:sz="4" w:space="0"/>
              <w:right w:val="single" w:color="000000" w:sz="4" w:space="0"/>
            </w:tcBorders>
            <w:tcW w:w="68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控制箱数量</w:t>
            </w:r>
            <w:r/>
          </w:p>
        </w:tc>
        <w:tc>
          <w:tcPr>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美化中国结路灯</w:t>
            </w:r>
            <w:r/>
          </w:p>
        </w:tc>
      </w:tr>
      <w:tr>
        <w:trPr>
          <w:trHeight w:val="241"/>
        </w:trPr>
        <w:tc>
          <w:tcPr>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vMerge w:val="continue"/>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光源名称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功率（W）</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关灯时间</w:t>
            </w:r>
            <w:r/>
          </w:p>
        </w:tc>
        <w:tc>
          <w:tcPr>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338"/>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红旗路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乐余界-沿江公路</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53号、25号、12号、9号路灯附近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红旗西路4盏*2（两侧）</w:t>
            </w:r>
            <w:r>
              <w:rPr>
                <w:rFonts w:hint="eastAsia" w:cs="宋体"/>
                <w:color w:val="auto"/>
                <w:sz w:val="18"/>
                <w:szCs w:val="18"/>
                <w:highlight w:val="none"/>
                <w:lang w:bidi="ar"/>
              </w:rPr>
              <w:br/>
            </w:r>
            <w:r>
              <w:rPr>
                <w:rFonts w:hint="eastAsia" w:cs="宋体"/>
                <w:color w:val="auto"/>
                <w:sz w:val="18"/>
                <w:szCs w:val="18"/>
                <w:highlight w:val="none"/>
                <w:lang w:bidi="ar"/>
              </w:rPr>
              <w:t xml:space="preserve">红旗中路14盏*2</w:t>
            </w:r>
            <w:r>
              <w:rPr>
                <w:rFonts w:hint="eastAsia" w:cs="宋体"/>
                <w:color w:val="auto"/>
                <w:sz w:val="18"/>
                <w:szCs w:val="18"/>
                <w:highlight w:val="none"/>
                <w:lang w:bidi="ar"/>
              </w:rPr>
              <w:br/>
            </w:r>
            <w:r>
              <w:rPr>
                <w:rFonts w:hint="eastAsia" w:cs="宋体"/>
                <w:color w:val="auto"/>
                <w:sz w:val="18"/>
                <w:szCs w:val="18"/>
                <w:highlight w:val="none"/>
                <w:lang w:bidi="ar"/>
              </w:rPr>
              <w:t xml:space="preserve">红旗东路10盏*2</w:t>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乐红路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红旗路-乐余界</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健康新村</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22:30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人民路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珠江路-常红社区</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37号、24号路灯附近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常乐一村</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22:30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常乐二村</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22:30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沿江路</w:t>
            </w:r>
            <w:r/>
          </w:p>
        </w:tc>
        <w:tc>
          <w:tcPr>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东沙界-乐余界</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default" w:eastAsia="宋体" w:cs="宋体"/>
                <w:color w:val="auto"/>
                <w:sz w:val="18"/>
                <w:szCs w:val="18"/>
                <w:highlight w:val="none"/>
                <w:lang w:val="en-US" w:eastAsia="zh-CN"/>
              </w:rPr>
              <w:suppressLineNumbers w:val="0"/>
            </w:pPr>
            <w:r>
              <w:rPr>
                <w:rFonts w:hint="eastAsia" w:cs="宋体"/>
                <w:color w:val="auto"/>
                <w:sz w:val="18"/>
                <w:szCs w:val="18"/>
                <w:highlight w:val="none"/>
                <w:lang w:bidi="ar"/>
              </w:rPr>
              <w:t xml:space="preserve">2</w:t>
            </w:r>
            <w:r>
              <w:rPr>
                <w:rFonts w:hint="eastAsia" w:cs="宋体"/>
                <w:color w:val="auto"/>
                <w:sz w:val="18"/>
                <w:szCs w:val="18"/>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default" w:eastAsia="宋体" w:cs="宋体"/>
                <w:color w:val="auto"/>
                <w:sz w:val="18"/>
                <w:szCs w:val="18"/>
                <w:highlight w:val="none"/>
                <w:lang w:val="en-US" w:eastAsia="zh-CN"/>
              </w:rPr>
              <w:suppressLineNumbers w:val="0"/>
            </w:pPr>
            <w:r>
              <w:rPr>
                <w:rFonts w:hint="eastAsia" w:cs="宋体"/>
                <w:color w:val="auto"/>
                <w:sz w:val="18"/>
                <w:szCs w:val="18"/>
                <w:highlight w:val="none"/>
                <w:lang w:bidi="ar"/>
              </w:rPr>
              <w:t xml:space="preserve">2</w:t>
            </w:r>
            <w:r>
              <w:rPr>
                <w:rFonts w:hint="eastAsia" w:cs="宋体"/>
                <w:color w:val="auto"/>
                <w:sz w:val="18"/>
                <w:szCs w:val="18"/>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太阳能路灯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default" w:eastAsia="宋体" w:cs="宋体"/>
                <w:color w:val="auto"/>
                <w:sz w:val="18"/>
                <w:szCs w:val="18"/>
                <w:highlight w:val="none"/>
                <w:lang w:val="en-US" w:eastAsia="zh-CN"/>
              </w:rPr>
              <w:suppressLineNumbers w:val="0"/>
            </w:pPr>
            <w:r>
              <w:rPr>
                <w:rFonts w:hint="eastAsia" w:cs="宋体"/>
                <w:color w:val="auto"/>
                <w:sz w:val="18"/>
                <w:szCs w:val="18"/>
                <w:highlight w:val="none"/>
                <w:lang w:bidi="ar"/>
              </w:rPr>
              <w:t xml:space="preserve">2</w:t>
            </w:r>
            <w:r>
              <w:rPr>
                <w:rFonts w:hint="eastAsia" w:cs="宋体"/>
                <w:color w:val="auto"/>
                <w:sz w:val="18"/>
                <w:szCs w:val="18"/>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通江路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沿江公路-江堤</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16号路灯附近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101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常红路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通运路-老江堤</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包括村里（15盏）关灯时间22点30；道路关灯早上4点</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6号、22号、33号、57号、76号、88号路灯杆附近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禾丰路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红旗路-禾丰佳苑</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门卫后面</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珠江路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通运路-人民路</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26号路灯杆附近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通运路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红旗路-港丰公路</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18号路灯杆附近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811"/>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港丰公路-东沙立交桥</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19号、22号、43号、70号路灯杆附近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976"/>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常沙路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永泰路-老江堤</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包括村里的灯（57盏）关灯时间22点30；道路上关灯早上3：20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9号、22号、43号、70号路灯杆附近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常红社区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22:30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5号路灯杆附近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常沙社区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22:30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70号路灯杆附近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幼儿园傍广场灯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高压钠灯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21:00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广场附近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611"/>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通运路与港丰路叉口</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金卤灯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0:00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18号路灯杆附近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常阴沙大桥</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节能灯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1号路灯杆附近</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2盏*2</w:t>
            </w:r>
            <w:r/>
          </w:p>
        </w:tc>
      </w:tr>
      <w:tr>
        <w:trPr>
          <w:trHeight w:val="38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拥军路</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LED灯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ind w:left="0" w:right="0"/>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505"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left="0" w:right="0"/>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right="0"/>
              <w:jc w:val="center"/>
              <w:keepLines w:val="0"/>
              <w:keepNext w:val="0"/>
              <w:spacing w:before="0" w:beforeAutospacing="0" w:after="0" w:afterAutospacing="0"/>
              <w:widowControl/>
              <w:rPr>
                <w:rFonts w:hint="default" w:eastAsia="宋体" w:cs="宋体"/>
                <w:color w:val="auto"/>
                <w:sz w:val="18"/>
                <w:szCs w:val="18"/>
                <w:highlight w:val="none"/>
                <w:lang w:val="en-US" w:eastAsia="zh-CN"/>
              </w:rPr>
              <w:suppressLineNumbers w:val="0"/>
            </w:pPr>
            <w:r>
              <w:rPr>
                <w:rFonts w:hint="eastAsia" w:cs="宋体"/>
                <w:color w:val="auto"/>
                <w:sz w:val="18"/>
                <w:szCs w:val="18"/>
                <w:highlight w:val="none"/>
                <w:lang w:val="en-US" w:eastAsia="zh-CN" w:bidi="ar"/>
              </w:rPr>
              <w:t xml:space="preserve">1024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default" w:eastAsia="宋体" w:cs="宋体"/>
                <w:color w:val="auto"/>
                <w:sz w:val="18"/>
                <w:szCs w:val="18"/>
                <w:highlight w:val="none"/>
                <w:lang w:val="en-US" w:eastAsia="zh-CN"/>
              </w:rPr>
              <w:suppressLineNumbers w:val="0"/>
            </w:pPr>
            <w:r>
              <w:rPr>
                <w:rFonts w:hint="eastAsia" w:cs="宋体"/>
                <w:color w:val="auto"/>
                <w:sz w:val="18"/>
                <w:szCs w:val="18"/>
                <w:highlight w:val="none"/>
                <w:lang w:val="en-US" w:eastAsia="zh-CN" w:bidi="ar"/>
              </w:rPr>
              <w:t xml:space="preserve">1048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控制箱</w:t>
            </w:r>
            <w:r>
              <w:rPr>
                <w:rFonts w:hint="eastAsia" w:cs="宋体"/>
                <w:color w:val="auto"/>
                <w:sz w:val="18"/>
                <w:szCs w:val="18"/>
                <w:highlight w:val="none"/>
                <w:lang w:val="en-US" w:eastAsia="zh-CN" w:bidi="ar"/>
              </w:rPr>
              <w:t xml:space="preserve">43</w:t>
            </w:r>
            <w:r>
              <w:rPr>
                <w:rFonts w:hint="eastAsia" w:cs="宋体"/>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right="0"/>
              <w:jc w:val="center"/>
              <w:keepLines w:val="0"/>
              <w:keepNext w:val="0"/>
              <w:spacing w:before="0" w:beforeAutospacing="0" w:after="0" w:afterAutospacing="0"/>
              <w:rPr>
                <w:rFonts w:hint="eastAsia" w:cs="宋体"/>
                <w:color w:val="auto"/>
                <w:sz w:val="18"/>
                <w:szCs w:val="18"/>
                <w:highlight w:val="none"/>
              </w:rPr>
              <w:suppressLineNumbers w:val="0"/>
            </w:pPr>
            <w:r>
              <w:rPr>
                <w:rFonts w:hint="eastAsia" w:cs="宋体"/>
                <w:color w:val="auto"/>
                <w:sz w:val="18"/>
                <w:szCs w:val="18"/>
                <w:highlight w:val="none"/>
              </w:rPr>
            </w:r>
            <w:r/>
          </w:p>
        </w:tc>
      </w:tr>
      <w:tr>
        <w:trPr>
          <w:trHeight w:val="534"/>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rPr>
                <w:rFonts w:hint="eastAsia" w:cs="宋体"/>
                <w:color w:val="auto"/>
                <w:sz w:val="18"/>
                <w:szCs w:val="18"/>
                <w:highlight w:val="none"/>
              </w:rPr>
              <w:suppressLineNumbers w:val="0"/>
            </w:pPr>
            <w:r>
              <w:rPr>
                <w:rFonts w:hint="eastAsia" w:cs="宋体"/>
                <w:color w:val="auto"/>
                <w:sz w:val="18"/>
                <w:szCs w:val="18"/>
                <w:highlight w:val="none"/>
                <w:lang w:bidi="ar"/>
              </w:rPr>
              <w:t xml:space="preserve">备注：以上为现有灯具清单及运行时间，改造后任按此运行计划。</w:t>
            </w:r>
            <w:r/>
          </w:p>
        </w:tc>
      </w:tr>
    </w:tbl>
    <w:p>
      <w:pPr>
        <w:pStyle w:val="790"/>
        <w:ind w:firstLine="0"/>
        <w:rPr>
          <w:color w:val="auto"/>
          <w:highlight w:val="none"/>
        </w:rPr>
      </w:pPr>
      <w:r>
        <w:rPr>
          <w:color w:val="auto"/>
          <w:highlight w:val="none"/>
        </w:rPr>
      </w:r>
      <w:r/>
    </w:p>
    <w:p>
      <w:pPr>
        <w:numPr>
          <w:ilvl w:val="0"/>
          <w:numId w:val="0"/>
        </w:numPr>
        <w:ind w:firstLine="420"/>
        <w:jc w:val="center"/>
        <w:spacing w:line="360" w:lineRule="auto"/>
        <w:rPr>
          <w:rStyle w:val="946"/>
          <w:rFonts w:hint="eastAsia" w:ascii="宋体" w:hAnsi="宋体" w:eastAsia="宋体" w:cs="宋体"/>
          <w:b/>
          <w:bCs/>
          <w:i w:val="0"/>
          <w:iCs/>
          <w:color w:val="auto"/>
          <w:sz w:val="28"/>
          <w:szCs w:val="28"/>
          <w:highlight w:val="none"/>
          <w:u w:val="none"/>
          <w:lang w:val="en-US" w:eastAsia="zh-CN"/>
        </w:rPr>
      </w:pPr>
      <w:r>
        <w:rPr>
          <w:rFonts w:hint="eastAsia" w:ascii="宋体" w:hAnsi="宋体" w:eastAsia="宋体" w:cs="宋体"/>
          <w:b/>
          <w:bCs/>
          <w:i w:val="0"/>
          <w:iCs/>
          <w:color w:val="auto"/>
          <w:sz w:val="28"/>
          <w:szCs w:val="28"/>
          <w:highlight w:val="none"/>
          <w:u w:val="none"/>
          <w:lang w:val="en-US" w:eastAsia="zh-CN"/>
        </w:rPr>
      </w:r>
      <w:r/>
    </w:p>
    <w:p>
      <w:pPr>
        <w:pStyle w:val="790"/>
        <w:numPr>
          <w:ilvl w:val="0"/>
          <w:numId w:val="10"/>
        </w:numPr>
        <w:ind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托管路灯电表情况</w:t>
      </w:r>
      <w:r/>
    </w:p>
    <w:tbl>
      <w:tblPr>
        <w:tblStyle w:val="717"/>
        <w:tblW w:w="10165"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4"/>
        <w:gridCol w:w="641"/>
        <w:gridCol w:w="668"/>
        <w:gridCol w:w="680"/>
        <w:gridCol w:w="750"/>
        <w:gridCol w:w="641"/>
        <w:gridCol w:w="613"/>
        <w:gridCol w:w="641"/>
        <w:gridCol w:w="859"/>
        <w:gridCol w:w="495"/>
        <w:gridCol w:w="876"/>
        <w:gridCol w:w="900"/>
        <w:gridCol w:w="846"/>
        <w:gridCol w:w="1091"/>
      </w:tblGrid>
      <w:tr>
        <w:trPr>
          <w:trHeight w:val="640"/>
        </w:trPr>
        <w:tc>
          <w:tcPr>
            <w:gridSpan w:val="14"/>
            <w:shd w:val="clear" w:color="auto" w:fill="auto"/>
            <w:tcBorders>
              <w:top w:val="single" w:color="000000" w:sz="4" w:space="0"/>
              <w:left w:val="single" w:color="000000" w:sz="4" w:space="0"/>
              <w:bottom w:val="single" w:color="000000" w:sz="4" w:space="0"/>
              <w:right w:val="single" w:color="000000" w:sz="4" w:space="0"/>
            </w:tcBorders>
            <w:tcW w:w="10165" w:type="dxa"/>
            <w:vAlign w:val="center"/>
            <w:textDirection w:val="lrTb"/>
            <w:noWrap/>
          </w:tcPr>
          <w:p>
            <w:pPr>
              <w:ind w:left="0" w:right="0"/>
              <w:jc w:val="center"/>
              <w:keepLines w:val="0"/>
              <w:keepNext w:val="0"/>
              <w:spacing w:before="0" w:beforeAutospacing="0" w:after="0" w:afterAutospacing="0"/>
              <w:widowControl/>
              <w:rPr>
                <w:rFonts w:ascii="方正公文小标宋" w:hAnsi="方正公文小标宋" w:eastAsia="方正公文小标宋" w:cs="方正公文小标宋"/>
                <w:i w:val="0"/>
                <w:iCs w:val="0"/>
                <w:color w:val="auto"/>
                <w:sz w:val="32"/>
                <w:szCs w:val="32"/>
                <w:highlight w:val="none"/>
                <w:u w:val="none"/>
              </w:rPr>
              <w:suppressLineNumbers w:val="0"/>
            </w:pPr>
            <w:r>
              <w:rPr>
                <w:rFonts w:hint="eastAsia" w:ascii="方正公文小标宋" w:hAnsi="方正公文小标宋" w:eastAsia="方正公文小标宋" w:cs="方正公文小标宋"/>
                <w:i w:val="0"/>
                <w:iCs w:val="0"/>
                <w:color w:val="auto"/>
                <w:sz w:val="32"/>
                <w:szCs w:val="32"/>
                <w:highlight w:val="none"/>
                <w:u w:val="none"/>
                <w:lang w:val="en-US" w:eastAsia="zh-CN" w:bidi="ar"/>
              </w:rPr>
              <w:t xml:space="preserve">常阴沙现代农业示范园区道路照明维护统计表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起-讫</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总杆数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总盏数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照片设施详情</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控制箱数量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电费用户编号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光源名称</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功率（W）</w:t>
            </w:r>
            <w:r/>
          </w:p>
        </w:tc>
        <w:tc>
          <w:tcPr>
            <w:shd w:val="clear" w:color="auto" w:fill="auto"/>
            <w:tcBorders>
              <w:top w:val="single" w:color="000000" w:sz="4" w:space="0"/>
              <w:left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电箱号</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电表号</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用户号</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w:t>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乐余界-沿江公路</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53号、25号、12号、9号路灯附近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红旗西路44号灯杆边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1572613079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6618877172</w:t>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红旗西路</w:t>
            </w:r>
            <w:r>
              <w:rPr>
                <w:rFonts w:hint="eastAsia" w:ascii="宋体" w:hAnsi="宋体" w:eastAsia="宋体" w:cs="宋体"/>
                <w:i w:val="0"/>
                <w:iCs w:val="0"/>
                <w:color w:val="auto"/>
                <w:sz w:val="21"/>
                <w:szCs w:val="21"/>
                <w:highlight w:val="none"/>
                <w:u w:val="none"/>
                <w:lang w:val="en-US" w:eastAsia="zh-CN" w:bidi="ar"/>
              </w:rPr>
              <w:t xml:space="preserve">22号-23号灯杆中间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0602635801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1584389288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6786021407</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红旗路供电所内</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0602636149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1571908411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6786005960</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红旗路便民中心前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0602638852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1572546041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6786005871</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红旗东路25号灯杆对面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1572585841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6619908998</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红旗东路9号灯杆对面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0602637226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1572590262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6619908999</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乐红路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红旗路-乐余界</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乐红路1号灯杆边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0602635608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1572548039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6786005402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健康新村</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健康村7幢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1547561495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6622318765</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珠江路-常红社区</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37号、24号路灯附近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人民北路</w:t>
            </w:r>
            <w:r>
              <w:rPr>
                <w:rFonts w:hint="eastAsia" w:ascii="宋体" w:hAnsi="宋体" w:eastAsia="宋体" w:cs="宋体"/>
                <w:i w:val="0"/>
                <w:iCs w:val="0"/>
                <w:color w:val="auto"/>
                <w:sz w:val="21"/>
                <w:szCs w:val="21"/>
                <w:highlight w:val="none"/>
                <w:u w:val="none"/>
                <w:lang w:val="en-US" w:eastAsia="zh-CN" w:bidi="ar"/>
              </w:rPr>
              <w:t xml:space="preserve">35号灯杆前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0602643579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1583667505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6786020162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人民南路24号灯杆边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0602643554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1583295519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6786020386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常乐一村</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常乐一村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1553678456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6622560484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常乐二村</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常乐二村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1553677916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6622560483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沿江路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东沙界-乐余界</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沿江公路1号灯杆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0602637228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1572588570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6619909000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节能灯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none" w:color="000000" w:sz="4" w:space="0"/>
              <w:left w:val="none" w:color="000000" w:sz="4" w:space="0"/>
              <w:bottom w:val="none" w:color="000000" w:sz="4" w:space="0"/>
              <w:right w:val="none" w:color="000000" w:sz="4" w:space="0"/>
            </w:tcBorders>
            <w:tcW w:w="8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通江路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沿江公路-江堤</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16号路灯附近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通江路11号灯杆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0602640732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1541822898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6619909501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通运路-老江堤</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6号、22号、33号、57号、76号、88号路灯杆附近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常红路6号灯杆前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0604266371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1590801783</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6623398734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常红路21号灯杆前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0604266364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1590800819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6623387984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常红路33号灯杆前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0604266365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1590799390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6623387979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常红路58号边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0602636657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1583357608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6622231561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常兴社区5组17号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0602640811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1558383498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6622231566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常红路75号灯杆前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0602640922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1583352930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6622231558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常兴社区8组23号后</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0602640972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1583350785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6622231557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常兴社区10组26号前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0602641139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1583296364</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6622231526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禾丰路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红旗路-禾丰佳苑</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门卫后面</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禾丰路门卫后</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0602643805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1572588569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6622262194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通运路-人民路</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珠江路26号灯杆边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0602643560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1572546042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6786008131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红旗路-港丰公路</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通运南路20号灯杆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0602636803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1572546560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6786007927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永泰路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港丰公路-东沙立交桥</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19号、22号、43号、70号路灯杆附近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永泰路66号灯杆边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1583352845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6622425502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永泰路41号灯杆边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1570550257</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6622425500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永泰路19号灯杆边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0602635149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1541284305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6622425501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永泰路-老江堤</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9号、22号、43号、70号路灯杆附近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常东社区10组39号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0602642426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1558929788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6622231511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常沙路62号灯杆前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0602641777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1583295572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6622231515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常东社区9组16号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0602642304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1549601878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常东社区5组40号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0602642133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1570322206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6622231508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常沙路41号灯杆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0602642767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1558931032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6622231568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常东社区2组46号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0602642641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1584389976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6622231328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常东社区8组45号桥边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0602642969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1583610691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6622231324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常沙路22号灯杆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1572422498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6622231567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常沙路7-8号灯杆中间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0602635151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1583352449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6622425503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常红社区</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常红社区12组29号前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0602635719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1541168349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6622168972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常沙社区</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常沙社区常丰佳苑东侧路底</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1597333526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6623303153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常沙社区2组31号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0604266332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1597333523</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6623303155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常沙社区常丰佳苑后</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0604266334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1590798885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6623303149</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幼儿园傍广场灯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广场附近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幼儿园边灯杆下（广场灯）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0602635172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1573566774</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6622437987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通运路与港丰路叉口</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金卤灯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18号路灯杆附近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通运路与港丰路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常阴沙大桥</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节能灯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1号路灯杆附近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同乐红路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拥军路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拥军路24号灯杆前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1541425939</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6624083681</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1048</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52"/>
        <w:ind w:left="0" w:firstLine="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790"/>
        <w:numPr>
          <w:ilvl w:val="0"/>
          <w:numId w:val="10"/>
        </w:numPr>
        <w:ind w:firstLine="48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能源托管清单</w:t>
      </w:r>
      <w:r/>
    </w:p>
    <w:tbl>
      <w:tblPr>
        <w:tblStyle w:val="71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106"/>
        <w:gridCol w:w="2211"/>
        <w:gridCol w:w="846"/>
        <w:gridCol w:w="846"/>
        <w:gridCol w:w="2421"/>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总杆数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总盏数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单盏最低功率要求（W）</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乐余界-沿江公路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乐红路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红旗路-乐余界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珠江路-常红社区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常乐一村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常乐一村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常乐二村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常乐二村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东沙界-乐余界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沿江公路-江堤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常红路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通运路-老江堤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禾丰路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红旗路-禾丰佳苑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通运路-人民路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红旗路-港丰公路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永泰路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港丰公路-东沙立交桥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永泰路-老江堤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常沙社区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常沙社区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幼儿园傍广场灯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幼儿园傍广场灯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通运路与港丰路叉口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通运路与港丰路叉口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常阴沙大桥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常阴沙大桥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8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right"/>
              <w:keepLines w:val="0"/>
              <w:keepNext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w:t>
            </w:r>
            <w:r/>
          </w:p>
        </w:tc>
      </w:tr>
    </w:tbl>
    <w:p>
      <w:pPr>
        <w:pStyle w:val="75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90"/>
        <w:numPr>
          <w:ilvl w:val="0"/>
          <w:numId w:val="10"/>
        </w:numPr>
        <w:ind w:firstLine="48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路灯维护清单</w:t>
      </w:r>
      <w:r/>
    </w:p>
    <w:tbl>
      <w:tblPr>
        <w:tblStyle w:val="71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6"/>
        <w:gridCol w:w="1056"/>
        <w:gridCol w:w="1581"/>
        <w:gridCol w:w="1546"/>
        <w:gridCol w:w="1356"/>
        <w:gridCol w:w="288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起-讫</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总杆数</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总盏数</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沿江路</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东沙界-乐余界</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太阳能路灯，维护期10年</w:t>
            </w:r>
            <w:r/>
          </w:p>
        </w:tc>
      </w:tr>
    </w:tbl>
    <w:p>
      <w:pPr>
        <w:pStyle w:val="790"/>
        <w:ind w:firstLine="482"/>
        <w:rPr>
          <w:rFonts w:hint="eastAsia"/>
          <w:color w:val="auto"/>
          <w:highlight w:val="none"/>
        </w:rPr>
      </w:pPr>
      <w:r>
        <w:rPr>
          <w:rFonts w:hint="default" w:ascii="宋体" w:hAnsi="宋体" w:eastAsia="宋体" w:cs="宋体"/>
          <w:color w:val="auto"/>
          <w:sz w:val="21"/>
          <w:szCs w:val="21"/>
          <w:highlight w:val="none"/>
          <w:lang w:val="en-US" w:eastAsia="zh-CN"/>
        </w:rPr>
        <w:br w:type="page" w:clear="all"/>
      </w:r>
      <w:r/>
    </w:p>
    <w:p>
      <w:pPr>
        <w:pStyle w:val="1202"/>
        <w:jc w:val="center"/>
        <w:spacing w:before="240" w:after="24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附件一：备品备件清单</w:t>
      </w:r>
      <w:r/>
    </w:p>
    <w:tbl>
      <w:tblPr>
        <w:tblStyle w:val="717"/>
        <w:tblW w:w="9109" w:type="dxa"/>
        <w:tblInd w:w="0" w:type="dxa"/>
        <w:tblLayout w:type="fixed"/>
        <w:tblCellMar>
          <w:left w:w="108" w:type="dxa"/>
          <w:top w:w="0" w:type="dxa"/>
          <w:right w:w="108" w:type="dxa"/>
          <w:bottom w:w="0" w:type="dxa"/>
        </w:tblCellMar>
        <w:tblLook w:val="04A0" w:firstRow="1" w:lastRow="0" w:firstColumn="1" w:lastColumn="0" w:noHBand="0" w:noVBand="1"/>
      </w:tblPr>
      <w:tblGrid>
        <w:gridCol w:w="1246"/>
        <w:gridCol w:w="2293"/>
        <w:gridCol w:w="2288"/>
        <w:gridCol w:w="2034"/>
        <w:gridCol w:w="1248"/>
      </w:tblGrid>
      <w:tr>
        <w:trPr>
          <w:trHeight w:val="294" w:hRule="exact"/>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spacing w:before="0" w:beforeAutospacing="0" w:after="0" w:afterAutospacing="0"/>
              <w:widowControl/>
              <w:rPr>
                <w:rFonts w:hint="eastAsia" w:cs="宋体"/>
                <w:b/>
                <w:bCs/>
                <w:color w:val="auto"/>
                <w:sz w:val="21"/>
                <w:szCs w:val="21"/>
                <w:highlight w:val="none"/>
              </w:rPr>
              <w:suppressLineNumbers w:val="0"/>
            </w:pPr>
            <w:r>
              <w:rPr>
                <w:rFonts w:hint="eastAsia"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widowControl/>
              <w:rPr>
                <w:rFonts w:hint="eastAsia" w:cs="宋体"/>
                <w:b/>
                <w:bCs/>
                <w:color w:val="auto"/>
                <w:sz w:val="21"/>
                <w:szCs w:val="21"/>
                <w:highlight w:val="none"/>
              </w:rPr>
              <w:suppressLineNumbers w:val="0"/>
            </w:pPr>
            <w:r>
              <w:rPr>
                <w:rFonts w:hint="eastAsia" w:cs="宋体"/>
                <w:b/>
                <w:bCs/>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ind w:left="0" w:right="0"/>
              <w:jc w:val="center"/>
              <w:keepLines w:val="0"/>
              <w:keepNext w:val="0"/>
              <w:spacing w:before="0" w:beforeAutospacing="0" w:after="0" w:afterAutospacing="0"/>
              <w:widowControl/>
              <w:rPr>
                <w:rFonts w:hint="eastAsia" w:cs="宋体"/>
                <w:b/>
                <w:bCs/>
                <w:color w:val="auto"/>
                <w:sz w:val="21"/>
                <w:szCs w:val="21"/>
                <w:highlight w:val="none"/>
              </w:rPr>
              <w:suppressLineNumbers w:val="0"/>
            </w:pPr>
            <w:r>
              <w:rPr>
                <w:rFonts w:hint="eastAsia" w:cs="宋体"/>
                <w:b/>
                <w:bCs/>
                <w:color w:val="auto"/>
                <w:sz w:val="21"/>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jc w:val="center"/>
              <w:keepLines w:val="0"/>
              <w:keepNext w:val="0"/>
              <w:spacing w:before="0" w:beforeAutospacing="0" w:after="0" w:afterAutospacing="0"/>
              <w:widowControl/>
              <w:rPr>
                <w:rFonts w:hint="eastAsia" w:cs="宋体"/>
                <w:b/>
                <w:bCs/>
                <w:color w:val="auto"/>
                <w:sz w:val="21"/>
                <w:szCs w:val="21"/>
                <w:highlight w:val="none"/>
              </w:rPr>
              <w:suppressLineNumbers w:val="0"/>
            </w:pPr>
            <w:r>
              <w:rPr>
                <w:rFonts w:hint="eastAsia" w:cs="宋体"/>
                <w:b/>
                <w:bCs/>
                <w:color w:val="auto"/>
                <w:sz w:val="21"/>
                <w:szCs w:val="21"/>
                <w:highlight w:val="none"/>
                <w:lang w:bidi="ar"/>
              </w:rPr>
              <w:t xml:space="preserve">备品数量</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jc w:val="center"/>
              <w:keepLines w:val="0"/>
              <w:keepNext w:val="0"/>
              <w:spacing w:before="0" w:beforeAutospacing="0" w:after="0" w:afterAutospacing="0"/>
              <w:widowControl/>
              <w:rPr>
                <w:rFonts w:hint="eastAsia" w:cs="宋体"/>
                <w:b/>
                <w:bCs/>
                <w:color w:val="auto"/>
                <w:sz w:val="21"/>
                <w:szCs w:val="21"/>
                <w:highlight w:val="none"/>
              </w:rPr>
              <w:suppressLineNumbers w:val="0"/>
            </w:pPr>
            <w:r>
              <w:rPr>
                <w:rFonts w:hint="eastAsia" w:cs="宋体"/>
                <w:b/>
                <w:bCs/>
                <w:color w:val="auto"/>
                <w:sz w:val="21"/>
                <w:szCs w:val="21"/>
                <w:highlight w:val="none"/>
                <w:lang w:bidi="ar"/>
              </w:rPr>
              <w:t xml:space="preserve">备注</w:t>
            </w:r>
            <w:r/>
          </w:p>
        </w:tc>
      </w:tr>
      <w:tr>
        <w:trPr>
          <w:trHeight w:val="449" w:hRule="exact"/>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20套</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r>
            <w:r/>
          </w:p>
        </w:tc>
      </w:tr>
      <w:tr>
        <w:trPr>
          <w:trHeight w:val="449" w:hRule="exact"/>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集中控制器</w:t>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r>
            <w:r/>
          </w:p>
        </w:tc>
      </w:tr>
      <w:tr>
        <w:trPr>
          <w:trHeight w:val="929" w:hRule="exact"/>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LED灯具</w:t>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每种规格</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jc w:val="center"/>
              <w:keepLines w:val="0"/>
              <w:keepNext w:val="0"/>
              <w:spacing w:before="0" w:beforeAutospacing="0" w:after="0" w:afterAutospacing="0"/>
              <w:widowControl/>
              <w:rPr>
                <w:rFonts w:hint="eastAsia" w:cs="宋体"/>
                <w:color w:val="auto"/>
                <w:sz w:val="21"/>
                <w:szCs w:val="21"/>
                <w:highlight w:val="none"/>
              </w:rPr>
              <w:suppressLineNumbers w:val="0"/>
            </w:pPr>
            <w:r>
              <w:rPr>
                <w:rFonts w:hint="eastAsia" w:cs="宋体"/>
                <w:color w:val="auto"/>
                <w:sz w:val="21"/>
                <w:szCs w:val="21"/>
                <w:highlight w:val="none"/>
                <w:lang w:bidi="ar"/>
              </w:rPr>
              <w:t xml:space="preserve">不低于总量的1%，数量不满5套，按5套计算</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r>
            <w:r/>
          </w:p>
        </w:tc>
      </w:tr>
    </w:tbl>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02"/>
        <w:jc w:val="center"/>
        <w:spacing w:before="240" w:after="2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附件二：道路照明设施考核细则</w:t>
      </w:r>
      <w:r/>
    </w:p>
    <w:tbl>
      <w:tblPr>
        <w:tblStyle w:val="717"/>
        <w:tblW w:w="0" w:type="auto"/>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50"/>
        <w:gridCol w:w="510"/>
        <w:gridCol w:w="5217"/>
        <w:gridCol w:w="3277"/>
      </w:tblGrid>
      <w:tr>
        <w:trPr>
          <w:cantSplit/>
          <w:jc w:val="center"/>
          <w:trHeight w:val="824"/>
        </w:trPr>
        <w:tc>
          <w:tcPr>
            <w:tcBorders>
              <w:top w:val="single" w:color="000000" w:sz="8" w:space="0"/>
              <w:left w:val="single" w:color="000000" w:sz="8" w:space="0"/>
              <w:bottom w:val="single" w:color="000000" w:sz="8" w:space="0"/>
              <w:right w:val="single" w:color="00000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类别</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firstLine="643"/>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考  核  标  准</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操  作  细  则</w:t>
            </w:r>
            <w:r/>
          </w:p>
        </w:tc>
      </w:tr>
      <w:tr>
        <w:trPr>
          <w:cantSplit/>
          <w:jc w:val="center"/>
          <w:trHeight w:val="2545"/>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vMerge w:val="restart"/>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p>
        </w:tc>
        <w:tc>
          <w:tcPr>
            <w:tcBorders>
              <w:bottom w:val="single" w:color="808080" w:sz="8" w:space="0"/>
              <w:right w:val="single" w:color="808080" w:sz="8" w:space="0"/>
            </w:tcBorders>
            <w:tcMar>
              <w:left w:w="57" w:type="dxa"/>
              <w:top w:w="57" w:type="dxa"/>
              <w:right w:w="57" w:type="dxa"/>
              <w:bottom w:w="57" w:type="dxa"/>
            </w:tcMar>
            <w:tcW w:w="0" w:type="auto"/>
            <w:vAlign w:val="center"/>
            <w:vMerge w:val="restart"/>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能</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源</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理</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位</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部</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理</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要</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求</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bookmarkStart w:id="239" w:name="_Hlk176371189"/>
            <w:r>
              <w:rPr>
                <w:rFonts w:hint="eastAsia" w:ascii="宋体" w:hAnsi="宋体" w:eastAsia="宋体" w:cs="宋体"/>
                <w:color w:val="auto"/>
                <w:sz w:val="21"/>
                <w:szCs w:val="21"/>
                <w:highlight w:val="none"/>
              </w:rPr>
              <w:t xml:space="preserve">实行24小时人员值班制，每班需配备人员</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人（负责人1人、维护工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人）。发现人员缺岗的，扣除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000元/次·人，班组人员全部不在岗的，扣除10000元/次。</w:t>
            </w:r>
            <w:bookmarkEnd w:id="239"/>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发现人员缺岗的，扣除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000元/次·人，班组人员全部不在岗的，扣除10000元/次。</w:t>
            </w:r>
            <w:r/>
          </w:p>
        </w:tc>
      </w:tr>
      <w:tr>
        <w:trPr>
          <w:cantSplit/>
          <w:jc w:val="center"/>
          <w:trHeight w:val="1632"/>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2、应配备用于路灯维修养护工程的施工机械设备，如高空、抢修作业车、维修巡检车辆及相应的电工工具等。</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1、未储备上述设备的，每少一样扣10000元/次。</w:t>
            </w:r>
            <w:r/>
          </w:p>
        </w:tc>
      </w:tr>
      <w:tr>
        <w:trPr>
          <w:cantSplit/>
          <w:jc w:val="center"/>
          <w:trHeight w:val="3323"/>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能源管理单位道路照明设施维护项目部工作人员实行岗位责任制，工作人员持证上岗且保持稳定，熟悉所管辖区域内道路照明设施供电、控制、线路等相关情况，作业时统一着装并配备必要的安全防护用品，能按操作规程进行维护作业。</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1、未实行岗位责任制扣2000元/次</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2、工作人员未持证上岗或人员不稳定扣2000元/次</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3、未统一着装并配备必要的安全防护用品扣2000元/次</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4、未按操作规程进行维护作业扣3000元/次</w:t>
            </w:r>
            <w:r/>
          </w:p>
        </w:tc>
      </w:tr>
      <w:tr>
        <w:trPr>
          <w:cantSplit/>
          <w:jc w:val="center"/>
          <w:trHeight w:val="1992"/>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4、能源管理单位必须准备充足的维修材料（如灯具、</w:t>
            </w:r>
            <w:r>
              <w:rPr>
                <w:rFonts w:hint="eastAsia" w:ascii="宋体" w:hAnsi="宋体" w:eastAsia="宋体" w:cs="宋体"/>
                <w:color w:val="auto"/>
                <w:sz w:val="21"/>
                <w:szCs w:val="21"/>
                <w:highlight w:val="none"/>
                <w:lang w:val="en-US" w:eastAsia="zh-CN"/>
              </w:rPr>
              <w:t xml:space="preserve">单灯控制器、集中控制器</w:t>
            </w:r>
            <w:r>
              <w:rPr>
                <w:rFonts w:hint="eastAsia" w:ascii="宋体" w:hAnsi="宋体" w:eastAsia="宋体" w:cs="宋体"/>
                <w:color w:val="auto"/>
                <w:sz w:val="21"/>
                <w:szCs w:val="21"/>
                <w:highlight w:val="none"/>
              </w:rPr>
              <w:t xml:space="preserve">等）。</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1、维修材料不充足，每缺一项扣10000元/次。（维修材料与各维护区域内设施相对应，如灯具、</w:t>
            </w:r>
            <w:r>
              <w:rPr>
                <w:rFonts w:hint="eastAsia" w:ascii="宋体" w:hAnsi="宋体" w:eastAsia="宋体" w:cs="宋体"/>
                <w:color w:val="auto"/>
                <w:sz w:val="21"/>
                <w:szCs w:val="21"/>
                <w:highlight w:val="none"/>
                <w:lang w:val="en-US" w:eastAsia="zh-CN"/>
              </w:rPr>
              <w:t xml:space="preserve">单灯控制器、集中控制器</w:t>
            </w:r>
            <w:r>
              <w:rPr>
                <w:rFonts w:hint="eastAsia" w:ascii="宋体" w:hAnsi="宋体" w:eastAsia="宋体" w:cs="宋体"/>
                <w:color w:val="auto"/>
                <w:sz w:val="21"/>
                <w:szCs w:val="21"/>
                <w:highlight w:val="none"/>
              </w:rPr>
              <w:t xml:space="preserve">等，与投标文件相符）</w:t>
            </w:r>
            <w:r/>
          </w:p>
        </w:tc>
      </w:tr>
      <w:tr>
        <w:trPr>
          <w:cantSplit/>
          <w:jc w:val="center"/>
          <w:trHeight w:val="1752"/>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5、能源管理单位值班电话对外公布并24小时开通，接待投诉时必须热情、诚恳、语气谦和，并做好详细记录。</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1、能源管理单位无值班电话或未24小时开通，扣1000元/次</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2、接听电话不文明引起投诉，每次扣200元</w:t>
            </w:r>
            <w:r/>
          </w:p>
        </w:tc>
      </w:tr>
      <w:tr>
        <w:trPr>
          <w:cantSplit/>
          <w:jc w:val="center"/>
          <w:trHeight w:val="1519"/>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2</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亮灯率</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亮灯率标准均为99％</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1、每低于1%，扣管护单位5000元，不足1%的按插入法计算；低于98%的，每低于0.1%，扣管护单位2000元。</w:t>
            </w:r>
            <w:r/>
          </w:p>
        </w:tc>
      </w:tr>
      <w:tr>
        <w:trPr>
          <w:cantSplit/>
          <w:jc w:val="center"/>
          <w:trHeight w:val="809"/>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vMerge w:val="restart"/>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3</w:t>
            </w:r>
            <w:r/>
          </w:p>
        </w:tc>
        <w:tc>
          <w:tcPr>
            <w:tcBorders>
              <w:bottom w:val="single" w:color="808080" w:sz="8" w:space="0"/>
              <w:right w:val="single" w:color="808080" w:sz="8" w:space="0"/>
            </w:tcBorders>
            <w:tcMar>
              <w:left w:w="57" w:type="dxa"/>
              <w:top w:w="57" w:type="dxa"/>
              <w:right w:w="57" w:type="dxa"/>
              <w:bottom w:w="57" w:type="dxa"/>
            </w:tcMar>
            <w:tcW w:w="0" w:type="auto"/>
            <w:vAlign w:val="center"/>
            <w:vMerge w:val="restart"/>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运行</w:t>
            </w:r>
            <w:r/>
          </w:p>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故障</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1、能源管理单位需要在白天开灯检修时，应事先经</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准。</w:t>
            </w:r>
            <w:r/>
          </w:p>
        </w:tc>
        <w:tc>
          <w:tcPr>
            <w:tcBorders>
              <w:bottom w:val="single" w:color="808080" w:sz="8" w:space="0"/>
              <w:right w:val="single" w:color="808080" w:sz="8" w:space="0"/>
            </w:tcBorders>
            <w:tcMar>
              <w:left w:w="57" w:type="dxa"/>
              <w:top w:w="57" w:type="dxa"/>
              <w:right w:w="57" w:type="dxa"/>
              <w:bottom w:w="57" w:type="dxa"/>
            </w:tcMar>
            <w:tcW w:w="0" w:type="auto"/>
            <w:vAlign w:val="center"/>
            <w:vMerge w:val="restart"/>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1、运行故障每次扣2000元</w:t>
            </w:r>
            <w:r/>
          </w:p>
        </w:tc>
      </w:tr>
      <w:tr>
        <w:trPr>
          <w:cantSplit/>
          <w:jc w:val="center"/>
          <w:trHeight w:val="898"/>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2、因运行故障造成的成片或成线的灭灯。</w:t>
            </w:r>
            <w:r/>
          </w:p>
        </w:tc>
        <w:tc>
          <w:tcPr>
            <w:tcBorders>
              <w:bottom w:val="single" w:color="808080" w:sz="8" w:space="0"/>
              <w:right w:val="single" w:color="808080" w:sz="8" w:space="0"/>
            </w:tcBorders>
            <w:tcW w:w="0" w:type="auto"/>
            <w:vAlign w:val="center"/>
            <w:vMerge w:val="continue"/>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876"/>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4</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完成社会承诺</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1、一般故障24小时内修复，复杂故障72小时内修复遇恶劣天气、工程量较大等特殊原因除外）</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2、投诉及故障处理结束后，应在24小时内将处理情况报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，同时回复反映人。</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、12345或数字化城管派单的，按派单限定期限处理完成，无法完成的，需提前报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同意。</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、配合</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对路灯电费进行抄表，按时抄送管理部门</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1、各类故障、事故未按期修复的，每拖延一天（24小时）扣除10000元/次（盏、套）天</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2、投诉未能及时修复或故障未能彻底修复引起重复投诉，每次扣3000元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3、抢修未能在规定时间内赶到现场的每次扣3000元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4、未及时回复的每次扣5000元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5、交办任务未按要求及时完成，每次扣5000元。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6、不按时抄送及抄错扣10000元/处</w:t>
            </w:r>
            <w:r/>
          </w:p>
        </w:tc>
      </w:tr>
      <w:tr>
        <w:trPr>
          <w:cantSplit/>
          <w:jc w:val="center"/>
          <w:trHeight w:val="3179"/>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5</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无重大安全责任事故</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1、安全措施未落实，每次扣5000元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2、发生全责或主责的人身伤害事故和重大财产损失，根据市安全生产管理规定相关要求执行；发生次责的根据事故造成危害程度确定。</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3、发生责任死亡事故，中止合同。</w:t>
            </w:r>
            <w:r/>
          </w:p>
        </w:tc>
      </w:tr>
      <w:tr>
        <w:trPr>
          <w:cantSplit/>
          <w:jc w:val="center"/>
          <w:trHeight w:val="3875"/>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6</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台帐</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1、年度、月度维护作业计划（根据巡修频次制定）</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2、维护技术文件（路灯分布图、控制系统图等相关技术资料）</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3、维护管理台帐（值班制度、人员培训、应急预案等）</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4、巡查维修台帐</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5、安全工作台帐（制定安全生产责任制及网络图、人员培训、安全生产检查制度、安全操作规程、安全隐患排查等）</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1、无相关台帐，每缺一项扣500元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2、未按计划进行巡修，每次扣500元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2、台帐不完整或数据不准确，每处扣200元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3、在规定巡修周期内应发现并及时处理或汇报的设施问题，未及时处理或汇报，每处扣200元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cantSplit/>
          <w:jc w:val="center"/>
          <w:trHeight w:val="90"/>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7</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1、因偷盗或车损等非正常损坏的，需及时与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联系，并立即组织修补，撞坏路灯设施（含事故逃逸）需立即组织处理现场,因偷盗造成的路灯设施损坏报警后需立即组织处理现场。能源管理单位应配合</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报警并依相关法律确认费用承担主体追索</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2、能源管理单位不得擅自变更除灯具以外的设计、所用光源及规格品牌等均应事先报告</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批准。</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3、能源管理单位及职工不得在照明设施上私拉乱接其他供用电设施。</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能源管理单位应注意发现下列情况并及时上报、配合处理：（1）擅自拆除、迁移道路照明设施，（2）在道路照明设施附近堆放杂物、挖坑取土、兴建建（构）筑物，（3）在道路照明灯杆上架设通信电缆和安置其他设施等违章行为，（4）巡查发现私自接用路灯电源。</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5、能源管理单位需遵守文明施工相关规定，不得擅自开挖道路，确需开挖的应办理相关审批手续。</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1、发生非正常损坏未及时组织修复，每处扣10000元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2、擅自改变照明设施的，每处扣10000元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3、擅自转供其他用电设施的，每处扣10000元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4、未能及时发现私接路灯用电的，每处扣20000元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5、未能及时发现擅自拆除、迁移、私自接用路灯电源等危害公共照明设施行为的，每次扣50000元</w:t>
            </w:r>
            <w:r/>
          </w:p>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6、未遵守文明施工相关规定，每次扣2000元</w:t>
            </w:r>
            <w:r/>
          </w:p>
        </w:tc>
      </w:tr>
      <w:tr>
        <w:trPr>
          <w:cantSplit/>
          <w:jc w:val="center"/>
          <w:trHeight w:val="1661"/>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8</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维修及时考核要 求</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将养护中发现和存在的问题以限期整改意见书形式通知能源管理单位，能源管理单位需在规定期限内予以改正。</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如超出期限七个工作日未改正的每次予以扣2000元，超过二周未改正的每次予以扣10000元。</w:t>
            </w:r>
            <w:r/>
          </w:p>
        </w:tc>
      </w:tr>
      <w:tr>
        <w:trPr>
          <w:cantSplit/>
          <w:jc w:val="center"/>
          <w:trHeight w:val="1322"/>
        </w:trPr>
        <w:tc>
          <w:tcPr>
            <w:tcBorders>
              <w:left w:val="single" w:color="808080" w:sz="8" w:space="0"/>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9</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按时缴纳电费</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能源管理单位应该按时缴纳电费</w:t>
            </w:r>
            <w:r/>
          </w:p>
        </w:tc>
        <w:tc>
          <w:tcPr>
            <w:tcBorders>
              <w:bottom w:val="single" w:color="808080" w:sz="8" w:space="0"/>
              <w:right w:val="single" w:color="808080" w:sz="8" w:space="0"/>
            </w:tcBorders>
            <w:tcMar>
              <w:left w:w="57" w:type="dxa"/>
              <w:top w:w="57" w:type="dxa"/>
              <w:right w:w="57" w:type="dxa"/>
              <w:bottom w:w="57" w:type="dxa"/>
            </w:tcMar>
            <w:tcW w:w="0" w:type="auto"/>
            <w:vAlign w:val="center"/>
            <w:textDirection w:val="lrTb"/>
            <w:noWrap w:val="false"/>
          </w:tcPr>
          <w:p>
            <w:pPr>
              <w:pStyle w:val="1202"/>
              <w:ind w:left="0" w:right="0"/>
              <w:jc w:val="both"/>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有一次延误电费缴纳承担滞纳金，并且罚款10000元</w:t>
            </w:r>
            <w:r/>
          </w:p>
        </w:tc>
      </w:tr>
    </w:tbl>
    <w:p>
      <w:pPr>
        <w:pStyle w:val="752"/>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02"/>
        <w:jc w:val="center"/>
        <w:spacing w:before="240" w:after="240" w:line="262" w:lineRule="atLeas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附件三：</w:t>
      </w:r>
      <w:r>
        <w:rPr>
          <w:rFonts w:hint="eastAsia" w:ascii="宋体" w:hAnsi="宋体" w:eastAsia="宋体" w:cs="宋体"/>
          <w:b/>
          <w:bCs/>
          <w:color w:val="auto"/>
          <w:highlight w:val="none"/>
        </w:rPr>
        <w:t xml:space="preserve">张家港市道路照明设施维护质量标准</w:t>
      </w:r>
      <w:r/>
    </w:p>
    <w:p>
      <w:pPr>
        <w:jc w:val="center"/>
        <w:rPr>
          <w:rFonts w:hint="eastAsia"/>
          <w:color w:val="auto"/>
          <w:szCs w:val="21"/>
          <w:highlight w:val="none"/>
        </w:rPr>
      </w:pPr>
      <w:r>
        <w:rPr>
          <w:color w:val="auto"/>
          <w:szCs w:val="21"/>
          <w:highlight w:val="none"/>
        </w:rPr>
        <w:t xml:space="preserve"> </w:t>
      </w:r>
      <w:r/>
    </w:p>
    <w:tbl>
      <w:tblPr>
        <w:tblStyle w:val="717"/>
        <w:tblW w:w="93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788"/>
        <w:gridCol w:w="7930"/>
      </w:tblGrid>
      <w:tr>
        <w:trPr>
          <w:trHeight w:val="795"/>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检查</w:t>
            </w:r>
            <w:r/>
          </w:p>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质量标准</w:t>
            </w:r>
            <w:r/>
          </w:p>
        </w:tc>
      </w:tr>
      <w:tr>
        <w:trPr>
          <w:trHeight w:val="1579"/>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设</w:t>
            </w:r>
            <w:r/>
          </w:p>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施</w:t>
            </w:r>
            <w:r/>
          </w:p>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整</w:t>
            </w:r>
            <w:r/>
          </w:p>
          <w:p>
            <w:pPr>
              <w:ind w:left="0" w:right="0"/>
              <w:jc w:val="center"/>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洁</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1、路灯变压器、计量箱、控制箱、灯杆等相关设施外观整洁，无积污、无破损、无严重锈蚀、无乱张贴、乱涂写、乱牵乱挂等影响市容的情况。</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2、无未经批准设置的户外广告或其他悬挂物品。</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3、灯具、灯杆等应定期清洗。</w:t>
            </w:r>
            <w:r/>
          </w:p>
        </w:tc>
      </w:tr>
      <w:tr>
        <w:trPr>
          <w:trHeight w:val="5108"/>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配        电        箱        （柜）     室</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1、配电室（箱）门窗清洁无破损，挂锁完好，室内整洁无异物，警告标志齐全，房屋无渗漏水现象。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2、配电箱（柜）体保持完整无缺，不渗水、无积灰、无锈蚀，安装牢固；高压配电装置按电力系统要求定期进行巡修及实验。</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3、箱内电器安装整齐牢固、无积灰积垢、线路排列整齐。</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4、接触器、开关、熔断器等电器元件和导线，应绝缘良好，各零部件无变形缺损，运行正常，无异响。</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5、电器各触点、熔断器无烧热变色。</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6、配电柜仪表完好，指示正确，各部件联结紧固无松动。</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7、各路出线标志清楚，并有完整负荷分配图。</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8、室内配电柜及附属设施应符合消防安全规程要求。</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9、三相供电负荷应定期检测，不平衡度小于20％。</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10、箱柜接地电阻符合相关电气规定，接地电阻≤4欧。</w:t>
            </w:r>
            <w:r/>
          </w:p>
        </w:tc>
      </w:tr>
      <w:tr>
        <w:trPr>
          <w:trHeight w:val="2755"/>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架        空         线        路</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1、电杆不歪斜，横担平直。</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2、导线弧垂符合规定，无断股。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3、瓷瓶完整无缺，无裂纹，瓷瓶绑线无松脱现象。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4、拉线无锈蚀，无松弛现象。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5、架空线路周围无影响线路正常运行的树木。</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6、所有横担、瓷瓶、抱箍、拉线等紧固螺栓无松动和锈蚀现象。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7、混凝土杆身完整无裂缝、破损现象。</w:t>
            </w:r>
            <w:r/>
          </w:p>
        </w:tc>
      </w:tr>
      <w:tr>
        <w:trPr>
          <w:trHeight w:val="3540"/>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电        缆        线         路</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1、电缆线路（穿管地埋线路）的路面上应无开挖、新的建筑打桩、植树及有可能腐蚀电缆的化学物品。</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2、电缆未端电压应不低于额定电压的20%。</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3、电缆线路在地上部分的钢带、保护管、固定设备无锈蚀，标桩完整无缺。</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4、接头紧固螺母（压接管）无松动、发热现象，绝缘包带无老化开裂，钢带接地良好。</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5、分段的绝缘电阻不低于10兆欧。</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6、灯箱座、人孔、手孔井内干净无异物，电缆标志牌齐全、字迹清楚。</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7、巡视检查对有严重缺陷和损伤，并已无法处理的电缆（穿管导线）线路应分段或全部更新。</w:t>
            </w:r>
            <w:r/>
          </w:p>
        </w:tc>
      </w:tr>
      <w:tr>
        <w:trPr>
          <w:trHeight w:val="236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照        明        器        具</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1、灯具、灯架完好清洁、无断裂、脱焊及严重锈蚀，对严重影响照明安全的器件应予整修更换。</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2、灯具引下线和管内穿线绝缘良好，无破皮、绝缘开裂等现象，引下线中间不能有接头。</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3、灯具保持光亮无积污。</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4、悬臂灯架引下线瓷瓶、熔断器完整无缺，所有紧固螺母牢固无松动。</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5、更换损坏的光源、电器元件应符合安装质量标准并与原设计规格一致。</w:t>
            </w:r>
            <w:r/>
          </w:p>
        </w:tc>
      </w:tr>
      <w:tr>
        <w:trPr>
          <w:trHeight w:val="2755"/>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高        杆        照        明</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1、灯盘、灯具等应符合照明器具维护要求。</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2、传动机构钢丝绳无损伤、无锈蚀，接头无松动等现象，挂脱钩机构灵活可靠无异常，灯盘连接牢固。</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3、电动机、变速箱支架牢固可靠，变速箱无油质污染、缺油等情况，齿轮无异常。</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4、限位开关触点准确、控制电器触头无电蚀、接头接点完好无损。</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5、导线应无受压、受夹、受损、老化等现象，各相工作电流正常。</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6、灯杆、灯盘骨架无锈蚀，保护接地装置良好，接地电阻≤4欧。</w:t>
            </w:r>
            <w:r/>
          </w:p>
        </w:tc>
      </w:tr>
      <w:tr>
        <w:trPr>
          <w:trHeight w:val="1971"/>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专        用        灯        杆</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1、灯杆杆身倾斜不超过杆长1%。</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2、金属灯杆杆身无破损、锈蚀现象，喷塑无脱落，油漆杆无油漆剥落。</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3、灯杆基础周围土地坚实无松动凸筋。</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4、基础法兰螺栓无松动。</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5、金属灯杆保护接地良好，接地电阻≤4欧。</w:t>
            </w:r>
            <w:r/>
          </w:p>
        </w:tc>
      </w:tr>
      <w:tr>
        <w:trPr>
          <w:trHeight w:val="1234"/>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单灯控制器及集中控制器                       </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1、无擅自拆除、移位、调整线路等改变集控终端数据信息的操作。</w:t>
            </w:r>
            <w:r/>
          </w:p>
        </w:tc>
      </w:tr>
      <w:tr>
        <w:trPr>
          <w:trHeight w:val="118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安全保护           </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1、保护接地线路连接可靠，无锈蚀。</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2、接地电阻满足要求。</w:t>
            </w:r>
            <w:r/>
          </w:p>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3、剩余电流动作保护器运行正常。</w:t>
            </w:r>
            <w:r/>
          </w:p>
        </w:tc>
      </w:tr>
      <w:tr>
        <w:trPr>
          <w:trHeight w:val="41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亮灯率</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1、亮灯率≥99%，</w:t>
            </w:r>
            <w:r/>
          </w:p>
        </w:tc>
      </w:tr>
      <w:tr>
        <w:trPr>
          <w:trHeight w:val="472"/>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eastAsia" w:cs="宋体"/>
                <w:color w:val="auto"/>
                <w:sz w:val="21"/>
                <w:szCs w:val="21"/>
                <w:highlight w:val="none"/>
              </w:rPr>
              <w:suppressLineNumbers w:val="0"/>
            </w:pPr>
            <w:r>
              <w:rPr>
                <w:rFonts w:hint="eastAsia" w:cs="宋体"/>
                <w:color w:val="auto"/>
                <w:sz w:val="21"/>
                <w:szCs w:val="21"/>
                <w:highlight w:val="none"/>
              </w:rPr>
              <w:t xml:space="preserve">完好率</w:t>
            </w:r>
            <w:r/>
          </w:p>
        </w:tc>
        <w:tc>
          <w:tcPr>
            <w:tcBorders>
              <w:top w:val="single" w:color="auto" w:sz="4" w:space="0"/>
              <w:left w:val="single" w:color="auto" w:sz="4" w:space="0"/>
              <w:bottom w:val="single" w:color="auto" w:sz="4" w:space="0"/>
              <w:right w:val="single" w:color="auto" w:sz="4" w:space="0"/>
            </w:tcBorders>
            <w:tcW w:w="7930" w:type="dxa"/>
            <w:vAlign w:val="center"/>
            <w:textDirection w:val="lrTb"/>
            <w:noWrap w:val="false"/>
          </w:tcPr>
          <w:p>
            <w:pPr>
              <w:ind w:left="0" w:right="0"/>
              <w:keepLines w:val="0"/>
              <w:keepNext w:val="0"/>
              <w:spacing w:before="0" w:beforeAutospacing="0" w:after="0" w:afterAutospacing="0" w:line="400" w:lineRule="exact"/>
              <w:rPr>
                <w:rFonts w:hint="eastAsia" w:cs="宋体"/>
                <w:color w:val="auto"/>
                <w:sz w:val="21"/>
                <w:szCs w:val="21"/>
                <w:highlight w:val="none"/>
              </w:rPr>
              <w:suppressLineNumbers w:val="0"/>
            </w:pPr>
            <w:r>
              <w:rPr>
                <w:rFonts w:hint="eastAsia" w:cs="宋体"/>
                <w:color w:val="auto"/>
                <w:sz w:val="21"/>
                <w:szCs w:val="21"/>
                <w:highlight w:val="none"/>
              </w:rPr>
              <w:t xml:space="preserve">1、完好率≥99%</w:t>
            </w:r>
            <w:r/>
          </w:p>
        </w:tc>
      </w:tr>
    </w:tbl>
    <w:p>
      <w:pPr>
        <w:pStyle w:val="1197"/>
        <w:jc w:val="both"/>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分项报价表（一）</w:t>
      </w:r>
      <w:r/>
    </w:p>
    <w:tbl>
      <w:tblPr>
        <w:tblStyle w:val="717"/>
        <w:tblW w:w="92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2"/>
        <w:gridCol w:w="2447"/>
        <w:gridCol w:w="1271"/>
        <w:gridCol w:w="752"/>
        <w:gridCol w:w="882"/>
        <w:gridCol w:w="882"/>
        <w:gridCol w:w="2309"/>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节能改造部分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传统灯具节能改造及日常维护费用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元/盏/年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最高限价225元/盏/年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太阳能路灯维护费用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元/盏/年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最高限价150元/盏/年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节能改造灯具所用电费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最高限价130000元/年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零星维修费用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不可竞争</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其他零星电费代收代缴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不可竞争</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零星辅助设备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美化路灯（中国结）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双面LED电子显示屏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中杆路灯安装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1197"/>
        <w:jc w:val="both"/>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color w:val="auto"/>
          <w:sz w:val="24"/>
          <w:szCs w:val="24"/>
          <w:highlight w:val="none"/>
        </w:rPr>
        <w:t xml:space="preserve">投标人不得</w:t>
      </w:r>
      <w:r>
        <w:rPr>
          <w:rFonts w:hint="eastAsia" w:ascii="宋体" w:hAnsi="宋体" w:eastAsia="宋体" w:cs="宋体"/>
          <w:b/>
          <w:bCs/>
          <w:color w:val="auto"/>
          <w:sz w:val="24"/>
          <w:szCs w:val="24"/>
          <w:highlight w:val="none"/>
          <w:lang w:val="en-US" w:eastAsia="zh-CN"/>
        </w:rPr>
        <w:t xml:space="preserve">调整上述</w:t>
      </w:r>
      <w:r>
        <w:rPr>
          <w:rFonts w:ascii="宋体" w:hAnsi="宋体" w:eastAsia="宋体" w:cs="宋体"/>
          <w:b/>
          <w:bCs/>
          <w:color w:val="auto"/>
          <w:sz w:val="24"/>
          <w:szCs w:val="24"/>
          <w:highlight w:val="none"/>
        </w:rPr>
        <w:t xml:space="preserve">不可竞争费，否则</w:t>
      </w:r>
      <w:r>
        <w:rPr>
          <w:rStyle w:val="745"/>
          <w:rFonts w:ascii="宋体" w:hAnsi="宋体" w:eastAsia="宋体" w:cs="宋体"/>
          <w:b/>
          <w:bCs/>
          <w:color w:val="auto"/>
          <w:sz w:val="24"/>
          <w:szCs w:val="24"/>
          <w:highlight w:val="none"/>
        </w:rPr>
        <w:t xml:space="preserve">按废标处理</w:t>
      </w:r>
      <w:r>
        <w:rPr>
          <w:rFonts w:ascii="宋体" w:hAnsi="宋体" w:eastAsia="宋体" w:cs="宋体"/>
          <w:b/>
          <w:bCs/>
          <w:color w:val="auto"/>
          <w:sz w:val="24"/>
          <w:szCs w:val="24"/>
          <w:highlight w:val="none"/>
        </w:rPr>
        <w:t xml:space="preserve">。</w:t>
      </w:r>
      <w:r/>
    </w:p>
    <w:p>
      <w:pPr>
        <w:pStyle w:val="1197"/>
        <w:jc w:val="both"/>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报价分析表（二）</w:t>
      </w:r>
      <w:r/>
    </w:p>
    <w:tbl>
      <w:tblPr>
        <w:tblStyle w:val="717"/>
        <w:tblW w:w="909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9"/>
        <w:gridCol w:w="2773"/>
        <w:gridCol w:w="903"/>
        <w:gridCol w:w="903"/>
        <w:gridCol w:w="903"/>
        <w:gridCol w:w="903"/>
        <w:gridCol w:w="903"/>
        <w:gridCol w:w="904"/>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灯具1（</w:t>
            </w:r>
            <w:r>
              <w:rPr>
                <w:rFonts w:hint="eastAsia" w:ascii="宋体" w:hAnsi="宋体" w:cs="宋体"/>
                <w:i w:val="0"/>
                <w:iCs w:val="0"/>
                <w:color w:val="auto"/>
                <w:sz w:val="24"/>
                <w:szCs w:val="24"/>
                <w:highlight w:val="none"/>
                <w:u w:val="none"/>
                <w:lang w:val="en-US" w:eastAsia="zh-CN" w:bidi="ar"/>
              </w:rPr>
              <w:t xml:space="preserve">不低于</w:t>
            </w:r>
            <w:r>
              <w:rPr>
                <w:rFonts w:hint="eastAsia" w:ascii="宋体" w:hAnsi="宋体" w:eastAsia="宋体" w:cs="宋体"/>
                <w:i w:val="0"/>
                <w:iCs w:val="0"/>
                <w:color w:val="auto"/>
                <w:sz w:val="24"/>
                <w:szCs w:val="24"/>
                <w:highlight w:val="none"/>
                <w:u w:val="none"/>
                <w:lang w:val="en-US" w:eastAsia="zh-CN" w:bidi="ar"/>
              </w:rPr>
              <w:t xml:space="preserve">60W）</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灯具2（</w:t>
            </w:r>
            <w:r>
              <w:rPr>
                <w:rFonts w:hint="eastAsia" w:ascii="宋体" w:hAnsi="宋体" w:cs="宋体"/>
                <w:i w:val="0"/>
                <w:iCs w:val="0"/>
                <w:color w:val="auto"/>
                <w:sz w:val="24"/>
                <w:szCs w:val="24"/>
                <w:highlight w:val="none"/>
                <w:u w:val="none"/>
                <w:lang w:val="en-US" w:eastAsia="zh-CN" w:bidi="ar"/>
              </w:rPr>
              <w:t xml:space="preserve">不低于12</w:t>
            </w:r>
            <w:r>
              <w:rPr>
                <w:rFonts w:hint="eastAsia" w:ascii="宋体" w:hAnsi="宋体" w:eastAsia="宋体" w:cs="宋体"/>
                <w:i w:val="0"/>
                <w:iCs w:val="0"/>
                <w:color w:val="auto"/>
                <w:sz w:val="24"/>
                <w:szCs w:val="24"/>
                <w:highlight w:val="none"/>
                <w:u w:val="none"/>
                <w:lang w:val="en-US" w:eastAsia="zh-CN" w:bidi="ar"/>
              </w:rPr>
              <w:t xml:space="preserve">0W)</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路灯集中控制器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太阳能路灯维护</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路灯控制平台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美化路灯（中国结）</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双面LED电子显示屏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1005"/>
        <w:ind w:firstLine="2209"/>
        <w:jc w:val="both"/>
        <w:pageBreakBefore/>
        <w:spacing w:line="360" w:lineRule="auto"/>
        <w:rPr>
          <w:rFonts w:ascii="宋体" w:hAnsi="宋体" w:eastAsia="宋体"/>
          <w:b w:val="0"/>
          <w:color w:val="auto"/>
          <w:sz w:val="24"/>
          <w:highlight w:val="none"/>
        </w:rPr>
      </w:pPr>
      <w:r>
        <w:rPr>
          <w:rFonts w:hint="eastAsia" w:ascii="宋体" w:hAnsi="宋体" w:eastAsia="宋体"/>
          <w:color w:val="auto"/>
          <w:highlight w:val="none"/>
        </w:rPr>
        <w:t xml:space="preserve">第五章 评标方法与评标标准</w:t>
      </w:r>
      <w:bookmarkEnd w:id="226"/>
      <w:r/>
      <w:bookmarkEnd w:id="227"/>
      <w:r/>
      <w:bookmarkEnd w:id="228"/>
      <w:r/>
      <w:bookmarkEnd w:id="229"/>
      <w:r/>
      <w:bookmarkEnd w:id="230"/>
      <w:r/>
      <w:bookmarkEnd w:id="231"/>
      <w:r/>
      <w:r/>
    </w:p>
    <w:p>
      <w:pPr>
        <w:ind w:firstLine="482"/>
        <w:keepLines/>
        <w:keepNext/>
        <w:spacing w:line="440" w:lineRule="exact"/>
        <w:rPr>
          <w:rFonts w:ascii="宋体" w:hAnsi="宋体" w:eastAsia="宋体" w:cs="Times New Roman"/>
          <w:b/>
          <w:bCs w:val="0"/>
          <w:color w:val="auto"/>
          <w:sz w:val="24"/>
          <w:szCs w:val="24"/>
          <w:highlight w:val="none"/>
        </w:rPr>
        <w:outlineLvl w:val="1"/>
      </w:pPr>
      <w:r/>
      <w:bookmarkStart w:id="240" w:name="EBd9567453f96a4fca96262d13cc886515"/>
      <w:r/>
      <w:bookmarkEnd w:id="240"/>
      <w:r/>
      <w:bookmarkStart w:id="241" w:name="EBcd5591da61cb4e94ae541e640de7cf31"/>
      <w:r/>
      <w:bookmarkEnd w:id="241"/>
      <w:r/>
      <w:bookmarkStart w:id="242" w:name="_Toc40428754"/>
      <w:r/>
      <w:bookmarkStart w:id="243" w:name="_Toc54615250"/>
      <w:r/>
      <w:bookmarkStart w:id="244" w:name="_Toc18115"/>
      <w:r/>
      <w:bookmarkStart w:id="245" w:name="_Toc18704"/>
      <w:r/>
      <w:bookmarkStart w:id="246" w:name="_Toc3925"/>
      <w:r/>
      <w:bookmarkStart w:id="247" w:name="_Toc35266032"/>
      <w:r/>
      <w:bookmarkStart w:id="248" w:name="_Toc38368132"/>
      <w:r>
        <w:rPr>
          <w:rFonts w:hint="eastAsia" w:ascii="宋体" w:hAnsi="宋体" w:eastAsia="宋体" w:cs="Times New Roman"/>
          <w:b/>
          <w:bCs w:val="0"/>
          <w:color w:val="auto"/>
          <w:sz w:val="24"/>
          <w:szCs w:val="24"/>
          <w:highlight w:val="none"/>
        </w:rPr>
        <w:t xml:space="preserve">一、评标方法与定标原则</w:t>
      </w:r>
      <w:bookmarkEnd w:id="242"/>
      <w:r/>
      <w:r/>
    </w:p>
    <w:p>
      <w:pPr>
        <w:pStyle w:val="1197"/>
        <w:ind w:firstLine="500"/>
        <w:spacing w:line="440" w:lineRule="exact"/>
        <w:rPr>
          <w:rFonts w:ascii="Times New Roman" w:hAnsi="Times New Roman" w:eastAsia="Times New Roman" w:cs="Times New Roman"/>
          <w:color w:val="auto"/>
          <w:highlight w:val="none"/>
        </w:rPr>
      </w:pPr>
      <w:r>
        <w:rPr>
          <w:rFonts w:hint="eastAsia" w:ascii="Times New Roman" w:hAnsi="Times New Roman" w:eastAsia="Times New Roman" w:cs="Times New Roman"/>
          <w:color w:val="auto"/>
          <w:highlight w:val="none"/>
        </w:rPr>
        <w:t xml:space="preserve">1</w:t>
      </w:r>
      <w:r>
        <w:rPr>
          <w:rFonts w:ascii="Times New Roman" w:hAnsi="Times New Roman" w:eastAsia="Times New Roman" w:cs="Times New Roman"/>
          <w:color w:val="auto"/>
          <w:highlight w:val="none"/>
        </w:rPr>
        <w:t xml:space="preserve">、</w:t>
      </w:r>
      <w:r>
        <w:rPr>
          <w:rFonts w:hint="eastAsia" w:ascii="Times New Roman" w:hAnsi="Times New Roman" w:eastAsia="Times New Roman" w:cs="Times New Roman"/>
          <w:color w:val="auto"/>
          <w:highlight w:val="none"/>
        </w:rPr>
        <w:t xml:space="preserve">评标采用综合评分法</w:t>
      </w:r>
      <w:r>
        <w:rPr>
          <w:rFonts w:hint="eastAsia" w:ascii="Times New Roman" w:hAnsi="Times New Roman" w:eastAsia="Times New Roman" w:cs="Times New Roman"/>
          <w:color w:val="auto"/>
          <w:highlight w:val="none"/>
          <w:lang w:eastAsia="zh-CN"/>
        </w:rPr>
        <w:t xml:space="preserve">。</w:t>
      </w:r>
      <w:r>
        <w:rPr>
          <w:rFonts w:hint="eastAsia" w:ascii="Times New Roman" w:hAnsi="Times New Roman" w:eastAsia="Times New Roman" w:cs="Times New Roman"/>
          <w:color w:val="auto"/>
          <w:highlight w:val="none"/>
        </w:rPr>
        <w:t xml:space="preserve">评标结果按评审后得分由高到低顺序排列，</w:t>
      </w:r>
      <w:r>
        <w:rPr>
          <w:rFonts w:hint="eastAsia" w:ascii="Times New Roman" w:hAnsi="Times New Roman" w:eastAsia="Times New Roman" w:cs="Times New Roman"/>
          <w:color w:val="auto"/>
          <w:highlight w:val="none"/>
          <w:lang w:val="en-US"/>
        </w:rPr>
        <w:t xml:space="preserve">推荐3名中标候选人</w:t>
      </w:r>
      <w:r>
        <w:rPr>
          <w:rFonts w:hint="eastAsia" w:ascii="Times New Roman" w:hAnsi="Times New Roman" w:eastAsia="Times New Roman" w:cs="Times New Roman"/>
          <w:color w:val="auto"/>
          <w:highlight w:val="none"/>
        </w:rPr>
        <w:t xml:space="preserve">。得分相同的，按投标报价由低到高顺序排列。</w:t>
      </w:r>
      <w:r>
        <w:rPr>
          <w:rFonts w:ascii="Times New Roman" w:hAnsi="Times New Roman" w:eastAsia="Times New Roman" w:cs="Times New Roman"/>
          <w:color w:val="auto"/>
          <w:highlight w:val="none"/>
        </w:rPr>
        <w:t xml:space="preserve">得分且投标报价相同</w:t>
      </w:r>
      <w:r>
        <w:rPr>
          <w:rFonts w:hint="eastAsia" w:ascii="Times New Roman" w:hAnsi="Times New Roman" w:eastAsia="Times New Roman" w:cs="Times New Roman"/>
          <w:color w:val="auto"/>
          <w:highlight w:val="none"/>
        </w:rPr>
        <w:t xml:space="preserve">的并列</w:t>
      </w:r>
      <w:r>
        <w:rPr>
          <w:rFonts w:ascii="Times New Roman" w:hAnsi="Times New Roman" w:eastAsia="Times New Roman" w:cs="Times New Roman"/>
          <w:color w:val="auto"/>
          <w:highlight w:val="none"/>
        </w:rPr>
        <w:t xml:space="preserve">，则由采购代理机构组织抽签确定</w:t>
      </w:r>
      <w:r>
        <w:rPr>
          <w:rFonts w:hint="eastAsia" w:ascii="Times New Roman" w:hAnsi="Times New Roman" w:eastAsia="Times New Roman" w:cs="Times New Roman"/>
          <w:color w:val="auto"/>
          <w:highlight w:val="none"/>
          <w:lang w:val="en-US" w:eastAsia="zh-CN"/>
        </w:rPr>
        <w:t xml:space="preserve">中标人</w:t>
      </w:r>
      <w:r>
        <w:rPr>
          <w:rFonts w:ascii="Times New Roman" w:hAnsi="Times New Roman" w:eastAsia="Times New Roman" w:cs="Times New Roman"/>
          <w:color w:val="auto"/>
          <w:highlight w:val="none"/>
        </w:rPr>
        <w:t xml:space="preserve">。</w:t>
      </w:r>
      <w:r>
        <w:rPr>
          <w:rFonts w:hint="eastAsia" w:ascii="Times New Roman" w:hAnsi="Times New Roman" w:eastAsia="Times New Roman" w:cs="Times New Roman"/>
          <w:color w:val="auto"/>
          <w:highlight w:val="none"/>
        </w:rPr>
        <w:t xml:space="preserve">投标文件满足招标文件全部实质性要求，且按照评审因素的量化指标评审得分最高的</w:t>
      </w:r>
      <w:r>
        <w:rPr>
          <w:rFonts w:hint="eastAsia" w:ascii="Times New Roman" w:hAnsi="Times New Roman" w:eastAsia="Times New Roman" w:cs="Times New Roman"/>
          <w:color w:val="auto"/>
          <w:highlight w:val="none"/>
          <w:lang w:eastAsia="zh-CN"/>
        </w:rPr>
        <w:t xml:space="preserve">投标供应商</w:t>
      </w:r>
      <w:r>
        <w:rPr>
          <w:rFonts w:hint="eastAsia" w:ascii="Times New Roman" w:hAnsi="Times New Roman" w:eastAsia="Times New Roman" w:cs="Times New Roman"/>
          <w:color w:val="auto"/>
          <w:highlight w:val="none"/>
        </w:rPr>
        <w:t xml:space="preserve">为</w:t>
      </w:r>
      <w:r>
        <w:rPr>
          <w:rFonts w:hint="eastAsia" w:ascii="Times New Roman" w:hAnsi="Times New Roman" w:eastAsia="Times New Roman" w:cs="Times New Roman"/>
          <w:color w:val="auto"/>
          <w:highlight w:val="none"/>
          <w:lang w:val="en-US"/>
        </w:rPr>
        <w:t xml:space="preserve">排名第一的</w:t>
      </w:r>
      <w:r>
        <w:rPr>
          <w:rFonts w:hint="eastAsia" w:ascii="Times New Roman" w:hAnsi="Times New Roman" w:eastAsia="Times New Roman" w:cs="Times New Roman"/>
          <w:color w:val="auto"/>
          <w:highlight w:val="none"/>
        </w:rPr>
        <w:t xml:space="preserve">中标候选人。</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2、针对中小型企业、残疾人福利企业和监狱企业的评审：</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本项目为面向中小企业预留采购份额项目，不再执行价格评审优惠的扶持政策。</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投标人若进行分包，应提供分包意向协议（详见第</w:t>
      </w:r>
      <w:r>
        <w:rPr>
          <w:rFonts w:hint="eastAsia" w:cs="Times New Roman"/>
          <w:color w:val="auto"/>
          <w:highlight w:val="none"/>
          <w:lang w:val="en-US" w:eastAsia="zh-CN"/>
        </w:rPr>
        <w:t xml:space="preserve">六</w:t>
      </w:r>
      <w:r>
        <w:rPr>
          <w:rFonts w:hint="eastAsia" w:ascii="Times New Roman" w:hAnsi="Times New Roman" w:eastAsia="Times New Roman" w:cs="Times New Roman"/>
          <w:color w:val="auto"/>
          <w:highlight w:val="none"/>
          <w:lang w:eastAsia="zh-CN"/>
        </w:rPr>
        <w:t xml:space="preserve">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投标人若未进行分包，应提供《中小企业声明函》或《残疾人福利性单位声明函》或省级以上监狱管理局、戒毒管理局（含新疆生产建设兵团）出具的属于监狱企业的证明文件。</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服务类项目中供应商若使用退休人员，将不享受中小企业扶持政策。</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注：</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①填报“中小企业声明函”需严格按“工信部联企业〔2011〕300号通知中的《中小企业划型标准规定》进行。</w:t>
      </w:r>
      <w:r/>
    </w:p>
    <w:p>
      <w:pPr>
        <w:pStyle w:val="1197"/>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②若供应商提供的声明函或认定证明为虚假材料，按“政府采购法”相关规定处理并报请政府监管部门给予行政处罚。</w:t>
      </w:r>
      <w:r/>
    </w:p>
    <w:p>
      <w:pPr>
        <w:ind w:firstLine="482"/>
        <w:keepLines/>
        <w:keepNext/>
        <w:spacing w:line="440" w:lineRule="exact"/>
        <w:rPr>
          <w:rFonts w:hint="eastAsia" w:ascii="宋体" w:hAnsi="宋体" w:eastAsia="宋体" w:cs="Times New Roman"/>
          <w:b/>
          <w:bCs w:val="0"/>
          <w:color w:val="auto"/>
          <w:sz w:val="24"/>
          <w:szCs w:val="24"/>
          <w:highlight w:val="none"/>
        </w:rPr>
        <w:outlineLvl w:val="1"/>
      </w:pPr>
      <w:r>
        <w:rPr>
          <w:rFonts w:hint="eastAsia" w:ascii="宋体" w:hAnsi="宋体" w:eastAsia="宋体" w:cs="Times New Roman"/>
          <w:b/>
          <w:bCs w:val="0"/>
          <w:color w:val="auto"/>
          <w:sz w:val="24"/>
          <w:szCs w:val="24"/>
          <w:highlight w:val="none"/>
        </w:rPr>
        <w:t xml:space="preserve">二、评标标准</w:t>
      </w:r>
      <w:r/>
    </w:p>
    <w:p>
      <w:pPr>
        <w:pStyle w:val="1197"/>
        <w:ind w:firstLine="500"/>
        <w:spacing w:line="440" w:lineRule="exact"/>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 xml:space="preserve">（一）价格分</w:t>
      </w:r>
      <w:r>
        <w:rPr>
          <w:rFonts w:hint="eastAsia" w:ascii="宋体" w:hAnsi="宋体" w:eastAsia="宋体" w:cs="宋体"/>
          <w:b/>
          <w:bCs/>
          <w:color w:val="auto"/>
          <w:spacing w:val="7"/>
          <w:highlight w:val="none"/>
          <w:lang w:val="en-US" w:eastAsia="zh-CN"/>
        </w:rPr>
        <w:t xml:space="preserve">15</w:t>
      </w:r>
      <w:r>
        <w:rPr>
          <w:rFonts w:hint="eastAsia" w:ascii="宋体" w:hAnsi="宋体" w:eastAsia="宋体" w:cs="宋体"/>
          <w:b/>
          <w:bCs/>
          <w:color w:val="auto"/>
          <w:spacing w:val="7"/>
          <w:highlight w:val="none"/>
        </w:rPr>
        <w:t xml:space="preserve">分</w:t>
      </w:r>
      <w:r/>
    </w:p>
    <w:p>
      <w:pPr>
        <w:pStyle w:val="1197"/>
        <w:ind w:firstLine="500"/>
        <w:spacing w:line="440" w:lineRule="exact"/>
        <w:rPr>
          <w:rFonts w:hint="eastAsia" w:eastAsia="宋体"/>
          <w:color w:val="auto"/>
          <w:spacing w:val="7"/>
          <w:highlight w:val="none"/>
        </w:rPr>
      </w:pPr>
      <w:r>
        <w:rPr>
          <w:rFonts w:hint="eastAsia" w:eastAsia="宋体"/>
          <w:color w:val="auto"/>
          <w:spacing w:val="7"/>
          <w:highlight w:val="none"/>
        </w:rPr>
        <w:t xml:space="preserve">采用低价优先法计算，即满足招标文件要求且投标价格最低的投标价为评标基准价，其价格分为满分</w:t>
      </w:r>
      <w:r>
        <w:rPr>
          <w:rFonts w:hint="eastAsia" w:eastAsia="宋体"/>
          <w:color w:val="auto"/>
          <w:spacing w:val="7"/>
          <w:highlight w:val="none"/>
          <w:lang w:val="en-US" w:eastAsia="zh-CN"/>
        </w:rPr>
        <w:t xml:space="preserve">15</w:t>
      </w:r>
      <w:r>
        <w:rPr>
          <w:rFonts w:hint="eastAsia" w:eastAsia="宋体"/>
          <w:color w:val="auto"/>
          <w:spacing w:val="7"/>
          <w:highlight w:val="none"/>
        </w:rPr>
        <w:t xml:space="preserve">分。其它</w:t>
      </w:r>
      <w:r>
        <w:rPr>
          <w:rFonts w:hint="eastAsia" w:eastAsia="宋体"/>
          <w:color w:val="auto"/>
          <w:spacing w:val="7"/>
          <w:highlight w:val="none"/>
          <w:lang w:eastAsia="zh-CN"/>
        </w:rPr>
        <w:t xml:space="preserve">投标单位</w:t>
      </w:r>
      <w:r>
        <w:rPr>
          <w:rFonts w:hint="eastAsia" w:eastAsia="宋体"/>
          <w:color w:val="auto"/>
          <w:spacing w:val="7"/>
          <w:highlight w:val="none"/>
        </w:rPr>
        <w:t xml:space="preserve">的价格分统一按照下列公式计算：</w:t>
      </w:r>
      <w:r/>
    </w:p>
    <w:p>
      <w:pPr>
        <w:pStyle w:val="1197"/>
        <w:ind w:firstLine="500"/>
        <w:spacing w:line="440" w:lineRule="exact"/>
        <w:rPr>
          <w:rFonts w:hint="eastAsia" w:eastAsia="宋体"/>
          <w:color w:val="auto"/>
          <w:spacing w:val="7"/>
          <w:highlight w:val="none"/>
        </w:rPr>
      </w:pPr>
      <w:r>
        <w:rPr>
          <w:rFonts w:hint="eastAsia" w:eastAsia="宋体"/>
          <w:color w:val="auto"/>
          <w:spacing w:val="7"/>
          <w:highlight w:val="none"/>
        </w:rPr>
        <w:t xml:space="preserve">投标报价得分=（评标基准价/投标报价）</w:t>
      </w:r>
      <w:r>
        <w:rPr>
          <w:rFonts w:hint="eastAsia" w:eastAsia="宋体"/>
          <w:color w:val="auto"/>
          <w:spacing w:val="7"/>
          <w:highlight w:val="none"/>
          <w:lang w:val="en-US" w:eastAsia="zh-CN"/>
        </w:rPr>
        <w:t xml:space="preserve">15</w:t>
      </w:r>
      <w:r>
        <w:rPr>
          <w:rFonts w:hint="eastAsia" w:eastAsia="宋体"/>
          <w:color w:val="auto"/>
          <w:spacing w:val="7"/>
          <w:highlight w:val="none"/>
        </w:rPr>
        <w:t xml:space="preserve">%*100（保留二位小数）。</w:t>
      </w:r>
      <w:r/>
    </w:p>
    <w:p>
      <w:pPr>
        <w:pStyle w:val="1197"/>
        <w:ind w:firstLine="500"/>
        <w:spacing w:line="440" w:lineRule="exact"/>
        <w:rPr>
          <w:rFonts w:hint="eastAsia"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（二）技术</w:t>
      </w:r>
      <w:r>
        <w:rPr>
          <w:rFonts w:hint="eastAsia" w:ascii="宋体" w:hAnsi="宋体" w:eastAsia="宋体" w:cs="宋体"/>
          <w:b/>
          <w:bCs/>
          <w:color w:val="auto"/>
          <w:spacing w:val="7"/>
          <w:highlight w:val="none"/>
          <w:lang w:val="zh-TW"/>
        </w:rPr>
        <w:t xml:space="preserve">方案</w:t>
      </w:r>
      <w:r>
        <w:rPr>
          <w:rFonts w:hint="eastAsia" w:ascii="宋体" w:hAnsi="宋体" w:eastAsia="宋体" w:cs="宋体"/>
          <w:b/>
          <w:bCs/>
          <w:color w:val="auto"/>
          <w:spacing w:val="7"/>
          <w:highlight w:val="none"/>
        </w:rPr>
        <w:t xml:space="preserve">分</w:t>
      </w:r>
      <w:r>
        <w:rPr>
          <w:rFonts w:hint="eastAsia" w:ascii="宋体" w:hAnsi="宋体" w:eastAsia="宋体" w:cs="宋体"/>
          <w:b/>
          <w:bCs/>
          <w:color w:val="auto"/>
          <w:spacing w:val="7"/>
          <w:highlight w:val="none"/>
          <w:lang w:val="en-US" w:eastAsia="zh-CN"/>
        </w:rPr>
        <w:t xml:space="preserve">31</w:t>
      </w:r>
      <w:r>
        <w:rPr>
          <w:rFonts w:hint="eastAsia" w:ascii="宋体" w:hAnsi="宋体" w:eastAsia="宋体" w:cs="宋体"/>
          <w:b/>
          <w:bCs/>
          <w:color w:val="auto"/>
          <w:spacing w:val="7"/>
          <w:highlight w:val="none"/>
        </w:rPr>
        <w:t xml:space="preserve">分</w:t>
      </w:r>
      <w:r>
        <w:rPr>
          <w:rFonts w:hint="eastAsia" w:ascii="宋体" w:hAnsi="宋体" w:eastAsia="宋体" w:cs="宋体"/>
          <w:b/>
          <w:bCs/>
          <w:color w:val="auto"/>
          <w:spacing w:val="7"/>
          <w:highlight w:val="none"/>
          <w:lang w:val="en-US" w:eastAsia="zh-CN"/>
        </w:rPr>
        <w:t xml:space="preserve"> </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2.1</w:t>
      </w:r>
      <w:r>
        <w:rPr>
          <w:rFonts w:hint="eastAsia" w:eastAsia="宋体"/>
          <w:color w:val="auto"/>
          <w:spacing w:val="7"/>
          <w:highlight w:val="none"/>
        </w:rPr>
        <w:t xml:space="preserve">实地路况的勘测及调研方案</w:t>
      </w:r>
      <w:r>
        <w:rPr>
          <w:rFonts w:hint="eastAsia" w:eastAsia="宋体"/>
          <w:color w:val="auto"/>
          <w:spacing w:val="7"/>
          <w:highlight w:val="none"/>
          <w:lang w:val="en-US" w:eastAsia="zh-CN"/>
        </w:rPr>
        <w:t xml:space="preserve">4分</w:t>
      </w:r>
      <w:r/>
    </w:p>
    <w:p>
      <w:pPr>
        <w:pStyle w:val="1197"/>
        <w:ind w:firstLine="500"/>
        <w:spacing w:line="440" w:lineRule="exact"/>
        <w:rPr>
          <w:rFonts w:hint="eastAsia" w:eastAsia="宋体"/>
          <w:color w:val="auto"/>
          <w:spacing w:val="7"/>
          <w:highlight w:val="none"/>
          <w:lang w:val="en-US" w:eastAsia="zh-CN"/>
        </w:rPr>
      </w:pPr>
      <w:r>
        <w:rPr>
          <w:rFonts w:hint="default" w:eastAsia="宋体"/>
          <w:color w:val="auto"/>
          <w:spacing w:val="7"/>
          <w:highlight w:val="none"/>
          <w:lang w:val="en-US" w:eastAsia="zh-CN"/>
        </w:rPr>
        <w:t xml:space="preserve">根据投标单位针对本项目提供的实地路况勘测及调研方案进行综合评审方案</w:t>
      </w:r>
      <w:r>
        <w:rPr>
          <w:rFonts w:hint="eastAsia" w:eastAsia="宋体"/>
          <w:color w:val="auto"/>
          <w:spacing w:val="7"/>
          <w:highlight w:val="none"/>
          <w:lang w:val="en-US" w:eastAsia="zh-CN"/>
        </w:rPr>
        <w:t xml:space="preserve">，方案</w:t>
      </w:r>
      <w:r>
        <w:rPr>
          <w:rFonts w:hint="default" w:eastAsia="宋体"/>
          <w:color w:val="auto"/>
          <w:spacing w:val="7"/>
          <w:highlight w:val="none"/>
          <w:lang w:val="en-US" w:eastAsia="zh-CN"/>
        </w:rPr>
        <w:t xml:space="preserve">包括但不限于路段照片、道路名称、灯杆类型、车道数量、人行道宽度、绿化带宽度等。评分标准如下：方案完整包含以上内容且完全满足项目需求，得</w:t>
      </w:r>
      <w:r>
        <w:rPr>
          <w:rFonts w:hint="eastAsia" w:eastAsia="宋体"/>
          <w:color w:val="auto"/>
          <w:spacing w:val="7"/>
          <w:highlight w:val="none"/>
          <w:lang w:val="en-US" w:eastAsia="zh-CN"/>
        </w:rPr>
        <w:t xml:space="preserve">4</w:t>
      </w:r>
      <w:r>
        <w:rPr>
          <w:rFonts w:hint="default" w:eastAsia="宋体"/>
          <w:color w:val="auto"/>
          <w:spacing w:val="7"/>
          <w:highlight w:val="none"/>
          <w:lang w:val="en-US" w:eastAsia="zh-CN"/>
        </w:rPr>
        <w:t xml:space="preserve">分；方案存在部分内容缺失或部分内容无实质性意义，得</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分；方案内容简略且基本无实质性意义，得1分；未提供方案说明的，不得分。</w:t>
      </w:r>
      <w:r>
        <w:rPr>
          <w:rFonts w:hint="eastAsia" w:eastAsia="宋体"/>
          <w:color w:val="auto"/>
          <w:spacing w:val="7"/>
          <w:highlight w:val="none"/>
          <w:lang w:val="en-US" w:eastAsia="zh-CN"/>
        </w:rPr>
        <w:t xml:space="preserve">【0/1/3/4】</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2.2</w:t>
      </w:r>
      <w:r>
        <w:rPr>
          <w:rFonts w:hint="eastAsia" w:eastAsia="宋体"/>
          <w:color w:val="auto"/>
          <w:spacing w:val="7"/>
          <w:highlight w:val="none"/>
        </w:rPr>
        <w:t xml:space="preserve">节能改造方案</w:t>
      </w:r>
      <w:r>
        <w:rPr>
          <w:rFonts w:hint="eastAsia" w:eastAsia="宋体"/>
          <w:color w:val="auto"/>
          <w:spacing w:val="7"/>
          <w:highlight w:val="none"/>
          <w:lang w:val="en-US" w:eastAsia="zh-CN"/>
        </w:rPr>
        <w:t xml:space="preserve">5分</w:t>
      </w:r>
      <w:r/>
    </w:p>
    <w:p>
      <w:pPr>
        <w:pStyle w:val="1197"/>
        <w:ind w:firstLine="500"/>
        <w:spacing w:line="440" w:lineRule="exact"/>
        <w:rPr>
          <w:rFonts w:hint="eastAsia" w:eastAsia="宋体"/>
          <w:color w:val="auto"/>
          <w:spacing w:val="7"/>
          <w:highlight w:val="none"/>
          <w:lang w:val="en-US" w:eastAsia="zh-CN"/>
        </w:rPr>
      </w:pPr>
      <w:r>
        <w:rPr>
          <w:rFonts w:hint="default" w:eastAsia="宋体"/>
          <w:color w:val="auto"/>
          <w:spacing w:val="7"/>
          <w:highlight w:val="none"/>
          <w:lang w:val="en-US" w:eastAsia="zh-CN"/>
        </w:rPr>
        <w:t xml:space="preserve">根据投标单位针对</w:t>
      </w:r>
      <w:r>
        <w:rPr>
          <w:rFonts w:hint="eastAsia"/>
          <w:color w:val="auto"/>
          <w:sz w:val="24"/>
          <w:szCs w:val="24"/>
          <w:highlight w:val="none"/>
        </w:rPr>
        <w:t xml:space="preserve">张家港常阴沙现代农业示范园市政道路照明情况</w:t>
      </w:r>
      <w:r>
        <w:rPr>
          <w:rFonts w:hint="default" w:eastAsia="宋体"/>
          <w:color w:val="auto"/>
          <w:spacing w:val="7"/>
          <w:highlight w:val="none"/>
          <w:lang w:val="en-US" w:eastAsia="zh-CN"/>
        </w:rPr>
        <w:t xml:space="preserve">提供的节能改造方案进行综合评审，重点考察产品配置完整性、设计合理性、改造计划科学性及方案可行性。评分标准如下：方案完整性、合理性、可行性均较强，得</w:t>
      </w:r>
      <w:r>
        <w:rPr>
          <w:rFonts w:hint="eastAsia" w:eastAsia="宋体"/>
          <w:color w:val="auto"/>
          <w:spacing w:val="7"/>
          <w:highlight w:val="none"/>
          <w:lang w:val="en-US" w:eastAsia="zh-CN"/>
        </w:rPr>
        <w:t xml:space="preserve">5</w:t>
      </w:r>
      <w:r>
        <w:rPr>
          <w:rFonts w:hint="default" w:eastAsia="宋体"/>
          <w:color w:val="auto"/>
          <w:spacing w:val="7"/>
          <w:highlight w:val="none"/>
          <w:lang w:val="en-US" w:eastAsia="zh-CN"/>
        </w:rPr>
        <w:t xml:space="preserve">分；方案完整性、合理性、可行性一般，得</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分；方案完整性、合理性、可行性较差，得1分；未提供方案的，不得分。</w:t>
      </w:r>
      <w:r>
        <w:rPr>
          <w:rFonts w:hint="eastAsia" w:eastAsia="宋体"/>
          <w:color w:val="auto"/>
          <w:spacing w:val="7"/>
          <w:highlight w:val="none"/>
          <w:lang w:val="en-US" w:eastAsia="zh-CN"/>
        </w:rPr>
        <w:t xml:space="preserve">【0/1/3/5】</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2.3施工组织设计方案4分</w:t>
      </w:r>
      <w:r/>
    </w:p>
    <w:p>
      <w:pPr>
        <w:pStyle w:val="1197"/>
        <w:ind w:firstLine="500"/>
        <w:spacing w:line="440" w:lineRule="exact"/>
        <w:rPr>
          <w:rFonts w:hint="default" w:eastAsia="宋体"/>
          <w:color w:val="auto"/>
          <w:spacing w:val="7"/>
          <w:highlight w:val="none"/>
          <w:lang w:val="en-US" w:eastAsia="zh-CN"/>
        </w:rPr>
      </w:pPr>
      <w:r>
        <w:rPr>
          <w:rFonts w:hint="default" w:eastAsia="宋体"/>
          <w:color w:val="auto"/>
          <w:spacing w:val="7"/>
          <w:highlight w:val="none"/>
          <w:lang w:val="en-US" w:eastAsia="zh-CN"/>
        </w:rPr>
        <w:t xml:space="preserve">根据投标单位针对本项目提</w:t>
      </w:r>
      <w:r>
        <w:rPr>
          <w:rFonts w:hint="eastAsia" w:eastAsia="宋体"/>
          <w:color w:val="auto"/>
          <w:spacing w:val="7"/>
          <w:highlight w:val="none"/>
          <w:lang w:val="en-US" w:eastAsia="zh-CN"/>
        </w:rPr>
        <w:t xml:space="preserve">供</w:t>
      </w:r>
      <w:r>
        <w:rPr>
          <w:rFonts w:hint="default" w:eastAsia="宋体"/>
          <w:color w:val="auto"/>
          <w:spacing w:val="7"/>
          <w:highlight w:val="none"/>
          <w:lang w:val="en-US" w:eastAsia="zh-CN"/>
        </w:rPr>
        <w:t xml:space="preserve">的施工组织方案进行综合评审</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方案包括但不限于</w:t>
      </w:r>
      <w:r>
        <w:rPr>
          <w:rFonts w:hint="eastAsia"/>
          <w:color w:val="auto"/>
          <w:sz w:val="24"/>
          <w:szCs w:val="24"/>
          <w:highlight w:val="none"/>
        </w:rPr>
        <w:t xml:space="preserve">路灯改造施工进度计划、项目管理、项目组织结构、验收、质量管理、安全施工、文明施工等</w:t>
      </w:r>
      <w:r>
        <w:rPr>
          <w:rFonts w:hint="eastAsia" w:eastAsia="宋体"/>
          <w:color w:val="auto"/>
          <w:sz w:val="24"/>
          <w:szCs w:val="24"/>
          <w:highlight w:val="none"/>
          <w:lang w:val="en-US" w:eastAsia="zh-CN"/>
        </w:rPr>
        <w:t xml:space="preserve">内容</w:t>
      </w:r>
      <w:r>
        <w:rPr>
          <w:rFonts w:hint="default" w:eastAsia="宋体"/>
          <w:color w:val="auto"/>
          <w:spacing w:val="7"/>
          <w:highlight w:val="none"/>
          <w:lang w:val="en-US" w:eastAsia="zh-CN"/>
        </w:rPr>
        <w:t xml:space="preserve">。评分标准如下：方案完整包含以上内容且完全满足项目需求，得</w:t>
      </w:r>
      <w:r>
        <w:rPr>
          <w:rFonts w:hint="eastAsia" w:eastAsia="宋体"/>
          <w:color w:val="auto"/>
          <w:spacing w:val="7"/>
          <w:highlight w:val="none"/>
          <w:lang w:val="en-US" w:eastAsia="zh-CN"/>
        </w:rPr>
        <w:t xml:space="preserve">4</w:t>
      </w:r>
      <w:r>
        <w:rPr>
          <w:rFonts w:hint="default" w:eastAsia="宋体"/>
          <w:color w:val="auto"/>
          <w:spacing w:val="7"/>
          <w:highlight w:val="none"/>
          <w:lang w:val="en-US" w:eastAsia="zh-CN"/>
        </w:rPr>
        <w:t xml:space="preserve">分；方案存在部分内容缺失或部分内容无实质性意义，得</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分；方案内容简略且基本无实质性意义，得1分；未提供方案说明的，不得分。</w:t>
      </w:r>
      <w:r>
        <w:rPr>
          <w:rFonts w:hint="eastAsia" w:eastAsia="宋体"/>
          <w:color w:val="auto"/>
          <w:spacing w:val="7"/>
          <w:highlight w:val="none"/>
          <w:lang w:val="en-US" w:eastAsia="zh-CN"/>
        </w:rPr>
        <w:t xml:space="preserve">【0/1/3/4】</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2.4质量保证措施5分</w:t>
      </w:r>
      <w:r/>
    </w:p>
    <w:p>
      <w:pPr>
        <w:pStyle w:val="1197"/>
        <w:ind w:firstLine="500"/>
        <w:spacing w:line="440" w:lineRule="exact"/>
        <w:rPr>
          <w:rFonts w:hint="eastAsia" w:eastAsia="宋体"/>
          <w:strike/>
          <w:color w:val="auto"/>
          <w:sz w:val="24"/>
          <w:szCs w:val="24"/>
          <w:highlight w:val="none"/>
          <w:lang w:val="en-US" w:eastAsia="zh-CN"/>
        </w:rPr>
      </w:pPr>
      <w:r>
        <w:rPr>
          <w:rFonts w:hint="default" w:eastAsia="宋体"/>
          <w:color w:val="auto"/>
          <w:spacing w:val="7"/>
          <w:highlight w:val="none"/>
          <w:lang w:val="en-US" w:eastAsia="zh-CN"/>
        </w:rPr>
        <w:t xml:space="preserve">根据投标单位针对本项目提供的质量保证措施方案进行综合评审</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方案包括但不限于质量管理体系、质量控制流程、质控人员配备、材料进场质控标准等内容。评分标准如下：方案完整包含以上内容且完全满足项目需求，得</w:t>
      </w:r>
      <w:r>
        <w:rPr>
          <w:rFonts w:hint="eastAsia" w:eastAsia="宋体"/>
          <w:color w:val="auto"/>
          <w:spacing w:val="7"/>
          <w:highlight w:val="none"/>
          <w:lang w:val="en-US" w:eastAsia="zh-CN"/>
        </w:rPr>
        <w:t xml:space="preserve">5</w:t>
      </w:r>
      <w:r>
        <w:rPr>
          <w:rFonts w:hint="default" w:eastAsia="宋体"/>
          <w:color w:val="auto"/>
          <w:spacing w:val="7"/>
          <w:highlight w:val="none"/>
          <w:lang w:val="en-US" w:eastAsia="zh-CN"/>
        </w:rPr>
        <w:t xml:space="preserve">分；方案存在部分内容缺失或部分内容无实质性意义，得</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分；方案内容简略且基本无实质性意义，得1分；未提供方案说明的，不得分。</w:t>
      </w:r>
      <w:r>
        <w:rPr>
          <w:rFonts w:hint="eastAsia" w:eastAsia="宋体"/>
          <w:color w:val="auto"/>
          <w:spacing w:val="7"/>
          <w:highlight w:val="none"/>
          <w:lang w:val="en-US" w:eastAsia="zh-CN"/>
        </w:rPr>
        <w:t xml:space="preserve">【0/1/3/5】</w:t>
      </w:r>
      <w:r/>
    </w:p>
    <w:p>
      <w:pPr>
        <w:pStyle w:val="1197"/>
        <w:ind w:firstLine="500"/>
        <w:spacing w:line="440" w:lineRule="exact"/>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2.5</w:t>
      </w:r>
      <w:r>
        <w:rPr>
          <w:rFonts w:hint="eastAsia"/>
          <w:color w:val="auto"/>
          <w:sz w:val="24"/>
          <w:szCs w:val="24"/>
          <w:highlight w:val="none"/>
        </w:rPr>
        <w:t xml:space="preserve">日常维护方案</w:t>
      </w:r>
      <w:r>
        <w:rPr>
          <w:rFonts w:hint="eastAsia" w:eastAsia="宋体"/>
          <w:color w:val="auto"/>
          <w:spacing w:val="7"/>
          <w:highlight w:val="none"/>
          <w:lang w:val="en-US" w:eastAsia="zh-CN"/>
        </w:rPr>
        <w:t xml:space="preserve">5</w:t>
      </w:r>
      <w:r>
        <w:rPr>
          <w:rFonts w:hint="eastAsia" w:eastAsia="宋体"/>
          <w:color w:val="auto"/>
          <w:sz w:val="24"/>
          <w:szCs w:val="24"/>
          <w:highlight w:val="none"/>
          <w:lang w:val="en-US" w:eastAsia="zh-CN"/>
        </w:rPr>
        <w:t xml:space="preserve">分</w:t>
      </w:r>
      <w:r/>
    </w:p>
    <w:p>
      <w:pPr>
        <w:pStyle w:val="1197"/>
        <w:ind w:firstLine="500"/>
        <w:spacing w:line="440" w:lineRule="exact"/>
        <w:rPr>
          <w:rFonts w:hint="eastAsia"/>
          <w:color w:val="auto"/>
          <w:sz w:val="24"/>
          <w:szCs w:val="24"/>
          <w:highlight w:val="none"/>
          <w:lang w:val="en-US" w:eastAsia="zh-CN"/>
        </w:rPr>
      </w:pPr>
      <w:r>
        <w:rPr>
          <w:rFonts w:hint="default" w:eastAsia="宋体"/>
          <w:color w:val="auto"/>
          <w:spacing w:val="7"/>
          <w:highlight w:val="none"/>
          <w:lang w:val="en-US" w:eastAsia="zh-CN"/>
        </w:rPr>
        <w:t xml:space="preserve">根据投标单位针对本项目提供的</w:t>
      </w:r>
      <w:r>
        <w:rPr>
          <w:rFonts w:hint="eastAsia"/>
          <w:color w:val="auto"/>
          <w:sz w:val="24"/>
          <w:szCs w:val="24"/>
          <w:highlight w:val="none"/>
        </w:rPr>
        <w:t xml:space="preserve">日常维护方案</w:t>
      </w:r>
      <w:r>
        <w:rPr>
          <w:rFonts w:hint="default" w:eastAsia="宋体"/>
          <w:color w:val="auto"/>
          <w:spacing w:val="7"/>
          <w:highlight w:val="none"/>
          <w:lang w:val="en-US" w:eastAsia="zh-CN"/>
        </w:rPr>
        <w:t xml:space="preserve">进行评审</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方案</w:t>
      </w:r>
      <w:r>
        <w:rPr>
          <w:rFonts w:hint="eastAsia"/>
          <w:color w:val="auto"/>
          <w:sz w:val="24"/>
          <w:szCs w:val="24"/>
          <w:highlight w:val="none"/>
        </w:rPr>
        <w:t xml:space="preserve">包括但不限于运维人员配备、运维资料管理、日常巡查、日常维护、定期养护计划、培训方案、投诉响应时效等</w:t>
      </w:r>
      <w:r>
        <w:rPr>
          <w:rFonts w:hint="eastAsia" w:eastAsia="宋体"/>
          <w:color w:val="auto"/>
          <w:sz w:val="24"/>
          <w:szCs w:val="24"/>
          <w:highlight w:val="none"/>
          <w:lang w:val="en-US" w:eastAsia="zh-CN"/>
        </w:rPr>
        <w:t xml:space="preserve">内容</w:t>
      </w:r>
      <w:r>
        <w:rPr>
          <w:rFonts w:hint="default" w:eastAsia="宋体"/>
          <w:color w:val="auto"/>
          <w:spacing w:val="7"/>
          <w:highlight w:val="none"/>
          <w:lang w:val="en-US" w:eastAsia="zh-CN"/>
        </w:rPr>
        <w:t xml:space="preserve">。评分标准如下：方案完整包含以上内容且完全满足项目需求，得</w:t>
      </w:r>
      <w:r>
        <w:rPr>
          <w:rFonts w:hint="eastAsia" w:eastAsia="宋体"/>
          <w:color w:val="auto"/>
          <w:spacing w:val="7"/>
          <w:highlight w:val="none"/>
          <w:lang w:val="en-US" w:eastAsia="zh-CN"/>
        </w:rPr>
        <w:t xml:space="preserve">5</w:t>
      </w:r>
      <w:r>
        <w:rPr>
          <w:rFonts w:hint="default" w:eastAsia="宋体"/>
          <w:color w:val="auto"/>
          <w:spacing w:val="7"/>
          <w:highlight w:val="none"/>
          <w:lang w:val="en-US" w:eastAsia="zh-CN"/>
        </w:rPr>
        <w:t xml:space="preserve">分；方案存在部分内容缺失或部分内容无实质性意义，得</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分；方案内容简略且基本无实质性意义，得1分；未提供方案说明的，不得分。</w:t>
      </w:r>
      <w:r>
        <w:rPr>
          <w:rFonts w:hint="eastAsia" w:eastAsia="宋体"/>
          <w:color w:val="auto"/>
          <w:spacing w:val="7"/>
          <w:highlight w:val="none"/>
          <w:lang w:val="en-US" w:eastAsia="zh-CN"/>
        </w:rPr>
        <w:t xml:space="preserve">【0/1/3/5】</w:t>
      </w:r>
      <w:r/>
    </w:p>
    <w:p>
      <w:pPr>
        <w:pStyle w:val="1197"/>
        <w:ind w:firstLine="500"/>
        <w:spacing w:line="440" w:lineRule="exact"/>
        <w:rPr>
          <w:rFonts w:hint="eastAsia"/>
          <w:color w:val="auto"/>
          <w:sz w:val="24"/>
          <w:szCs w:val="24"/>
          <w:highlight w:val="none"/>
        </w:rPr>
      </w:pPr>
      <w:r>
        <w:rPr>
          <w:rFonts w:hint="eastAsia" w:eastAsia="宋体"/>
          <w:color w:val="auto"/>
          <w:spacing w:val="7"/>
          <w:highlight w:val="none"/>
          <w:lang w:val="en-US" w:eastAsia="zh-CN"/>
        </w:rPr>
        <w:t xml:space="preserve">2.6</w:t>
      </w:r>
      <w:r>
        <w:rPr>
          <w:rFonts w:hint="eastAsia"/>
          <w:color w:val="auto"/>
          <w:sz w:val="24"/>
          <w:szCs w:val="24"/>
          <w:highlight w:val="none"/>
        </w:rPr>
        <w:t xml:space="preserve">移交方案</w:t>
      </w:r>
      <w:r>
        <w:rPr>
          <w:rFonts w:hint="eastAsia" w:eastAsia="宋体"/>
          <w:color w:val="auto"/>
          <w:spacing w:val="7"/>
          <w:highlight w:val="none"/>
          <w:lang w:val="en-US" w:eastAsia="zh-CN"/>
        </w:rPr>
        <w:t xml:space="preserve">4</w:t>
      </w:r>
      <w:r>
        <w:rPr>
          <w:rFonts w:hint="eastAsia" w:eastAsia="宋体"/>
          <w:color w:val="auto"/>
          <w:sz w:val="24"/>
          <w:szCs w:val="24"/>
          <w:highlight w:val="none"/>
          <w:lang w:val="en-US" w:eastAsia="zh-CN"/>
        </w:rPr>
        <w:t xml:space="preserve">分</w:t>
      </w:r>
      <w:r/>
    </w:p>
    <w:p>
      <w:pPr>
        <w:pStyle w:val="1197"/>
        <w:ind w:firstLine="500"/>
        <w:spacing w:line="440" w:lineRule="exact"/>
        <w:rPr>
          <w:rFonts w:hint="default"/>
          <w:color w:val="auto"/>
          <w:sz w:val="24"/>
          <w:szCs w:val="24"/>
          <w:highlight w:val="none"/>
          <w:lang w:val="en-US" w:eastAsia="zh-CN"/>
        </w:rPr>
      </w:pPr>
      <w:r>
        <w:rPr>
          <w:rFonts w:hint="default" w:eastAsia="宋体"/>
          <w:color w:val="auto"/>
          <w:spacing w:val="7"/>
          <w:highlight w:val="none"/>
          <w:lang w:val="en-US" w:eastAsia="zh-CN"/>
        </w:rPr>
        <w:t xml:space="preserve">根据投标单位针对本项目提供的</w:t>
      </w:r>
      <w:r>
        <w:rPr>
          <w:rFonts w:hint="eastAsia"/>
          <w:color w:val="auto"/>
          <w:sz w:val="24"/>
          <w:szCs w:val="24"/>
          <w:highlight w:val="none"/>
        </w:rPr>
        <w:t xml:space="preserve">移交方案</w:t>
      </w:r>
      <w:r>
        <w:rPr>
          <w:rFonts w:hint="default" w:eastAsia="宋体"/>
          <w:color w:val="auto"/>
          <w:spacing w:val="7"/>
          <w:highlight w:val="none"/>
          <w:lang w:val="en-US" w:eastAsia="zh-CN"/>
        </w:rPr>
        <w:t xml:space="preserve">进行评审</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方案</w:t>
      </w:r>
      <w:r>
        <w:rPr>
          <w:rFonts w:hint="eastAsia"/>
          <w:color w:val="auto"/>
          <w:sz w:val="24"/>
          <w:szCs w:val="24"/>
          <w:highlight w:val="none"/>
        </w:rPr>
        <w:t xml:space="preserve">包括但不限于项目移交计划、移交措施等</w:t>
      </w:r>
      <w:r>
        <w:rPr>
          <w:rFonts w:hint="eastAsia" w:eastAsia="宋体"/>
          <w:color w:val="auto"/>
          <w:sz w:val="24"/>
          <w:szCs w:val="24"/>
          <w:highlight w:val="none"/>
          <w:lang w:val="en-US" w:eastAsia="zh-CN"/>
        </w:rPr>
        <w:t xml:space="preserve">内容</w:t>
      </w:r>
      <w:r>
        <w:rPr>
          <w:rFonts w:hint="default" w:eastAsia="宋体"/>
          <w:color w:val="auto"/>
          <w:spacing w:val="7"/>
          <w:highlight w:val="none"/>
          <w:lang w:val="en-US" w:eastAsia="zh-CN"/>
        </w:rPr>
        <w:t xml:space="preserve">。评分标准如下：方案完整包含以上内容且完全满足项目需求，得</w:t>
      </w:r>
      <w:r>
        <w:rPr>
          <w:rFonts w:hint="eastAsia" w:eastAsia="宋体"/>
          <w:color w:val="auto"/>
          <w:spacing w:val="7"/>
          <w:highlight w:val="none"/>
          <w:lang w:val="en-US" w:eastAsia="zh-CN"/>
        </w:rPr>
        <w:t xml:space="preserve">4</w:t>
      </w:r>
      <w:r>
        <w:rPr>
          <w:rFonts w:hint="default" w:eastAsia="宋体"/>
          <w:color w:val="auto"/>
          <w:spacing w:val="7"/>
          <w:highlight w:val="none"/>
          <w:lang w:val="en-US" w:eastAsia="zh-CN"/>
        </w:rPr>
        <w:t xml:space="preserve">分；方案存在部分内容缺失或部分内容无实质性意义，得3分；方案内容简略且基本无实质性意义，得1分；未提供方案说明的，不得分。</w:t>
      </w:r>
      <w:r>
        <w:rPr>
          <w:rFonts w:hint="eastAsia" w:eastAsia="宋体"/>
          <w:color w:val="auto"/>
          <w:spacing w:val="7"/>
          <w:highlight w:val="none"/>
          <w:lang w:val="en-US" w:eastAsia="zh-CN"/>
        </w:rPr>
        <w:t xml:space="preserve">【0/1/3/4】</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2.7应急预案4分</w:t>
      </w:r>
      <w:r/>
    </w:p>
    <w:p>
      <w:pPr>
        <w:pStyle w:val="1197"/>
        <w:ind w:firstLine="500"/>
        <w:spacing w:line="440" w:lineRule="exact"/>
        <w:rPr>
          <w:rFonts w:hint="default" w:eastAsia="宋体"/>
          <w:color w:val="auto"/>
          <w:spacing w:val="7"/>
          <w:highlight w:val="none"/>
          <w:lang w:val="en-US" w:eastAsia="zh-CN"/>
        </w:rPr>
      </w:pPr>
      <w:r>
        <w:rPr>
          <w:rFonts w:hint="default" w:eastAsia="宋体"/>
          <w:color w:val="auto"/>
          <w:spacing w:val="7"/>
          <w:highlight w:val="none"/>
          <w:lang w:val="en-US" w:eastAsia="zh-CN"/>
        </w:rPr>
        <w:t xml:space="preserve">根据投标单位针对本项目提供的应急抢险方案进行综合评审</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方案包括但不限于：①应急组织机构与职责；②各项应急措施（含恶劣天气、自然灾害、疫情影响的应对措施，设备故障应急措施，停电导致设备无法正常工作的应急措施，人员人身安全应急措施等）；③应急保障（含人力、物资、通信等保障）。评分标准如下：方案完整包含以上内容且完全满足项目需求，得</w:t>
      </w:r>
      <w:r>
        <w:rPr>
          <w:rFonts w:hint="eastAsia" w:eastAsia="宋体"/>
          <w:color w:val="auto"/>
          <w:spacing w:val="7"/>
          <w:highlight w:val="none"/>
          <w:lang w:val="en-US" w:eastAsia="zh-CN"/>
        </w:rPr>
        <w:t xml:space="preserve">4</w:t>
      </w:r>
      <w:r>
        <w:rPr>
          <w:rFonts w:hint="default" w:eastAsia="宋体"/>
          <w:color w:val="auto"/>
          <w:spacing w:val="7"/>
          <w:highlight w:val="none"/>
          <w:lang w:val="en-US" w:eastAsia="zh-CN"/>
        </w:rPr>
        <w:t xml:space="preserve">分；方案存在部分内容缺失或部分内容无实质性意义，得3分；方案内容简略且基本无实质性意义，得1分；未提供方案说明的，不得分。</w:t>
      </w:r>
      <w:r>
        <w:rPr>
          <w:rFonts w:hint="eastAsia" w:eastAsia="宋体"/>
          <w:color w:val="auto"/>
          <w:spacing w:val="7"/>
          <w:highlight w:val="none"/>
          <w:lang w:val="en-US" w:eastAsia="zh-CN"/>
        </w:rPr>
        <w:t xml:space="preserve">【0/1/3/4】</w:t>
      </w:r>
      <w:r/>
    </w:p>
    <w:p>
      <w:pPr>
        <w:pStyle w:val="1197"/>
        <w:ind w:firstLine="500"/>
        <w:spacing w:line="440" w:lineRule="exact"/>
        <w:rPr>
          <w:rFonts w:hint="eastAsia"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（三）人员配置分 10分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3.1项目经理(1人)</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投标人拟投入本项目的项目经理：具备</w:t>
      </w:r>
      <w:r>
        <w:rPr>
          <w:rFonts w:hint="default" w:eastAsia="宋体"/>
          <w:color w:val="auto"/>
          <w:spacing w:val="7"/>
          <w:highlight w:val="none"/>
          <w:lang w:val="en-US" w:eastAsia="zh-CN"/>
        </w:rPr>
        <w:t xml:space="preserve">高级工程师</w:t>
      </w:r>
      <w:r>
        <w:rPr>
          <w:rFonts w:hint="eastAsia" w:eastAsia="宋体"/>
          <w:color w:val="auto"/>
          <w:spacing w:val="7"/>
          <w:highlight w:val="none"/>
          <w:lang w:val="en-US" w:eastAsia="zh-CN"/>
        </w:rPr>
        <w:t xml:space="preserve">及以上</w:t>
      </w:r>
      <w:r>
        <w:rPr>
          <w:rFonts w:hint="default" w:eastAsia="宋体"/>
          <w:color w:val="auto"/>
          <w:spacing w:val="7"/>
          <w:highlight w:val="none"/>
          <w:lang w:val="en-US" w:eastAsia="zh-CN"/>
        </w:rPr>
        <w:t xml:space="preserve">职称证书</w:t>
      </w:r>
      <w:r>
        <w:rPr>
          <w:rFonts w:hint="eastAsia" w:eastAsia="宋体"/>
          <w:color w:val="auto"/>
          <w:spacing w:val="7"/>
          <w:highlight w:val="none"/>
          <w:lang w:val="en-US" w:eastAsia="zh-CN"/>
        </w:rPr>
        <w:t xml:space="preserve">、信息技术应用创新考试评价证书高级及以上、</w:t>
      </w:r>
      <w:r>
        <w:rPr>
          <w:rFonts w:hint="default" w:eastAsia="宋体"/>
          <w:color w:val="auto"/>
          <w:spacing w:val="7"/>
          <w:highlight w:val="none"/>
          <w:lang w:val="en-US" w:eastAsia="zh-CN"/>
        </w:rPr>
        <w:t xml:space="preserve">IT服务工程师（ITSS）证书</w:t>
      </w:r>
      <w:r>
        <w:rPr>
          <w:rFonts w:hint="eastAsia" w:eastAsia="宋体"/>
          <w:color w:val="auto"/>
          <w:spacing w:val="7"/>
          <w:highlight w:val="none"/>
          <w:lang w:val="en-US" w:eastAsia="zh-CN"/>
        </w:rPr>
        <w:t xml:space="preserve">的</w:t>
      </w:r>
      <w:r>
        <w:rPr>
          <w:rFonts w:hint="default" w:eastAsia="宋体"/>
          <w:color w:val="auto"/>
          <w:spacing w:val="7"/>
          <w:highlight w:val="none"/>
          <w:lang w:val="en-US" w:eastAsia="zh-CN"/>
        </w:rPr>
        <w:t xml:space="preserve">，每具备一项得1分，满分</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w:t>
      </w:r>
      <w:r>
        <w:rPr>
          <w:rFonts w:hint="eastAsia" w:eastAsia="宋体"/>
          <w:color w:val="auto"/>
          <w:spacing w:val="7"/>
          <w:highlight w:val="none"/>
          <w:lang w:val="en-US" w:eastAsia="zh-CN"/>
        </w:rPr>
        <w:t xml:space="preserve">。</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3.2技术负责人(1人)</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投标人拟投入本项目的技术负责人：</w:t>
      </w:r>
      <w:r>
        <w:rPr>
          <w:rFonts w:hint="default" w:eastAsia="宋体"/>
          <w:color w:val="auto"/>
          <w:spacing w:val="7"/>
          <w:highlight w:val="none"/>
          <w:lang w:val="en-US" w:eastAsia="zh-CN"/>
        </w:rPr>
        <w:t xml:space="preserve">具备高级工程师</w:t>
      </w:r>
      <w:r>
        <w:rPr>
          <w:rFonts w:hint="eastAsia" w:eastAsia="宋体"/>
          <w:color w:val="auto"/>
          <w:spacing w:val="7"/>
          <w:highlight w:val="none"/>
          <w:lang w:val="en-US" w:eastAsia="zh-CN"/>
        </w:rPr>
        <w:t xml:space="preserve">及以上</w:t>
      </w:r>
      <w:r>
        <w:rPr>
          <w:rFonts w:hint="default" w:eastAsia="宋体"/>
          <w:color w:val="auto"/>
          <w:spacing w:val="7"/>
          <w:highlight w:val="none"/>
          <w:lang w:val="en-US" w:eastAsia="zh-CN"/>
        </w:rPr>
        <w:t xml:space="preserve">职称证书、网络工程师证书</w:t>
      </w:r>
      <w:r>
        <w:rPr>
          <w:rFonts w:hint="eastAsia" w:eastAsia="宋体"/>
          <w:color w:val="auto"/>
          <w:spacing w:val="7"/>
          <w:highlight w:val="none"/>
          <w:lang w:val="en-US" w:eastAsia="zh-CN"/>
        </w:rPr>
        <w:t xml:space="preserve">、</w:t>
      </w:r>
      <w:r>
        <w:rPr>
          <w:rFonts w:hint="default" w:eastAsia="宋体"/>
          <w:color w:val="auto"/>
          <w:spacing w:val="7"/>
          <w:highlight w:val="none"/>
          <w:lang w:val="en-US" w:eastAsia="zh-CN"/>
        </w:rPr>
        <w:t xml:space="preserve">IT服务工程师（ITSS）证书的，</w:t>
      </w:r>
      <w:r>
        <w:rPr>
          <w:rFonts w:hint="eastAsia" w:eastAsia="宋体"/>
          <w:color w:val="auto"/>
          <w:spacing w:val="7"/>
          <w:highlight w:val="none"/>
          <w:lang w:val="en-US" w:eastAsia="zh-CN"/>
        </w:rPr>
        <w:t xml:space="preserve">有1项</w:t>
      </w:r>
      <w:r>
        <w:rPr>
          <w:rFonts w:hint="default" w:eastAsia="宋体"/>
          <w:color w:val="auto"/>
          <w:spacing w:val="7"/>
          <w:highlight w:val="none"/>
          <w:lang w:val="en-US" w:eastAsia="zh-CN"/>
        </w:rPr>
        <w:t xml:space="preserve">得1分；</w:t>
      </w:r>
      <w:r>
        <w:rPr>
          <w:rFonts w:hint="eastAsia" w:eastAsia="宋体"/>
          <w:color w:val="auto"/>
          <w:spacing w:val="7"/>
          <w:highlight w:val="none"/>
          <w:lang w:val="en-US" w:eastAsia="zh-CN"/>
        </w:rPr>
        <w:t xml:space="preserve">满分3分</w:t>
      </w:r>
      <w:r>
        <w:rPr>
          <w:rFonts w:hint="default" w:eastAsia="宋体"/>
          <w:color w:val="auto"/>
          <w:spacing w:val="7"/>
          <w:highlight w:val="none"/>
          <w:lang w:val="en-US" w:eastAsia="zh-CN"/>
        </w:rPr>
        <w:t xml:space="preserve">。</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3.3安全员(1人)</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投标人拟投入本项目的安全员，</w:t>
      </w:r>
      <w:r>
        <w:rPr>
          <w:rFonts w:hint="default" w:eastAsia="宋体"/>
          <w:color w:val="auto"/>
          <w:spacing w:val="7"/>
          <w:highlight w:val="none"/>
          <w:lang w:val="en-US" w:eastAsia="zh-CN"/>
        </w:rPr>
        <w:t xml:space="preserve">具备中级工程师</w:t>
      </w:r>
      <w:r>
        <w:rPr>
          <w:rFonts w:hint="eastAsia" w:eastAsia="宋体"/>
          <w:color w:val="auto"/>
          <w:spacing w:val="7"/>
          <w:highlight w:val="none"/>
          <w:lang w:val="en-US" w:eastAsia="zh-CN"/>
        </w:rPr>
        <w:t xml:space="preserve">及以上</w:t>
      </w:r>
      <w:r>
        <w:rPr>
          <w:rFonts w:hint="default" w:eastAsia="宋体"/>
          <w:color w:val="auto"/>
          <w:spacing w:val="7"/>
          <w:highlight w:val="none"/>
          <w:lang w:val="en-US" w:eastAsia="zh-CN"/>
        </w:rPr>
        <w:t xml:space="preserve">职称证书</w:t>
      </w:r>
      <w:r>
        <w:rPr>
          <w:rFonts w:hint="eastAsia" w:eastAsia="宋体"/>
          <w:color w:val="auto"/>
          <w:spacing w:val="7"/>
          <w:highlight w:val="none"/>
          <w:lang w:val="en-US" w:eastAsia="zh-CN"/>
        </w:rPr>
        <w:t xml:space="preserve">、信息安全保障人员认证证书</w:t>
      </w:r>
      <w:r>
        <w:rPr>
          <w:rFonts w:hint="default" w:eastAsia="宋体"/>
          <w:color w:val="auto"/>
          <w:spacing w:val="7"/>
          <w:highlight w:val="none"/>
          <w:lang w:val="en-US" w:eastAsia="zh-CN"/>
        </w:rPr>
        <w:t xml:space="preserve">的</w:t>
      </w:r>
      <w:r>
        <w:rPr>
          <w:rFonts w:hint="eastAsia" w:eastAsia="宋体"/>
          <w:color w:val="auto"/>
          <w:spacing w:val="7"/>
          <w:highlight w:val="none"/>
          <w:lang w:val="en-US" w:eastAsia="zh-CN"/>
        </w:rPr>
        <w:t xml:space="preserve">，有1项</w:t>
      </w:r>
      <w:r>
        <w:rPr>
          <w:rFonts w:hint="default" w:eastAsia="宋体"/>
          <w:color w:val="auto"/>
          <w:spacing w:val="7"/>
          <w:highlight w:val="none"/>
          <w:lang w:val="en-US" w:eastAsia="zh-CN"/>
        </w:rPr>
        <w:t xml:space="preserve">得1分</w:t>
      </w:r>
      <w:r>
        <w:rPr>
          <w:rFonts w:hint="eastAsia" w:eastAsia="宋体"/>
          <w:color w:val="auto"/>
          <w:spacing w:val="7"/>
          <w:highlight w:val="none"/>
          <w:lang w:val="en-US" w:eastAsia="zh-CN"/>
        </w:rPr>
        <w:t xml:space="preserve">，最高得2分。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3.4高空作业车操作员(2人)</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投标人拟投入本项目的高空作业车操作员，</w:t>
      </w:r>
      <w:r>
        <w:rPr>
          <w:rFonts w:hint="default" w:eastAsia="宋体"/>
          <w:color w:val="auto"/>
          <w:spacing w:val="7"/>
          <w:highlight w:val="none"/>
          <w:lang w:val="en-US" w:eastAsia="zh-CN"/>
        </w:rPr>
        <w:t xml:space="preserve">每人具备有效期内的建设机械施工上机操作证（机种为高空作业车）的，1人得1分，满分2分</w:t>
      </w:r>
      <w:r>
        <w:rPr>
          <w:rFonts w:hint="eastAsia" w:eastAsia="宋体"/>
          <w:color w:val="auto"/>
          <w:spacing w:val="7"/>
          <w:highlight w:val="none"/>
          <w:lang w:val="en-US" w:eastAsia="zh-CN"/>
        </w:rPr>
        <w:t xml:space="preserve">。</w:t>
      </w:r>
      <w:r/>
    </w:p>
    <w:p>
      <w:pPr>
        <w:pStyle w:val="1197"/>
        <w:ind w:firstLine="500"/>
        <w:spacing w:line="440" w:lineRule="exact"/>
        <w:rPr>
          <w:rFonts w:hint="eastAsia" w:eastAsia="宋体"/>
          <w:b/>
          <w:bCs/>
          <w:color w:val="auto"/>
          <w:spacing w:val="7"/>
          <w:highlight w:val="none"/>
          <w:lang w:val="en-US" w:eastAsia="zh-CN"/>
        </w:rPr>
      </w:pPr>
      <w:r>
        <w:rPr>
          <w:rFonts w:hint="default" w:eastAsia="宋体"/>
          <w:b/>
          <w:bCs/>
          <w:color w:val="auto"/>
          <w:spacing w:val="7"/>
          <w:highlight w:val="none"/>
          <w:lang w:val="en-US" w:eastAsia="zh-CN"/>
        </w:rPr>
        <w:t xml:space="preserve">注：</w:t>
      </w:r>
      <w:r>
        <w:rPr>
          <w:rFonts w:hint="eastAsia" w:eastAsia="宋体"/>
          <w:b/>
          <w:bCs/>
          <w:color w:val="auto"/>
          <w:spacing w:val="7"/>
          <w:highlight w:val="none"/>
          <w:lang w:val="en-US" w:eastAsia="zh-CN"/>
        </w:rPr>
        <w:t xml:space="preserve">同一人仅认同一次。</w:t>
      </w:r>
      <w:r>
        <w:rPr>
          <w:rFonts w:hint="default" w:eastAsia="宋体"/>
          <w:b/>
          <w:bCs/>
          <w:color w:val="auto"/>
          <w:spacing w:val="7"/>
          <w:highlight w:val="none"/>
          <w:lang w:val="en-US" w:eastAsia="zh-CN"/>
        </w:rPr>
        <w:t xml:space="preserve">以上所有人员需提供相关证书扫描件及投标单位为其缴纳的</w:t>
      </w:r>
      <w:r>
        <w:rPr>
          <w:rFonts w:hint="eastAsia" w:eastAsia="宋体"/>
          <w:b/>
          <w:bCs/>
          <w:color w:val="auto"/>
          <w:spacing w:val="7"/>
          <w:highlight w:val="none"/>
          <w:lang w:val="en-US" w:eastAsia="zh-CN"/>
        </w:rPr>
        <w:t xml:space="preserve">最近一期</w:t>
      </w:r>
      <w:r>
        <w:rPr>
          <w:rFonts w:hint="default" w:eastAsia="宋体"/>
          <w:b/>
          <w:bCs/>
          <w:color w:val="auto"/>
          <w:spacing w:val="7"/>
          <w:highlight w:val="none"/>
          <w:lang w:val="en-US" w:eastAsia="zh-CN"/>
        </w:rPr>
        <w:t xml:space="preserve">社保证明，未按要求提供的，对应人员不得分</w:t>
      </w:r>
      <w:r>
        <w:rPr>
          <w:rFonts w:hint="eastAsia" w:eastAsia="宋体"/>
          <w:b/>
          <w:bCs/>
          <w:color w:val="auto"/>
          <w:spacing w:val="7"/>
          <w:highlight w:val="none"/>
          <w:lang w:val="en-US" w:eastAsia="zh-CN"/>
        </w:rPr>
        <w:t xml:space="preserve">。</w:t>
      </w:r>
      <w:r/>
    </w:p>
    <w:p>
      <w:pPr>
        <w:pStyle w:val="1197"/>
        <w:ind w:firstLine="500"/>
        <w:spacing w:line="440" w:lineRule="exact"/>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（四）履约能力 5分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4.1类似业绩 2分</w:t>
      </w:r>
      <w:r/>
    </w:p>
    <w:p>
      <w:pPr>
        <w:pStyle w:val="1197"/>
        <w:ind w:firstLine="500"/>
        <w:spacing w:line="440" w:lineRule="exact"/>
        <w:rPr>
          <w:rFonts w:hint="default" w:eastAsia="宋体"/>
          <w:color w:val="auto"/>
          <w:spacing w:val="7"/>
          <w:highlight w:val="none"/>
          <w:lang w:val="en-US" w:eastAsia="zh-CN"/>
        </w:rPr>
      </w:pPr>
      <w:r>
        <w:rPr>
          <w:rFonts w:hint="eastAsia" w:eastAsia="宋体"/>
          <w:color w:val="auto"/>
          <w:spacing w:val="7"/>
          <w:highlight w:val="none"/>
          <w:lang w:val="en-US" w:eastAsia="zh-CN"/>
        </w:rPr>
        <w:t xml:space="preserve">投标单位自2023年1月1日起至今(以合同签订日期为准)，</w:t>
      </w:r>
      <w:r>
        <w:rPr>
          <w:rFonts w:hint="default" w:eastAsia="宋体"/>
          <w:color w:val="auto"/>
          <w:spacing w:val="7"/>
          <w:highlight w:val="none"/>
          <w:lang w:val="en-US" w:eastAsia="zh-CN"/>
        </w:rPr>
        <w:t xml:space="preserve">每完成1个类似项目业绩得1分，满分2分。</w:t>
      </w:r>
      <w:r/>
    </w:p>
    <w:p>
      <w:pPr>
        <w:pStyle w:val="1197"/>
        <w:ind w:firstLine="500"/>
        <w:spacing w:line="440" w:lineRule="exact"/>
        <w:rPr>
          <w:rFonts w:hint="eastAsia" w:eastAsia="宋体"/>
          <w:b/>
          <w:bCs/>
          <w:color w:val="auto"/>
          <w:spacing w:val="7"/>
          <w:highlight w:val="none"/>
          <w:lang w:val="en-US" w:eastAsia="zh-CN"/>
        </w:rPr>
      </w:pPr>
      <w:r>
        <w:rPr>
          <w:rFonts w:hint="default" w:eastAsia="宋体"/>
          <w:b/>
          <w:bCs/>
          <w:color w:val="auto"/>
          <w:spacing w:val="7"/>
          <w:highlight w:val="none"/>
          <w:lang w:val="en-US" w:eastAsia="zh-CN"/>
        </w:rPr>
        <w:t xml:space="preserve">注：投标文件中需提供合同复印件并加盖投标单位公章，未提供或提供不完整的，对应业绩不得分</w:t>
      </w:r>
      <w:r>
        <w:rPr>
          <w:rFonts w:hint="eastAsia" w:eastAsia="宋体"/>
          <w:b/>
          <w:bCs/>
          <w:color w:val="auto"/>
          <w:spacing w:val="7"/>
          <w:highlight w:val="none"/>
          <w:lang w:val="en-US" w:eastAsia="zh-CN"/>
        </w:rPr>
        <w:t xml:space="preserve">。</w:t>
      </w:r>
      <w:r/>
    </w:p>
    <w:p>
      <w:pPr>
        <w:pStyle w:val="1197"/>
        <w:ind w:firstLine="500"/>
        <w:spacing w:line="440" w:lineRule="exact"/>
        <w:rPr>
          <w:rFonts w:hint="default" w:eastAsia="宋体"/>
          <w:color w:val="auto"/>
          <w:spacing w:val="7"/>
          <w:highlight w:val="none"/>
          <w:lang w:val="en-US" w:eastAsia="zh-CN"/>
        </w:rPr>
      </w:pPr>
      <w:r>
        <w:rPr>
          <w:rFonts w:hint="eastAsia" w:eastAsia="宋体"/>
          <w:color w:val="auto"/>
          <w:spacing w:val="7"/>
          <w:highlight w:val="none"/>
          <w:lang w:val="en-US" w:eastAsia="zh-CN"/>
        </w:rPr>
        <w:t xml:space="preserve">4.2相关证书 3分</w:t>
      </w:r>
      <w:r/>
    </w:p>
    <w:p>
      <w:pPr>
        <w:pStyle w:val="1197"/>
        <w:ind w:firstLine="500"/>
        <w:spacing w:line="440" w:lineRule="exact"/>
        <w:rPr>
          <w:rFonts w:hint="default" w:eastAsia="宋体"/>
          <w:color w:val="auto"/>
          <w:spacing w:val="7"/>
          <w:highlight w:val="none"/>
          <w:lang w:val="en-US" w:eastAsia="zh-CN"/>
        </w:rPr>
      </w:pPr>
      <w:r>
        <w:rPr>
          <w:rFonts w:hint="default" w:eastAsia="宋体"/>
          <w:color w:val="auto"/>
          <w:spacing w:val="7"/>
          <w:highlight w:val="none"/>
          <w:lang w:val="en-US" w:eastAsia="zh-CN"/>
        </w:rPr>
        <w:t xml:space="preserve">投标人具备以下体系认证证书的，每具备1项得1分，满分</w:t>
      </w:r>
      <w:r>
        <w:rPr>
          <w:rFonts w:hint="eastAsia" w:eastAsia="宋体"/>
          <w:color w:val="auto"/>
          <w:spacing w:val="7"/>
          <w:highlight w:val="none"/>
          <w:lang w:val="en-US" w:eastAsia="zh-CN"/>
        </w:rPr>
        <w:t xml:space="preserve">3</w:t>
      </w:r>
      <w:r>
        <w:rPr>
          <w:rFonts w:hint="default" w:eastAsia="宋体"/>
          <w:color w:val="auto"/>
          <w:spacing w:val="7"/>
          <w:highlight w:val="none"/>
          <w:lang w:val="en-US" w:eastAsia="zh-CN"/>
        </w:rPr>
        <w:t xml:space="preserve">分：①ISO900</w:t>
      </w:r>
      <w:r>
        <w:rPr>
          <w:rFonts w:hint="eastAsia" w:eastAsia="宋体"/>
          <w:color w:val="auto"/>
          <w:spacing w:val="7"/>
          <w:highlight w:val="none"/>
          <w:lang w:val="en-US" w:eastAsia="zh-CN"/>
        </w:rPr>
        <w:t xml:space="preserve">1</w:t>
      </w:r>
      <w:r>
        <w:rPr>
          <w:rFonts w:hint="default" w:eastAsia="宋体"/>
          <w:color w:val="auto"/>
          <w:spacing w:val="7"/>
          <w:highlight w:val="none"/>
          <w:lang w:val="en-US" w:eastAsia="zh-CN"/>
        </w:rPr>
        <w:t xml:space="preserve">质量管理体系认证证书；②ISO14001环境管理体系认证证书；③ISO27001信息安全管理体系认证证书。</w:t>
      </w:r>
      <w:r/>
    </w:p>
    <w:p>
      <w:pPr>
        <w:pStyle w:val="1197"/>
        <w:ind w:firstLine="500"/>
        <w:spacing w:line="440" w:lineRule="exact"/>
        <w:rPr>
          <w:rFonts w:hint="default" w:eastAsia="宋体"/>
          <w:b/>
          <w:bCs/>
          <w:color w:val="auto"/>
          <w:spacing w:val="7"/>
          <w:highlight w:val="none"/>
          <w:lang w:val="en-US" w:eastAsia="zh-CN"/>
        </w:rPr>
      </w:pPr>
      <w:r>
        <w:rPr>
          <w:rFonts w:hint="default" w:eastAsia="宋体"/>
          <w:b/>
          <w:bCs/>
          <w:color w:val="auto"/>
          <w:spacing w:val="7"/>
          <w:highlight w:val="none"/>
          <w:lang w:val="en-US" w:eastAsia="zh-CN"/>
        </w:rPr>
        <w:t xml:space="preserve">注：请在投标文件中提供相关证书证明材料，未提供的，对应证书不得分。</w:t>
      </w:r>
      <w:r/>
    </w:p>
    <w:p>
      <w:pPr>
        <w:pStyle w:val="1197"/>
        <w:ind w:firstLine="500"/>
        <w:spacing w:line="440" w:lineRule="exact"/>
        <w:rPr>
          <w:rFonts w:hint="eastAsia"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（五）检测报告39分</w:t>
      </w:r>
      <w:r/>
    </w:p>
    <w:p>
      <w:pPr>
        <w:pStyle w:val="1197"/>
        <w:ind w:firstLine="500"/>
        <w:spacing w:line="440" w:lineRule="exact"/>
        <w:rPr>
          <w:rFonts w:hint="eastAsia" w:ascii="Times New Roman" w:hAnsi="Times New Roman" w:eastAsia="宋体" w:cs="Times New Roman"/>
          <w:b/>
          <w:bCs/>
          <w:color w:val="auto"/>
          <w:spacing w:val="7"/>
          <w:sz w:val="24"/>
          <w:szCs w:val="24"/>
          <w:highlight w:val="none"/>
          <w:lang w:val="en-US" w:eastAsia="zh-CN" w:bidi="ar-SA"/>
        </w:rPr>
      </w:pPr>
      <w:r>
        <w:rPr>
          <w:rFonts w:hint="eastAsia" w:ascii="Times New Roman" w:hAnsi="Times New Roman" w:eastAsia="宋体" w:cs="Times New Roman"/>
          <w:b/>
          <w:bCs/>
          <w:color w:val="auto"/>
          <w:spacing w:val="7"/>
          <w:sz w:val="24"/>
          <w:szCs w:val="24"/>
          <w:highlight w:val="none"/>
          <w:lang w:val="en-US" w:eastAsia="zh-CN" w:bidi="ar-SA"/>
        </w:rPr>
        <w:t xml:space="preserve">5.1 LED道路灯具总光通量维持率检测10分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LED灯具制造商生产的路灯产品，检测依据《IESLM-79-19固态照明产品光学和电气检测方法》、《GB/T9468-2008灯具分布光度测量的一般要求》，通过实验室实测光通量维持率须满足如下：</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1、灯具实验室实测30000h，且灯具总光通量维持率≥98%，得10分；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2、灯具实验室实测25000h，且灯具总光通量维持率≥98%，得6分；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3、灯具实验室实测20000h，且灯具总光通量维持率≥98%，得3分。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4、灯具实验室实测10000h，且灯具总光通量维持率≥98%，得2分。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5、灯具实验室实测6000h，且灯具总光通量维持率≥98%，得1分</w:t>
      </w:r>
      <w:r/>
    </w:p>
    <w:p>
      <w:pPr>
        <w:pStyle w:val="1197"/>
        <w:ind w:firstLine="500"/>
        <w:spacing w:line="440" w:lineRule="exact"/>
        <w:rPr>
          <w:rFonts w:hint="eastAsia" w:eastAsia="宋体"/>
          <w:b/>
          <w:bCs/>
          <w:color w:val="auto"/>
          <w:spacing w:val="7"/>
          <w:highlight w:val="none"/>
          <w:lang w:val="en-US" w:eastAsia="zh-CN"/>
        </w:rPr>
      </w:pPr>
      <w:r>
        <w:rPr>
          <w:rFonts w:hint="eastAsia" w:eastAsia="宋体"/>
          <w:b/>
          <w:bCs/>
          <w:color w:val="auto"/>
          <w:spacing w:val="7"/>
          <w:highlight w:val="none"/>
          <w:lang w:val="en-US" w:eastAsia="zh-CN"/>
        </w:rPr>
        <w:t xml:space="preserve">注：本项不重复计分，取最高得分计算。投标人提供国家认可的电光源质量检验检测中心出具的含有CMA及CNAS认证标识的检测报告，允许同系列、不同功率产品，</w:t>
      </w:r>
      <w:r>
        <w:rPr>
          <w:rFonts w:hint="default" w:eastAsia="宋体"/>
          <w:b/>
          <w:bCs/>
          <w:color w:val="auto"/>
          <w:spacing w:val="7"/>
          <w:highlight w:val="none"/>
          <w:lang w:val="en-US" w:eastAsia="zh-CN"/>
        </w:rPr>
        <w:t xml:space="preserve">未按要求提供的不得分</w:t>
      </w:r>
      <w:r>
        <w:rPr>
          <w:rFonts w:hint="eastAsia" w:eastAsia="宋体"/>
          <w:b/>
          <w:bCs/>
          <w:color w:val="auto"/>
          <w:spacing w:val="7"/>
          <w:highlight w:val="none"/>
          <w:lang w:val="en-US" w:eastAsia="zh-CN"/>
        </w:rPr>
        <w:t xml:space="preserve">。</w:t>
      </w:r>
      <w:r/>
    </w:p>
    <w:p>
      <w:pPr>
        <w:pStyle w:val="1197"/>
        <w:ind w:firstLine="500"/>
        <w:spacing w:line="440" w:lineRule="exact"/>
        <w:rPr>
          <w:rFonts w:hint="eastAsia" w:ascii="Times New Roman" w:hAnsi="Times New Roman" w:eastAsia="宋体" w:cs="Times New Roman"/>
          <w:b/>
          <w:bCs/>
          <w:color w:val="auto"/>
          <w:spacing w:val="7"/>
          <w:sz w:val="24"/>
          <w:szCs w:val="24"/>
          <w:highlight w:val="none"/>
          <w:lang w:val="en-US" w:eastAsia="zh-CN" w:bidi="ar-SA"/>
        </w:rPr>
      </w:pPr>
      <w:r>
        <w:rPr>
          <w:rFonts w:hint="eastAsia" w:ascii="Times New Roman" w:hAnsi="Times New Roman" w:eastAsia="宋体" w:cs="Times New Roman"/>
          <w:b/>
          <w:bCs/>
          <w:color w:val="auto"/>
          <w:spacing w:val="7"/>
          <w:sz w:val="24"/>
          <w:szCs w:val="24"/>
          <w:highlight w:val="none"/>
          <w:lang w:val="en-US" w:eastAsia="zh-CN" w:bidi="ar-SA"/>
        </w:rPr>
        <w:t xml:space="preserve">5.2</w:t>
      </w:r>
      <w:r>
        <w:rPr>
          <w:rFonts w:hint="eastAsia" w:eastAsia="宋体" w:cs="Times New Roman"/>
          <w:b/>
          <w:bCs/>
          <w:color w:val="auto"/>
          <w:spacing w:val="7"/>
          <w:sz w:val="24"/>
          <w:szCs w:val="24"/>
          <w:highlight w:val="none"/>
          <w:lang w:val="en-US" w:eastAsia="zh-CN" w:bidi="ar-SA"/>
        </w:rPr>
        <w:t xml:space="preserve"> </w:t>
      </w:r>
      <w:r>
        <w:rPr>
          <w:rFonts w:hint="eastAsia" w:ascii="Times New Roman" w:hAnsi="Times New Roman" w:eastAsia="宋体" w:cs="Times New Roman"/>
          <w:b/>
          <w:bCs/>
          <w:color w:val="auto"/>
          <w:spacing w:val="7"/>
          <w:sz w:val="24"/>
          <w:szCs w:val="24"/>
          <w:highlight w:val="none"/>
          <w:lang w:val="en-US" w:eastAsia="zh-CN" w:bidi="ar-SA"/>
        </w:rPr>
        <w:t xml:space="preserve">LED道路灯具结温测试3分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LED灯具制造商生产的 LED 路灯，就散热技术先进性、可靠性进行说明，提供完整的散热技术方案及相关技术证明材料（证明材料需明确体现LED颗粒Ts点与LED散热器表面的温度值）。TTs-T散热器=（2.1℃至5℃），得1分；TTs-T散热器=（0℃至2℃），得3分；其他不得分。</w:t>
      </w:r>
      <w:r/>
    </w:p>
    <w:p>
      <w:pPr>
        <w:pStyle w:val="1197"/>
        <w:ind w:firstLine="500"/>
        <w:spacing w:line="440" w:lineRule="exact"/>
        <w:rPr>
          <w:rFonts w:hint="eastAsia" w:eastAsia="宋体"/>
          <w:b/>
          <w:bCs/>
          <w:color w:val="auto"/>
          <w:spacing w:val="7"/>
          <w:highlight w:val="none"/>
          <w:lang w:val="en-US" w:eastAsia="zh-CN"/>
        </w:rPr>
      </w:pPr>
      <w:r>
        <w:rPr>
          <w:rFonts w:hint="eastAsia" w:eastAsia="宋体"/>
          <w:b/>
          <w:bCs/>
          <w:color w:val="auto"/>
          <w:spacing w:val="7"/>
          <w:highlight w:val="none"/>
          <w:lang w:val="en-US" w:eastAsia="zh-CN"/>
        </w:rPr>
        <w:t xml:space="preserve">注：需提供由</w:t>
      </w:r>
      <w:r>
        <w:rPr>
          <w:rFonts w:hint="eastAsia" w:eastAsia="宋体"/>
          <w:b/>
          <w:bCs/>
          <w:color w:val="auto"/>
          <w:spacing w:val="7"/>
          <w:highlight w:val="none"/>
          <w:u w:val="none"/>
          <w:lang w:val="en-US" w:eastAsia="zh-CN"/>
        </w:rPr>
        <w:t xml:space="preserve">国家认可的电光源质量检验检测中心</w:t>
      </w:r>
      <w:r>
        <w:rPr>
          <w:rFonts w:hint="eastAsia" w:eastAsia="宋体"/>
          <w:b/>
          <w:bCs/>
          <w:color w:val="auto"/>
          <w:spacing w:val="7"/>
          <w:highlight w:val="none"/>
          <w:lang w:val="en-US" w:eastAsia="zh-CN"/>
        </w:rPr>
        <w:t xml:space="preserve">出具的检测报告,报告需具有CMA和CNAS认证标志并支持二维码验真伪，允许同系列、不同功率，不提供不得分）。</w:t>
      </w:r>
      <w:r/>
    </w:p>
    <w:p>
      <w:pPr>
        <w:ind w:firstLine="510"/>
        <w:jc w:val="left"/>
        <w:keepLines w:val="0"/>
        <w:keepNext w:val="0"/>
        <w:widowControl/>
        <w:rPr>
          <w:rFonts w:hint="default" w:ascii="Times New Roman" w:hAnsi="Times New Roman" w:eastAsia="宋体" w:cs="Times New Roman"/>
          <w:b/>
          <w:bCs/>
          <w:color w:val="auto"/>
          <w:spacing w:val="7"/>
          <w:sz w:val="24"/>
          <w:szCs w:val="24"/>
          <w:highlight w:val="none"/>
          <w:lang w:val="en-US" w:eastAsia="zh-CN" w:bidi="ar-SA"/>
        </w:rPr>
        <w:suppressLineNumbers w:val="0"/>
      </w:pPr>
      <w:r>
        <w:rPr>
          <w:rFonts w:hint="eastAsia" w:ascii="Times New Roman" w:hAnsi="Times New Roman" w:eastAsia="宋体" w:cs="Times New Roman"/>
          <w:b/>
          <w:bCs/>
          <w:color w:val="auto"/>
          <w:spacing w:val="7"/>
          <w:sz w:val="24"/>
          <w:szCs w:val="24"/>
          <w:highlight w:val="none"/>
          <w:lang w:val="en-US" w:eastAsia="zh-CN" w:bidi="ar-SA"/>
        </w:rPr>
        <w:t xml:space="preserve">5.3 灯具防盐雾性能测试3分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LED灯具制造商生产的 LED 路灯，需通过GB/T 2423.17-2024标准进行盐雾测试：通过≥168h测试，得0.5 分，通过≥1000h测试，得1分；通过≥2000h测试，得3分；其他不得分。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b/>
          <w:bCs/>
          <w:color w:val="auto"/>
          <w:spacing w:val="7"/>
          <w:highlight w:val="none"/>
          <w:lang w:val="en-US" w:eastAsia="zh-CN"/>
        </w:rPr>
        <w:t xml:space="preserve">注：需提供由</w:t>
      </w:r>
      <w:r>
        <w:rPr>
          <w:rFonts w:hint="eastAsia" w:eastAsia="宋体"/>
          <w:b/>
          <w:bCs/>
          <w:color w:val="auto"/>
          <w:spacing w:val="7"/>
          <w:highlight w:val="none"/>
          <w:u w:val="none"/>
          <w:lang w:val="en-US" w:eastAsia="zh-CN"/>
        </w:rPr>
        <w:t xml:space="preserve">国家认可的电光源质量检验检测中心</w:t>
      </w:r>
      <w:r>
        <w:rPr>
          <w:rFonts w:hint="eastAsia" w:eastAsia="宋体"/>
          <w:b/>
          <w:bCs/>
          <w:color w:val="auto"/>
          <w:spacing w:val="7"/>
          <w:highlight w:val="none"/>
          <w:lang w:val="en-US" w:eastAsia="zh-CN"/>
        </w:rPr>
        <w:t xml:space="preserve">出具的检测报告,报告需具有CMA和CNAS认证标志并支持二维码验真伪，允许同系列、不同功率，不提供不得分），未提供不得分</w:t>
      </w:r>
      <w:r>
        <w:rPr>
          <w:rFonts w:hint="eastAsia" w:eastAsia="宋体"/>
          <w:color w:val="auto"/>
          <w:spacing w:val="7"/>
          <w:highlight w:val="none"/>
          <w:lang w:eastAsia="zh-CN"/>
        </w:rPr>
        <w:t xml:space="preserve">。</w:t>
      </w:r>
      <w:r/>
    </w:p>
    <w:p>
      <w:pPr>
        <w:pStyle w:val="1197"/>
        <w:ind w:firstLine="500"/>
        <w:spacing w:line="440" w:lineRule="exact"/>
        <w:rPr>
          <w:rFonts w:hint="eastAsia" w:eastAsia="宋体"/>
          <w:b/>
          <w:bCs/>
          <w:color w:val="auto"/>
          <w:spacing w:val="7"/>
          <w:highlight w:val="none"/>
          <w:lang w:val="en-US" w:eastAsia="zh-CN"/>
        </w:rPr>
      </w:pPr>
      <w:r>
        <w:rPr>
          <w:rFonts w:hint="eastAsia" w:eastAsia="宋体"/>
          <w:b/>
          <w:bCs/>
          <w:color w:val="auto"/>
          <w:spacing w:val="7"/>
          <w:highlight w:val="none"/>
          <w:lang w:val="en-US" w:eastAsia="zh-CN"/>
        </w:rPr>
        <w:t xml:space="preserve">5.4路灯CQC认证证书3分</w:t>
      </w:r>
      <w:r/>
    </w:p>
    <w:p>
      <w:pPr>
        <w:pStyle w:val="1197"/>
        <w:ind w:firstLine="500"/>
        <w:spacing w:line="440" w:lineRule="exact"/>
        <w:rPr>
          <w:rFonts w:hint="eastAsia" w:ascii="宋体" w:hAnsi="宋体" w:eastAsia="宋体" w:cs="宋体"/>
          <w:color w:val="auto"/>
          <w:spacing w:val="7"/>
          <w:sz w:val="21"/>
          <w:szCs w:val="21"/>
          <w:highlight w:val="none"/>
        </w:rPr>
      </w:pPr>
      <w:r>
        <w:rPr>
          <w:rFonts w:hint="eastAsia" w:eastAsia="宋体"/>
          <w:color w:val="auto"/>
          <w:spacing w:val="7"/>
          <w:highlight w:val="none"/>
          <w:lang w:val="en-US" w:eastAsia="zh-CN"/>
        </w:rPr>
        <w:t xml:space="preserve">所投路灯产品或者同系列产品获得CQC产品认证证书，且需满足以下技术指标要求：灯具使用温度Ta≥55℃、具有控制端口调光功能、防腐性能等级为WF2，满足1项得1分，</w:t>
      </w:r>
      <w:r>
        <w:rPr>
          <w:rFonts w:hint="default" w:ascii="宋体" w:hAnsi="宋体" w:eastAsia="宋体" w:cs="宋体"/>
          <w:color w:val="auto"/>
          <w:sz w:val="24"/>
          <w:szCs w:val="24"/>
          <w:highlight w:val="none"/>
          <w:lang w:val="en-US" w:eastAsia="zh-CN" w:bidi="ar"/>
        </w:rPr>
        <w:t xml:space="preserve">满足上述全部条件</w:t>
      </w:r>
      <w:r>
        <w:rPr>
          <w:rFonts w:hint="eastAsia" w:eastAsia="宋体"/>
          <w:color w:val="auto"/>
          <w:spacing w:val="7"/>
          <w:highlight w:val="none"/>
          <w:lang w:val="en-US" w:eastAsia="zh-CN"/>
        </w:rPr>
        <w:t xml:space="preserve">得3分。（需提供CQC产品认证证书，证书内需体现上述相关技术指标，否则不得分。）</w:t>
      </w:r>
      <w:r/>
    </w:p>
    <w:p>
      <w:pPr>
        <w:pStyle w:val="1197"/>
        <w:ind w:firstLine="500"/>
        <w:spacing w:line="440" w:lineRule="exact"/>
        <w:rPr>
          <w:rFonts w:hint="eastAsia" w:eastAsia="宋体"/>
          <w:b/>
          <w:bCs/>
          <w:color w:val="auto"/>
          <w:spacing w:val="7"/>
          <w:highlight w:val="none"/>
          <w:lang w:val="en-US" w:eastAsia="zh-CN"/>
        </w:rPr>
      </w:pPr>
      <w:r>
        <w:rPr>
          <w:rFonts w:hint="eastAsia" w:eastAsia="宋体"/>
          <w:b/>
          <w:bCs/>
          <w:color w:val="auto"/>
          <w:spacing w:val="7"/>
          <w:highlight w:val="none"/>
          <w:lang w:val="en-US" w:eastAsia="zh-CN"/>
        </w:rPr>
        <w:t xml:space="preserve">5.5单灯控制器CQC认证证书3分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单灯控制器需提供CQC产品认证证书，且需同时满足以下技术指标要求：使用温度ta≥60℃时，防护等级达到IP67，</w:t>
      </w:r>
      <w:r>
        <w:rPr>
          <w:rFonts w:hint="default" w:ascii="宋体" w:hAnsi="宋体" w:eastAsia="宋体" w:cs="宋体"/>
          <w:color w:val="auto"/>
          <w:sz w:val="24"/>
          <w:szCs w:val="24"/>
          <w:highlight w:val="none"/>
          <w:lang w:val="en-US" w:eastAsia="zh-CN" w:bidi="ar"/>
        </w:rPr>
        <w:t xml:space="preserve">满足上述全部条件</w:t>
      </w:r>
      <w:r>
        <w:rPr>
          <w:rFonts w:hint="eastAsia" w:eastAsia="宋体"/>
          <w:color w:val="auto"/>
          <w:spacing w:val="7"/>
          <w:highlight w:val="none"/>
          <w:lang w:val="en-US" w:eastAsia="zh-CN"/>
        </w:rPr>
        <w:t xml:space="preserve">得3分。（需提供CQC产品认证证书，证书内需同时体现上述相关技术指标，否则不得分。）</w:t>
      </w:r>
      <w:r/>
    </w:p>
    <w:p>
      <w:pPr>
        <w:pStyle w:val="1197"/>
        <w:ind w:firstLine="500"/>
        <w:spacing w:line="440" w:lineRule="exact"/>
        <w:rPr>
          <w:rFonts w:hint="eastAsia" w:eastAsia="宋体"/>
          <w:b/>
          <w:bCs/>
          <w:color w:val="auto"/>
          <w:spacing w:val="7"/>
          <w:highlight w:val="none"/>
          <w:lang w:val="en-US" w:eastAsia="zh-CN"/>
        </w:rPr>
      </w:pPr>
      <w:r>
        <w:rPr>
          <w:rFonts w:hint="eastAsia" w:eastAsia="宋体"/>
          <w:b/>
          <w:bCs/>
          <w:color w:val="auto"/>
          <w:spacing w:val="7"/>
          <w:highlight w:val="none"/>
          <w:lang w:val="en-US" w:eastAsia="zh-CN"/>
        </w:rPr>
        <w:t xml:space="preserve">5.6 120W LED灯具照明质量水平17分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在满足以下灯具安装系统条件下，灯具性能以及标准值评分如下：</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道路类型：主干道；</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道路总宽度：21米，非机动车道（3.0m）+机动车道(15m, 双向4车道)+非机动车道（3.0m）；</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车道数：4；</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道理表面材料：沥青路R3；</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灯具布置方式：双侧对称；</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灯具安装高度h：10 m；</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灯具安装间距S：38 m；</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灯具挑臂长度：1.5 m；</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灯具仰角：10°；</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维护系数：0.7。</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具体评分标准：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（1）满足灯具光通量≥16800lm 前提下，灯具输入功率（系统功耗） ≤ 132W，</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整灯光效在此基础上根据报告数值进行评分：≥190lm/W得 2.5 分；≥180lm/W得 1.5 分；≥140lm/W得 0.5 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（2）平均亮度 Lav（cd/m2）维持值≥ 1.5cd/m2，在此基础上根据报告数值进行评分：≥2.0（cd/m2）得 2.5分；≥1.8（cd/m2）得 1 .5分；≥1.5（cd/m2）得 0.5 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（3）亮度总均匀度 UO最小值≥ 0.4，在此基础上根据报告数值进行评分：≥ 0.75得 2.5 分；≥ 0.65得 1.5 分；≥ 0.4得 0.5 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（4）亮度纵向均匀度 UL最小值≥ 0.7，在此基础上根据报告数值进行评分：≥ 0.8得 2.5分；≥ 0.75得1.5分；≥ 0.7得 0.5 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（5） 平均照度 Eav（Lx）维持值≥ 20Lx，在此基础上根据报告数值进行评分：≥ 34Lx得 2.5分；≥ 32Lx得 1.5 分；≥ 30Lx得 1 分；≥ 20Lx得 0.5分；其他不得分。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（6） 照度均匀度 UE最小值≥ 0.4，在此基础上根据报告数值进行评分：≥ 0.48得 2.5分；≥ 0.44得 1.5 分；≥ 0.4得 0.5 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（7） 眩光限制阈值增量 TI（ %）最大初始值≤ 10%，在此基础上根据报告数值进行评分：≤ 5%得 2分；≤ 7%得1分；≤ 10%得 0.5分；其他不得分。</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有效证明文件：以上7条为照明最低指标要求，若其中任意一项得分为0分，则该总分项17分直接判0分。</w:t>
      </w:r>
      <w:r>
        <w:rPr>
          <w:rFonts w:hint="eastAsia" w:eastAsia="宋体"/>
          <w:b/>
          <w:bCs/>
          <w:color w:val="auto"/>
          <w:spacing w:val="7"/>
          <w:highlight w:val="none"/>
          <w:lang w:val="en-US" w:eastAsia="zh-CN"/>
        </w:rPr>
        <w:t xml:space="preserve">需提供由国家认可的电光源质量检验检测中心出具的检测报告，报告需具有CMA和CNAS认证标志并支持二维码验真伪不提供不得分</w:t>
      </w:r>
      <w:r>
        <w:rPr>
          <w:rFonts w:hint="eastAsia" w:eastAsia="宋体"/>
          <w:color w:val="auto"/>
          <w:spacing w:val="7"/>
          <w:highlight w:val="none"/>
          <w:lang w:val="en-US" w:eastAsia="zh-CN"/>
        </w:rPr>
        <w:t xml:space="preserve">。</w:t>
      </w:r>
      <w:r/>
    </w:p>
    <w:p>
      <w:pPr>
        <w:pStyle w:val="119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r>
      <w:r/>
    </w:p>
    <w:p>
      <w:pPr>
        <w:pStyle w:val="1005"/>
        <w:ind w:firstLine="2209"/>
        <w:jc w:val="both"/>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32"/>
      <w:r/>
      <w:bookmarkEnd w:id="233"/>
      <w:r/>
      <w:bookmarkEnd w:id="234"/>
      <w:r>
        <w:rPr>
          <w:rFonts w:hint="eastAsia" w:ascii="宋体" w:hAnsi="宋体" w:eastAsia="宋体"/>
          <w:color w:val="auto"/>
          <w:highlight w:val="none"/>
        </w:rPr>
        <w:t xml:space="preserve">文件格式</w:t>
      </w:r>
      <w:bookmarkEnd w:id="243"/>
      <w:r/>
      <w:bookmarkEnd w:id="244"/>
      <w:r/>
      <w:bookmarkEnd w:id="245"/>
      <w:r/>
      <w:bookmarkEnd w:id="246"/>
      <w:r/>
      <w:bookmarkEnd w:id="247"/>
      <w:r/>
      <w:bookmarkEnd w:id="248"/>
      <w:r/>
      <w:r/>
    </w:p>
    <w:p>
      <w:pPr>
        <w:spacing w:line="360" w:lineRule="auto"/>
        <w:rPr>
          <w:rFonts w:ascii="宋体" w:hAnsi="宋体"/>
          <w:b/>
          <w:bCs/>
          <w:color w:val="auto"/>
          <w:sz w:val="32"/>
          <w:szCs w:val="32"/>
          <w:highlight w:val="none"/>
        </w:rPr>
      </w:pPr>
      <w:r/>
      <w:bookmarkStart w:id="249" w:name="_Hlt26955039"/>
      <w:r/>
      <w:r/>
    </w:p>
    <w:p>
      <w:pPr>
        <w:pStyle w:val="1345"/>
        <w:jc w:val="center"/>
        <w:spacing w:after="400"/>
        <w:rPr>
          <w:rStyle w:val="946"/>
          <w:rFonts w:ascii="宋体" w:hAnsi="宋体" w:eastAsia="宋体" w:cs="宋体"/>
          <w:color w:val="auto"/>
          <w:sz w:val="40"/>
          <w:szCs w:val="40"/>
          <w:highlight w:val="none"/>
        </w:rPr>
        <w:outlineLvl w:val="0"/>
      </w:pPr>
      <w:r/>
      <w:bookmarkStart w:id="250" w:name="_Toc29010"/>
      <w:r/>
      <w:bookmarkStart w:id="251" w:name="_Toc18049"/>
      <w:r>
        <w:rPr>
          <w:rStyle w:val="946"/>
          <w:rFonts w:ascii="宋体" w:hAnsi="宋体" w:eastAsia="宋体" w:cs="宋体"/>
          <w:color w:val="auto"/>
          <w:sz w:val="40"/>
          <w:szCs w:val="40"/>
          <w:highlight w:val="none"/>
        </w:rPr>
        <w:t xml:space="preserve">投标主要文件目录</w:t>
      </w:r>
      <w:bookmarkEnd w:id="250"/>
      <w:r/>
      <w:bookmarkEnd w:id="251"/>
      <w:r/>
      <w:r/>
    </w:p>
    <w:p>
      <w:pPr>
        <w:pStyle w:val="1345"/>
        <w:spacing w:before="240" w:after="240" w:line="200" w:lineRule="atLeast"/>
        <w:rPr>
          <w:rStyle w:val="946"/>
          <w:rFonts w:ascii="宋体" w:hAnsi="宋体" w:eastAsia="宋体" w:cs="宋体"/>
          <w:color w:val="auto"/>
          <w:highlight w:val="none"/>
        </w:rPr>
        <w:outlineLvl w:val="0"/>
      </w:pPr>
      <w:r/>
      <w:bookmarkStart w:id="252" w:name="_Toc15242"/>
      <w:r>
        <w:rPr>
          <w:rStyle w:val="946"/>
          <w:rFonts w:ascii="宋体" w:hAnsi="宋体" w:eastAsia="宋体" w:cs="宋体"/>
          <w:color w:val="auto"/>
          <w:highlight w:val="none"/>
        </w:rPr>
        <w:t xml:space="preserve">一、封面</w:t>
      </w:r>
      <w:bookmarkEnd w:id="252"/>
      <w:r/>
      <w:r/>
    </w:p>
    <w:p>
      <w:pPr>
        <w:pStyle w:val="1345"/>
        <w:spacing w:before="240" w:after="240" w:line="200" w:lineRule="atLeast"/>
        <w:rPr>
          <w:rStyle w:val="946"/>
          <w:rFonts w:ascii="宋体" w:hAnsi="宋体" w:eastAsia="宋体" w:cs="宋体"/>
          <w:color w:val="auto"/>
          <w:highlight w:val="none"/>
        </w:rPr>
        <w:outlineLvl w:val="0"/>
      </w:pPr>
      <w:r/>
      <w:bookmarkStart w:id="253" w:name="_Toc9750"/>
      <w:r>
        <w:rPr>
          <w:rStyle w:val="946"/>
          <w:rFonts w:ascii="宋体" w:hAnsi="宋体" w:eastAsia="宋体" w:cs="宋体"/>
          <w:color w:val="auto"/>
          <w:highlight w:val="none"/>
        </w:rPr>
        <w:t xml:space="preserve">二、投标函</w:t>
      </w:r>
      <w:bookmarkEnd w:id="253"/>
      <w:r/>
      <w:r/>
    </w:p>
    <w:p>
      <w:pPr>
        <w:pStyle w:val="1345"/>
        <w:spacing w:before="240" w:after="240" w:line="200" w:lineRule="atLeast"/>
        <w:rPr>
          <w:rStyle w:val="946"/>
          <w:rFonts w:ascii="宋体" w:hAnsi="宋体" w:eastAsia="宋体" w:cs="宋体"/>
          <w:color w:val="auto"/>
          <w:highlight w:val="none"/>
        </w:rPr>
        <w:outlineLvl w:val="0"/>
      </w:pPr>
      <w:r/>
      <w:bookmarkStart w:id="254" w:name="_Toc5193"/>
      <w:r>
        <w:rPr>
          <w:rStyle w:val="946"/>
          <w:rFonts w:ascii="宋体" w:hAnsi="宋体" w:eastAsia="宋体" w:cs="宋体"/>
          <w:color w:val="auto"/>
          <w:highlight w:val="none"/>
        </w:rPr>
        <w:t xml:space="preserve">三、开标一览表</w:t>
      </w:r>
      <w:bookmarkEnd w:id="254"/>
      <w:r/>
      <w:r/>
    </w:p>
    <w:p>
      <w:pPr>
        <w:pStyle w:val="1345"/>
        <w:spacing w:before="240" w:after="240" w:line="200" w:lineRule="atLeast"/>
        <w:rPr>
          <w:rStyle w:val="946"/>
          <w:rFonts w:ascii="宋体" w:hAnsi="宋体" w:eastAsia="宋体" w:cs="宋体"/>
          <w:color w:val="auto"/>
          <w:highlight w:val="none"/>
        </w:rPr>
        <w:outlineLvl w:val="0"/>
      </w:pPr>
      <w:r/>
      <w:bookmarkStart w:id="255" w:name="_Toc25567"/>
      <w:r>
        <w:rPr>
          <w:rStyle w:val="946"/>
          <w:rFonts w:ascii="宋体" w:hAnsi="宋体" w:eastAsia="宋体" w:cs="宋体"/>
          <w:color w:val="auto"/>
          <w:highlight w:val="none"/>
        </w:rPr>
        <w:t xml:space="preserve">四、资格证明文件</w:t>
      </w:r>
      <w:bookmarkEnd w:id="255"/>
      <w:r/>
      <w:r/>
    </w:p>
    <w:p>
      <w:pPr>
        <w:pStyle w:val="136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五、</w:t>
      </w:r>
      <w:r>
        <w:rPr>
          <w:rStyle w:val="946"/>
          <w:rFonts w:ascii="宋体" w:hAnsi="宋体" w:eastAsia="宋体" w:cs="宋体"/>
          <w:color w:val="auto"/>
          <w:highlight w:val="none"/>
        </w:rPr>
        <w:t xml:space="preserve">第四章项目需求中实质性要求响应对照表</w:t>
      </w:r>
      <w:r/>
    </w:p>
    <w:p>
      <w:pPr>
        <w:pStyle w:val="1345"/>
        <w:spacing w:before="240" w:after="240" w:line="200" w:lineRule="atLeast"/>
        <w:rPr>
          <w:rStyle w:val="946"/>
          <w:rFonts w:ascii="宋体" w:hAnsi="宋体" w:eastAsia="宋体" w:cs="宋体"/>
          <w:color w:val="auto"/>
          <w:highlight w:val="none"/>
        </w:rPr>
        <w:outlineLvl w:val="0"/>
      </w:pPr>
      <w:r/>
      <w:bookmarkStart w:id="256" w:name="_Toc25616"/>
      <w:r>
        <w:rPr>
          <w:rStyle w:val="946"/>
          <w:rFonts w:hint="eastAsia" w:ascii="宋体" w:hAnsi="宋体" w:eastAsia="宋体" w:cs="宋体"/>
          <w:color w:val="auto"/>
          <w:highlight w:val="none"/>
          <w:lang w:eastAsia="zh-CN"/>
        </w:rPr>
        <w:t xml:space="preserve">六</w:t>
      </w:r>
      <w:r>
        <w:rPr>
          <w:rStyle w:val="946"/>
          <w:rFonts w:ascii="宋体" w:hAnsi="宋体" w:eastAsia="宋体" w:cs="宋体"/>
          <w:color w:val="auto"/>
          <w:highlight w:val="none"/>
        </w:rPr>
        <w:t xml:space="preserve">、</w:t>
      </w:r>
      <w:bookmarkEnd w:id="256"/>
      <w:r>
        <w:rPr>
          <w:rStyle w:val="946"/>
          <w:rFonts w:ascii="宋体" w:hAnsi="宋体" w:eastAsia="宋体" w:cs="宋体"/>
          <w:color w:val="auto"/>
          <w:highlight w:val="none"/>
        </w:rPr>
        <w:t xml:space="preserve">服务方案</w:t>
      </w:r>
      <w:r/>
    </w:p>
    <w:p>
      <w:pPr>
        <w:pStyle w:val="1345"/>
        <w:spacing w:before="240" w:after="240" w:line="200" w:lineRule="atLeast"/>
        <w:rPr>
          <w:rStyle w:val="946"/>
          <w:rFonts w:ascii="宋体" w:hAnsi="宋体" w:eastAsia="宋体" w:cs="宋体"/>
          <w:color w:val="auto"/>
          <w:highlight w:val="none"/>
        </w:rPr>
        <w:outlineLvl w:val="0"/>
      </w:pPr>
      <w:r>
        <w:rPr>
          <w:rStyle w:val="716"/>
          <w:rFonts w:hint="eastAsia" w:ascii="宋体" w:hAnsi="宋体" w:eastAsia="宋体" w:cs="宋体"/>
          <w:color w:val="auto"/>
          <w:highlight w:val="none"/>
          <w:lang w:eastAsia="zh-CN"/>
        </w:rPr>
        <w:t xml:space="preserve">七</w:t>
      </w:r>
      <w:r>
        <w:rPr>
          <w:rStyle w:val="716"/>
          <w:rFonts w:ascii="宋体" w:hAnsi="宋体" w:eastAsia="宋体" w:cs="宋体"/>
          <w:color w:val="auto"/>
          <w:highlight w:val="none"/>
        </w:rPr>
        <w:t xml:space="preserve">、</w:t>
      </w:r>
      <w:r>
        <w:rPr>
          <w:rStyle w:val="946"/>
          <w:rFonts w:ascii="宋体" w:hAnsi="宋体" w:eastAsia="宋体" w:cs="宋体"/>
          <w:color w:val="auto"/>
          <w:highlight w:val="none"/>
        </w:rPr>
        <w:t xml:space="preserve">投标人情况介绍</w:t>
      </w:r>
      <w:r/>
    </w:p>
    <w:p>
      <w:pPr>
        <w:pStyle w:val="1337"/>
        <w:rPr>
          <w:rStyle w:val="946"/>
          <w:color w:val="auto"/>
          <w:highlight w:val="none"/>
        </w:rPr>
        <w:outlineLvl w:val="0"/>
      </w:pPr>
      <w:r>
        <w:rPr>
          <w:rStyle w:val="946"/>
          <w:color w:val="auto"/>
          <w:highlight w:val="none"/>
        </w:rPr>
        <w:br w:type="page" w:clear="all"/>
      </w:r>
      <w:bookmarkStart w:id="257" w:name="_Toc28279"/>
      <w:r/>
      <w:bookmarkStart w:id="258" w:name="_Toc11328"/>
      <w:r/>
      <w:bookmarkStart w:id="259" w:name="_Toc795"/>
      <w:r>
        <w:rPr>
          <w:rStyle w:val="946"/>
          <w:rFonts w:ascii="宋体" w:hAnsi="宋体" w:eastAsia="宋体" w:cs="宋体"/>
          <w:b/>
          <w:color w:val="auto"/>
          <w:sz w:val="32"/>
          <w:highlight w:val="none"/>
        </w:rPr>
        <w:t xml:space="preserve">一、封面</w:t>
      </w:r>
      <w:bookmarkEnd w:id="257"/>
      <w:r/>
      <w:bookmarkEnd w:id="258"/>
      <w:r/>
      <w:bookmarkEnd w:id="259"/>
      <w:r/>
      <w:r/>
    </w:p>
    <w:p>
      <w:pPr>
        <w:pStyle w:val="1159"/>
        <w:spacing w:line="440" w:lineRule="exact"/>
        <w:rPr>
          <w:rStyle w:val="946"/>
          <w:color w:val="auto"/>
          <w:spacing w:val="7"/>
          <w:highlight w:val="none"/>
        </w:rPr>
      </w:pPr>
      <w:r>
        <w:rPr>
          <w:rStyle w:val="946"/>
          <w:rFonts w:ascii="宋体" w:hAnsi="宋体" w:eastAsia="宋体" w:cs="宋体"/>
          <w:color w:val="auto"/>
          <w:highlight w:val="none"/>
        </w:rPr>
        <w:t xml:space="preserve">﻿ </w:t>
      </w:r>
      <w:r/>
    </w:p>
    <w:p>
      <w:pPr>
        <w:pStyle w:val="1159"/>
        <w:jc w:val="center"/>
        <w:spacing w:before="540" w:after="540"/>
        <w:rPr>
          <w:rStyle w:val="946"/>
          <w:rFonts w:ascii="宋体" w:hAnsi="宋体" w:eastAsia="宋体" w:cs="宋体"/>
          <w:color w:val="auto"/>
          <w:sz w:val="54"/>
          <w:szCs w:val="54"/>
          <w:highlight w:val="none"/>
        </w:rPr>
        <w:outlineLvl w:val="1"/>
      </w:pPr>
      <w:r/>
      <w:bookmarkStart w:id="260" w:name="_Toc5639"/>
      <w:r>
        <w:rPr>
          <w:rStyle w:val="946"/>
          <w:rFonts w:ascii="宋体" w:hAnsi="宋体" w:eastAsia="宋体" w:cs="宋体"/>
          <w:color w:val="auto"/>
          <w:sz w:val="54"/>
          <w:szCs w:val="54"/>
          <w:highlight w:val="none"/>
        </w:rPr>
        <w:t xml:space="preserve">投 标 文 件</w:t>
      </w:r>
      <w:bookmarkEnd w:id="260"/>
      <w:r/>
      <w:r/>
    </w:p>
    <w:p>
      <w:pPr>
        <w:pStyle w:val="1159"/>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pStyle w:val="1159"/>
        <w:jc w:val="center"/>
        <w:spacing w:before="400" w:after="400"/>
        <w:rPr>
          <w:rStyle w:val="946"/>
          <w:rFonts w:ascii="宋体" w:hAnsi="宋体" w:eastAsia="宋体" w:cs="宋体"/>
          <w:color w:val="auto"/>
          <w:sz w:val="40"/>
          <w:szCs w:val="40"/>
          <w:highlight w:val="none"/>
        </w:rPr>
      </w:pPr>
      <w:r>
        <w:rPr>
          <w:rStyle w:val="946"/>
          <w:rFonts w:ascii="宋体" w:hAnsi="宋体" w:eastAsia="宋体" w:cs="宋体"/>
          <w:color w:val="auto"/>
          <w:sz w:val="40"/>
          <w:szCs w:val="40"/>
          <w:highlight w:val="none"/>
        </w:rPr>
        <w:t xml:space="preserve"> </w:t>
      </w:r>
      <w:r/>
    </w:p>
    <w:p>
      <w:pPr>
        <w:pStyle w:val="1159"/>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pStyle w:val="1159"/>
        <w:jc w:val="center"/>
        <w:spacing w:before="360" w:after="360"/>
        <w:rPr>
          <w:rStyle w:val="946"/>
          <w:rFonts w:ascii="宋体" w:hAnsi="宋体" w:eastAsia="宋体" w:cs="宋体"/>
          <w:color w:val="auto"/>
          <w:sz w:val="36"/>
          <w:szCs w:val="36"/>
          <w:highlight w:val="none"/>
        </w:rPr>
        <w:outlineLvl w:val="1"/>
      </w:pPr>
      <w:r/>
      <w:bookmarkStart w:id="261" w:name="_Toc26027"/>
      <w:r>
        <w:rPr>
          <w:rStyle w:val="946"/>
          <w:rFonts w:ascii="宋体" w:hAnsi="宋体" w:eastAsia="宋体" w:cs="宋体"/>
          <w:color w:val="auto"/>
          <w:sz w:val="36"/>
          <w:szCs w:val="36"/>
          <w:highlight w:val="none"/>
        </w:rPr>
        <w:t xml:space="preserve">项目名称：   </w:t>
      </w:r>
      <w:bookmarkEnd w:id="261"/>
      <w:r/>
      <w:r/>
    </w:p>
    <w:p>
      <w:pPr>
        <w:pStyle w:val="1159"/>
        <w:jc w:val="center"/>
        <w:spacing w:before="360" w:after="360"/>
        <w:rPr>
          <w:rStyle w:val="946"/>
          <w:rFonts w:ascii="宋体" w:hAnsi="宋体" w:eastAsia="宋体" w:cs="宋体"/>
          <w:color w:val="auto"/>
          <w:sz w:val="36"/>
          <w:szCs w:val="36"/>
          <w:highlight w:val="none"/>
        </w:rPr>
        <w:outlineLvl w:val="1"/>
      </w:pPr>
      <w:r/>
      <w:bookmarkStart w:id="262" w:name="_Toc5574"/>
      <w:r>
        <w:rPr>
          <w:rStyle w:val="946"/>
          <w:rFonts w:hint="eastAsia" w:ascii="宋体" w:hAnsi="宋体" w:eastAsia="宋体" w:cs="宋体"/>
          <w:color w:val="auto"/>
          <w:sz w:val="36"/>
          <w:szCs w:val="36"/>
          <w:highlight w:val="none"/>
          <w:lang w:eastAsia="zh-CN"/>
        </w:rPr>
        <w:t xml:space="preserve">项目</w:t>
      </w:r>
      <w:r>
        <w:rPr>
          <w:rStyle w:val="946"/>
          <w:rFonts w:ascii="宋体" w:hAnsi="宋体" w:eastAsia="宋体" w:cs="宋体"/>
          <w:color w:val="auto"/>
          <w:sz w:val="36"/>
          <w:szCs w:val="36"/>
          <w:highlight w:val="none"/>
        </w:rPr>
        <w:t xml:space="preserve">编号：   </w:t>
      </w:r>
      <w:bookmarkEnd w:id="262"/>
      <w:r/>
      <w:r/>
    </w:p>
    <w:p>
      <w:pPr>
        <w:pStyle w:val="1159"/>
        <w:jc w:val="center"/>
        <w:spacing w:before="360" w:after="360"/>
        <w:rPr>
          <w:rStyle w:val="946"/>
          <w:rFonts w:ascii="宋体" w:hAnsi="宋体" w:eastAsia="宋体" w:cs="宋体"/>
          <w:color w:val="auto"/>
          <w:sz w:val="36"/>
          <w:szCs w:val="36"/>
          <w:highlight w:val="none"/>
        </w:rPr>
      </w:pPr>
      <w:r>
        <w:rPr>
          <w:rStyle w:val="946"/>
          <w:rFonts w:ascii="宋体" w:hAnsi="宋体" w:eastAsia="宋体" w:cs="宋体"/>
          <w:color w:val="auto"/>
          <w:sz w:val="36"/>
          <w:szCs w:val="36"/>
          <w:highlight w:val="none"/>
        </w:rPr>
        <w:t xml:space="preserve"> </w:t>
      </w:r>
      <w:r/>
    </w:p>
    <w:p>
      <w:pPr>
        <w:pStyle w:val="1159"/>
        <w:jc w:val="center"/>
        <w:spacing w:before="360" w:after="360"/>
        <w:rPr>
          <w:rStyle w:val="946"/>
          <w:rFonts w:ascii="宋体" w:hAnsi="宋体" w:eastAsia="宋体" w:cs="宋体"/>
          <w:color w:val="auto"/>
          <w:sz w:val="36"/>
          <w:szCs w:val="36"/>
          <w:highlight w:val="none"/>
        </w:rPr>
      </w:pPr>
      <w:r>
        <w:rPr>
          <w:rStyle w:val="946"/>
          <w:rFonts w:ascii="宋体" w:hAnsi="宋体" w:eastAsia="宋体" w:cs="宋体"/>
          <w:color w:val="auto"/>
          <w:sz w:val="36"/>
          <w:szCs w:val="36"/>
          <w:highlight w:val="none"/>
        </w:rPr>
        <w:t xml:space="preserve"> </w:t>
      </w:r>
      <w:r/>
    </w:p>
    <w:p>
      <w:pPr>
        <w:pStyle w:val="1159"/>
        <w:jc w:val="center"/>
        <w:spacing w:before="360" w:after="360"/>
        <w:rPr>
          <w:rStyle w:val="946"/>
          <w:rFonts w:ascii="宋体" w:hAnsi="宋体" w:eastAsia="宋体" w:cs="宋体"/>
          <w:color w:val="auto"/>
          <w:sz w:val="36"/>
          <w:szCs w:val="36"/>
          <w:highlight w:val="none"/>
        </w:rPr>
        <w:outlineLvl w:val="1"/>
      </w:pPr>
      <w:r/>
      <w:bookmarkStart w:id="263" w:name="_Toc5779"/>
      <w:r>
        <w:rPr>
          <w:rStyle w:val="946"/>
          <w:rFonts w:ascii="宋体" w:hAnsi="宋体" w:eastAsia="宋体" w:cs="宋体"/>
          <w:color w:val="auto"/>
          <w:sz w:val="36"/>
          <w:szCs w:val="36"/>
          <w:highlight w:val="none"/>
        </w:rPr>
        <w:t xml:space="preserve">投标人名称：   </w:t>
      </w:r>
      <w:bookmarkEnd w:id="263"/>
      <w:r/>
      <w:r/>
    </w:p>
    <w:p>
      <w:pPr>
        <w:pStyle w:val="1159"/>
        <w:jc w:val="center"/>
        <w:spacing w:before="360" w:after="360"/>
        <w:rPr>
          <w:rStyle w:val="946"/>
          <w:rFonts w:ascii="宋体" w:hAnsi="宋体" w:eastAsia="宋体" w:cs="宋体"/>
          <w:color w:val="auto"/>
          <w:sz w:val="36"/>
          <w:szCs w:val="36"/>
          <w:highlight w:val="none"/>
        </w:rPr>
        <w:outlineLvl w:val="1"/>
      </w:pPr>
      <w:r/>
      <w:bookmarkStart w:id="264" w:name="_Toc22080"/>
      <w:r>
        <w:rPr>
          <w:rStyle w:val="946"/>
          <w:rFonts w:ascii="宋体" w:hAnsi="宋体" w:eastAsia="宋体" w:cs="宋体"/>
          <w:color w:val="auto"/>
          <w:sz w:val="36"/>
          <w:szCs w:val="36"/>
          <w:highlight w:val="none"/>
        </w:rPr>
        <w:t xml:space="preserve">日期：   </w:t>
      </w:r>
      <w:bookmarkEnd w:id="264"/>
      <w:r/>
      <w:r/>
    </w:p>
    <w:p>
      <w:pPr>
        <w:pStyle w:val="1159"/>
        <w:jc w:val="center"/>
        <w:spacing w:before="360" w:after="360"/>
        <w:rPr>
          <w:rStyle w:val="946"/>
          <w:rFonts w:ascii="宋体" w:hAnsi="宋体" w:eastAsia="宋体" w:cs="宋体"/>
          <w:color w:val="auto"/>
          <w:sz w:val="36"/>
          <w:szCs w:val="36"/>
          <w:highlight w:val="none"/>
        </w:rPr>
      </w:pPr>
      <w:r>
        <w:rPr>
          <w:rStyle w:val="946"/>
          <w:rFonts w:ascii="宋体" w:hAnsi="宋体" w:eastAsia="宋体" w:cs="宋体"/>
          <w:color w:val="auto"/>
          <w:sz w:val="36"/>
          <w:szCs w:val="36"/>
          <w:highlight w:val="none"/>
        </w:rPr>
        <w:t xml:space="preserve"> </w:t>
      </w:r>
      <w:r/>
    </w:p>
    <w:p>
      <w:pPr>
        <w:pStyle w:val="1159"/>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pStyle w:val="1338"/>
        <w:rPr>
          <w:rStyle w:val="946"/>
          <w:color w:val="auto"/>
          <w:highlight w:val="none"/>
        </w:rPr>
        <w:outlineLvl w:val="0"/>
      </w:pPr>
      <w:r>
        <w:rPr>
          <w:rStyle w:val="946"/>
          <w:color w:val="auto"/>
          <w:highlight w:val="none"/>
        </w:rPr>
        <w:br w:type="page" w:clear="all"/>
      </w:r>
      <w:bookmarkStart w:id="265" w:name="_Toc15138"/>
      <w:r/>
      <w:bookmarkStart w:id="266" w:name="_Toc24046"/>
      <w:r/>
      <w:bookmarkStart w:id="267" w:name="_Toc12462"/>
      <w:r>
        <w:rPr>
          <w:rStyle w:val="946"/>
          <w:rFonts w:ascii="宋体" w:hAnsi="宋体" w:eastAsia="宋体" w:cs="宋体"/>
          <w:b/>
          <w:color w:val="auto"/>
          <w:sz w:val="32"/>
          <w:highlight w:val="none"/>
        </w:rPr>
        <w:t xml:space="preserve">二、投标函格式</w:t>
      </w:r>
      <w:bookmarkEnd w:id="265"/>
      <w:r/>
      <w:bookmarkEnd w:id="266"/>
      <w:r/>
      <w:bookmarkEnd w:id="267"/>
      <w:r/>
      <w:r/>
    </w:p>
    <w:p>
      <w:pPr>
        <w:pStyle w:val="1114"/>
        <w:spacing w:line="440" w:lineRule="exact"/>
        <w:rPr>
          <w:rStyle w:val="946"/>
          <w:color w:val="auto"/>
          <w:spacing w:val="7"/>
          <w:highlight w:val="none"/>
        </w:rPr>
      </w:pPr>
      <w:r>
        <w:rPr>
          <w:rStyle w:val="946"/>
          <w:rFonts w:ascii="宋体" w:hAnsi="宋体" w:eastAsia="宋体" w:cs="宋体"/>
          <w:color w:val="auto"/>
          <w:highlight w:val="none"/>
        </w:rPr>
        <w:t xml:space="preserve">﻿ </w:t>
      </w:r>
      <w:r/>
    </w:p>
    <w:p>
      <w:pPr>
        <w:pStyle w:val="1114"/>
        <w:ind w:firstLine="420"/>
        <w:jc w:val="center"/>
        <w:spacing w:before="320" w:after="320"/>
        <w:rPr>
          <w:rStyle w:val="946"/>
          <w:rFonts w:ascii="宋体" w:hAnsi="宋体" w:eastAsia="宋体" w:cs="宋体"/>
          <w:b/>
          <w:bCs/>
          <w:color w:val="auto"/>
          <w:sz w:val="32"/>
          <w:szCs w:val="32"/>
          <w:highlight w:val="none"/>
        </w:rPr>
      </w:pPr>
      <w:r>
        <w:rPr>
          <w:rStyle w:val="946"/>
          <w:rFonts w:ascii="宋体" w:hAnsi="宋体" w:eastAsia="宋体" w:cs="宋体"/>
          <w:b/>
          <w:bCs/>
          <w:color w:val="auto"/>
          <w:sz w:val="32"/>
          <w:szCs w:val="32"/>
          <w:highlight w:val="none"/>
        </w:rPr>
        <w:t xml:space="preserve">投标函</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致</w:t>
      </w:r>
      <w:r>
        <w:rPr>
          <w:rStyle w:val="946"/>
          <w:rFonts w:ascii="宋体" w:hAnsi="宋体" w:eastAsia="宋体" w:cs="宋体"/>
          <w:color w:val="auto"/>
          <w:highlight w:val="none"/>
          <w:u w:val="single"/>
        </w:rPr>
        <w:t xml:space="preserve">：   </w:t>
      </w:r>
      <w:r>
        <w:rPr>
          <w:rStyle w:val="946"/>
          <w:rFonts w:ascii="宋体" w:hAnsi="宋体" w:eastAsia="宋体" w:cs="宋体"/>
          <w:color w:val="auto"/>
          <w:highlight w:val="none"/>
        </w:rPr>
        <w:t xml:space="preserve">：</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根据贵方的</w:t>
      </w:r>
      <w:r>
        <w:rPr>
          <w:rStyle w:val="946"/>
          <w:rFonts w:ascii="宋体" w:hAnsi="宋体" w:eastAsia="宋体" w:cs="宋体"/>
          <w:color w:val="auto"/>
          <w:highlight w:val="none"/>
          <w:u w:val="single"/>
        </w:rPr>
        <w:t xml:space="preserve">   </w:t>
      </w:r>
      <w:r>
        <w:rPr>
          <w:rStyle w:val="946"/>
          <w:rFonts w:ascii="宋体" w:hAnsi="宋体" w:eastAsia="宋体" w:cs="宋体"/>
          <w:color w:val="auto"/>
          <w:highlight w:val="none"/>
        </w:rPr>
        <w:t xml:space="preserve">号招标文件，正式授权下述签字人</w:t>
      </w:r>
      <w:r>
        <w:rPr>
          <w:rStyle w:val="946"/>
          <w:rFonts w:ascii="宋体" w:hAnsi="宋体" w:eastAsia="宋体" w:cs="宋体"/>
          <w:color w:val="auto"/>
          <w:highlight w:val="none"/>
          <w:u w:val="single"/>
        </w:rPr>
        <w:t xml:space="preserve">     </w:t>
      </w:r>
      <w:r>
        <w:rPr>
          <w:rStyle w:val="946"/>
          <w:rFonts w:ascii="宋体" w:hAnsi="宋体" w:eastAsia="宋体" w:cs="宋体"/>
          <w:color w:val="auto"/>
          <w:highlight w:val="none"/>
        </w:rPr>
        <w:t xml:space="preserve"> (姓名和职务)代表我方</w:t>
      </w:r>
      <w:r>
        <w:rPr>
          <w:rStyle w:val="946"/>
          <w:rFonts w:ascii="宋体" w:hAnsi="宋体" w:eastAsia="宋体" w:cs="宋体"/>
          <w:color w:val="auto"/>
          <w:highlight w:val="none"/>
          <w:u w:val="single"/>
        </w:rPr>
        <w:t xml:space="preserve">   </w:t>
      </w:r>
      <w:r>
        <w:rPr>
          <w:rStyle w:val="946"/>
          <w:rFonts w:ascii="宋体" w:hAnsi="宋体" w:eastAsia="宋体" w:cs="宋体"/>
          <w:color w:val="auto"/>
          <w:highlight w:val="none"/>
        </w:rPr>
        <w:t xml:space="preserve">（投标人的名称），全权处理本次项目投标的有关事宜。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据此函，签字人兹宣布同意如下：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1、同意向贵方提供贵方可能另外要求的与投标有关的任何证据或资料；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2、我们完全理解贵方不一定将合同授予最低报价的投标人；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5、与本投标有关的正式通讯地址为：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地址：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邮编：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电话：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传真：    </w:t>
      </w:r>
      <w:r/>
    </w:p>
    <w:p>
      <w:pPr>
        <w:pStyle w:val="1114"/>
        <w:spacing w:before="240" w:after="240"/>
        <w:rPr>
          <w:rStyle w:val="946"/>
          <w:rFonts w:ascii="宋体" w:hAnsi="宋体" w:eastAsia="宋体" w:cs="宋体"/>
          <w:color w:val="auto"/>
          <w:highlight w:val="none"/>
        </w:rPr>
      </w:pPr>
      <w:r>
        <w:rPr>
          <w:rStyle w:val="946"/>
          <w:rFonts w:hint="eastAsia" w:ascii="宋体" w:hAnsi="宋体" w:eastAsia="宋体" w:cs="宋体"/>
          <w:color w:val="auto"/>
          <w:highlight w:val="none"/>
        </w:rPr>
        <w:t xml:space="preserve">投标人</w:t>
      </w:r>
      <w:r>
        <w:rPr>
          <w:rStyle w:val="946"/>
          <w:rFonts w:ascii="宋体" w:hAnsi="宋体" w:eastAsia="宋体" w:cs="宋体"/>
          <w:color w:val="auto"/>
          <w:highlight w:val="none"/>
        </w:rPr>
        <w:t xml:space="preserve">代表姓名：    </w:t>
      </w:r>
      <w:r/>
    </w:p>
    <w:p>
      <w:pPr>
        <w:pStyle w:val="1114"/>
        <w:spacing w:before="240" w:after="240"/>
        <w:rPr>
          <w:rStyle w:val="946"/>
          <w:rFonts w:ascii="宋体" w:hAnsi="宋体" w:eastAsia="宋体" w:cs="宋体"/>
          <w:color w:val="auto"/>
          <w:highlight w:val="none"/>
        </w:rPr>
      </w:pPr>
      <w:r>
        <w:rPr>
          <w:rStyle w:val="946"/>
          <w:rFonts w:hint="eastAsia" w:ascii="宋体" w:hAnsi="宋体" w:eastAsia="宋体" w:cs="宋体"/>
          <w:color w:val="auto"/>
          <w:highlight w:val="none"/>
        </w:rPr>
        <w:t xml:space="preserve">投标人</w:t>
      </w:r>
      <w:r>
        <w:rPr>
          <w:rStyle w:val="946"/>
          <w:rFonts w:ascii="宋体" w:hAnsi="宋体" w:eastAsia="宋体" w:cs="宋体"/>
          <w:color w:val="auto"/>
          <w:highlight w:val="none"/>
        </w:rPr>
        <w:t xml:space="preserve">名称：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公章：</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日期：   </w:t>
      </w:r>
      <w:r/>
    </w:p>
    <w:p>
      <w:pPr>
        <w:pStyle w:val="1114"/>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pStyle w:val="1180"/>
        <w:rPr>
          <w:rStyle w:val="946"/>
          <w:color w:val="auto"/>
          <w:highlight w:val="none"/>
        </w:rPr>
        <w:outlineLvl w:val="0"/>
      </w:pPr>
      <w:r>
        <w:rPr>
          <w:rStyle w:val="946"/>
          <w:color w:val="auto"/>
          <w:highlight w:val="none"/>
        </w:rPr>
        <w:br w:type="page" w:clear="all"/>
      </w:r>
      <w:bookmarkStart w:id="268" w:name="_Toc30201"/>
      <w:r/>
      <w:bookmarkStart w:id="269" w:name="_Toc689"/>
      <w:r/>
      <w:bookmarkStart w:id="270" w:name="_Toc24631"/>
      <w:r>
        <w:rPr>
          <w:rStyle w:val="946"/>
          <w:rFonts w:ascii="宋体" w:hAnsi="宋体" w:eastAsia="宋体" w:cs="宋体"/>
          <w:b/>
          <w:color w:val="auto"/>
          <w:sz w:val="32"/>
          <w:highlight w:val="none"/>
        </w:rPr>
        <w:t xml:space="preserve">三、开标一览表</w:t>
      </w:r>
      <w:bookmarkEnd w:id="268"/>
      <w:r/>
      <w:bookmarkEnd w:id="269"/>
      <w:r/>
      <w:bookmarkEnd w:id="270"/>
      <w:r/>
      <w:r/>
    </w:p>
    <w:p>
      <w:pPr>
        <w:pStyle w:val="1114"/>
        <w:ind w:firstLine="420"/>
        <w:jc w:val="center"/>
        <w:spacing w:before="320" w:after="320"/>
        <w:rPr>
          <w:rStyle w:val="946"/>
          <w:rFonts w:ascii="宋体" w:hAnsi="宋体" w:eastAsia="宋体" w:cs="宋体"/>
          <w:b/>
          <w:bCs/>
          <w:color w:val="auto"/>
          <w:sz w:val="32"/>
          <w:szCs w:val="32"/>
          <w:highlight w:val="none"/>
        </w:rPr>
      </w:pPr>
      <w:r>
        <w:rPr>
          <w:rStyle w:val="946"/>
          <w:rFonts w:ascii="宋体" w:hAnsi="宋体" w:eastAsia="宋体" w:cs="宋体"/>
          <w:b/>
          <w:bCs/>
          <w:color w:val="auto"/>
          <w:sz w:val="32"/>
          <w:szCs w:val="32"/>
          <w:highlight w:val="none"/>
        </w:rPr>
        <w:t xml:space="preserve">﻿ </w:t>
      </w:r>
      <w:r>
        <w:rPr>
          <w:rStyle w:val="946"/>
          <w:rFonts w:hint="eastAsia" w:ascii="宋体" w:hAnsi="宋体" w:eastAsia="宋体" w:cs="宋体"/>
          <w:b/>
          <w:bCs/>
          <w:color w:val="auto"/>
          <w:sz w:val="32"/>
          <w:szCs w:val="32"/>
          <w:highlight w:val="none"/>
        </w:rPr>
        <w:t xml:space="preserve">开标一览表（总报价）</w:t>
      </w:r>
      <w:r/>
    </w:p>
    <w:p>
      <w:pPr>
        <w:pStyle w:val="1260"/>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投标</w:t>
      </w:r>
      <w:r>
        <w:rPr>
          <w:rStyle w:val="946"/>
          <w:rFonts w:hint="eastAsia" w:ascii="宋体" w:hAnsi="宋体" w:eastAsia="宋体" w:cs="宋体"/>
          <w:color w:val="auto"/>
          <w:highlight w:val="none"/>
        </w:rPr>
        <w:t xml:space="preserve">人</w:t>
      </w:r>
      <w:r>
        <w:rPr>
          <w:rStyle w:val="946"/>
          <w:rFonts w:ascii="宋体" w:hAnsi="宋体" w:eastAsia="宋体" w:cs="宋体"/>
          <w:color w:val="auto"/>
          <w:highlight w:val="none"/>
        </w:rPr>
        <w:t xml:space="preserve">全称（加盖公章）：</w:t>
      </w:r>
      <w:r/>
    </w:p>
    <w:p>
      <w:pPr>
        <w:pStyle w:val="1260"/>
        <w:spacing w:before="240" w:after="240"/>
        <w:rPr>
          <w:rStyle w:val="946"/>
          <w:rFonts w:ascii="宋体" w:hAnsi="宋体" w:eastAsia="宋体" w:cs="宋体"/>
          <w:color w:val="auto"/>
          <w:highlight w:val="none"/>
        </w:rPr>
      </w:pPr>
      <w:r>
        <w:rPr>
          <w:rStyle w:val="946"/>
          <w:rFonts w:hint="eastAsia" w:ascii="宋体" w:hAnsi="宋体" w:eastAsia="宋体" w:cs="宋体"/>
          <w:color w:val="auto"/>
          <w:highlight w:val="none"/>
        </w:rPr>
        <w:t xml:space="preserve">项目编号：</w:t>
      </w:r>
      <w:r>
        <w:rPr>
          <w:rStyle w:val="946"/>
          <w:rFonts w:ascii="宋体" w:hAnsi="宋体" w:eastAsia="宋体" w:cs="宋体"/>
          <w:color w:val="auto"/>
          <w:highlight w:val="none"/>
        </w:rPr>
        <w:t xml:space="preserve">    </w:t>
      </w:r>
      <w:r/>
    </w:p>
    <w:p>
      <w:pPr>
        <w:pStyle w:val="1260"/>
        <w:spacing w:before="240" w:after="240"/>
        <w:rPr>
          <w:rStyle w:val="946"/>
          <w:rFonts w:ascii="宋体" w:hAnsi="宋体" w:eastAsia="宋体" w:cs="宋体"/>
          <w:color w:val="auto"/>
          <w:highlight w:val="none"/>
        </w:rPr>
      </w:pPr>
      <w:r>
        <w:rPr>
          <w:rStyle w:val="946"/>
          <w:rFonts w:hint="eastAsia" w:ascii="宋体" w:hAnsi="宋体" w:eastAsia="宋体" w:cs="宋体"/>
          <w:color w:val="auto"/>
          <w:highlight w:val="none"/>
        </w:rPr>
        <w:t xml:space="preserve">分包号：</w:t>
      </w:r>
      <w:r/>
    </w:p>
    <w:tbl>
      <w:tblPr>
        <w:tblStyle w:val="71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722"/>
        </w:trPr>
        <w:tc>
          <w:tcPr>
            <w:tcBorders>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60"/>
              <w:ind w:left="0" w:right="0"/>
              <w:jc w:val="center"/>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default" w:ascii="宋体" w:hAnsi="宋体" w:eastAsia="宋体" w:cs="宋体"/>
                <w:color w:val="auto"/>
                <w:highlight w:val="none"/>
              </w:rPr>
              <w:t xml:space="preserve">项目名称</w:t>
            </w:r>
            <w:r/>
          </w:p>
        </w:tc>
        <w:tc>
          <w:tcPr>
            <w:tcBorders>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260"/>
              <w:ind w:left="0" w:right="0"/>
              <w:jc w:val="center"/>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eastAsia" w:ascii="宋体" w:hAnsi="宋体" w:eastAsia="宋体" w:cs="宋体"/>
                <w:color w:val="auto"/>
                <w:highlight w:val="none"/>
              </w:rPr>
              <w:t xml:space="preserve">投标总报价</w:t>
            </w:r>
            <w:r>
              <w:rPr>
                <w:rStyle w:val="946"/>
                <w:rFonts w:hint="default" w:ascii="宋体" w:hAnsi="宋体" w:eastAsia="宋体" w:cs="宋体"/>
                <w:color w:val="auto"/>
                <w:highlight w:val="none"/>
              </w:rPr>
              <w:t xml:space="preserve">（元）</w:t>
            </w:r>
            <w:r/>
          </w:p>
        </w:tc>
      </w:tr>
      <w:tr>
        <w:trPr/>
        <w:tc>
          <w:tcPr>
            <w:tcBorders>
              <w:top w:val="single" w:color="000000" w:sz="6" w:space="0"/>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60"/>
              <w:ind w:left="0" w:right="0"/>
              <w:jc w:val="both"/>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260"/>
              <w:ind w:left="0" w:right="0"/>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default" w:ascii="宋体" w:hAnsi="宋体" w:eastAsia="宋体" w:cs="宋体"/>
                <w:color w:val="auto"/>
                <w:highlight w:val="none"/>
              </w:rPr>
              <w:t xml:space="preserve">  </w:t>
            </w:r>
            <w:r/>
          </w:p>
          <w:p>
            <w:pPr>
              <w:pStyle w:val="1260"/>
              <w:ind w:left="0" w:right="0"/>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eastAsia" w:ascii="宋体" w:hAnsi="宋体" w:eastAsia="宋体" w:cs="宋体"/>
                <w:color w:val="auto"/>
                <w:highlight w:val="none"/>
              </w:rPr>
              <w:t xml:space="preserve">小写：      （元人民币）</w:t>
            </w:r>
            <w:r/>
          </w:p>
          <w:p>
            <w:pPr>
              <w:pStyle w:val="1260"/>
              <w:ind w:left="0" w:right="0"/>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default" w:ascii="宋体" w:hAnsi="宋体" w:eastAsia="宋体" w:cs="宋体"/>
                <w:color w:val="auto"/>
                <w:highlight w:val="none"/>
              </w:rPr>
              <w:t xml:space="preserve">     </w:t>
            </w:r>
            <w:r/>
          </w:p>
        </w:tc>
      </w:tr>
      <w:tr>
        <w:trPr>
          <w:trHeight w:val="572"/>
        </w:trPr>
        <w:tc>
          <w:tcPr>
            <w:tcBorders>
              <w:top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60"/>
              <w:ind w:left="0" w:right="0"/>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default" w:ascii="宋体" w:hAnsi="宋体" w:eastAsia="宋体" w:cs="宋体"/>
                <w:color w:val="auto"/>
                <w:highlight w:val="none"/>
              </w:rPr>
              <w:t xml:space="preserve">投标</w:t>
            </w:r>
            <w:r>
              <w:rPr>
                <w:rStyle w:val="946"/>
                <w:rFonts w:hint="eastAsia" w:ascii="宋体" w:hAnsi="宋体" w:eastAsia="宋体" w:cs="宋体"/>
                <w:color w:val="auto"/>
                <w:highlight w:val="none"/>
              </w:rPr>
              <w:t xml:space="preserve">报价大写金额</w:t>
            </w:r>
            <w:r/>
          </w:p>
        </w:tc>
        <w:tc>
          <w:tcPr>
            <w:tcBorders>
              <w:top w:val="single" w:color="000000" w:sz="6" w:space="0"/>
              <w:left w:val="single" w:color="000000" w:sz="6" w:space="0"/>
            </w:tcBorders>
            <w:tcMar>
              <w:left w:w="0" w:type="dxa"/>
              <w:top w:w="0" w:type="dxa"/>
              <w:right w:w="0" w:type="dxa"/>
              <w:bottom w:w="0" w:type="dxa"/>
            </w:tcMar>
            <w:tcW w:w="5257" w:type="dxa"/>
            <w:vAlign w:val="center"/>
            <w:textDirection w:val="lrTb"/>
            <w:noWrap w:val="false"/>
          </w:tcPr>
          <w:p>
            <w:pPr>
              <w:pStyle w:val="1260"/>
              <w:ind w:left="0" w:right="0"/>
              <w:keepLines w:val="0"/>
              <w:keepNext w:val="0"/>
              <w:spacing w:before="0" w:beforeAutospacing="0" w:after="0" w:afterAutospacing="0"/>
              <w:widowControl/>
              <w:rPr>
                <w:rStyle w:val="946"/>
                <w:rFonts w:hint="default" w:ascii="宋体" w:hAnsi="宋体" w:eastAsia="宋体" w:cs="宋体"/>
                <w:color w:val="auto"/>
                <w:highlight w:val="none"/>
              </w:rPr>
              <w:suppressLineNumbers w:val="0"/>
            </w:pPr>
            <w:r>
              <w:rPr>
                <w:rStyle w:val="946"/>
                <w:rFonts w:hint="default" w:ascii="宋体" w:hAnsi="宋体" w:eastAsia="宋体" w:cs="宋体"/>
                <w:color w:val="auto"/>
                <w:highlight w:val="none"/>
              </w:rPr>
              <w:t xml:space="preserve">  </w:t>
            </w:r>
            <w:r>
              <w:rPr>
                <w:rStyle w:val="946"/>
                <w:rFonts w:hint="eastAsia" w:ascii="宋体" w:hAnsi="宋体" w:eastAsia="宋体" w:cs="宋体"/>
                <w:color w:val="auto"/>
                <w:highlight w:val="none"/>
              </w:rPr>
              <w:t xml:space="preserve">金额大写</w:t>
            </w:r>
            <w:r>
              <w:rPr>
                <w:rStyle w:val="946"/>
                <w:rFonts w:hint="default" w:ascii="宋体" w:hAnsi="宋体" w:eastAsia="宋体" w:cs="宋体"/>
                <w:color w:val="auto"/>
                <w:highlight w:val="none"/>
              </w:rPr>
              <w:t xml:space="preserve">  </w:t>
            </w:r>
            <w:r/>
          </w:p>
        </w:tc>
      </w:tr>
    </w:tbl>
    <w:p>
      <w:pPr>
        <w:pStyle w:val="1260"/>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rPr>
          <w:rStyle w:val="946"/>
          <w:rFonts w:hint="eastAsia" w:ascii="宋体" w:hAnsi="宋体" w:eastAsia="宋体" w:cs="宋体"/>
          <w:color w:val="auto"/>
          <w:highlight w:val="none"/>
        </w:rPr>
        <w:t xml:space="preserve">                                           日期：  年   月   日</w:t>
      </w:r>
      <w:r/>
    </w:p>
    <w:p>
      <w:pPr>
        <w:pStyle w:val="1218"/>
        <w:rPr>
          <w:rStyle w:val="946"/>
          <w:rFonts w:eastAsia="宋体"/>
          <w:color w:val="auto"/>
          <w:highlight w:val="none"/>
        </w:rPr>
        <w:outlineLvl w:val="0"/>
      </w:pPr>
      <w:r/>
      <w:bookmarkStart w:id="271" w:name="_Toc1415"/>
      <w:r>
        <w:rPr>
          <w:rStyle w:val="946"/>
          <w:rFonts w:hint="eastAsia" w:eastAsia="宋体"/>
          <w:color w:val="auto"/>
          <w:highlight w:val="none"/>
        </w:rPr>
        <w:t xml:space="preserve">填写说明：</w:t>
      </w:r>
      <w:bookmarkEnd w:id="271"/>
      <w:r/>
      <w:r/>
    </w:p>
    <w:p>
      <w:pPr>
        <w:pStyle w:val="1218"/>
        <w:numPr>
          <w:ilvl w:val="0"/>
          <w:numId w:val="11"/>
        </w:numPr>
        <w:rPr>
          <w:rStyle w:val="946"/>
          <w:i/>
          <w:iCs/>
          <w:color w:val="auto"/>
          <w:highlight w:val="none"/>
          <w:u w:val="single"/>
        </w:rPr>
        <w:outlineLvl w:val="0"/>
      </w:pPr>
      <w:r/>
      <w:bookmarkStart w:id="272" w:name="_Toc24830"/>
      <w:r>
        <w:rPr>
          <w:rStyle w:val="946"/>
          <w:rFonts w:hint="eastAsia" w:eastAsia="宋体"/>
          <w:i/>
          <w:iCs/>
          <w:color w:val="auto"/>
          <w:highlight w:val="none"/>
          <w:u w:val="single"/>
        </w:rPr>
        <w:t xml:space="preserve">开标一览表必须加盖投标人公章（复印件无效）。</w:t>
      </w:r>
      <w:bookmarkEnd w:id="272"/>
      <w:r/>
      <w:r/>
    </w:p>
    <w:p>
      <w:pPr>
        <w:pStyle w:val="1218"/>
        <w:numPr>
          <w:ilvl w:val="0"/>
          <w:numId w:val="11"/>
        </w:numPr>
        <w:rPr>
          <w:rStyle w:val="946"/>
          <w:i/>
          <w:iCs/>
          <w:color w:val="auto"/>
          <w:highlight w:val="none"/>
          <w:u w:val="single"/>
        </w:rPr>
        <w:outlineLvl w:val="0"/>
      </w:pPr>
      <w:r/>
      <w:bookmarkStart w:id="273" w:name="_Toc30436"/>
      <w:r>
        <w:rPr>
          <w:rStyle w:val="946"/>
          <w:rFonts w:hint="eastAsia" w:eastAsia="宋体"/>
          <w:i/>
          <w:iCs/>
          <w:color w:val="auto"/>
          <w:highlight w:val="none"/>
          <w:u w:val="single"/>
        </w:rPr>
        <w:t xml:space="preserve">如有分包，投标人投任何一个包的标的，都需单独填写开标一览表。</w:t>
      </w:r>
      <w:bookmarkEnd w:id="273"/>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80"/>
        <w:rPr>
          <w:rStyle w:val="946"/>
          <w:rFonts w:hint="default" w:ascii="宋体" w:hAnsi="宋体" w:eastAsia="宋体" w:cs="宋体"/>
          <w:b/>
          <w:color w:val="auto"/>
          <w:sz w:val="32"/>
          <w:highlight w:val="none"/>
          <w:lang w:val="en-US" w:eastAsia="zh-CN"/>
        </w:rPr>
        <w:outlineLvl w:val="0"/>
      </w:pPr>
      <w:r>
        <w:rPr>
          <w:rStyle w:val="946"/>
          <w:rFonts w:hint="eastAsia" w:ascii="宋体" w:hAnsi="宋体" w:eastAsia="宋体" w:cs="宋体"/>
          <w:b/>
          <w:color w:val="auto"/>
          <w:sz w:val="32"/>
          <w:highlight w:val="none"/>
          <w:lang w:val="en-US" w:eastAsia="zh-CN"/>
        </w:rPr>
        <w:t xml:space="preserve">三、分项报价表</w:t>
      </w:r>
      <w:r/>
    </w:p>
    <w:p>
      <w:pPr>
        <w:pStyle w:val="1114"/>
        <w:ind w:firstLine="420"/>
        <w:jc w:val="center"/>
        <w:spacing w:before="320" w:after="320"/>
        <w:rPr>
          <w:rStyle w:val="946"/>
          <w:rFonts w:hint="eastAsia" w:ascii="宋体" w:hAnsi="宋体" w:eastAsia="宋体" w:cs="宋体"/>
          <w:b/>
          <w:bCs/>
          <w:color w:val="auto"/>
          <w:sz w:val="32"/>
          <w:szCs w:val="32"/>
          <w:highlight w:val="none"/>
          <w:lang w:val="en-US" w:eastAsia="zh-CN"/>
        </w:rPr>
      </w:pPr>
      <w:r>
        <w:rPr>
          <w:rStyle w:val="946"/>
          <w:rFonts w:hint="eastAsia" w:ascii="宋体" w:hAnsi="宋体" w:eastAsia="宋体" w:cs="宋体"/>
          <w:b/>
          <w:bCs/>
          <w:color w:val="auto"/>
          <w:sz w:val="32"/>
          <w:szCs w:val="32"/>
          <w:highlight w:val="none"/>
          <w:lang w:val="en-US" w:eastAsia="zh-CN"/>
        </w:rPr>
        <w:t xml:space="preserve">分项报价表</w:t>
      </w:r>
      <w:r>
        <w:rPr>
          <w:rStyle w:val="946"/>
          <w:rFonts w:hint="eastAsia" w:ascii="宋体" w:hAnsi="宋体" w:eastAsia="宋体" w:cs="宋体"/>
          <w:b/>
          <w:bCs/>
          <w:color w:val="auto"/>
          <w:sz w:val="32"/>
          <w:szCs w:val="32"/>
          <w:highlight w:val="none"/>
          <w:lang w:eastAsia="zh-CN"/>
        </w:rPr>
        <w:t xml:space="preserve">（</w:t>
      </w:r>
      <w:r>
        <w:rPr>
          <w:rStyle w:val="946"/>
          <w:rFonts w:hint="eastAsia" w:ascii="宋体" w:hAnsi="宋体" w:eastAsia="宋体" w:cs="宋体"/>
          <w:b/>
          <w:bCs/>
          <w:color w:val="auto"/>
          <w:sz w:val="32"/>
          <w:szCs w:val="32"/>
          <w:highlight w:val="none"/>
          <w:lang w:val="en-US" w:eastAsia="zh-CN"/>
        </w:rPr>
        <w:t xml:space="preserve">一</w:t>
      </w:r>
      <w:r>
        <w:rPr>
          <w:rStyle w:val="946"/>
          <w:rFonts w:hint="eastAsia" w:ascii="宋体" w:hAnsi="宋体" w:eastAsia="宋体" w:cs="宋体"/>
          <w:b/>
          <w:bCs/>
          <w:color w:val="auto"/>
          <w:sz w:val="32"/>
          <w:szCs w:val="32"/>
          <w:highlight w:val="none"/>
          <w:lang w:eastAsia="zh-CN"/>
        </w:rPr>
        <w:t xml:space="preserve">）</w:t>
      </w:r>
      <w:r/>
    </w:p>
    <w:tbl>
      <w:tblPr>
        <w:tblStyle w:val="717"/>
        <w:tblW w:w="95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2"/>
        <w:gridCol w:w="2448"/>
        <w:gridCol w:w="1271"/>
        <w:gridCol w:w="752"/>
        <w:gridCol w:w="1011"/>
        <w:gridCol w:w="1129"/>
        <w:gridCol w:w="2167"/>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节能改造部分</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传统灯具节能改造及日常维护费用</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元/盏/年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最高限价225元/盏/年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太阳能路灯维护费用</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元/盏/年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最高限价150元/盏/年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节能改造灯具所用电费</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最高限价130000元/年</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零星维修费用</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不可竞争</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其他零星电费代收代缴</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不可竞争</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零星辅助设备</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美化路灯（中国结）</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双面LED电子显示屏</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中杆路灯安装</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1197"/>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color w:val="auto"/>
          <w:sz w:val="24"/>
          <w:szCs w:val="24"/>
          <w:highlight w:val="none"/>
        </w:rPr>
        <w:t xml:space="preserve">投标人不得</w:t>
      </w:r>
      <w:r>
        <w:rPr>
          <w:rFonts w:hint="eastAsia" w:ascii="宋体" w:hAnsi="宋体" w:eastAsia="宋体" w:cs="宋体"/>
          <w:b/>
          <w:bCs/>
          <w:color w:val="auto"/>
          <w:sz w:val="24"/>
          <w:szCs w:val="24"/>
          <w:highlight w:val="none"/>
          <w:lang w:val="en-US" w:eastAsia="zh-CN"/>
        </w:rPr>
        <w:t xml:space="preserve">调整上述</w:t>
      </w:r>
      <w:r>
        <w:rPr>
          <w:rFonts w:ascii="宋体" w:hAnsi="宋体" w:eastAsia="宋体" w:cs="宋体"/>
          <w:b/>
          <w:bCs/>
          <w:color w:val="auto"/>
          <w:sz w:val="24"/>
          <w:szCs w:val="24"/>
          <w:highlight w:val="none"/>
        </w:rPr>
        <w:t xml:space="preserve">不可竞争费，否则</w:t>
      </w:r>
      <w:r>
        <w:rPr>
          <w:rStyle w:val="745"/>
          <w:rFonts w:ascii="宋体" w:hAnsi="宋体" w:eastAsia="宋体" w:cs="宋体"/>
          <w:b/>
          <w:bCs/>
          <w:color w:val="auto"/>
          <w:sz w:val="24"/>
          <w:szCs w:val="24"/>
          <w:highlight w:val="none"/>
        </w:rPr>
        <w:t xml:space="preserve">按废标处理</w:t>
      </w:r>
      <w:r>
        <w:rPr>
          <w:rFonts w:ascii="宋体" w:hAnsi="宋体" w:eastAsia="宋体" w:cs="宋体"/>
          <w:b/>
          <w:bCs/>
          <w:color w:val="auto"/>
          <w:sz w:val="24"/>
          <w:szCs w:val="24"/>
          <w:highlight w:val="none"/>
        </w:rPr>
        <w:t xml:space="preserve">。</w:t>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14"/>
        <w:ind w:firstLine="420"/>
        <w:jc w:val="center"/>
        <w:spacing w:before="320" w:after="320"/>
        <w:rPr>
          <w:rStyle w:val="946"/>
          <w:rFonts w:hint="eastAsia" w:ascii="宋体" w:hAnsi="宋体" w:eastAsia="宋体" w:cs="宋体"/>
          <w:b/>
          <w:bCs/>
          <w:color w:val="auto"/>
          <w:sz w:val="32"/>
          <w:szCs w:val="32"/>
          <w:highlight w:val="none"/>
          <w:lang w:val="en-US" w:eastAsia="zh-CN"/>
        </w:rPr>
      </w:pPr>
      <w:r>
        <w:rPr>
          <w:rStyle w:val="946"/>
          <w:rFonts w:hint="eastAsia" w:ascii="宋体" w:hAnsi="宋体" w:eastAsia="宋体" w:cs="宋体"/>
          <w:b/>
          <w:bCs/>
          <w:color w:val="auto"/>
          <w:sz w:val="32"/>
          <w:szCs w:val="32"/>
          <w:highlight w:val="none"/>
          <w:lang w:val="en-US" w:eastAsia="zh-CN"/>
        </w:rPr>
        <w:t xml:space="preserve">报价分析表（二）</w:t>
      </w:r>
      <w:r/>
    </w:p>
    <w:tbl>
      <w:tblPr>
        <w:tblStyle w:val="717"/>
        <w:tblW w:w="909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9"/>
        <w:gridCol w:w="2773"/>
        <w:gridCol w:w="903"/>
        <w:gridCol w:w="903"/>
        <w:gridCol w:w="903"/>
        <w:gridCol w:w="903"/>
        <w:gridCol w:w="903"/>
        <w:gridCol w:w="904"/>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灯具1（</w:t>
            </w:r>
            <w:r>
              <w:rPr>
                <w:rFonts w:hint="eastAsia" w:ascii="宋体" w:hAnsi="宋体" w:cs="宋体"/>
                <w:i w:val="0"/>
                <w:iCs w:val="0"/>
                <w:color w:val="auto"/>
                <w:sz w:val="24"/>
                <w:szCs w:val="24"/>
                <w:highlight w:val="none"/>
                <w:u w:val="none"/>
                <w:lang w:val="en-US" w:eastAsia="zh-CN" w:bidi="ar"/>
              </w:rPr>
              <w:t xml:space="preserve">不低于</w:t>
            </w:r>
            <w:r>
              <w:rPr>
                <w:rFonts w:hint="eastAsia" w:ascii="宋体" w:hAnsi="宋体" w:eastAsia="宋体" w:cs="宋体"/>
                <w:i w:val="0"/>
                <w:iCs w:val="0"/>
                <w:color w:val="auto"/>
                <w:sz w:val="24"/>
                <w:szCs w:val="24"/>
                <w:highlight w:val="none"/>
                <w:u w:val="none"/>
                <w:lang w:val="en-US" w:eastAsia="zh-CN" w:bidi="ar"/>
              </w:rPr>
              <w:t xml:space="preserve">60W）</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灯具2（</w:t>
            </w:r>
            <w:r>
              <w:rPr>
                <w:rFonts w:hint="eastAsia" w:ascii="宋体" w:hAnsi="宋体" w:cs="宋体"/>
                <w:i w:val="0"/>
                <w:iCs w:val="0"/>
                <w:color w:val="auto"/>
                <w:sz w:val="24"/>
                <w:szCs w:val="24"/>
                <w:highlight w:val="none"/>
                <w:u w:val="none"/>
                <w:lang w:val="en-US" w:eastAsia="zh-CN" w:bidi="ar"/>
              </w:rPr>
              <w:t xml:space="preserve">不低于12</w:t>
            </w:r>
            <w:r>
              <w:rPr>
                <w:rFonts w:hint="eastAsia" w:ascii="宋体" w:hAnsi="宋体" w:eastAsia="宋体" w:cs="宋体"/>
                <w:i w:val="0"/>
                <w:iCs w:val="0"/>
                <w:color w:val="auto"/>
                <w:sz w:val="24"/>
                <w:szCs w:val="24"/>
                <w:highlight w:val="none"/>
                <w:u w:val="none"/>
                <w:lang w:val="en-US" w:eastAsia="zh-CN" w:bidi="ar"/>
              </w:rPr>
              <w:t xml:space="preserve">0W)</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路灯集中控制器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太阳能路灯维护</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路灯控制平台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vertAlign w:val="baseline"/>
                <w:lang w:val="en-US" w:eastAsia="zh-CN"/>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美化路灯（中国结）</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双面LED电子显示屏</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1218"/>
        <w:rPr>
          <w:rStyle w:val="946"/>
          <w:color w:val="auto"/>
          <w:highlight w:val="none"/>
        </w:rPr>
        <w:outlineLvl w:val="0"/>
      </w:pPr>
      <w:r>
        <w:rPr>
          <w:rStyle w:val="946"/>
          <w:color w:val="auto"/>
          <w:highlight w:val="none"/>
        </w:rPr>
        <w:br w:type="page" w:clear="all"/>
      </w:r>
      <w:bookmarkStart w:id="274" w:name="_Toc32613"/>
      <w:r/>
      <w:bookmarkStart w:id="275" w:name="_Toc10307"/>
      <w:r/>
      <w:bookmarkStart w:id="276" w:name="_Toc13295"/>
      <w:r>
        <w:rPr>
          <w:rStyle w:val="946"/>
          <w:rFonts w:ascii="宋体" w:hAnsi="宋体" w:eastAsia="宋体" w:cs="宋体"/>
          <w:b/>
          <w:color w:val="auto"/>
          <w:sz w:val="32"/>
          <w:highlight w:val="none"/>
        </w:rPr>
        <w:t xml:space="preserve">四、资格证明文件</w:t>
      </w:r>
      <w:bookmarkEnd w:id="274"/>
      <w:r/>
      <w:bookmarkEnd w:id="275"/>
      <w:r/>
      <w:bookmarkEnd w:id="276"/>
      <w:r/>
      <w:r/>
    </w:p>
    <w:p>
      <w:pPr>
        <w:pStyle w:val="1045"/>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0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1045"/>
        <w:numPr>
          <w:ilvl w:val="0"/>
          <w:numId w:val="0"/>
        </w:numPr>
        <w:ind w:left="105" w:firstLine="480"/>
        <w:spacing w:line="440" w:lineRule="exact"/>
        <w:rPr>
          <w:rFonts w:hint="default" w:eastAsia="宋体"/>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8.中小企业声明函等</w:t>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269"/>
        <w:spacing w:before="240" w:after="240" w:line="360" w:lineRule="auto"/>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300"/>
        <w:spacing w:line="440" w:lineRule="exact"/>
        <w:rPr>
          <w:rStyle w:val="946"/>
          <w:color w:val="auto"/>
          <w:spacing w:val="7"/>
          <w:highlight w:val="none"/>
        </w:rPr>
      </w:pPr>
      <w:r>
        <w:rPr>
          <w:rStyle w:val="946"/>
          <w:color w:val="auto"/>
          <w:highlight w:val="none"/>
        </w:rPr>
        <w:t xml:space="preserve">﻿ </w:t>
      </w:r>
      <w:r/>
    </w:p>
    <w:p>
      <w:pPr>
        <w:pStyle w:val="1355"/>
        <w:ind w:firstLine="420"/>
        <w:jc w:val="center"/>
        <w:spacing w:before="320" w:after="320"/>
        <w:rPr>
          <w:rStyle w:val="946"/>
          <w:rFonts w:ascii="宋体" w:hAnsi="宋体" w:eastAsia="宋体" w:cs="宋体"/>
          <w:b/>
          <w:bCs/>
          <w:color w:val="auto"/>
          <w:sz w:val="32"/>
          <w:szCs w:val="32"/>
          <w:highlight w:val="none"/>
        </w:rPr>
        <w:outlineLvl w:val="1"/>
      </w:pPr>
      <w:r/>
      <w:bookmarkStart w:id="277" w:name="_Toc27904"/>
      <w:r>
        <w:rPr>
          <w:rStyle w:val="946"/>
          <w:rFonts w:ascii="宋体" w:hAnsi="宋体" w:eastAsia="宋体" w:cs="宋体"/>
          <w:b/>
          <w:bCs/>
          <w:color w:val="auto"/>
          <w:sz w:val="32"/>
          <w:szCs w:val="32"/>
          <w:highlight w:val="none"/>
        </w:rPr>
        <w:t xml:space="preserve">具备履行合同所必需的设备和专业技术能力的书面声明</w:t>
      </w:r>
      <w:bookmarkEnd w:id="277"/>
      <w:r/>
      <w:r/>
    </w:p>
    <w:p>
      <w:pPr>
        <w:pStyle w:val="1355"/>
        <w:ind w:firstLine="420"/>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pStyle w:val="1355"/>
        <w:ind w:firstLine="420"/>
        <w:spacing w:before="320" w:after="320"/>
        <w:rPr>
          <w:rStyle w:val="946"/>
          <w:rFonts w:ascii="宋体" w:hAnsi="宋体" w:eastAsia="宋体" w:cs="宋体"/>
          <w:color w:val="auto"/>
          <w:highlight w:val="none"/>
        </w:rPr>
      </w:pPr>
      <w:r>
        <w:rPr>
          <w:rStyle w:val="946"/>
          <w:rFonts w:ascii="宋体" w:hAnsi="宋体" w:eastAsia="宋体" w:cs="宋体"/>
          <w:color w:val="auto"/>
          <w:highlight w:val="none"/>
        </w:rPr>
        <w:t xml:space="preserve">我单位郑重声明： </w:t>
      </w:r>
      <w:r/>
    </w:p>
    <w:p>
      <w:pPr>
        <w:pStyle w:val="1355"/>
        <w:ind w:firstLine="420"/>
        <w:spacing w:before="320" w:after="320"/>
        <w:rPr>
          <w:rStyle w:val="946"/>
          <w:rFonts w:ascii="宋体" w:hAnsi="宋体" w:eastAsia="宋体" w:cs="宋体"/>
          <w:color w:val="auto"/>
          <w:highlight w:val="none"/>
        </w:rPr>
      </w:pPr>
      <w:r>
        <w:rPr>
          <w:rStyle w:val="946"/>
          <w:rFonts w:ascii="宋体" w:hAnsi="宋体" w:eastAsia="宋体" w:cs="宋体"/>
          <w:color w:val="auto"/>
          <w:highlight w:val="none"/>
        </w:rPr>
        <w:t xml:space="preserve">我单位具备履行本项采购合同所必需的设备和专业技术能力。 </w:t>
      </w:r>
      <w:r/>
    </w:p>
    <w:p>
      <w:pPr>
        <w:pStyle w:val="1355"/>
        <w:ind w:firstLine="420"/>
        <w:spacing w:before="360" w:after="360"/>
        <w:rPr>
          <w:rStyle w:val="946"/>
          <w:rFonts w:ascii="宋体" w:hAnsi="宋体" w:eastAsia="宋体" w:cs="宋体"/>
          <w:color w:val="auto"/>
          <w:sz w:val="36"/>
          <w:szCs w:val="36"/>
          <w:highlight w:val="none"/>
        </w:rPr>
      </w:pPr>
      <w:r>
        <w:rPr>
          <w:rStyle w:val="946"/>
          <w:rFonts w:ascii="宋体" w:hAnsi="宋体" w:eastAsia="宋体" w:cs="宋体"/>
          <w:color w:val="auto"/>
          <w:sz w:val="36"/>
          <w:szCs w:val="36"/>
          <w:highlight w:val="none"/>
        </w:rPr>
        <w:t xml:space="preserve"> </w:t>
      </w:r>
      <w:r/>
    </w:p>
    <w:p>
      <w:pPr>
        <w:pStyle w:val="1355"/>
        <w:ind w:firstLine="420"/>
        <w:jc w:val="center"/>
        <w:spacing w:before="360" w:after="360"/>
        <w:rPr>
          <w:rStyle w:val="946"/>
          <w:rFonts w:ascii="宋体" w:hAnsi="宋体" w:eastAsia="宋体" w:cs="宋体"/>
          <w:color w:val="auto"/>
          <w:sz w:val="36"/>
          <w:szCs w:val="36"/>
          <w:highlight w:val="none"/>
        </w:rPr>
        <w:outlineLvl w:val="1"/>
      </w:pPr>
      <w:r/>
      <w:bookmarkStart w:id="278" w:name="_Toc419"/>
      <w:r>
        <w:rPr>
          <w:rStyle w:val="946"/>
          <w:rFonts w:ascii="宋体" w:hAnsi="宋体" w:eastAsia="宋体" w:cs="宋体"/>
          <w:color w:val="auto"/>
          <w:sz w:val="36"/>
          <w:szCs w:val="36"/>
          <w:highlight w:val="none"/>
        </w:rPr>
        <w:t xml:space="preserve"> </w:t>
      </w:r>
      <w:r>
        <w:rPr>
          <w:rFonts w:hint="eastAsia" w:hAnsi="宋体" w:cs="宋体"/>
          <w:color w:val="auto"/>
          <w:highlight w:val="none"/>
        </w:rPr>
        <w:t xml:space="preserve">    供应商名称（加盖公章）：</w:t>
      </w:r>
      <w:bookmarkEnd w:id="278"/>
      <w:r/>
      <w:r/>
    </w:p>
    <w:p>
      <w:pPr>
        <w:pStyle w:val="1349"/>
        <w:rPr>
          <w:rStyle w:val="946"/>
          <w:rFonts w:ascii="宋体" w:hAnsi="宋体" w:eastAsia="宋体" w:cs="宋体"/>
          <w:color w:val="auto"/>
          <w:sz w:val="36"/>
          <w:szCs w:val="36"/>
          <w:highlight w:val="none"/>
        </w:rPr>
      </w:pPr>
      <w:r>
        <w:rPr>
          <w:rStyle w:val="946"/>
          <w:rFonts w:ascii="宋体" w:hAnsi="宋体" w:eastAsia="宋体" w:cs="宋体"/>
          <w:color w:val="auto"/>
          <w:sz w:val="36"/>
          <w:szCs w:val="36"/>
          <w:highlight w:val="none"/>
        </w:rPr>
        <w:t xml:space="preserve"> </w:t>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349"/>
        <w:rPr>
          <w:rStyle w:val="946"/>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43"/>
        <w:spacing w:line="440" w:lineRule="exact"/>
        <w:rPr>
          <w:rStyle w:val="946"/>
          <w:color w:val="auto"/>
          <w:spacing w:val="7"/>
          <w:highlight w:val="none"/>
        </w:rPr>
      </w:pPr>
      <w:r>
        <w:rPr>
          <w:rStyle w:val="946"/>
          <w:rFonts w:ascii="宋体" w:hAnsi="宋体" w:eastAsia="宋体" w:cs="宋体"/>
          <w:color w:val="auto"/>
          <w:highlight w:val="none"/>
        </w:rPr>
        <w:t xml:space="preserve">﻿ </w:t>
      </w:r>
      <w:r/>
    </w:p>
    <w:p>
      <w:pPr>
        <w:ind w:firstLine="480"/>
        <w:jc w:val="center"/>
        <w:spacing w:line="560" w:lineRule="exact"/>
        <w:rPr>
          <w:rFonts w:ascii="宋体" w:hAnsi="宋体" w:cs="宋体"/>
          <w:b/>
          <w:color w:val="auto"/>
          <w:sz w:val="32"/>
          <w:szCs w:val="32"/>
          <w:highlight w:val="none"/>
        </w:rPr>
        <w:outlineLvl w:val="1"/>
      </w:pPr>
      <w:r/>
      <w:bookmarkStart w:id="279" w:name="_Toc18420"/>
      <w:r>
        <w:rPr>
          <w:rFonts w:hint="eastAsia" w:ascii="宋体" w:hAnsi="宋体" w:cs="宋体"/>
          <w:b/>
          <w:color w:val="auto"/>
          <w:sz w:val="32"/>
          <w:szCs w:val="32"/>
          <w:highlight w:val="none"/>
        </w:rPr>
        <w:t xml:space="preserve">参加政府采购活动前3年内在经营活动中没有重大违法记录的书面声明</w:t>
      </w:r>
      <w:bookmarkEnd w:id="279"/>
      <w:r/>
      <w:r/>
    </w:p>
    <w:p>
      <w:pPr>
        <w:spacing w:line="360" w:lineRule="auto"/>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                                供应商名称（加盖公章）：</w:t>
      </w:r>
      <w:r/>
    </w:p>
    <w:p>
      <w:pPr>
        <w:pStyle w:val="1243"/>
        <w:spacing w:before="240" w:after="240"/>
        <w:rPr>
          <w:rStyle w:val="946"/>
          <w:rFonts w:ascii="宋体" w:hAnsi="宋体" w:eastAsia="宋体" w:cs="宋体"/>
          <w:color w:val="auto"/>
          <w:highlight w:val="none"/>
        </w:rPr>
      </w:pPr>
      <w:r>
        <w:rPr>
          <w:rStyle w:val="946"/>
          <w:rFonts w:ascii="宋体" w:hAnsi="宋体" w:eastAsia="宋体" w:cs="宋体"/>
          <w:color w:val="auto"/>
          <w:highlight w:val="none"/>
        </w:rPr>
        <w:t xml:space="preserve"> </w:t>
      </w:r>
      <w:r/>
    </w:p>
    <w:p>
      <w:pPr>
        <w:ind w:firstLine="420"/>
        <w:jc w:val="center"/>
        <w:spacing w:line="360" w:lineRule="auto"/>
        <w:rPr>
          <w:rStyle w:val="946"/>
          <w:rFonts w:ascii="Times New Roman" w:hAnsi="Times New Roman" w:eastAsia="Times New Roman"/>
          <w:color w:val="auto"/>
          <w:highlight w:val="none"/>
        </w:rPr>
      </w:pPr>
      <w:r>
        <w:rPr>
          <w:rStyle w:val="946"/>
          <w:rFonts w:ascii="Times New Roman" w:hAnsi="Times New Roman" w:eastAsia="Times New Roman"/>
          <w:color w:val="auto"/>
          <w:highlight w:val="none"/>
        </w:rPr>
        <w:br w:type="page" w:clear="all"/>
      </w:r>
      <w:r/>
    </w:p>
    <w:p>
      <w:pPr>
        <w:ind w:firstLine="420"/>
        <w:jc w:val="center"/>
        <w:spacing w:line="360" w:lineRule="auto"/>
        <w:rPr>
          <w:rStyle w:val="946"/>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outlineLvl w:val="1"/>
      </w:pPr>
      <w:r>
        <w:rPr>
          <w:rStyle w:val="946"/>
          <w:rFonts w:ascii="宋体" w:hAnsi="宋体" w:cs="宋体"/>
          <w:b/>
          <w:color w:val="auto"/>
          <w:sz w:val="28"/>
          <w:highlight w:val="none"/>
        </w:rPr>
        <w:t xml:space="preserve">  </w:t>
      </w:r>
      <w:bookmarkStart w:id="280"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80"/>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60"/>
        <w:ind w:firstLine="480"/>
        <w:spacing w:line="440" w:lineRule="exact"/>
        <w:rPr>
          <w:rFonts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ascii="宋体" w:hAnsi="宋体"/>
          <w:color w:val="auto"/>
          <w:sz w:val="24"/>
          <w:highlight w:val="none"/>
        </w:rPr>
        <w:outlineLvl w:val="1"/>
      </w:pPr>
      <w:r>
        <w:rPr>
          <w:rFonts w:hint="eastAsia" w:ascii="宋体" w:hAnsi="宋体"/>
          <w:color w:val="auto"/>
          <w:sz w:val="24"/>
          <w:highlight w:val="none"/>
        </w:rPr>
        <w:t xml:space="preserve">         </w:t>
      </w:r>
      <w:bookmarkStart w:id="281" w:name="_Toc5040"/>
      <w:r>
        <w:rPr>
          <w:rFonts w:hint="eastAsia" w:ascii="宋体" w:hAnsi="宋体"/>
          <w:color w:val="auto"/>
          <w:sz w:val="24"/>
          <w:highlight w:val="none"/>
        </w:rPr>
        <w:t xml:space="preserve">供应商名称（加盖公章）：</w:t>
      </w:r>
      <w:bookmarkEnd w:id="281"/>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pPr>
      <w:r>
        <w:rPr>
          <w:rStyle w:val="946"/>
          <w:rFonts w:ascii="宋体" w:hAnsi="宋体" w:eastAsia="宋体" w:cs="宋体"/>
          <w:b/>
          <w:color w:val="auto"/>
          <w:sz w:val="28"/>
          <w:highlight w:val="none"/>
        </w:rPr>
        <w:t xml:space="preserve">  </w:t>
      </w:r>
      <w:bookmarkStart w:id="282" w:name="_Toc15106"/>
      <w:r/>
      <w:bookmarkStart w:id="283" w:name="_Toc12431"/>
      <w:r/>
      <w:r/>
    </w:p>
    <w:p>
      <w:pPr>
        <w:pStyle w:val="1116"/>
        <w:rPr>
          <w:rFonts w:ascii="宋体" w:hAnsi="宋体" w:eastAsia="宋体" w:cs="宋体"/>
          <w:b/>
          <w:color w:val="auto"/>
          <w:sz w:val="32"/>
          <w:highlight w:val="none"/>
        </w:rPr>
        <w:outlineLvl w:val="0"/>
      </w:pPr>
      <w:r/>
      <w:bookmarkStart w:id="284" w:name="_Toc12095"/>
      <w:r/>
      <w:r/>
    </w:p>
    <w:p>
      <w:pPr>
        <w:pStyle w:val="1116"/>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rPr>
          <w:rStyle w:val="946"/>
          <w:b/>
          <w:bCs/>
          <w:color w:val="auto"/>
          <w:sz w:val="32"/>
          <w:szCs w:val="32"/>
          <w:highlight w:val="none"/>
        </w:rPr>
      </w:pPr>
      <w:r/>
      <w:bookmarkStart w:id="285" w:name="_Toc14114"/>
      <w:r>
        <w:rPr>
          <w:rStyle w:val="946"/>
          <w:b/>
          <w:bCs/>
          <w:color w:val="auto"/>
          <w:sz w:val="32"/>
          <w:szCs w:val="32"/>
          <w:highlight w:val="none"/>
        </w:rPr>
        <w:br w:type="page" w:clear="all"/>
      </w:r>
      <w:bookmarkEnd w:id="285"/>
      <w:r/>
      <w:r/>
    </w:p>
    <w:p>
      <w:pPr>
        <w:jc w:val="center"/>
        <w:spacing w:before="320" w:after="320"/>
        <w:rPr>
          <w:rFonts w:ascii="Times New Roman" w:hAnsi="Times New Roman" w:eastAsia="宋体" w:cs="Times New Roman"/>
          <w:color w:val="auto"/>
          <w:sz w:val="24"/>
          <w:szCs w:val="24"/>
          <w:highlight w:val="none"/>
          <w:lang w:val="en-US" w:eastAsia="zh-CN" w:bidi="ar-SA"/>
        </w:rPr>
        <w:outlineLvl w:val="1"/>
      </w:pPr>
      <w:r>
        <w:rPr>
          <w:rFonts w:hint="eastAsia" w:ascii="Calibri" w:hAnsi="Calibri" w:eastAsia="宋体" w:cs="Times New Roman"/>
          <w:b/>
          <w:bCs/>
          <w:color w:val="auto"/>
          <w:sz w:val="32"/>
          <w:szCs w:val="32"/>
          <w:highlight w:val="none"/>
          <w:lang w:val="en-US" w:eastAsia="zh-CN" w:bidi="ar-SA"/>
        </w:rPr>
        <w:t xml:space="preserve">1、</w:t>
      </w:r>
      <w:r>
        <w:rPr>
          <w:rFonts w:ascii="Calibri" w:hAnsi="Calibri" w:eastAsia="宋体" w:cs="Times New Roman"/>
          <w:b/>
          <w:bCs/>
          <w:color w:val="auto"/>
          <w:sz w:val="32"/>
          <w:szCs w:val="32"/>
          <w:highlight w:val="none"/>
          <w:lang w:val="en-US" w:eastAsia="zh-CN" w:bidi="ar-SA"/>
        </w:rPr>
        <w:t xml:space="preserve">授权委托书</w:t>
      </w:r>
      <w:r/>
    </w:p>
    <w:p>
      <w:pPr>
        <w:ind w:firstLine="50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本授权书声明：</w:t>
      </w:r>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供应商</w:t>
      </w:r>
      <w:r>
        <w:rPr>
          <w:rFonts w:ascii="Calibri" w:hAnsi="Calibri" w:eastAsia="宋体" w:cs="Times New Roman"/>
          <w:color w:val="auto"/>
          <w:sz w:val="21"/>
          <w:szCs w:val="22"/>
          <w:highlight w:val="none"/>
          <w:lang w:val="en-US" w:eastAsia="zh-CN" w:bidi="ar-SA"/>
        </w:rPr>
        <w:t xml:space="preserve">名称）授权</w:t>
      </w:r>
      <w:bookmarkStart w:id="286" w:name="sys_STR"/>
      <w:r/>
      <w:bookmarkEnd w:id="286"/>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(被授权人的姓名)（</w:t>
      </w:r>
      <w:r>
        <w:rPr>
          <w:rFonts w:hint="eastAsia" w:ascii="Calibri" w:hAnsi="Calibri" w:eastAsia="宋体" w:cs="Times New Roman"/>
          <w:color w:val="auto"/>
          <w:sz w:val="21"/>
          <w:szCs w:val="22"/>
          <w:highlight w:val="none"/>
          <w:lang w:val="en-US" w:eastAsia="zh-CN" w:bidi="ar-SA"/>
        </w:rPr>
        <w:t xml:space="preserve">被授权人身份证号码</w:t>
      </w:r>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）为我方就</w:t>
      </w:r>
      <w:r>
        <w:rPr>
          <w:rFonts w:hint="eastAsia" w:ascii="Calibri" w:hAnsi="Calibri" w:eastAsia="宋体" w:cs="Times New Roman"/>
          <w:color w:val="auto"/>
          <w:sz w:val="21"/>
          <w:szCs w:val="22"/>
          <w:highlight w:val="none"/>
          <w:u w:val="single"/>
          <w:lang w:val="en-US" w:eastAsia="zh-CN" w:bidi="ar-SA"/>
        </w:rPr>
        <w:t xml:space="preserve">              （项目编号：     ）</w:t>
      </w:r>
      <w:r>
        <w:rPr>
          <w:rFonts w:ascii="Calibri" w:hAnsi="Calibri" w:eastAsia="宋体" w:cs="Times New Roman"/>
          <w:color w:val="auto"/>
          <w:sz w:val="21"/>
          <w:szCs w:val="22"/>
          <w:highlight w:val="none"/>
          <w:lang w:val="en-US" w:eastAsia="zh-CN" w:bidi="ar-SA"/>
        </w:rPr>
        <w:t xml:space="preserve">项目采购活动的合法代理人，以本单位名义全权处理一切与该项目采购有关的事务</w:t>
      </w:r>
      <w:r>
        <w:rPr>
          <w:rFonts w:hint="eastAsia" w:ascii="Calibri" w:hAnsi="Calibri" w:eastAsia="宋体" w:cs="Times New Roman"/>
          <w:color w:val="auto"/>
          <w:sz w:val="21"/>
          <w:szCs w:val="22"/>
          <w:highlight w:val="none"/>
          <w:lang w:val="en-US" w:eastAsia="zh-CN" w:bidi="ar-SA"/>
        </w:rPr>
        <w:t xml:space="preserve">，其代表本单位处理相关事项所产生的一切责任由本单位承担。</w:t>
      </w:r>
      <w:r/>
    </w:p>
    <w:p>
      <w:pPr>
        <w:ind w:firstLine="50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本授权书于</w:t>
      </w:r>
      <w:r>
        <w:rPr>
          <w:rFonts w:hint="eastAsia" w:ascii="Calibri" w:hAnsi="Calibri" w:eastAsia="宋体" w:cs="Times New Roman"/>
          <w:color w:val="auto"/>
          <w:sz w:val="21"/>
          <w:szCs w:val="22"/>
          <w:highlight w:val="none"/>
          <w:u w:val="single"/>
          <w:lang w:val="en-US" w:eastAsia="zh-CN" w:bidi="ar-SA"/>
        </w:rPr>
        <w:t xml:space="preserve">   年  月   日</w:t>
      </w:r>
      <w:r>
        <w:rPr>
          <w:rFonts w:ascii="Calibri" w:hAnsi="Calibri" w:eastAsia="宋体" w:cs="Times New Roman"/>
          <w:color w:val="auto"/>
          <w:sz w:val="21"/>
          <w:szCs w:val="22"/>
          <w:highlight w:val="none"/>
          <w:lang w:val="en-US" w:eastAsia="zh-CN" w:bidi="ar-SA"/>
        </w:rPr>
        <w:t xml:space="preserve">起生效，特此声明。  </w:t>
      </w:r>
      <w:r/>
    </w:p>
    <w:p>
      <w:pPr>
        <w:spacing w:before="240" w:after="240"/>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ind w:firstLine="357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被授权人联系电话：（手机）   </w:t>
      </w:r>
      <w:r/>
    </w:p>
    <w:p>
      <w:pPr>
        <w:ind w:firstLine="357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授权单位名称：   （加盖公章）</w:t>
      </w:r>
      <w:r/>
    </w:p>
    <w:p>
      <w:pPr>
        <w:ind w:firstLine="3570"/>
        <w:spacing w:before="240" w:after="240"/>
        <w:rPr>
          <w:rFonts w:ascii="Times New Roman" w:hAnsi="Times New Roman" w:eastAsia="宋体"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单位地址：   </w:t>
      </w:r>
      <w:r>
        <w:rPr>
          <w:rFonts w:hint="eastAsia" w:ascii="Calibri" w:hAnsi="Calibri" w:eastAsia="宋体" w:cs="Times New Roman"/>
          <w:color w:val="auto"/>
          <w:sz w:val="21"/>
          <w:szCs w:val="22"/>
          <w:highlight w:val="none"/>
          <w:lang w:val="en-US" w:eastAsia="zh-CN" w:bidi="ar-SA"/>
        </w:rPr>
        <w:t xml:space="preserve"> </w:t>
      </w:r>
      <w:r/>
    </w:p>
    <w:p>
      <w:pPr>
        <w:ind w:firstLine="3600"/>
        <w:spacing w:before="240" w:after="240"/>
        <w:rPr>
          <w:rFonts w:hint="default" w:ascii="宋体" w:hAnsi="宋体" w:eastAsia="宋体" w:cs="Times New Roman"/>
          <w:color w:val="auto"/>
          <w:sz w:val="24"/>
          <w:szCs w:val="21"/>
          <w:highlight w:val="none"/>
          <w:lang w:val="en-US" w:eastAsia="zh-CN" w:bidi="ar-SA"/>
        </w:rPr>
      </w:pPr>
      <w:r>
        <w:rPr>
          <w:rFonts w:ascii="Calibri" w:hAnsi="Calibri" w:eastAsia="宋体" w:cs="Times New Roman"/>
          <w:color w:val="auto"/>
          <w:sz w:val="21"/>
          <w:szCs w:val="22"/>
          <w:highlight w:val="none"/>
          <w:lang w:val="en-US" w:eastAsia="zh-CN" w:bidi="ar-SA"/>
        </w:rPr>
        <w:t xml:space="preserve">日期：   </w:t>
      </w:r>
      <w:r>
        <w:rPr>
          <w:rFonts w:hint="eastAsia" w:ascii="Calibri" w:hAnsi="Calibri" w:eastAsia="宋体" w:cs="Times New Roman"/>
          <w:color w:val="auto"/>
          <w:sz w:val="21"/>
          <w:szCs w:val="22"/>
          <w:highlight w:val="none"/>
          <w:lang w:val="en-US" w:eastAsia="zh-CN" w:bidi="ar-SA"/>
        </w:rPr>
        <w:t xml:space="preserve">年   月   日</w:t>
      </w:r>
      <w:r/>
    </w:p>
    <w:p>
      <w:pPr>
        <w:jc w:val="left"/>
        <w:widowControl/>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jc w:val="center"/>
        <w:spacing w:before="240" w:after="240"/>
        <w:rPr>
          <w:rFonts w:ascii="Times New Roman" w:hAnsi="Times New Roman" w:eastAsia="宋体" w:cs="Times New Roman"/>
          <w:color w:val="auto"/>
          <w:sz w:val="24"/>
          <w:szCs w:val="24"/>
          <w:highlight w:val="none"/>
          <w:lang w:val="en-US" w:eastAsia="zh-CN" w:bidi="ar-SA"/>
        </w:rPr>
      </w:pPr>
      <w:r>
        <w:rPr>
          <w:rFonts w:hint="eastAsia" w:ascii="Calibri" w:hAnsi="Calibri" w:eastAsia="宋体" w:cs="Times New Roman"/>
          <w:b/>
          <w:bCs/>
          <w:color w:val="auto"/>
          <w:sz w:val="32"/>
          <w:szCs w:val="32"/>
          <w:highlight w:val="none"/>
          <w:lang w:val="en-US" w:eastAsia="zh-CN" w:bidi="ar-SA"/>
        </w:rPr>
        <w:t xml:space="preserve">2、法定代表人身份证明书</w:t>
      </w:r>
      <w:r/>
    </w:p>
    <w:p>
      <w:pPr>
        <w:ind w:firstLine="500"/>
        <w:spacing w:before="240" w:after="240"/>
        <w:rPr>
          <w:rFonts w:ascii="Times New Roman" w:hAnsi="Times New Roman" w:eastAsia="Times New Roman" w:cs="Times New Roman"/>
          <w:color w:val="auto"/>
          <w:sz w:val="24"/>
          <w:szCs w:val="24"/>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兹证明</w:t>
      </w:r>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姓名</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法定代表人身份证号码</w:t>
      </w:r>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担任</w:t>
      </w:r>
      <w:r>
        <w:rPr>
          <w:rFonts w:hint="eastAsia" w:ascii="Calibri" w:hAnsi="Calibri" w:eastAsia="宋体" w:cs="Times New Roman"/>
          <w:color w:val="auto"/>
          <w:sz w:val="21"/>
          <w:szCs w:val="22"/>
          <w:highlight w:val="none"/>
          <w:u w:val="single"/>
          <w:lang w:val="en-US" w:eastAsia="zh-CN" w:bidi="ar-SA"/>
        </w:rPr>
        <w:t xml:space="preserve">            </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供应商名称</w:t>
      </w:r>
      <w:r>
        <w:rPr>
          <w:rFonts w:ascii="Calibri" w:hAnsi="Calibri" w:eastAsia="宋体" w:cs="Times New Roman"/>
          <w:color w:val="auto"/>
          <w:sz w:val="21"/>
          <w:szCs w:val="22"/>
          <w:highlight w:val="none"/>
          <w:lang w:val="en-US" w:eastAsia="zh-CN" w:bidi="ar-SA"/>
        </w:rPr>
        <w:t xml:space="preserve">)</w:t>
      </w:r>
      <w:r>
        <w:rPr>
          <w:rFonts w:hint="eastAsia" w:ascii="Calibri" w:hAnsi="Calibri" w:eastAsia="宋体" w:cs="Times New Roman"/>
          <w:color w:val="auto"/>
          <w:sz w:val="21"/>
          <w:szCs w:val="22"/>
          <w:highlight w:val="none"/>
          <w:u w:val="single"/>
          <w:lang w:val="en-US" w:eastAsia="zh-CN" w:bidi="ar-SA"/>
        </w:rPr>
        <w:t xml:space="preserve">      （职位 ）</w:t>
      </w:r>
      <w:r>
        <w:rPr>
          <w:rFonts w:hint="eastAsia" w:ascii="Calibri" w:hAnsi="Calibri" w:eastAsia="宋体" w:cs="Times New Roman"/>
          <w:color w:val="auto"/>
          <w:sz w:val="21"/>
          <w:szCs w:val="22"/>
          <w:highlight w:val="none"/>
          <w:u w:val="none"/>
          <w:lang w:val="en-US" w:eastAsia="zh-CN" w:bidi="ar-SA"/>
        </w:rPr>
        <w:t xml:space="preserve">，是</w:t>
      </w:r>
      <w:r>
        <w:rPr>
          <w:rFonts w:hint="eastAsia" w:ascii="Calibri" w:hAnsi="Calibri" w:eastAsia="宋体" w:cs="Times New Roman"/>
          <w:color w:val="auto"/>
          <w:sz w:val="21"/>
          <w:szCs w:val="22"/>
          <w:highlight w:val="none"/>
          <w:lang w:val="en-US" w:eastAsia="zh-CN" w:bidi="ar-SA"/>
        </w:rPr>
        <w:t xml:space="preserve">我单位的法定代表人</w:t>
      </w:r>
      <w:r>
        <w:rPr>
          <w:rFonts w:ascii="Calibri" w:hAnsi="Calibri" w:eastAsia="宋体" w:cs="Times New Roman"/>
          <w:color w:val="auto"/>
          <w:sz w:val="21"/>
          <w:szCs w:val="22"/>
          <w:highlight w:val="none"/>
          <w:lang w:val="en-US" w:eastAsia="zh-CN" w:bidi="ar-SA"/>
        </w:rPr>
        <w:t xml:space="preserve">。 </w:t>
      </w:r>
      <w:r/>
    </w:p>
    <w:p>
      <w:pPr>
        <w:ind w:firstLine="50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特此</w:t>
      </w:r>
      <w:r>
        <w:rPr>
          <w:rFonts w:hint="eastAsia" w:ascii="Calibri" w:hAnsi="Calibri" w:eastAsia="宋体" w:cs="Times New Roman"/>
          <w:color w:val="auto"/>
          <w:sz w:val="21"/>
          <w:szCs w:val="22"/>
          <w:highlight w:val="none"/>
          <w:lang w:val="en-US" w:eastAsia="zh-CN" w:bidi="ar-SA"/>
        </w:rPr>
        <w:t xml:space="preserve">证</w:t>
      </w:r>
      <w:r>
        <w:rPr>
          <w:rFonts w:ascii="Calibri" w:hAnsi="Calibri" w:eastAsia="宋体" w:cs="Times New Roman"/>
          <w:color w:val="auto"/>
          <w:sz w:val="21"/>
          <w:szCs w:val="22"/>
          <w:highlight w:val="none"/>
          <w:lang w:val="en-US" w:eastAsia="zh-CN" w:bidi="ar-SA"/>
        </w:rPr>
        <w:t xml:space="preserve">明。  </w:t>
      </w:r>
      <w:r/>
    </w:p>
    <w:p>
      <w:pPr>
        <w:ind w:firstLine="500"/>
        <w:spacing w:before="240" w:after="240"/>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ind w:firstLine="21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 </w:t>
      </w:r>
      <w:r>
        <w:rPr>
          <w:rFonts w:hint="eastAsia" w:ascii="Calibri" w:hAnsi="Calibri" w:eastAsia="宋体" w:cs="Times New Roman"/>
          <w:color w:val="auto"/>
          <w:sz w:val="21"/>
          <w:szCs w:val="22"/>
          <w:highlight w:val="none"/>
          <w:lang w:val="en-US" w:eastAsia="zh-CN" w:bidi="ar-SA"/>
        </w:rPr>
        <w:t xml:space="preserve">                       </w:t>
      </w:r>
      <w:r/>
    </w:p>
    <w:p>
      <w:pPr>
        <w:ind w:firstLine="3570"/>
        <w:spacing w:before="240" w:after="240"/>
        <w:rPr>
          <w:rFonts w:ascii="Times New Roman" w:hAnsi="Times New Roman" w:eastAsia="Times New Roman" w:cs="Times New Roman"/>
          <w:color w:val="auto"/>
          <w:sz w:val="24"/>
          <w:szCs w:val="24"/>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法定代表人</w:t>
      </w:r>
      <w:r>
        <w:rPr>
          <w:rFonts w:ascii="Calibri" w:hAnsi="Calibri" w:eastAsia="宋体" w:cs="Times New Roman"/>
          <w:color w:val="auto"/>
          <w:sz w:val="21"/>
          <w:szCs w:val="22"/>
          <w:highlight w:val="none"/>
          <w:lang w:val="en-US" w:eastAsia="zh-CN" w:bidi="ar-SA"/>
        </w:rPr>
        <w:t xml:space="preserve">联系电话：（手机）   </w:t>
      </w:r>
      <w:r/>
    </w:p>
    <w:p>
      <w:pPr>
        <w:ind w:firstLine="3570"/>
        <w:spacing w:before="240" w:after="240"/>
        <w:rPr>
          <w:rFonts w:ascii="Times New Roman" w:hAnsi="Times New Roman" w:eastAsia="Times New Roman"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单位名称：   （加盖公章）</w:t>
      </w:r>
      <w:r/>
    </w:p>
    <w:p>
      <w:pPr>
        <w:ind w:firstLine="3570"/>
        <w:spacing w:before="240" w:after="240"/>
        <w:rPr>
          <w:rFonts w:ascii="Times New Roman" w:hAnsi="Times New Roman" w:eastAsia="宋体" w:cs="Times New Roman"/>
          <w:color w:val="auto"/>
          <w:sz w:val="24"/>
          <w:szCs w:val="24"/>
          <w:highlight w:val="none"/>
          <w:lang w:val="en-US" w:eastAsia="zh-CN" w:bidi="ar-SA"/>
        </w:rPr>
      </w:pPr>
      <w:r>
        <w:rPr>
          <w:rFonts w:ascii="Calibri" w:hAnsi="Calibri" w:eastAsia="宋体" w:cs="Times New Roman"/>
          <w:color w:val="auto"/>
          <w:sz w:val="21"/>
          <w:szCs w:val="22"/>
          <w:highlight w:val="none"/>
          <w:lang w:val="en-US" w:eastAsia="zh-CN" w:bidi="ar-SA"/>
        </w:rPr>
        <w:t xml:space="preserve">单位地址：   </w:t>
      </w:r>
      <w:r>
        <w:rPr>
          <w:rFonts w:hint="eastAsia" w:ascii="Calibri" w:hAnsi="Calibri" w:eastAsia="宋体" w:cs="Times New Roman"/>
          <w:color w:val="auto"/>
          <w:sz w:val="21"/>
          <w:szCs w:val="22"/>
          <w:highlight w:val="none"/>
          <w:lang w:val="en-US" w:eastAsia="zh-CN" w:bidi="ar-SA"/>
        </w:rPr>
        <w:t xml:space="preserve"> </w:t>
      </w:r>
      <w:r/>
    </w:p>
    <w:p>
      <w:pPr>
        <w:ind w:firstLine="3600"/>
        <w:spacing w:before="240" w:after="240"/>
        <w:rPr>
          <w:rFonts w:hint="eastAsia"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lang w:val="en-US" w:eastAsia="zh-CN" w:bidi="ar-SA"/>
        </w:rPr>
        <w:t xml:space="preserve">日期：   </w:t>
      </w:r>
      <w:r>
        <w:rPr>
          <w:rFonts w:hint="eastAsia" w:ascii="Calibri" w:hAnsi="Calibri" w:eastAsia="宋体" w:cs="Times New Roman"/>
          <w:color w:val="auto"/>
          <w:sz w:val="21"/>
          <w:szCs w:val="22"/>
          <w:highlight w:val="none"/>
          <w:lang w:val="en-US" w:eastAsia="zh-CN" w:bidi="ar-SA"/>
        </w:rPr>
        <w:t xml:space="preserve">年   月   日</w:t>
      </w:r>
      <w:r/>
    </w:p>
    <w:p>
      <w:pPr>
        <w:ind w:firstLine="3600"/>
        <w:spacing w:before="240" w:after="240"/>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ind w:firstLine="3600"/>
        <w:spacing w:before="240" w:after="240"/>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ind w:firstLine="3600"/>
        <w:spacing w:before="240" w:after="240"/>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jc w:val="left"/>
        <w:spacing w:before="320" w:after="320"/>
        <w:rPr>
          <w:rFonts w:hint="eastAsia" w:ascii="Times New Roman" w:hAnsi="Times New Roman" w:eastAsia="宋体" w:cs="Times New Roman"/>
          <w:b/>
          <w:bCs/>
          <w:color w:val="auto"/>
          <w:sz w:val="32"/>
          <w:szCs w:val="32"/>
          <w:highlight w:val="none"/>
          <w:lang w:val="en-US" w:eastAsia="zh-CN" w:bidi="ar-SA"/>
        </w:rPr>
        <w:outlineLvl w:val="1"/>
      </w:pPr>
      <w:r>
        <w:rPr>
          <w:rFonts w:hint="eastAsia" w:ascii="Times New Roman" w:hAnsi="Times New Roman" w:eastAsia="Times New Roman" w:cs="Times New Roman"/>
          <w:bCs/>
          <w:i/>
          <w:color w:val="auto"/>
          <w:sz w:val="24"/>
          <w:szCs w:val="24"/>
          <w:highlight w:val="none"/>
          <w:u w:val="single"/>
          <w:lang w:val="en-US" w:eastAsia="zh-CN" w:bidi="ar-SA"/>
        </w:rPr>
        <w:t xml:space="preserve">授权委托书（被授权人非法定代表人</w:t>
      </w:r>
      <w:r>
        <w:rPr>
          <w:rFonts w:hint="eastAsia" w:ascii="Times New Roman" w:hAnsi="Times New Roman" w:eastAsia="宋体" w:cs="Times New Roman"/>
          <w:bCs/>
          <w:i/>
          <w:color w:val="auto"/>
          <w:sz w:val="24"/>
          <w:szCs w:val="24"/>
          <w:highlight w:val="none"/>
          <w:u w:val="single"/>
          <w:lang w:val="en-US" w:eastAsia="zh-CN" w:bidi="ar-SA"/>
        </w:rPr>
        <w:t xml:space="preserve">的</w:t>
      </w:r>
      <w:r>
        <w:rPr>
          <w:rFonts w:hint="eastAsia" w:ascii="Times New Roman" w:hAnsi="Times New Roman" w:eastAsia="Times New Roman" w:cs="Times New Roman"/>
          <w:bCs/>
          <w:i/>
          <w:color w:val="auto"/>
          <w:sz w:val="24"/>
          <w:szCs w:val="24"/>
          <w:highlight w:val="none"/>
          <w:u w:val="single"/>
          <w:lang w:val="en-US" w:eastAsia="zh-CN" w:bidi="ar-SA"/>
        </w:rPr>
        <w:t xml:space="preserve">，应提供授权委托书</w:t>
      </w:r>
      <w:r>
        <w:rPr>
          <w:rFonts w:hint="eastAsia" w:ascii="Times New Roman" w:hAnsi="Times New Roman" w:eastAsia="宋体" w:cs="Times New Roman"/>
          <w:bCs/>
          <w:i/>
          <w:color w:val="auto"/>
          <w:sz w:val="24"/>
          <w:szCs w:val="24"/>
          <w:highlight w:val="none"/>
          <w:u w:val="single"/>
          <w:lang w:val="en-US" w:eastAsia="zh-CN" w:bidi="ar-SA"/>
        </w:rPr>
        <w:t xml:space="preserve">；</w:t>
      </w:r>
      <w:r>
        <w:rPr>
          <w:rFonts w:hint="eastAsia" w:ascii="Times New Roman" w:hAnsi="Times New Roman" w:eastAsia="Times New Roman" w:cs="Times New Roman"/>
          <w:bCs/>
          <w:i/>
          <w:color w:val="auto"/>
          <w:sz w:val="24"/>
          <w:szCs w:val="24"/>
          <w:highlight w:val="none"/>
          <w:u w:val="single"/>
          <w:lang w:val="en-US" w:eastAsia="zh-CN" w:bidi="ar-SA"/>
        </w:rPr>
        <w:t xml:space="preserve">被授权人是法定代表人</w:t>
      </w:r>
      <w:r>
        <w:rPr>
          <w:rFonts w:hint="eastAsia" w:ascii="Times New Roman" w:hAnsi="Times New Roman" w:eastAsia="宋体" w:cs="Times New Roman"/>
          <w:bCs/>
          <w:i/>
          <w:color w:val="auto"/>
          <w:sz w:val="24"/>
          <w:szCs w:val="24"/>
          <w:highlight w:val="none"/>
          <w:u w:val="single"/>
          <w:lang w:val="en-US" w:eastAsia="zh-CN" w:bidi="ar-SA"/>
        </w:rPr>
        <w:t xml:space="preserve">的</w:t>
      </w:r>
      <w:r>
        <w:rPr>
          <w:rFonts w:hint="eastAsia" w:ascii="Times New Roman" w:hAnsi="Times New Roman" w:eastAsia="Times New Roman" w:cs="Times New Roman"/>
          <w:bCs/>
          <w:i/>
          <w:color w:val="auto"/>
          <w:sz w:val="24"/>
          <w:szCs w:val="24"/>
          <w:highlight w:val="none"/>
          <w:u w:val="single"/>
          <w:lang w:val="en-US" w:eastAsia="zh-CN" w:bidi="ar-SA"/>
        </w:rPr>
        <w:t xml:space="preserve">，应提供授权委托书或法定代表人身份证明书</w:t>
      </w:r>
      <w:r>
        <w:rPr>
          <w:rFonts w:hint="eastAsia" w:ascii="Times New Roman" w:hAnsi="Times New Roman" w:eastAsia="宋体" w:cs="Times New Roman"/>
          <w:bCs/>
          <w:i/>
          <w:color w:val="auto"/>
          <w:sz w:val="24"/>
          <w:szCs w:val="24"/>
          <w:highlight w:val="none"/>
          <w:u w:val="single"/>
          <w:lang w:val="en-US" w:eastAsia="zh-CN" w:bidi="ar-SA"/>
        </w:rPr>
        <w:t xml:space="preserve">。</w:t>
      </w:r>
      <w:r>
        <w:rPr>
          <w:rFonts w:hint="eastAsia" w:ascii="Times New Roman" w:hAnsi="Times New Roman" w:eastAsia="Times New Roman" w:cs="Times New Roman"/>
          <w:bCs/>
          <w:i/>
          <w:color w:val="auto"/>
          <w:sz w:val="24"/>
          <w:szCs w:val="24"/>
          <w:highlight w:val="none"/>
          <w:u w:val="single"/>
          <w:lang w:val="en-US" w:eastAsia="zh-CN" w:bidi="ar-SA"/>
        </w:rPr>
        <w:t xml:space="preserve">）</w:t>
      </w:r>
      <w:r/>
    </w:p>
    <w:p>
      <w:pPr>
        <w:ind w:firstLine="3600"/>
        <w:spacing w:before="240" w:after="240"/>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rPr>
          <w:rFonts w:ascii="楷体_GB2312" w:hAnsi="宋体" w:eastAsia="楷体_GB2312" w:cs="宋体"/>
          <w:color w:val="auto"/>
          <w:sz w:val="32"/>
          <w:szCs w:val="32"/>
          <w:highlight w:val="none"/>
          <w:lang w:val="en-US" w:eastAsia="zh-CN" w:bidi="ar-SA"/>
        </w:rPr>
      </w:pPr>
      <w:r>
        <w:rPr>
          <w:rFonts w:ascii="楷体_GB2312" w:hAnsi="宋体" w:eastAsia="楷体_GB2312" w:cs="宋体"/>
          <w:color w:val="auto"/>
          <w:sz w:val="32"/>
          <w:szCs w:val="32"/>
          <w:highlight w:val="none"/>
          <w:lang w:val="en-US" w:eastAsia="zh-CN" w:bidi="ar-SA"/>
        </w:rPr>
        <w:br w:type="page" w:clear="all"/>
      </w:r>
      <w:r/>
    </w:p>
    <w:p>
      <w:pPr>
        <w:pStyle w:val="1341"/>
        <w:rPr>
          <w:rFonts w:hint="eastAsia" w:ascii="宋体" w:hAnsi="宋体" w:eastAsia="宋体" w:cs="宋体"/>
          <w:color w:val="auto"/>
          <w:highlight w:val="none"/>
          <w:lang w:eastAsia="zh-CN"/>
        </w:rPr>
        <w:outlineLvl w:val="0"/>
      </w:pPr>
      <w:r>
        <w:rPr>
          <w:rFonts w:ascii="宋体" w:hAnsi="宋体" w:eastAsia="宋体" w:cs="宋体"/>
          <w:b/>
          <w:color w:val="auto"/>
          <w:sz w:val="32"/>
          <w:highlight w:val="none"/>
        </w:rPr>
        <w:t xml:space="preserve">中小企业声明函</w:t>
      </w:r>
      <w:r>
        <w:rPr>
          <w:rFonts w:hint="eastAsia" w:ascii="宋体" w:hAnsi="宋体" w:eastAsia="宋体" w:cs="宋体"/>
          <w:b/>
          <w:color w:val="auto"/>
          <w:sz w:val="32"/>
          <w:highlight w:val="none"/>
          <w:lang w:eastAsia="zh-CN"/>
        </w:rPr>
        <w:t xml:space="preserve">等</w:t>
      </w:r>
      <w:r/>
    </w:p>
    <w:p>
      <w:pPr>
        <w:pStyle w:val="133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35"/>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 (财库〔2020〕46号)的规定，本公司参加 </w:t>
      </w:r>
      <w:r>
        <w:rPr>
          <w:rFonts w:hint="eastAsia" w:ascii="宋体" w:hAnsi="宋体" w:eastAsia="宋体" w:cs="宋体"/>
          <w:color w:val="auto"/>
          <w:sz w:val="24"/>
          <w:szCs w:val="24"/>
          <w:highlight w:val="none"/>
          <w:u w:val="single"/>
          <w:lang w:val="en-US" w:eastAsia="zh-CN"/>
        </w:rPr>
        <w:t xml:space="preserve">张家港市常阴沙现代农业示范园区管理委员会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lang w:eastAsia="zh-CN"/>
        </w:rPr>
        <w:t xml:space="preserve">张家港市常阴沙现代农业示范园区镇区路灯提升改造能源管理服务项目</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pStyle w:val="131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u w:val="single"/>
          <w:lang w:eastAsia="zh-CN"/>
        </w:rPr>
        <w:t xml:space="preserve">张家港市常阴沙现代农业示范园区镇区路灯提升改造能源管理服务项目</w:t>
      </w:r>
      <w:r>
        <w:rPr>
          <w:rFonts w:hint="eastAsia" w:ascii="宋体" w:hAnsi="宋体" w:eastAsia="宋体" w:cs="宋体"/>
          <w:i/>
          <w:iCs/>
          <w:color w:val="auto"/>
          <w:highlight w:val="none"/>
          <w:u w:val="single"/>
        </w:rPr>
        <w:t xml:space="preserve">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其他未列明</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i/>
          <w:iCs/>
          <w:color w:val="auto"/>
          <w:highlight w:val="none"/>
          <w:u w:val="single"/>
        </w:rPr>
        <w:t xml:space="preserve">）</w:t>
      </w:r>
      <w:r>
        <w:rPr>
          <w:rFonts w:hint="eastAsia" w:ascii="宋体" w:hAnsi="宋体" w:eastAsia="宋体" w:cs="宋体"/>
          <w:color w:val="auto"/>
          <w:highlight w:val="none"/>
        </w:rPr>
        <w:t xml:space="preserve">；</w:t>
      </w:r>
      <w:r/>
    </w:p>
    <w:p>
      <w:pPr>
        <w:pStyle w:val="133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3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35"/>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企业名称（盖章）：   </w:t>
      </w:r>
      <w:r/>
    </w:p>
    <w:p>
      <w:pPr>
        <w:pStyle w:val="1335"/>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35"/>
        <w:spacing w:before="240" w:after="24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335"/>
        <w:spacing w:before="240" w:after="24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应</w:t>
      </w:r>
      <w:r>
        <w:rPr>
          <w:rFonts w:ascii="宋体" w:hAnsi="宋体" w:eastAsia="宋体" w:cs="宋体"/>
          <w:color w:val="auto"/>
          <w:sz w:val="24"/>
          <w:szCs w:val="24"/>
          <w:highlight w:val="none"/>
        </w:rPr>
        <w:t xml:space="preserve">对照</w:t>
      </w:r>
      <w:r>
        <w:rPr>
          <w:rFonts w:hint="eastAsia" w:ascii="宋体" w:hAnsi="宋体" w:eastAsia="宋体" w:cs="宋体"/>
          <w:color w:val="auto"/>
          <w:sz w:val="24"/>
          <w:szCs w:val="24"/>
          <w:highlight w:val="none"/>
        </w:rPr>
        <w:t xml:space="preserve">《工业和信息化部、国家统计局、国家发展和改革委员会、财政部关于印发中小企业划型标准规定的通知》（工信部企业[2011]300号)的规定</w:t>
      </w:r>
      <w:r>
        <w:rPr>
          <w:rFonts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对承接企业</w:t>
      </w:r>
      <w:r>
        <w:rPr>
          <w:rFonts w:ascii="宋体" w:hAnsi="宋体" w:eastAsia="宋体" w:cs="宋体"/>
          <w:b/>
          <w:bCs/>
          <w:color w:val="auto"/>
          <w:sz w:val="24"/>
          <w:szCs w:val="24"/>
          <w:highlight w:val="none"/>
        </w:rPr>
        <w:t xml:space="preserve">的企业</w:t>
      </w:r>
      <w:r>
        <w:rPr>
          <w:rFonts w:hint="eastAsia" w:ascii="宋体" w:hAnsi="宋体" w:eastAsia="宋体" w:cs="宋体"/>
          <w:b/>
          <w:bCs/>
          <w:color w:val="auto"/>
          <w:sz w:val="24"/>
          <w:szCs w:val="24"/>
          <w:highlight w:val="none"/>
        </w:rPr>
        <w:t xml:space="preserve">规模类型（中型企业、小型企业、微型企业）进行勾选或明确，如供应商未进行勾选或明确的，自行承担《中小企业声明函》可能不被认可的不利后果。</w:t>
      </w:r>
      <w:r/>
    </w:p>
    <w:p>
      <w:pPr>
        <w:pStyle w:val="1335"/>
        <w:spacing w:before="240"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《中小企业声明函》中所填的行业应与本采购标的对应的中小企业划分标准所属行业一致，</w:t>
      </w:r>
      <w:r>
        <w:rPr>
          <w:rFonts w:hint="eastAsia" w:ascii="宋体" w:hAnsi="宋体" w:eastAsia="宋体" w:cs="宋体"/>
          <w:b/>
          <w:bCs/>
          <w:color w:val="auto"/>
          <w:sz w:val="24"/>
          <w:szCs w:val="24"/>
          <w:highlight w:val="none"/>
        </w:rPr>
        <w:t xml:space="preserve">本采购标的对应的中小企业划分标准所属行业，以招标文件第四章《招标书》规定为准。</w:t>
      </w:r>
      <w:r>
        <w:rPr>
          <w:rFonts w:ascii="宋体" w:hAnsi="宋体" w:eastAsia="宋体" w:cs="宋体"/>
          <w:color w:val="auto"/>
          <w:sz w:val="24"/>
          <w:szCs w:val="24"/>
          <w:highlight w:val="none"/>
        </w:rPr>
        <w:t xml:space="preserve"> </w:t>
      </w:r>
      <w:r/>
    </w:p>
    <w:p>
      <w:pPr>
        <w:pStyle w:val="1335"/>
        <w:spacing w:before="240" w:after="240"/>
        <w:rPr>
          <w:rStyle w:val="946"/>
          <w:rFonts w:ascii="宋体" w:hAnsi="宋体" w:eastAsia="宋体" w:cs="宋体"/>
          <w:b/>
          <w:bCs/>
          <w:color w:val="auto"/>
          <w:sz w:val="24"/>
          <w:szCs w:val="24"/>
          <w:highlight w:val="none"/>
        </w:rPr>
      </w:pPr>
      <w:r>
        <w:rPr>
          <w:rStyle w:val="946"/>
          <w:rFonts w:hint="eastAsia" w:ascii="宋体" w:hAnsi="宋体" w:eastAsia="宋体" w:cs="宋体"/>
          <w:color w:val="auto"/>
          <w:sz w:val="24"/>
          <w:szCs w:val="24"/>
          <w:highlight w:val="none"/>
          <w:lang w:val="en-US"/>
        </w:rPr>
        <w:t xml:space="preserve">4</w:t>
      </w:r>
      <w:r>
        <w:rPr>
          <w:rStyle w:val="946"/>
          <w:rFonts w:hint="eastAsia" w:ascii="宋体" w:hAnsi="宋体" w:eastAsia="宋体" w:cs="宋体"/>
          <w:color w:val="auto"/>
          <w:sz w:val="24"/>
          <w:szCs w:val="24"/>
          <w:highlight w:val="none"/>
        </w:rPr>
        <w:t xml:space="preserve">.</w:t>
      </w:r>
      <w:r>
        <w:rPr>
          <w:rStyle w:val="946"/>
          <w:rFonts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946"/>
          <w:rFonts w:hint="eastAsia" w:ascii="宋体" w:hAnsi="宋体" w:eastAsia="宋体" w:cs="宋体"/>
          <w:color w:val="auto"/>
          <w:sz w:val="24"/>
          <w:szCs w:val="24"/>
          <w:highlight w:val="none"/>
        </w:rPr>
        <w:t xml:space="preserve">，</w:t>
      </w:r>
      <w:r>
        <w:rPr>
          <w:b/>
          <w:color w:val="auto"/>
          <w:highlight w:val="none"/>
        </w:rPr>
        <w:t xml:space="preserve">才可享受规定的中小企业扶持政策</w:t>
      </w:r>
      <w:r>
        <w:rPr>
          <w:rStyle w:val="946"/>
          <w:rFonts w:ascii="宋体" w:hAnsi="宋体" w:eastAsia="宋体" w:cs="宋体"/>
          <w:color w:val="auto"/>
          <w:sz w:val="24"/>
          <w:szCs w:val="24"/>
          <w:highlight w:val="none"/>
        </w:rPr>
        <w:t xml:space="preserve">。</w:t>
      </w:r>
      <w:r>
        <w:rPr>
          <w:rStyle w:val="946"/>
          <w:rFonts w:ascii="宋体" w:hAnsi="宋体" w:eastAsia="宋体" w:cs="宋体"/>
          <w:b/>
          <w:bCs/>
          <w:color w:val="auto"/>
          <w:sz w:val="24"/>
          <w:szCs w:val="24"/>
          <w:highlight w:val="none"/>
        </w:rPr>
        <w:t xml:space="preserve">服务类项目中供应商若使用退休人员，将不享受相应扶持政策。</w:t>
      </w:r>
      <w:r/>
    </w:p>
    <w:p>
      <w:pPr>
        <w:pStyle w:val="1335"/>
        <w:spacing w:before="240" w:after="240"/>
        <w:rPr>
          <w:rStyle w:val="946"/>
          <w:rFonts w:ascii="宋体" w:hAnsi="宋体" w:eastAsia="宋体" w:cs="宋体"/>
          <w:color w:val="auto"/>
          <w:sz w:val="24"/>
          <w:szCs w:val="24"/>
          <w:highlight w:val="none"/>
        </w:rPr>
      </w:pPr>
      <w:r>
        <w:rPr>
          <w:rStyle w:val="946"/>
          <w:rFonts w:hint="eastAsia" w:ascii="宋体" w:hAnsi="宋体" w:eastAsia="宋体" w:cs="宋体"/>
          <w:color w:val="auto"/>
          <w:sz w:val="24"/>
          <w:szCs w:val="24"/>
          <w:highlight w:val="none"/>
          <w:lang w:val="en-US" w:eastAsia="zh-CN"/>
        </w:rPr>
        <w:t xml:space="preserve">5</w:t>
      </w:r>
      <w:r>
        <w:rPr>
          <w:rStyle w:val="946"/>
          <w:rFonts w:hint="eastAsia" w:ascii="宋体" w:hAnsi="宋体" w:eastAsia="宋体" w:cs="宋体"/>
          <w:color w:val="auto"/>
          <w:sz w:val="24"/>
          <w:szCs w:val="24"/>
          <w:highlight w:val="none"/>
        </w:rPr>
        <w:t xml:space="preserve">.供应商享受中小企业扶持政策的，《中小企业声明函》将随中标结果同时公告</w:t>
      </w:r>
      <w:r>
        <w:rPr>
          <w:rStyle w:val="946"/>
          <w:rFonts w:ascii="宋体" w:hAnsi="宋体" w:eastAsia="宋体" w:cs="宋体"/>
          <w:color w:val="auto"/>
          <w:sz w:val="24"/>
          <w:szCs w:val="24"/>
          <w:highlight w:val="none"/>
        </w:rPr>
        <w:t xml:space="preserve">。 </w:t>
      </w:r>
      <w:r/>
    </w:p>
    <w:p>
      <w:pPr>
        <w:pStyle w:val="1335"/>
        <w:spacing w:before="240" w:after="240"/>
        <w:rPr>
          <w:rStyle w:val="946"/>
          <w:rFonts w:ascii="宋体" w:hAnsi="宋体" w:eastAsia="宋体" w:cs="宋体"/>
          <w:color w:val="auto"/>
          <w:sz w:val="24"/>
          <w:szCs w:val="24"/>
          <w:highlight w:val="none"/>
        </w:rPr>
      </w:pPr>
      <w:r>
        <w:rPr>
          <w:rStyle w:val="946"/>
          <w:rFonts w:ascii="宋体" w:hAnsi="宋体" w:eastAsia="宋体" w:cs="宋体"/>
          <w:color w:val="auto"/>
          <w:sz w:val="24"/>
          <w:szCs w:val="24"/>
          <w:highlight w:val="none"/>
        </w:rPr>
        <w:br w:type="page" w:clear="all"/>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18"/>
        <w:spacing w:line="440" w:lineRule="exact"/>
        <w:rPr>
          <w:rFonts w:ascii="宋体" w:hAnsi="宋体" w:eastAsia="宋体" w:cs="宋体"/>
          <w:b/>
          <w:bCs/>
          <w:color w:val="auto"/>
          <w:sz w:val="32"/>
          <w:szCs w:val="32"/>
          <w:highlight w:val="none"/>
        </w:rPr>
      </w:pPr>
      <w:r>
        <w:rPr>
          <w:color w:val="auto"/>
          <w:highlight w:val="none"/>
        </w:rPr>
        <w:br w:type="page" w:clear="all"/>
      </w:r>
      <w:r/>
    </w:p>
    <w:p>
      <w:pPr>
        <w:pStyle w:val="131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18"/>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 </w:t>
      </w:r>
      <w:r/>
    </w:p>
    <w:p>
      <w:pPr>
        <w:pStyle w:val="1318"/>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张家港保税区宏宇建设咨询有限公司：</w:t>
      </w:r>
      <w:r>
        <w:rPr>
          <w:rFonts w:ascii="宋体" w:hAnsi="宋体" w:eastAsia="宋体" w:cs="宋体"/>
          <w:color w:val="auto"/>
          <w:highlight w:val="none"/>
        </w:rPr>
        <w:t xml:space="preserve"> </w:t>
      </w:r>
      <w:r/>
    </w:p>
    <w:p>
      <w:pPr>
        <w:pStyle w:val="1318"/>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18"/>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 </w:t>
      </w:r>
      <w:r/>
    </w:p>
    <w:p>
      <w:pPr>
        <w:pStyle w:val="131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18"/>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单位名称（盖章）：   </w:t>
      </w:r>
      <w:r/>
    </w:p>
    <w:p>
      <w:pPr>
        <w:pStyle w:val="1318"/>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18"/>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8"/>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18"/>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18"/>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33"/>
        <w:rPr>
          <w:color w:val="auto"/>
          <w:highlight w:val="none"/>
        </w:rPr>
        <w:outlineLvl w:val="0"/>
      </w:pPr>
      <w:r>
        <w:rPr>
          <w:color w:val="auto"/>
          <w:highlight w:val="none"/>
        </w:rPr>
        <w:br w:type="page" w:clear="all"/>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790"/>
        <w:rPr>
          <w:rFonts w:ascii="等线" w:hAnsi="等线" w:eastAsia="等线"/>
          <w:color w:val="auto"/>
          <w:sz w:val="21"/>
          <w:highlight w:val="none"/>
        </w:rPr>
      </w:pPr>
      <w:r>
        <w:rPr>
          <w:rFonts w:ascii="等线" w:hAnsi="等线" w:eastAsia="等线"/>
          <w:color w:val="auto"/>
          <w:sz w:val="21"/>
          <w:highlight w:val="none"/>
        </w:rPr>
      </w:r>
      <w:r/>
    </w:p>
    <w:p>
      <w:pPr>
        <w:pStyle w:val="790"/>
        <w:ind w:firstLine="0"/>
        <w:rPr>
          <w:rFonts w:ascii="等线" w:hAnsi="等线" w:eastAsia="等线"/>
          <w:color w:val="auto"/>
          <w:sz w:val="21"/>
          <w:highlight w:val="none"/>
        </w:rPr>
      </w:pPr>
      <w:r>
        <w:rPr>
          <w:rFonts w:ascii="等线" w:hAnsi="等线" w:eastAsia="等线"/>
          <w:color w:val="auto"/>
          <w:sz w:val="21"/>
          <w:highlight w:val="none"/>
        </w:rPr>
      </w:r>
      <w:r/>
    </w:p>
    <w:p>
      <w:pPr>
        <w:pStyle w:val="790"/>
        <w:rPr>
          <w:rFonts w:ascii="等线" w:hAnsi="等线" w:eastAsia="等线"/>
          <w:color w:val="auto"/>
          <w:sz w:val="21"/>
          <w:highlight w:val="none"/>
        </w:rPr>
      </w:pPr>
      <w:r>
        <w:rPr>
          <w:rFonts w:ascii="等线" w:hAnsi="等线" w:eastAsia="等线"/>
          <w:color w:val="auto"/>
          <w:sz w:val="21"/>
          <w:highlight w:val="none"/>
        </w:rPr>
      </w:r>
      <w:r/>
    </w:p>
    <w:p>
      <w:pPr>
        <w:pStyle w:val="790"/>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16"/>
        <w:rPr>
          <w:rStyle w:val="946"/>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16"/>
        <w:rPr>
          <w:rStyle w:val="946"/>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rPr>
          <w:rStyle w:val="946"/>
          <w:rFonts w:ascii="宋体" w:hAnsi="宋体" w:eastAsia="宋体" w:cs="宋体"/>
          <w:b/>
          <w:color w:val="auto"/>
          <w:sz w:val="28"/>
          <w:highlight w:val="none"/>
        </w:rPr>
      </w:pPr>
      <w:r>
        <w:rPr>
          <w:rStyle w:val="946"/>
          <w:rFonts w:ascii="宋体" w:hAnsi="宋体" w:eastAsia="宋体" w:cs="宋体"/>
          <w:b/>
          <w:color w:val="auto"/>
          <w:sz w:val="28"/>
          <w:highlight w:val="none"/>
        </w:rPr>
        <w:br w:type="page" w:clear="all"/>
      </w:r>
      <w:r/>
    </w:p>
    <w:p>
      <w:pPr>
        <w:pStyle w:val="1116"/>
        <w:rPr>
          <w:rStyle w:val="946"/>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341"/>
        <w:rPr>
          <w:rFonts w:ascii="宋体" w:hAnsi="宋体" w:eastAsia="宋体" w:cs="宋体"/>
          <w:b/>
          <w:color w:val="auto"/>
          <w:sz w:val="32"/>
          <w:highlight w:val="none"/>
        </w:rPr>
        <w:outlineLvl w:val="0"/>
      </w:pPr>
      <w:r>
        <w:rPr>
          <w:rFonts w:hint="eastAsia" w:ascii="宋体" w:hAnsi="宋体" w:eastAsia="宋体" w:cs="宋体"/>
          <w:b/>
          <w:color w:val="auto"/>
          <w:sz w:val="32"/>
          <w:highlight w:val="none"/>
        </w:rPr>
        <w:t xml:space="preserve">分包意向协议书（若进行分包需提供）</w:t>
      </w:r>
      <w:r/>
    </w:p>
    <w:p>
      <w:pPr>
        <w:ind w:left="0" w:firstLine="315"/>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center"/>
        <w:rPr>
          <w:rFonts w:hint="eastAsia"/>
          <w:color w:val="auto"/>
          <w:sz w:val="32"/>
          <w:szCs w:val="32"/>
          <w:highlight w:val="none"/>
        </w:rPr>
      </w:pPr>
      <w:r>
        <w:rPr>
          <w:rFonts w:hint="eastAsia"/>
          <w:color w:val="auto"/>
          <w:sz w:val="32"/>
          <w:szCs w:val="32"/>
          <w:highlight w:val="none"/>
        </w:rPr>
        <w:t xml:space="preserve">分包意向协议书</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（……公司全称）</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（甲公司全称）、（乙公司全称）、（……公司全称）自愿达成分包意向，参加</w:t>
      </w:r>
      <w:r>
        <w:rPr>
          <w:rFonts w:hint="eastAsia" w:ascii="宋体" w:hAnsi="宋体" w:eastAsia="宋体" w:cs="宋体"/>
          <w:color w:val="auto"/>
          <w:sz w:val="24"/>
          <w:szCs w:val="24"/>
          <w:highlight w:val="none"/>
          <w:u w:val="single"/>
        </w:rPr>
        <w:t xml:space="preserve">（采购项目编号） （采购项目名称）</w:t>
      </w:r>
      <w:r>
        <w:rPr>
          <w:rFonts w:hint="eastAsia" w:ascii="宋体" w:hAnsi="宋体" w:eastAsia="宋体" w:cs="宋体"/>
          <w:color w:val="auto"/>
          <w:sz w:val="24"/>
          <w:szCs w:val="24"/>
          <w:highlight w:val="none"/>
        </w:rPr>
        <w:t xml:space="preserve">的投标活动。经各方充分协商一致，就项目的投标和合同实施阶段的有关事务协商一致订立意向如下：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一、分包意向各方关系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为投标单位，</w:t>
      </w:r>
      <w:r>
        <w:rPr>
          <w:rFonts w:hint="eastAsia" w:ascii="宋体" w:hAnsi="宋体" w:eastAsia="宋体" w:cs="宋体"/>
          <w:color w:val="auto"/>
          <w:sz w:val="24"/>
          <w:szCs w:val="24"/>
          <w:highlight w:val="none"/>
          <w:u w:val="single"/>
        </w:rPr>
        <w:t xml:space="preserve">（乙公司全称）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为分包意向单位，</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以投标单位的身份参加本项目的投标。若中标，</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与采购人签订政府采购合同。承接分包意向的各单位与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签订分包合同。</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就采购项目和分包项目向采购人负责，分包供应商就分包项目承担责任。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二、有关事项约定如下：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1.如中标，分包意向单位分别与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签订合同，并就中标项目分包部分向采购人负责，有连带的和各自的法律责任。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2.分包意向单位1</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3.分包意向单位2</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4.分包意向单位3</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三、如中标，分包意向单位不得以任何理由提出终止本意向协议。</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五、其他补充内容</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六、本意向协议书正本一式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及各分包意向单位各一份。</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1.各方成员在本意向协议书上共同盖章确认</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2.本意向协议书内容不得擅自修改，并将作为签订合同的附件之一。</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3.小微企业不得将合同分包给大中型企业，中型企业不得将合同分包给大型企业。</w:t>
      </w:r>
      <w:r/>
    </w:p>
    <w:p>
      <w:pPr>
        <w:ind w:left="0" w:firstLine="31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3"/>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rPr>
          <w:rFonts w:hint="eastAsia"/>
          <w:color w:val="auto"/>
          <w:highlight w:val="none"/>
        </w:rPr>
      </w:pPr>
      <w:r>
        <w:rPr>
          <w:rFonts w:hint="eastAsia"/>
          <w:color w:val="auto"/>
          <w:highlight w:val="none"/>
        </w:rPr>
      </w:r>
      <w:r/>
    </w:p>
    <w:p>
      <w:pPr>
        <w:pStyle w:val="1116"/>
        <w:rPr>
          <w:rStyle w:val="946"/>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w:t>
      </w:r>
      <w:r/>
    </w:p>
    <w:p>
      <w:pPr>
        <w:spacing w:line="560" w:lineRule="exact"/>
        <w:rPr>
          <w:rFonts w:hint="eastAsia" w:ascii="宋体" w:hAnsi="宋体"/>
          <w:color w:val="auto"/>
          <w:sz w:val="24"/>
          <w:szCs w:val="21"/>
          <w:highlight w:val="none"/>
        </w:rPr>
      </w:pPr>
      <w:r>
        <w:rPr>
          <w:rFonts w:hint="eastAsia" w:ascii="宋体" w:hAnsi="宋体"/>
          <w:color w:val="auto"/>
          <w:sz w:val="24"/>
          <w:highlight w:val="none"/>
        </w:rPr>
        <w:t xml:space="preserve">（联合体中各供应商全称）在此达成以下协议：</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1、我们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 xml:space="preserve">自愿组成联合体，参加张家港保税区宏宇建设咨询有限公司组织的采购编号为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2、若我们联合中标、成交，（供应商单位1全称）实施项目中（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）部分工作，并承担相应的责任。（供应商单位2全称）实施项目中（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3、其中</w:t>
      </w:r>
      <w:r>
        <w:rPr>
          <w:rFonts w:hint="eastAsia" w:ascii="宋体" w:hAnsi="宋体"/>
          <w:color w:val="auto"/>
          <w:sz w:val="24"/>
          <w:highlight w:val="none"/>
          <w:u w:val="single"/>
        </w:rPr>
        <w:t xml:space="preserve">（供应商单位1）全称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（供应商单位2）全称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（注：联合体中各供应商都应明示企业类型及所承担的份额）。</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联合体中各供应商全称（公章）：     </w:t>
      </w:r>
      <w:r/>
    </w:p>
    <w:p>
      <w:pPr>
        <w:pStyle w:val="1116"/>
        <w:jc w:val="right"/>
        <w:rPr>
          <w:rFonts w:hint="eastAsia" w:ascii="宋体" w:hAnsi="宋体"/>
          <w:color w:val="auto"/>
          <w:sz w:val="24"/>
          <w:highlight w:val="none"/>
        </w:rPr>
        <w:outlineLvl w:val="0"/>
      </w:pPr>
      <w:r>
        <w:rPr>
          <w:rFonts w:hint="eastAsia" w:ascii="宋体" w:hAnsi="宋体"/>
          <w:color w:val="auto"/>
          <w:sz w:val="24"/>
          <w:highlight w:val="none"/>
        </w:rPr>
        <w:t xml:space="preserve">日期：</w:t>
      </w:r>
      <w:r/>
    </w:p>
    <w:p>
      <w:pPr>
        <w:pStyle w:val="1116"/>
        <w:rPr>
          <w:rFonts w:hint="eastAsia" w:ascii="宋体" w:hAnsi="宋体"/>
          <w:color w:val="auto"/>
          <w:sz w:val="24"/>
          <w:highlight w:val="none"/>
        </w:rPr>
        <w:outlineLvl w:val="0"/>
      </w:pPr>
      <w:r>
        <w:rPr>
          <w:rFonts w:hint="eastAsia" w:ascii="宋体" w:hAnsi="宋体"/>
          <w:color w:val="auto"/>
          <w:sz w:val="24"/>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16"/>
        <w:rPr>
          <w:rStyle w:val="946"/>
          <w:color w:val="auto"/>
          <w:highlight w:val="none"/>
        </w:rPr>
        <w:outlineLvl w:val="0"/>
      </w:pPr>
      <w:r>
        <w:rPr>
          <w:rStyle w:val="946"/>
          <w:rFonts w:ascii="宋体" w:hAnsi="宋体" w:eastAsia="宋体" w:cs="宋体"/>
          <w:b/>
          <w:color w:val="auto"/>
          <w:sz w:val="32"/>
          <w:highlight w:val="none"/>
        </w:rPr>
        <w:t xml:space="preserve">五、第四章项目需求中实质性要求响应对照表</w:t>
      </w:r>
      <w:bookmarkEnd w:id="282"/>
      <w:r/>
      <w:bookmarkEnd w:id="283"/>
      <w:r/>
      <w:bookmarkEnd w:id="284"/>
      <w:r/>
      <w:r/>
    </w:p>
    <w:p>
      <w:pPr>
        <w:pStyle w:val="1270"/>
        <w:ind w:firstLine="482"/>
        <w:keepLines w:val="0"/>
        <w:keepNext w:val="0"/>
        <w:pageBreakBefore w:val="0"/>
        <w:spacing w:line="44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70"/>
        <w:ind w:firstLine="482"/>
        <w:keepLines w:val="0"/>
        <w:keepNext w:val="0"/>
        <w:pageBreakBefore w:val="0"/>
        <w:spacing w:line="440" w:lineRule="exact"/>
        <w:widowControl/>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71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商务条款</w:t>
            </w:r>
            <w:r>
              <w:rPr>
                <w:rFonts w:hint="default" w:ascii="宋体" w:hAnsi="宋体" w:eastAsia="宋体" w:cs="宋体"/>
                <w:color w:val="auto"/>
                <w:highlight w:val="none"/>
              </w:rPr>
              <w:t xml:space="preserve">的实质性要求</w:t>
            </w:r>
            <w:r/>
          </w:p>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i/>
                <w:color w:val="auto"/>
                <w:highlight w:val="none"/>
                <w:u w:val="single"/>
              </w:rPr>
              <w:t xml:space="preserve">（加</w:t>
            </w:r>
            <w:r>
              <w:rPr>
                <w:rFonts w:hint="default"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9"/>
              <w:ind w:left="0" w:right="0" w:firstLine="500"/>
              <w:keepLines w:val="0"/>
              <w:keepNext w:val="0"/>
              <w:spacing w:before="0" w:beforeAutospacing="0" w:after="0" w:afterAutospacing="0" w:line="440" w:lineRule="exact"/>
              <w:widowControl/>
              <w:rPr>
                <w:rFonts w:hint="default" w:ascii="宋体" w:hAnsi="宋体" w:eastAsia="宋体" w:cs="宋体"/>
                <w:i/>
                <w:color w:val="auto"/>
                <w:highlight w:val="none"/>
                <w:u w:val="single"/>
              </w:rPr>
              <w:suppressLineNumbers w:val="0"/>
            </w:pPr>
            <w:r>
              <w:rPr>
                <w:rFonts w:hint="default"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9"/>
              <w:ind w:left="0" w:right="0" w:firstLine="500"/>
              <w:keepLines w:val="0"/>
              <w:keepNext w:val="0"/>
              <w:spacing w:before="0" w:beforeAutospacing="0" w:after="0" w:afterAutospacing="0" w:line="440" w:lineRule="exact"/>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9"/>
              <w:ind w:left="0" w:right="0"/>
              <w:keepLines w:val="0"/>
              <w:keepNext w:val="0"/>
              <w:spacing w:before="0" w:beforeAutospacing="0" w:after="0" w:afterAutospacing="0" w:line="440" w:lineRule="exact"/>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70"/>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70"/>
        <w:ind w:firstLine="482"/>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17"/>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技术要求</w:t>
            </w:r>
            <w:r>
              <w:rPr>
                <w:rFonts w:hint="default" w:ascii="宋体" w:hAnsi="宋体" w:eastAsia="宋体" w:cs="宋体"/>
                <w:color w:val="auto"/>
                <w:highlight w:val="none"/>
              </w:rPr>
              <w:t xml:space="preserve">的实质性要求</w:t>
            </w:r>
            <w:r/>
          </w:p>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i/>
                <w:color w:val="auto"/>
                <w:highlight w:val="none"/>
                <w:u w:val="single"/>
              </w:rPr>
              <w:t xml:space="preserve">（加</w:t>
            </w:r>
            <w:r>
              <w:rPr>
                <w:rFonts w:hint="default"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70"/>
              <w:ind w:left="0" w:right="0"/>
              <w:keepLines w:val="0"/>
              <w:keepNext w:val="0"/>
              <w:spacing w:before="0" w:beforeAutospacing="0" w:after="0" w:afterAutospacing="0"/>
              <w:widowControl/>
              <w:rPr>
                <w:rFonts w:hint="default" w:ascii="宋体" w:hAnsi="宋体" w:eastAsia="宋体" w:cs="宋体"/>
                <w:i/>
                <w:color w:val="auto"/>
                <w:highlight w:val="none"/>
                <w:u w:val="single"/>
              </w:rPr>
              <w:suppressLineNumbers w:val="0"/>
            </w:pPr>
            <w:r>
              <w:rPr>
                <w:rFonts w:hint="default"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70"/>
              <w:ind w:left="0" w:right="0"/>
              <w:keepLines w:val="0"/>
              <w:keepNext w:val="0"/>
              <w:spacing w:before="0" w:beforeAutospacing="0" w:after="0" w:afterAutospacing="0"/>
              <w:widowControl/>
              <w:rPr>
                <w:rFonts w:hint="default" w:ascii="宋体" w:hAnsi="宋体" w:cs="宋体"/>
                <w:b/>
                <w:i/>
                <w:iCs/>
                <w:color w:val="auto"/>
                <w:highlight w:val="none"/>
                <w:u w:val="single"/>
              </w:rPr>
              <w:suppressLineNumbers w:val="0"/>
            </w:pPr>
            <w:r>
              <w:rPr>
                <w:rFonts w:hint="default"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70"/>
              <w:ind w:left="0" w:right="0"/>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70"/>
              <w:ind w:left="0" w:right="0"/>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70"/>
              <w:ind w:left="0" w:right="0"/>
              <w:jc w:val="center"/>
              <w:keepLines w:val="0"/>
              <w:keepNext w:val="0"/>
              <w:spacing w:before="0" w:beforeAutospacing="0" w:after="0" w:afterAutospacing="0"/>
              <w:widowControl/>
              <w:rPr>
                <w:rFonts w:hint="default" w:ascii="宋体" w:hAnsi="宋体" w:eastAsia="宋体" w:cs="宋体"/>
                <w:color w:val="auto"/>
                <w:highlight w:val="none"/>
              </w:rPr>
              <w:suppressLineNumbers w:val="0"/>
            </w:pPr>
            <w:r>
              <w:rPr>
                <w:rFonts w:hint="default"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70"/>
        <w:rPr>
          <w:rFonts w:ascii="宋体" w:hAnsi="宋体" w:eastAsia="宋体" w:cs="宋体"/>
          <w:color w:val="auto"/>
          <w:highlight w:val="none"/>
        </w:rPr>
      </w:pPr>
      <w:r>
        <w:rPr>
          <w:rFonts w:ascii="宋体" w:hAnsi="宋体" w:eastAsia="宋体" w:cs="宋体"/>
          <w:color w:val="auto"/>
          <w:highlight w:val="none"/>
        </w:rPr>
      </w:r>
      <w:r/>
    </w:p>
    <w:p>
      <w:pPr>
        <w:pStyle w:val="1270"/>
        <w:ind w:firstLine="482"/>
        <w:rPr>
          <w:rFonts w:ascii="宋体" w:hAnsi="宋体" w:eastAsia="宋体" w:cs="宋体"/>
          <w:b/>
          <w:bCs/>
          <w:color w:val="auto"/>
          <w:highlight w:val="none"/>
        </w:rPr>
      </w:pPr>
      <w:r>
        <w:rPr>
          <w:rFonts w:ascii="宋体" w:hAnsi="宋体" w:eastAsia="宋体" w:cs="宋体"/>
          <w:b/>
          <w:bCs/>
          <w:color w:val="auto"/>
          <w:highlight w:val="none"/>
        </w:rPr>
      </w:r>
      <w:r/>
    </w:p>
    <w:p>
      <w:pPr>
        <w:rPr>
          <w:rStyle w:val="946"/>
          <w:rFonts w:hint="eastAsia" w:ascii="宋体" w:hAnsi="宋体" w:eastAsia="宋体" w:cs="宋体"/>
          <w:b/>
          <w:color w:val="auto"/>
          <w:sz w:val="32"/>
          <w:highlight w:val="none"/>
          <w:lang w:eastAsia="zh-CN"/>
        </w:rPr>
      </w:pPr>
      <w:r/>
      <w:bookmarkStart w:id="287" w:name="_Toc2823"/>
      <w:r/>
      <w:bookmarkStart w:id="288" w:name="_Toc20809"/>
      <w:r/>
      <w:bookmarkStart w:id="289" w:name="_Toc20216"/>
      <w:r>
        <w:rPr>
          <w:rStyle w:val="946"/>
          <w:rFonts w:hint="eastAsia" w:ascii="宋体" w:hAnsi="宋体" w:eastAsia="宋体" w:cs="宋体"/>
          <w:b/>
          <w:color w:val="auto"/>
          <w:sz w:val="32"/>
          <w:highlight w:val="none"/>
          <w:lang w:eastAsia="zh-CN"/>
        </w:rPr>
        <w:br w:type="page" w:clear="all"/>
      </w:r>
      <w:r/>
    </w:p>
    <w:p>
      <w:pPr>
        <w:pStyle w:val="1156"/>
        <w:rPr>
          <w:rStyle w:val="946"/>
          <w:color w:val="auto"/>
          <w:highlight w:val="none"/>
        </w:rPr>
      </w:pPr>
      <w:r>
        <w:rPr>
          <w:rStyle w:val="946"/>
          <w:rFonts w:hint="eastAsia" w:ascii="宋体" w:hAnsi="宋体" w:eastAsia="宋体" w:cs="宋体"/>
          <w:b/>
          <w:color w:val="auto"/>
          <w:sz w:val="32"/>
          <w:highlight w:val="none"/>
          <w:lang w:eastAsia="zh-CN"/>
        </w:rPr>
        <w:t xml:space="preserve">六</w:t>
      </w:r>
      <w:r>
        <w:rPr>
          <w:rStyle w:val="946"/>
          <w:rFonts w:hint="eastAsia" w:ascii="宋体" w:hAnsi="宋体" w:eastAsia="宋体" w:cs="宋体"/>
          <w:b/>
          <w:color w:val="auto"/>
          <w:sz w:val="32"/>
          <w:highlight w:val="none"/>
        </w:rPr>
        <w:t xml:space="preserve">、</w:t>
      </w:r>
      <w:r>
        <w:rPr>
          <w:rStyle w:val="946"/>
          <w:rFonts w:ascii="宋体" w:hAnsi="宋体" w:eastAsia="宋体" w:cs="宋体"/>
          <w:b/>
          <w:color w:val="auto"/>
          <w:sz w:val="32"/>
          <w:highlight w:val="none"/>
        </w:rPr>
        <w:t xml:space="preserve">服务方案</w:t>
      </w:r>
      <w:bookmarkEnd w:id="287"/>
      <w:r/>
      <w:bookmarkEnd w:id="288"/>
      <w:r/>
      <w:bookmarkEnd w:id="289"/>
      <w:r/>
      <w:r/>
    </w:p>
    <w:p>
      <w:pPr>
        <w:pStyle w:val="1249"/>
        <w:jc w:val="center"/>
        <w:keepLines/>
        <w:keepNext/>
        <w:spacing w:before="260" w:after="260" w:line="415" w:lineRule="auto"/>
        <w:rPr>
          <w:rStyle w:val="946"/>
          <w:rFonts w:ascii="宋体" w:hAnsi="宋体"/>
          <w:b/>
          <w:bCs/>
          <w:color w:val="auto"/>
          <w:sz w:val="28"/>
          <w:szCs w:val="28"/>
          <w:highlight w:val="none"/>
        </w:rPr>
        <w:outlineLvl w:val="1"/>
      </w:pPr>
      <w:r/>
      <w:bookmarkStart w:id="290" w:name="_Toc22126"/>
      <w:r/>
      <w:bookmarkStart w:id="291" w:name="_Toc43285583"/>
      <w:r/>
      <w:bookmarkStart w:id="292" w:name="_Toc35266041"/>
      <w:r>
        <w:rPr>
          <w:rStyle w:val="946"/>
          <w:rFonts w:hint="eastAsia" w:ascii="宋体" w:hAnsi="宋体"/>
          <w:b/>
          <w:bCs/>
          <w:color w:val="auto"/>
          <w:sz w:val="28"/>
          <w:szCs w:val="28"/>
          <w:highlight w:val="none"/>
        </w:rPr>
        <w:t xml:space="preserve">服务方案</w:t>
      </w:r>
      <w:bookmarkEnd w:id="290"/>
      <w:r/>
      <w:bookmarkEnd w:id="291"/>
      <w:r/>
      <w:bookmarkEnd w:id="292"/>
      <w:r/>
      <w:r/>
    </w:p>
    <w:p>
      <w:pPr>
        <w:pStyle w:val="1249"/>
        <w:jc w:val="left"/>
        <w:spacing w:line="360" w:lineRule="auto"/>
        <w:rPr>
          <w:rStyle w:val="946"/>
          <w:rFonts w:ascii="宋体" w:hAnsi="宋体"/>
          <w:color w:val="auto"/>
          <w:sz w:val="24"/>
          <w:szCs w:val="24"/>
          <w:highlight w:val="none"/>
        </w:rPr>
      </w:pPr>
      <w:r>
        <w:rPr>
          <w:rFonts w:ascii="宋体" w:hAnsi="宋体"/>
          <w:color w:val="auto"/>
          <w:sz w:val="24"/>
          <w:szCs w:val="24"/>
          <w:highlight w:val="none"/>
        </w:rPr>
      </w:r>
      <w:r/>
    </w:p>
    <w:p>
      <w:pPr>
        <w:pStyle w:val="1249"/>
        <w:jc w:val="center"/>
        <w:spacing w:line="360" w:lineRule="auto"/>
        <w:rPr>
          <w:rStyle w:val="946"/>
          <w:rFonts w:ascii="宋体" w:hAnsi="宋体" w:cs="Arial"/>
          <w:color w:val="auto"/>
          <w:sz w:val="24"/>
          <w:szCs w:val="21"/>
          <w:highlight w:val="none"/>
        </w:rPr>
        <w:outlineLvl w:val="1"/>
      </w:pPr>
      <w:r/>
      <w:bookmarkStart w:id="293" w:name="_Toc15946"/>
      <w:r>
        <w:rPr>
          <w:rStyle w:val="946"/>
          <w:rFonts w:hint="eastAsia" w:ascii="宋体" w:hAnsi="宋体" w:cs="Arial"/>
          <w:color w:val="auto"/>
          <w:sz w:val="24"/>
          <w:szCs w:val="21"/>
          <w:highlight w:val="none"/>
        </w:rPr>
        <w:t xml:space="preserve">（服务方案的内容编排等由投标人自定）</w:t>
      </w:r>
      <w:bookmarkEnd w:id="293"/>
      <w:r/>
      <w:r/>
    </w:p>
    <w:p>
      <w:pPr>
        <w:pStyle w:val="1215"/>
        <w:rPr>
          <w:rFonts w:ascii="宋体" w:hAnsi="宋体" w:eastAsia="宋体" w:cs="宋体"/>
          <w:color w:val="auto"/>
          <w:highlight w:val="none"/>
          <w:lang w:bidi="ar"/>
        </w:rPr>
        <w:outlineLvl w:val="0"/>
      </w:pPr>
      <w:r>
        <w:rPr>
          <w:rStyle w:val="946"/>
          <w:color w:val="auto"/>
          <w:highlight w:val="none"/>
        </w:rPr>
        <w:br w:type="page" w:clear="all"/>
      </w:r>
      <w:bookmarkStart w:id="294" w:name="_Toc29047"/>
      <w:r/>
      <w:bookmarkStart w:id="295" w:name="_Toc1005"/>
      <w:r/>
      <w:bookmarkStart w:id="296" w:name="_Toc29323"/>
      <w:r>
        <w:rPr>
          <w:rStyle w:val="946"/>
          <w:rFonts w:hint="eastAsia" w:ascii="宋体" w:hAnsi="宋体" w:eastAsia="宋体" w:cs="宋体"/>
          <w:b/>
          <w:color w:val="auto"/>
          <w:sz w:val="32"/>
          <w:highlight w:val="none"/>
          <w:lang w:eastAsia="zh-CN"/>
        </w:rPr>
        <w:t xml:space="preserve">七</w:t>
      </w:r>
      <w:r>
        <w:rPr>
          <w:rStyle w:val="946"/>
          <w:rFonts w:ascii="宋体" w:hAnsi="宋体" w:eastAsia="宋体" w:cs="宋体"/>
          <w:b/>
          <w:color w:val="auto"/>
          <w:sz w:val="32"/>
          <w:highlight w:val="none"/>
        </w:rPr>
        <w:t xml:space="preserve">、投标人情况介绍</w:t>
      </w:r>
      <w:bookmarkEnd w:id="294"/>
      <w:r>
        <w:rPr>
          <w:rStyle w:val="946"/>
          <w:rFonts w:hint="eastAsia" w:ascii="宋体" w:hAnsi="宋体" w:eastAsia="宋体" w:cs="Arial"/>
          <w:color w:val="auto"/>
          <w:szCs w:val="21"/>
          <w:highlight w:val="none"/>
        </w:rPr>
        <w:t xml:space="preserve">（内容自定，可参考如下）</w:t>
      </w:r>
      <w:bookmarkEnd w:id="295"/>
      <w:r/>
      <w:bookmarkEnd w:id="296"/>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2.相关证书</w:t>
      </w:r>
      <w:r/>
    </w:p>
    <w:p>
      <w:pPr>
        <w:spacing w:line="440" w:lineRule="exact"/>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3.检测报告</w:t>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bookmarkEnd w:id="249"/>
      <w:r/>
      <w:r/>
    </w:p>
    <w:p>
      <w:pPr>
        <w:rPr>
          <w:rFonts w:ascii="宋体" w:hAnsi="宋体"/>
          <w:b/>
          <w:bCs/>
          <w:color w:val="auto"/>
          <w:sz w:val="20"/>
          <w:szCs w:val="32"/>
          <w:highlight w:val="none"/>
        </w:rPr>
      </w:pPr>
      <w:r>
        <w:rPr>
          <w:rFonts w:ascii="宋体" w:hAnsi="宋体"/>
          <w:b/>
          <w:bCs/>
          <w:color w:val="auto"/>
          <w:sz w:val="20"/>
          <w:szCs w:val="32"/>
          <w:highlight w:val="none"/>
        </w:rPr>
      </w:r>
      <w:r/>
    </w:p>
    <w:sectPr>
      <w:headerReference w:type="default" r:id="rId10"/>
      <w:footerReference w:type="default" r:id="rId13"/>
      <w:footerReference w:type="first" r:id="rId14"/>
      <w:footnotePr/>
      <w:endnotePr/>
      <w:type w:val="nextPage"/>
      <w:pgSz w:w="11906" w:h="16838" w:orient="portrait"/>
      <w:pgMar w:top="1440" w:right="1269" w:bottom="1440" w:left="13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egoe UI">
    <w:panose1 w:val="020B0502040204020203"/>
  </w:font>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rPr>
        <w:rStyle w:val="1014"/>
        <w:highlight w:val="white"/>
      </w:rPr>
      <w:t xml:space="preserve">1</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7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pStyle w:val="95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2"/>
      <w:isLgl w:val="false"/>
      <w:suff w:val="nothing"/>
      <w:lvlText w:val=""/>
      <w:lvlJc w:val="left"/>
      <w:pPr>
        <w:ind w:left="0" w:firstLine="0"/>
        <w:tabs>
          <w:tab w:val="left" w:pos="0" w:leader="none"/>
        </w:tabs>
      </w:pPr>
    </w:lvl>
    <w:lvl w:ilvl="6">
      <w:start w:val="1"/>
      <w:numFmt w:val="decimal"/>
      <w:pStyle w:val="943"/>
      <w:isLgl w:val="false"/>
      <w:suff w:val="nothing"/>
      <w:lvlText w:val=""/>
      <w:lvlJc w:val="left"/>
      <w:pPr>
        <w:ind w:left="0" w:firstLine="0"/>
        <w:tabs>
          <w:tab w:val="left" w:pos="0" w:leader="none"/>
        </w:tabs>
      </w:pPr>
    </w:lvl>
    <w:lvl w:ilvl="7">
      <w:start w:val="1"/>
      <w:numFmt w:val="decimal"/>
      <w:pStyle w:val="944"/>
      <w:isLgl w:val="false"/>
      <w:suff w:val="nothing"/>
      <w:lvlText w:val=""/>
      <w:lvlJc w:val="left"/>
      <w:pPr>
        <w:ind w:left="0" w:firstLine="0"/>
        <w:tabs>
          <w:tab w:val="left" w:pos="0" w:leader="none"/>
        </w:tabs>
      </w:pPr>
    </w:lvl>
    <w:lvl w:ilvl="8">
      <w:start w:val="1"/>
      <w:numFmt w:val="decimal"/>
      <w:pStyle w:val="945"/>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124"/>
      <w:isLgl w:val="false"/>
      <w:suff w:val="tab"/>
      <w:lvlText w:val="第%1章"/>
      <w:lvlJc w:val="left"/>
      <w:pPr>
        <w:ind w:left="709" w:hanging="425"/>
      </w:pPr>
      <w:rPr>
        <w:rFonts w:hint="eastAsia" w:eastAsia="宋体"/>
        <w:sz w:val="28"/>
        <w:lang w:val="en-US"/>
      </w:rPr>
    </w:lvl>
    <w:lvl w:ilvl="1">
      <w:start w:val="1"/>
      <w:numFmt w:val="decimal"/>
      <w:pStyle w:val="1123"/>
      <w:isLgl w:val="false"/>
      <w:suff w:val="tab"/>
      <w:lvlText w:val="%1.%2"/>
      <w:lvlJc w:val="left"/>
      <w:pPr>
        <w:ind w:left="880" w:hanging="879"/>
      </w:pPr>
      <w:rPr>
        <w:rFonts w:hint="eastAsia" w:ascii="宋体" w:hAnsi="宋体" w:eastAsia="宋体"/>
        <w:sz w:val="28"/>
      </w:rPr>
    </w:lvl>
    <w:lvl w:ilvl="2">
      <w:start w:val="1"/>
      <w:numFmt w:val="decimal"/>
      <w:pStyle w:val="1122"/>
      <w:isLgl w:val="false"/>
      <w:suff w:val="tab"/>
      <w:lvlText w:val="%1.%2.%3"/>
      <w:lvlJc w:val="left"/>
      <w:pPr>
        <w:ind w:left="5444" w:hanging="1191"/>
      </w:pPr>
      <w:rPr>
        <w:rFonts w:hint="eastAsia" w:ascii="宋体" w:hAnsi="宋体" w:eastAsia="宋体"/>
        <w:sz w:val="28"/>
      </w:rPr>
    </w:lvl>
    <w:lvl w:ilvl="3">
      <w:start w:val="1"/>
      <w:numFmt w:val="decimal"/>
      <w:pStyle w:val="1121"/>
      <w:isLgl w:val="false"/>
      <w:suff w:val="tab"/>
      <w:lvlText w:val="%1.%2.%3.%4"/>
      <w:lvlJc w:val="left"/>
      <w:pPr>
        <w:ind w:left="1275" w:hanging="1644"/>
      </w:pPr>
      <w:rPr>
        <w:rFonts w:hint="eastAsia" w:ascii="宋体" w:hAnsi="宋体" w:eastAsia="宋体"/>
        <w:sz w:val="28"/>
      </w:rPr>
    </w:lvl>
    <w:lvl w:ilvl="4">
      <w:start w:val="1"/>
      <w:numFmt w:val="decimal"/>
      <w:pStyle w:val="116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decimal"/>
      <w:pStyle w:val="114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decimal"/>
      <w:pStyle w:val="104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20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7"/>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1369"/>
    <w:uiPriority w:val="0"/>
    <w:qFormat/>
    <w:pPr>
      <w:jc w:val="both"/>
      <w:widowControl w:val="off"/>
    </w:pPr>
    <w:rPr>
      <w:rFonts w:hint="default" w:ascii="Calibri" w:hAnsi="Calibri" w:eastAsia="宋体" w:cs="Times New Roman"/>
      <w:sz w:val="21"/>
      <w:szCs w:val="22"/>
      <w:lang w:val="en-US" w:eastAsia="zh-CN" w:bidi="ar-SA"/>
    </w:rPr>
  </w:style>
  <w:style w:type="paragraph" w:styleId="707">
    <w:name w:val="Heading 1"/>
    <w:basedOn w:val="706"/>
    <w:next w:val="706"/>
    <w:link w:val="79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9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9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9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96"/>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97"/>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98"/>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99"/>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unhideWhenUsed/>
    <w:qFormat/>
  </w:style>
  <w:style w:type="table" w:styleId="71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next w:val="706"/>
    <w:uiPriority w:val="0"/>
    <w:qFormat/>
    <w:pPr>
      <w:ind w:left="420" w:firstLine="4772"/>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link w:val="1360"/>
    <w:uiPriority w:val="99"/>
    <w:semiHidden/>
    <w:unhideWhenUsed/>
    <w:qFormat/>
    <w:pPr>
      <w:jc w:val="left"/>
    </w:pPr>
  </w:style>
  <w:style w:type="paragraph" w:styleId="722">
    <w:name w:val="Body Text"/>
    <w:basedOn w:val="706"/>
    <w:uiPriority w:val="0"/>
    <w:qFormat/>
    <w:pPr>
      <w:jc w:val="left"/>
      <w:spacing w:after="60"/>
      <w:tabs>
        <w:tab w:val="right" w:pos="2520" w:leader="none"/>
        <w:tab w:val="left" w:pos="2880" w:leader="none"/>
      </w:tabs>
    </w:pPr>
    <w:rPr>
      <w:sz w:val="22"/>
      <w:szCs w:val="20"/>
    </w:rPr>
  </w:style>
  <w:style w:type="paragraph" w:styleId="723">
    <w:name w:val="Body Text Indent"/>
    <w:basedOn w:val="706"/>
    <w:next w:val="724"/>
    <w:uiPriority w:val="0"/>
    <w:qFormat/>
    <w:pPr>
      <w:ind w:firstLine="645"/>
    </w:pPr>
    <w:rPr>
      <w:rFonts w:ascii="楷体_GB2312" w:hAnsi="宋体" w:eastAsia="楷体_GB2312" w:cs="宋体"/>
      <w:sz w:val="32"/>
      <w:szCs w:val="32"/>
    </w:rPr>
  </w:style>
  <w:style w:type="paragraph" w:styleId="724">
    <w:name w:val="envelope return"/>
    <w:basedOn w:val="706"/>
    <w:uiPriority w:val="99"/>
    <w:qFormat/>
    <w:rPr>
      <w:rFonts w:ascii="Arial" w:hAnsi="Arial"/>
    </w:rPr>
  </w:style>
  <w:style w:type="paragraph" w:styleId="725">
    <w:name w:val="Block Text"/>
    <w:basedOn w:val="707"/>
    <w:next w:val="706"/>
    <w:uiPriority w:val="0"/>
    <w:qFormat/>
    <w:pPr>
      <w:ind w:left="420" w:right="33" w:firstLine="2560"/>
      <w:spacing w:before="0" w:after="0" w:line="240" w:lineRule="auto"/>
    </w:pPr>
    <w:rPr>
      <w:rFonts w:ascii="Times New Roman" w:hAnsi="Times New Roman" w:cs="Times New Roman"/>
    </w:rPr>
  </w:style>
  <w:style w:type="paragraph" w:styleId="726">
    <w:name w:val="toc 5"/>
    <w:basedOn w:val="706"/>
    <w:next w:val="706"/>
    <w:uiPriority w:val="39"/>
    <w:unhideWhenUsed/>
    <w:qFormat/>
    <w:pPr>
      <w:ind w:left="1134"/>
      <w:spacing w:after="57"/>
    </w:pPr>
  </w:style>
  <w:style w:type="paragraph" w:styleId="727">
    <w:name w:val="toc 3"/>
    <w:basedOn w:val="706"/>
    <w:next w:val="706"/>
    <w:uiPriority w:val="39"/>
    <w:unhideWhenUsed/>
    <w:qFormat/>
    <w:pPr>
      <w:ind w:left="567"/>
      <w:spacing w:after="57"/>
    </w:pPr>
  </w:style>
  <w:style w:type="paragraph" w:styleId="728">
    <w:name w:val="toc 8"/>
    <w:basedOn w:val="706"/>
    <w:next w:val="706"/>
    <w:uiPriority w:val="39"/>
    <w:unhideWhenUsed/>
    <w:qFormat/>
    <w:pPr>
      <w:ind w:left="1984"/>
      <w:spacing w:after="57"/>
    </w:pPr>
  </w:style>
  <w:style w:type="paragraph" w:styleId="729">
    <w:name w:val="endnote text"/>
    <w:basedOn w:val="706"/>
    <w:link w:val="935"/>
    <w:uiPriority w:val="99"/>
    <w:semiHidden/>
    <w:unhideWhenUsed/>
    <w:qFormat/>
    <w:rPr>
      <w:sz w:val="20"/>
    </w:rPr>
  </w:style>
  <w:style w:type="paragraph" w:styleId="730">
    <w:name w:val="Balloon Text"/>
    <w:basedOn w:val="706"/>
    <w:link w:val="1359"/>
    <w:uiPriority w:val="99"/>
    <w:semiHidden/>
    <w:unhideWhenUsed/>
    <w:qFormat/>
    <w:rPr>
      <w:sz w:val="18"/>
      <w:szCs w:val="18"/>
    </w:rPr>
  </w:style>
  <w:style w:type="paragraph" w:styleId="731">
    <w:name w:val="Footer"/>
    <w:basedOn w:val="706"/>
    <w:link w:val="808"/>
    <w:uiPriority w:val="99"/>
    <w:unhideWhenUsed/>
    <w:qFormat/>
    <w:pPr>
      <w:tabs>
        <w:tab w:val="center" w:pos="7143" w:leader="none"/>
        <w:tab w:val="right" w:pos="14287" w:leader="none"/>
      </w:tabs>
    </w:pPr>
  </w:style>
  <w:style w:type="paragraph" w:styleId="732">
    <w:name w:val="Header"/>
    <w:basedOn w:val="706"/>
    <w:link w:val="806"/>
    <w:uiPriority w:val="99"/>
    <w:unhideWhenUsed/>
    <w:qFormat/>
    <w:pPr>
      <w:tabs>
        <w:tab w:val="center" w:pos="7143" w:leader="none"/>
        <w:tab w:val="right" w:pos="14287" w:leader="none"/>
      </w:tabs>
    </w:pPr>
  </w:style>
  <w:style w:type="paragraph" w:styleId="733">
    <w:name w:val="toc 1"/>
    <w:basedOn w:val="706"/>
    <w:next w:val="706"/>
    <w:uiPriority w:val="39"/>
    <w:unhideWhenUsed/>
    <w:qFormat/>
    <w:pPr>
      <w:spacing w:after="57"/>
    </w:pPr>
  </w:style>
  <w:style w:type="paragraph" w:styleId="734">
    <w:name w:val="toc 4"/>
    <w:basedOn w:val="706"/>
    <w:next w:val="706"/>
    <w:uiPriority w:val="39"/>
    <w:unhideWhenUsed/>
    <w:qFormat/>
    <w:pPr>
      <w:ind w:left="850"/>
      <w:spacing w:after="57"/>
    </w:pPr>
  </w:style>
  <w:style w:type="paragraph" w:styleId="735">
    <w:name w:val="Subtitle"/>
    <w:basedOn w:val="706"/>
    <w:next w:val="706"/>
    <w:link w:val="801"/>
    <w:uiPriority w:val="11"/>
    <w:qFormat/>
    <w:pPr>
      <w:spacing w:before="200" w:after="200"/>
    </w:pPr>
    <w:rPr>
      <w:sz w:val="24"/>
      <w:szCs w:val="24"/>
    </w:rPr>
  </w:style>
  <w:style w:type="paragraph" w:styleId="736">
    <w:name w:val="footnote text"/>
    <w:basedOn w:val="707"/>
    <w:next w:val="725"/>
    <w:link w:val="934"/>
    <w:uiPriority w:val="99"/>
    <w:semiHidden/>
    <w:unhideWhenUsed/>
    <w:qFormat/>
    <w:pPr>
      <w:spacing w:after="40"/>
    </w:pPr>
    <w:rPr>
      <w:sz w:val="18"/>
    </w:rPr>
  </w:style>
  <w:style w:type="paragraph" w:styleId="737">
    <w:name w:val="toc 6"/>
    <w:basedOn w:val="706"/>
    <w:next w:val="706"/>
    <w:uiPriority w:val="39"/>
    <w:unhideWhenUsed/>
    <w:qFormat/>
    <w:pPr>
      <w:ind w:left="1417"/>
      <w:spacing w:after="57"/>
    </w:pPr>
  </w:style>
  <w:style w:type="paragraph" w:styleId="738">
    <w:name w:val="table of figures"/>
    <w:basedOn w:val="706"/>
    <w:next w:val="706"/>
    <w:uiPriority w:val="99"/>
    <w:unhideWhenUsed/>
    <w:qFormat/>
  </w:style>
  <w:style w:type="paragraph" w:styleId="739">
    <w:name w:val="toc 2"/>
    <w:basedOn w:val="706"/>
    <w:next w:val="706"/>
    <w:uiPriority w:val="39"/>
    <w:unhideWhenUsed/>
    <w:qFormat/>
    <w:pPr>
      <w:ind w:left="283"/>
      <w:spacing w:after="57"/>
    </w:pPr>
  </w:style>
  <w:style w:type="paragraph" w:styleId="740">
    <w:name w:val="toc 9"/>
    <w:basedOn w:val="706"/>
    <w:next w:val="706"/>
    <w:uiPriority w:val="39"/>
    <w:unhideWhenUsed/>
    <w:qFormat/>
    <w:pPr>
      <w:ind w:left="2268"/>
      <w:spacing w:after="57"/>
    </w:pPr>
  </w:style>
  <w:style w:type="paragraph" w:styleId="741">
    <w:name w:val="Normal (Web)"/>
    <w:basedOn w:val="706"/>
    <w:uiPriority w:val="0"/>
    <w:qFormat/>
    <w:pPr>
      <w:jc w:val="left"/>
      <w:spacing w:beforeAutospacing="1" w:afterAutospacing="1"/>
    </w:pPr>
    <w:rPr>
      <w:sz w:val="24"/>
    </w:rPr>
  </w:style>
  <w:style w:type="paragraph" w:styleId="742">
    <w:name w:val="Title"/>
    <w:basedOn w:val="706"/>
    <w:next w:val="706"/>
    <w:link w:val="800"/>
    <w:uiPriority w:val="10"/>
    <w:qFormat/>
    <w:pPr>
      <w:contextualSpacing/>
      <w:spacing w:before="300" w:after="200"/>
    </w:pPr>
    <w:rPr>
      <w:sz w:val="48"/>
      <w:szCs w:val="48"/>
    </w:rPr>
  </w:style>
  <w:style w:type="paragraph" w:styleId="743">
    <w:name w:val="annotation subject"/>
    <w:basedOn w:val="721"/>
    <w:next w:val="721"/>
    <w:link w:val="1361"/>
    <w:uiPriority w:val="99"/>
    <w:semiHidden/>
    <w:unhideWhenUsed/>
    <w:qFormat/>
    <w:rPr>
      <w:b/>
      <w:bCs/>
    </w:rPr>
  </w:style>
  <w:style w:type="table" w:styleId="744">
    <w:name w:val="Table Grid"/>
    <w:basedOn w:val="7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6"/>
    <w:uiPriority w:val="0"/>
    <w:qFormat/>
    <w:rPr>
      <w:b/>
    </w:rPr>
  </w:style>
  <w:style w:type="character" w:styleId="746">
    <w:name w:val="endnote reference"/>
    <w:uiPriority w:val="99"/>
    <w:semiHidden/>
    <w:unhideWhenUsed/>
    <w:qFormat/>
    <w:rPr>
      <w:vertAlign w:val="superscript"/>
    </w:rPr>
  </w:style>
  <w:style w:type="character" w:styleId="747">
    <w:name w:val="FollowedHyperlink"/>
    <w:basedOn w:val="716"/>
    <w:uiPriority w:val="99"/>
    <w:semiHidden/>
    <w:unhideWhenUsed/>
    <w:qFormat/>
    <w:rPr>
      <w:color w:val="333333"/>
      <w:u w:val="none"/>
    </w:rPr>
  </w:style>
  <w:style w:type="character" w:styleId="748">
    <w:name w:val="Emphasis"/>
    <w:basedOn w:val="716"/>
    <w:uiPriority w:val="20"/>
    <w:qFormat/>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annotation reference"/>
    <w:basedOn w:val="716"/>
    <w:uiPriority w:val="99"/>
    <w:semiHidden/>
    <w:unhideWhenUsed/>
    <w:qFormat/>
    <w:rPr>
      <w:sz w:val="21"/>
      <w:szCs w:val="21"/>
    </w:rPr>
  </w:style>
  <w:style w:type="character" w:styleId="751">
    <w:name w:val="footnote reference"/>
    <w:uiPriority w:val="99"/>
    <w:unhideWhenUsed/>
    <w:qFormat/>
    <w:rPr>
      <w:vertAlign w:val="superscript"/>
    </w:rPr>
  </w:style>
  <w:style w:type="paragraph" w:styleId="752" w:customStyle="1">
    <w:name w:val="正文文本首行缩进 21"/>
    <w:basedOn w:val="723"/>
    <w:uiPriority w:val="0"/>
    <w:qFormat/>
    <w:pPr>
      <w:ind w:firstLine="420"/>
    </w:pPr>
  </w:style>
  <w:style w:type="character" w:styleId="753" w:customStyle="1">
    <w:name w:val="Heading 1 Char"/>
    <w:basedOn w:val="716"/>
    <w:uiPriority w:val="9"/>
    <w:qFormat/>
    <w:rPr>
      <w:rFonts w:ascii="Arial" w:hAnsi="Arial" w:eastAsia="Arial" w:cs="Arial"/>
      <w:sz w:val="40"/>
      <w:szCs w:val="40"/>
    </w:rPr>
  </w:style>
  <w:style w:type="character" w:styleId="754" w:customStyle="1">
    <w:name w:val="Heading 2 Char"/>
    <w:basedOn w:val="716"/>
    <w:uiPriority w:val="9"/>
    <w:qFormat/>
    <w:rPr>
      <w:rFonts w:ascii="Arial" w:hAnsi="Arial" w:eastAsia="Arial" w:cs="Arial"/>
      <w:sz w:val="34"/>
    </w:rPr>
  </w:style>
  <w:style w:type="character" w:styleId="755" w:customStyle="1">
    <w:name w:val="Heading 3 Char"/>
    <w:basedOn w:val="716"/>
    <w:uiPriority w:val="9"/>
    <w:qFormat/>
    <w:rPr>
      <w:rFonts w:ascii="Arial" w:hAnsi="Arial" w:eastAsia="Arial" w:cs="Arial"/>
      <w:sz w:val="30"/>
      <w:szCs w:val="30"/>
    </w:rPr>
  </w:style>
  <w:style w:type="character" w:styleId="756" w:customStyle="1">
    <w:name w:val="Heading 4 Char"/>
    <w:basedOn w:val="716"/>
    <w:uiPriority w:val="9"/>
    <w:qFormat/>
    <w:rPr>
      <w:rFonts w:ascii="Arial" w:hAnsi="Arial" w:eastAsia="Arial" w:cs="Arial"/>
      <w:b/>
      <w:bCs/>
      <w:sz w:val="26"/>
      <w:szCs w:val="26"/>
    </w:rPr>
  </w:style>
  <w:style w:type="character" w:styleId="757" w:customStyle="1">
    <w:name w:val="Heading 5 Char"/>
    <w:basedOn w:val="716"/>
    <w:uiPriority w:val="9"/>
    <w:qFormat/>
    <w:rPr>
      <w:rFonts w:ascii="Arial" w:hAnsi="Arial" w:eastAsia="Arial" w:cs="Arial"/>
      <w:b/>
      <w:bCs/>
      <w:sz w:val="24"/>
      <w:szCs w:val="24"/>
    </w:rPr>
  </w:style>
  <w:style w:type="character" w:styleId="758" w:customStyle="1">
    <w:name w:val="Heading 6 Char"/>
    <w:basedOn w:val="716"/>
    <w:uiPriority w:val="9"/>
    <w:qFormat/>
    <w:rPr>
      <w:rFonts w:ascii="Arial" w:hAnsi="Arial" w:eastAsia="Arial" w:cs="Arial"/>
      <w:b/>
      <w:bCs/>
      <w:sz w:val="22"/>
      <w:szCs w:val="22"/>
    </w:rPr>
  </w:style>
  <w:style w:type="character" w:styleId="759" w:customStyle="1">
    <w:name w:val="Heading 7 Char"/>
    <w:basedOn w:val="716"/>
    <w:uiPriority w:val="9"/>
    <w:qFormat/>
    <w:rPr>
      <w:rFonts w:ascii="Arial" w:hAnsi="Arial" w:eastAsia="Arial" w:cs="Arial"/>
      <w:b/>
      <w:bCs/>
      <w:i/>
      <w:iCs/>
      <w:sz w:val="22"/>
      <w:szCs w:val="22"/>
    </w:rPr>
  </w:style>
  <w:style w:type="character" w:styleId="760" w:customStyle="1">
    <w:name w:val="Heading 8 Char"/>
    <w:basedOn w:val="716"/>
    <w:uiPriority w:val="9"/>
    <w:qFormat/>
    <w:rPr>
      <w:rFonts w:ascii="Arial" w:hAnsi="Arial" w:eastAsia="Arial" w:cs="Arial"/>
      <w:i/>
      <w:iCs/>
      <w:sz w:val="22"/>
      <w:szCs w:val="22"/>
    </w:rPr>
  </w:style>
  <w:style w:type="character" w:styleId="761" w:customStyle="1">
    <w:name w:val="Heading 9 Char"/>
    <w:basedOn w:val="716"/>
    <w:uiPriority w:val="9"/>
    <w:qFormat/>
    <w:rPr>
      <w:rFonts w:ascii="Arial" w:hAnsi="Arial" w:eastAsia="Arial" w:cs="Arial"/>
      <w:i/>
      <w:iCs/>
      <w:sz w:val="21"/>
      <w:szCs w:val="21"/>
    </w:rPr>
  </w:style>
  <w:style w:type="character" w:styleId="762" w:customStyle="1">
    <w:name w:val="Title Char"/>
    <w:basedOn w:val="716"/>
    <w:uiPriority w:val="10"/>
    <w:qFormat/>
    <w:rPr>
      <w:sz w:val="48"/>
      <w:szCs w:val="48"/>
    </w:rPr>
  </w:style>
  <w:style w:type="character" w:styleId="763" w:customStyle="1">
    <w:name w:val="Subtitle Char"/>
    <w:basedOn w:val="716"/>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6"/>
    <w:uiPriority w:val="99"/>
    <w:qFormat/>
  </w:style>
  <w:style w:type="character" w:styleId="767" w:customStyle="1">
    <w:name w:val="Caption Char"/>
    <w:uiPriority w:val="99"/>
    <w:qFormat/>
  </w:style>
  <w:style w:type="table" w:styleId="768"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首行缩进"/>
    <w:basedOn w:val="706"/>
    <w:next w:val="706"/>
    <w:uiPriority w:val="0"/>
    <w:qFormat/>
    <w:pPr>
      <w:ind w:firstLine="480"/>
      <w:jc w:val="left"/>
      <w:spacing w:line="360" w:lineRule="auto"/>
    </w:pPr>
    <w:rPr>
      <w:rFonts w:ascii="宋体" w:hAnsi="宋体"/>
      <w:sz w:val="24"/>
    </w:rPr>
  </w:style>
  <w:style w:type="character" w:styleId="791" w:customStyle="1">
    <w:name w:val="标题 1 Char2"/>
    <w:link w:val="707"/>
    <w:uiPriority w:val="9"/>
    <w:qFormat/>
    <w:rPr>
      <w:rFonts w:ascii="Arial" w:hAnsi="Arial" w:eastAsia="Arial" w:cs="Arial"/>
      <w:sz w:val="40"/>
      <w:szCs w:val="40"/>
    </w:rPr>
  </w:style>
  <w:style w:type="character" w:styleId="792" w:customStyle="1">
    <w:name w:val="标题 2 Char2"/>
    <w:link w:val="708"/>
    <w:uiPriority w:val="9"/>
    <w:qFormat/>
    <w:rPr>
      <w:rFonts w:ascii="Arial" w:hAnsi="Arial" w:eastAsia="Arial" w:cs="Arial"/>
      <w:sz w:val="34"/>
    </w:rPr>
  </w:style>
  <w:style w:type="character" w:styleId="793" w:customStyle="1">
    <w:name w:val="标题 3 Char2"/>
    <w:link w:val="709"/>
    <w:uiPriority w:val="9"/>
    <w:qFormat/>
    <w:rPr>
      <w:rFonts w:ascii="Arial" w:hAnsi="Arial" w:eastAsia="Arial" w:cs="Arial"/>
      <w:sz w:val="30"/>
      <w:szCs w:val="30"/>
    </w:rPr>
  </w:style>
  <w:style w:type="character" w:styleId="794" w:customStyle="1">
    <w:name w:val="标题 4 Char2"/>
    <w:link w:val="710"/>
    <w:uiPriority w:val="9"/>
    <w:qFormat/>
    <w:rPr>
      <w:rFonts w:ascii="Arial" w:hAnsi="Arial" w:eastAsia="Arial" w:cs="Arial"/>
      <w:b/>
      <w:bCs/>
      <w:sz w:val="26"/>
      <w:szCs w:val="26"/>
    </w:rPr>
  </w:style>
  <w:style w:type="character" w:styleId="795" w:customStyle="1">
    <w:name w:val="标题 5 Char2"/>
    <w:link w:val="711"/>
    <w:uiPriority w:val="9"/>
    <w:qFormat/>
    <w:rPr>
      <w:rFonts w:ascii="Arial" w:hAnsi="Arial" w:eastAsia="Arial" w:cs="Arial"/>
      <w:b/>
      <w:bCs/>
      <w:sz w:val="24"/>
      <w:szCs w:val="24"/>
    </w:rPr>
  </w:style>
  <w:style w:type="character" w:styleId="796" w:customStyle="1">
    <w:name w:val="标题 6 Char2"/>
    <w:link w:val="712"/>
    <w:uiPriority w:val="9"/>
    <w:qFormat/>
    <w:rPr>
      <w:rFonts w:ascii="Arial" w:hAnsi="Arial" w:eastAsia="Arial" w:cs="Arial"/>
      <w:b/>
      <w:bCs/>
      <w:sz w:val="22"/>
      <w:szCs w:val="22"/>
    </w:rPr>
  </w:style>
  <w:style w:type="character" w:styleId="797" w:customStyle="1">
    <w:name w:val="标题 7 Char"/>
    <w:link w:val="713"/>
    <w:uiPriority w:val="9"/>
    <w:qFormat/>
    <w:rPr>
      <w:rFonts w:ascii="Arial" w:hAnsi="Arial" w:eastAsia="Arial" w:cs="Arial"/>
      <w:b/>
      <w:bCs/>
      <w:i/>
      <w:iCs/>
      <w:sz w:val="22"/>
      <w:szCs w:val="22"/>
    </w:rPr>
  </w:style>
  <w:style w:type="character" w:styleId="798" w:customStyle="1">
    <w:name w:val="标题 8 Char"/>
    <w:link w:val="714"/>
    <w:uiPriority w:val="9"/>
    <w:qFormat/>
    <w:rPr>
      <w:rFonts w:ascii="Arial" w:hAnsi="Arial" w:eastAsia="Arial" w:cs="Arial"/>
      <w:i/>
      <w:iCs/>
      <w:sz w:val="22"/>
      <w:szCs w:val="22"/>
    </w:rPr>
  </w:style>
  <w:style w:type="character" w:styleId="799" w:customStyle="1">
    <w:name w:val="标题 9 Char"/>
    <w:link w:val="715"/>
    <w:uiPriority w:val="9"/>
    <w:qFormat/>
    <w:rPr>
      <w:rFonts w:ascii="Arial" w:hAnsi="Arial" w:eastAsia="Arial" w:cs="Arial"/>
      <w:i/>
      <w:iCs/>
      <w:sz w:val="21"/>
      <w:szCs w:val="21"/>
    </w:rPr>
  </w:style>
  <w:style w:type="character" w:styleId="800" w:customStyle="1">
    <w:name w:val="标题 Char1"/>
    <w:link w:val="742"/>
    <w:uiPriority w:val="10"/>
    <w:qFormat/>
    <w:rPr>
      <w:sz w:val="48"/>
      <w:szCs w:val="48"/>
    </w:rPr>
  </w:style>
  <w:style w:type="character" w:styleId="801" w:customStyle="1">
    <w:name w:val="副标题 Char"/>
    <w:link w:val="735"/>
    <w:uiPriority w:val="11"/>
    <w:qFormat/>
    <w:rPr>
      <w:sz w:val="24"/>
      <w:szCs w:val="24"/>
    </w:rPr>
  </w:style>
  <w:style w:type="paragraph" w:styleId="802">
    <w:name w:val="Quote"/>
    <w:basedOn w:val="706"/>
    <w:next w:val="706"/>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706"/>
    <w:next w:val="706"/>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页眉 Char1"/>
    <w:link w:val="732"/>
    <w:uiPriority w:val="99"/>
    <w:qFormat/>
  </w:style>
  <w:style w:type="character" w:styleId="807" w:customStyle="1">
    <w:name w:val="Footer Char"/>
    <w:uiPriority w:val="99"/>
    <w:qFormat/>
  </w:style>
  <w:style w:type="character" w:styleId="808" w:customStyle="1">
    <w:name w:val="页脚 Char1"/>
    <w:link w:val="731"/>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36"/>
    <w:uiPriority w:val="99"/>
    <w:qFormat/>
    <w:rPr>
      <w:sz w:val="18"/>
    </w:rPr>
  </w:style>
  <w:style w:type="character" w:styleId="935" w:customStyle="1">
    <w:name w:val="尾注文本 Char"/>
    <w:link w:val="729"/>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06"/>
    <w:next w:val="706"/>
    <w:link w:val="948"/>
    <w:uiPriority w:val="9"/>
    <w:qFormat/>
    <w:pPr>
      <w:jc w:val="center"/>
      <w:keepNext/>
      <w:outlineLvl w:val="0"/>
    </w:pPr>
    <w:rPr>
      <w:rFonts w:ascii="楷体_GB2312" w:hAnsi="宋体" w:eastAsia="楷体_GB2312"/>
      <w:sz w:val="28"/>
      <w:szCs w:val="28"/>
    </w:rPr>
  </w:style>
  <w:style w:type="paragraph" w:styleId="938" w:customStyle="1">
    <w:name w:val="标题 21"/>
    <w:basedOn w:val="706"/>
    <w:link w:val="949"/>
    <w:uiPriority w:val="0"/>
    <w:qFormat/>
    <w:pPr>
      <w:jc w:val="center"/>
      <w:keepLines/>
      <w:keepNext/>
      <w:spacing w:before="260" w:after="260" w:line="415" w:lineRule="auto"/>
      <w:outlineLvl w:val="1"/>
    </w:pPr>
    <w:rPr>
      <w:rFonts w:ascii="Arial" w:hAnsi="Arial" w:eastAsia="幼圆"/>
      <w:b/>
      <w:bCs/>
      <w:sz w:val="44"/>
      <w:szCs w:val="44"/>
    </w:rPr>
  </w:style>
  <w:style w:type="paragraph" w:styleId="939" w:customStyle="1">
    <w:name w:val="标题 31"/>
    <w:basedOn w:val="706"/>
    <w:link w:val="950"/>
    <w:uiPriority w:val="9"/>
    <w:qFormat/>
    <w:pPr>
      <w:keepLines/>
      <w:keepNext/>
      <w:spacing w:before="260" w:after="260" w:line="415" w:lineRule="auto"/>
      <w:outlineLvl w:val="2"/>
    </w:pPr>
    <w:rPr>
      <w:b/>
      <w:bCs/>
      <w:sz w:val="32"/>
      <w:szCs w:val="32"/>
    </w:rPr>
  </w:style>
  <w:style w:type="paragraph" w:styleId="940" w:customStyle="1">
    <w:name w:val="标题 41"/>
    <w:basedOn w:val="706"/>
    <w:link w:val="951"/>
    <w:uiPriority w:val="9"/>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06"/>
    <w:link w:val="952"/>
    <w:uiPriority w:val="0"/>
    <w:qFormat/>
    <w:pPr>
      <w:keepNext/>
      <w:outlineLvl w:val="4"/>
    </w:pPr>
    <w:rPr>
      <w:rFonts w:ascii="宋体" w:hAnsi="宋体"/>
      <w:color w:val="000000"/>
      <w:sz w:val="28"/>
      <w:szCs w:val="28"/>
    </w:rPr>
  </w:style>
  <w:style w:type="paragraph" w:styleId="942" w:customStyle="1">
    <w:name w:val="标题 61"/>
    <w:basedOn w:val="706"/>
    <w:next w:val="706"/>
    <w:link w:val="95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3" w:customStyle="1">
    <w:name w:val="标题 71"/>
    <w:basedOn w:val="706"/>
    <w:next w:val="706"/>
    <w:link w:val="954"/>
    <w:uiPriority w:val="0"/>
    <w:qFormat/>
    <w:pPr>
      <w:numPr>
        <w:ilvl w:val="6"/>
        <w:numId w:val="1"/>
      </w:numPr>
      <w:keepLines/>
      <w:keepNext/>
      <w:spacing w:before="240" w:after="64" w:line="319" w:lineRule="auto"/>
      <w:outlineLvl w:val="6"/>
    </w:pPr>
    <w:rPr>
      <w:b/>
      <w:bCs/>
      <w:sz w:val="24"/>
    </w:rPr>
  </w:style>
  <w:style w:type="paragraph" w:styleId="944" w:customStyle="1">
    <w:name w:val="标题 81"/>
    <w:basedOn w:val="706"/>
    <w:next w:val="706"/>
    <w:link w:val="955"/>
    <w:uiPriority w:val="0"/>
    <w:qFormat/>
    <w:pPr>
      <w:numPr>
        <w:ilvl w:val="7"/>
        <w:numId w:val="1"/>
      </w:numPr>
      <w:keepLines/>
      <w:keepNext/>
      <w:spacing w:before="240" w:after="64" w:line="319" w:lineRule="auto"/>
      <w:outlineLvl w:val="7"/>
    </w:pPr>
    <w:rPr>
      <w:rFonts w:ascii="Arial" w:hAnsi="Arial" w:eastAsia="黑体"/>
      <w:sz w:val="24"/>
    </w:rPr>
  </w:style>
  <w:style w:type="paragraph" w:styleId="945" w:customStyle="1">
    <w:name w:val="标题 91"/>
    <w:basedOn w:val="706"/>
    <w:next w:val="706"/>
    <w:link w:val="956"/>
    <w:uiPriority w:val="0"/>
    <w:qFormat/>
    <w:pPr>
      <w:numPr>
        <w:ilvl w:val="8"/>
        <w:numId w:val="1"/>
      </w:numPr>
      <w:keepLines/>
      <w:keepNext/>
      <w:spacing w:before="240" w:after="64" w:line="319" w:lineRule="auto"/>
      <w:outlineLvl w:val="8"/>
    </w:pPr>
    <w:rPr>
      <w:rFonts w:ascii="Arial" w:hAnsi="Arial" w:eastAsia="黑体"/>
      <w:szCs w:val="21"/>
    </w:rPr>
  </w:style>
  <w:style w:type="character" w:styleId="946" w:customStyle="1">
    <w:name w:val="默认段落字体11"/>
    <w:link w:val="706"/>
    <w:uiPriority w:val="1"/>
    <w:unhideWhenUsed/>
    <w:qFormat/>
    <w:rPr>
      <w:rFonts w:ascii="Calibri" w:hAnsi="Calibri" w:eastAsia="宋体" w:cs="Times New Roman"/>
      <w:sz w:val="21"/>
      <w:szCs w:val="22"/>
      <w:lang w:val="en-US" w:eastAsia="zh-CN" w:bidi="ar-SA"/>
    </w:rPr>
  </w:style>
  <w:style w:type="table" w:styleId="947" w:customStyle="1">
    <w:name w:val="普通表格1"/>
    <w:uiPriority w:val="0"/>
    <w:semiHidden/>
    <w:qFormat/>
    <w:tblPr>
      <w:tblCellMar>
        <w:left w:w="0" w:type="dxa"/>
        <w:top w:w="0" w:type="dxa"/>
        <w:right w:w="0" w:type="dxa"/>
        <w:bottom w:w="0" w:type="dxa"/>
      </w:tblCellMar>
    </w:tblPr>
  </w:style>
  <w:style w:type="character" w:styleId="948" w:customStyle="1">
    <w:name w:val="标题 1 字符1"/>
    <w:link w:val="937"/>
    <w:uiPriority w:val="9"/>
    <w:qFormat/>
    <w:rPr>
      <w:rFonts w:ascii="楷体_GB2312" w:hAnsi="宋体" w:eastAsia="楷体_GB2312" w:cs="宋体"/>
      <w:sz w:val="28"/>
      <w:szCs w:val="28"/>
    </w:rPr>
  </w:style>
  <w:style w:type="character" w:styleId="949" w:customStyle="1">
    <w:name w:val="标题 2 字符"/>
    <w:link w:val="938"/>
    <w:uiPriority w:val="0"/>
    <w:qFormat/>
    <w:rPr>
      <w:rFonts w:ascii="Arial" w:hAnsi="Arial" w:eastAsia="幼圆" w:cs="Arial"/>
      <w:b/>
      <w:bCs/>
      <w:sz w:val="44"/>
      <w:szCs w:val="44"/>
    </w:rPr>
  </w:style>
  <w:style w:type="character" w:styleId="950" w:customStyle="1">
    <w:name w:val="标题 3 字符"/>
    <w:link w:val="939"/>
    <w:uiPriority w:val="9"/>
    <w:qFormat/>
    <w:rPr>
      <w:b/>
      <w:bCs/>
      <w:sz w:val="32"/>
      <w:szCs w:val="32"/>
    </w:rPr>
  </w:style>
  <w:style w:type="character" w:styleId="951" w:customStyle="1">
    <w:name w:val="标题 4 字符"/>
    <w:link w:val="940"/>
    <w:uiPriority w:val="9"/>
    <w:qFormat/>
    <w:rPr>
      <w:rFonts w:ascii="Arial" w:hAnsi="Arial" w:eastAsia="黑体" w:cs="Arial"/>
      <w:b/>
      <w:bCs/>
      <w:sz w:val="28"/>
      <w:szCs w:val="28"/>
    </w:rPr>
  </w:style>
  <w:style w:type="character" w:styleId="952" w:customStyle="1">
    <w:name w:val="标题 5 字符"/>
    <w:link w:val="941"/>
    <w:uiPriority w:val="0"/>
    <w:qFormat/>
    <w:rPr>
      <w:rFonts w:ascii="宋体" w:hAnsi="宋体" w:cs="宋体"/>
      <w:color w:val="000000"/>
      <w:sz w:val="28"/>
      <w:szCs w:val="28"/>
    </w:rPr>
  </w:style>
  <w:style w:type="character" w:styleId="953" w:customStyle="1">
    <w:name w:val="标题 6 字符"/>
    <w:link w:val="942"/>
    <w:uiPriority w:val="0"/>
    <w:qFormat/>
    <w:rPr>
      <w:rFonts w:ascii="Arial" w:hAnsi="Arial" w:eastAsia="黑体"/>
      <w:b/>
      <w:bCs/>
      <w:sz w:val="24"/>
      <w:szCs w:val="24"/>
    </w:rPr>
  </w:style>
  <w:style w:type="character" w:styleId="954" w:customStyle="1">
    <w:name w:val="标题 7 字符"/>
    <w:link w:val="943"/>
    <w:uiPriority w:val="0"/>
    <w:qFormat/>
    <w:rPr>
      <w:b/>
      <w:bCs/>
      <w:sz w:val="24"/>
      <w:szCs w:val="24"/>
    </w:rPr>
  </w:style>
  <w:style w:type="character" w:styleId="955" w:customStyle="1">
    <w:name w:val="标题 8 字符"/>
    <w:link w:val="944"/>
    <w:uiPriority w:val="0"/>
    <w:qFormat/>
    <w:rPr>
      <w:rFonts w:ascii="Arial" w:hAnsi="Arial" w:eastAsia="黑体"/>
      <w:sz w:val="24"/>
      <w:szCs w:val="24"/>
    </w:rPr>
  </w:style>
  <w:style w:type="character" w:styleId="956" w:customStyle="1">
    <w:name w:val="标题 9 字符"/>
    <w:link w:val="945"/>
    <w:uiPriority w:val="0"/>
    <w:qFormat/>
    <w:rPr>
      <w:rFonts w:ascii="Arial" w:hAnsi="Arial" w:eastAsia="黑体"/>
      <w:sz w:val="21"/>
      <w:szCs w:val="21"/>
    </w:rPr>
  </w:style>
  <w:style w:type="paragraph" w:styleId="957" w:customStyle="1">
    <w:name w:val="列表 311"/>
    <w:basedOn w:val="706"/>
    <w:uiPriority w:val="0"/>
    <w:qFormat/>
    <w:pPr>
      <w:ind w:hanging="200"/>
    </w:pPr>
    <w:rPr>
      <w:szCs w:val="21"/>
    </w:rPr>
  </w:style>
  <w:style w:type="paragraph" w:styleId="958" w:customStyle="1">
    <w:name w:val="目录 71"/>
    <w:basedOn w:val="706"/>
    <w:next w:val="706"/>
    <w:uiPriority w:val="39"/>
    <w:qFormat/>
    <w:pPr>
      <w:ind w:left="1260"/>
      <w:jc w:val="left"/>
    </w:pPr>
    <w:rPr>
      <w:rFonts w:cs="Calibri"/>
      <w:sz w:val="18"/>
      <w:szCs w:val="18"/>
    </w:rPr>
  </w:style>
  <w:style w:type="paragraph" w:styleId="959" w:customStyle="1">
    <w:name w:val="列表编号1"/>
    <w:basedOn w:val="706"/>
    <w:uiPriority w:val="0"/>
    <w:qFormat/>
    <w:pPr>
      <w:numPr>
        <w:ilvl w:val="0"/>
        <w:numId w:val="2"/>
      </w:numPr>
      <w:ind w:left="0" w:firstLine="0"/>
      <w:tabs>
        <w:tab w:val="clear" w:pos="420" w:leader="none"/>
      </w:tabs>
    </w:pPr>
    <w:rPr>
      <w:szCs w:val="20"/>
    </w:rPr>
  </w:style>
  <w:style w:type="paragraph" w:styleId="960" w:customStyle="1">
    <w:name w:val="正文缩进1"/>
    <w:basedOn w:val="706"/>
    <w:next w:val="706"/>
    <w:link w:val="961"/>
    <w:uiPriority w:val="99"/>
    <w:qFormat/>
    <w:pPr>
      <w:ind w:firstLine="420"/>
    </w:pPr>
    <w:rPr>
      <w:szCs w:val="21"/>
    </w:rPr>
  </w:style>
  <w:style w:type="character" w:styleId="961" w:customStyle="1">
    <w:name w:val="正文缩进 字符"/>
    <w:link w:val="960"/>
    <w:uiPriority w:val="99"/>
    <w:qFormat/>
    <w:rPr>
      <w:rFonts w:eastAsia="宋体"/>
      <w:sz w:val="21"/>
      <w:szCs w:val="21"/>
      <w:lang w:val="en-US" w:eastAsia="zh-CN" w:bidi="ar-SA"/>
    </w:rPr>
  </w:style>
  <w:style w:type="paragraph" w:styleId="962" w:customStyle="1">
    <w:name w:val="文档结构图1"/>
    <w:basedOn w:val="706"/>
    <w:link w:val="963"/>
    <w:uiPriority w:val="99"/>
    <w:qFormat/>
    <w:pPr>
      <w:shd w:val="clear" w:color="auto" w:fill="000080"/>
    </w:pPr>
    <w:rPr>
      <w:szCs w:val="21"/>
    </w:rPr>
  </w:style>
  <w:style w:type="character" w:styleId="963" w:customStyle="1">
    <w:name w:val="文档结构图 字符"/>
    <w:link w:val="962"/>
    <w:uiPriority w:val="99"/>
    <w:qFormat/>
    <w:rPr>
      <w:sz w:val="21"/>
      <w:szCs w:val="21"/>
      <w:shd w:val="clear" w:color="auto" w:fill="000080"/>
    </w:rPr>
  </w:style>
  <w:style w:type="paragraph" w:styleId="964" w:customStyle="1">
    <w:name w:val="引文目录标题1"/>
    <w:basedOn w:val="706"/>
    <w:next w:val="706"/>
    <w:uiPriority w:val="0"/>
    <w:qFormat/>
    <w:pPr>
      <w:spacing w:before="120"/>
    </w:pPr>
    <w:rPr>
      <w:rFonts w:ascii="Arial" w:hAnsi="Arial" w:cs="Arial"/>
      <w:sz w:val="24"/>
    </w:rPr>
  </w:style>
  <w:style w:type="paragraph" w:styleId="965" w:customStyle="1">
    <w:name w:val="批注文字1"/>
    <w:basedOn w:val="706"/>
    <w:link w:val="966"/>
    <w:uiPriority w:val="99"/>
    <w:qFormat/>
    <w:pPr>
      <w:jc w:val="left"/>
    </w:pPr>
    <w:rPr>
      <w:szCs w:val="21"/>
    </w:rPr>
  </w:style>
  <w:style w:type="character" w:styleId="966" w:customStyle="1">
    <w:name w:val="批注文字 字符"/>
    <w:link w:val="965"/>
    <w:uiPriority w:val="99"/>
    <w:qFormat/>
    <w:rPr>
      <w:sz w:val="21"/>
      <w:szCs w:val="21"/>
    </w:rPr>
  </w:style>
  <w:style w:type="paragraph" w:styleId="967" w:customStyle="1">
    <w:name w:val="正文文本 31"/>
    <w:basedOn w:val="706"/>
    <w:uiPriority w:val="0"/>
    <w:qFormat/>
    <w:rPr>
      <w:rFonts w:ascii="仿宋_GB2312" w:hAnsi="宋体" w:eastAsia="仿宋_GB2312" w:cs="宋体"/>
      <w:sz w:val="32"/>
      <w:szCs w:val="32"/>
    </w:rPr>
  </w:style>
  <w:style w:type="paragraph" w:styleId="968" w:customStyle="1">
    <w:name w:val="正文文本1"/>
    <w:basedOn w:val="706"/>
    <w:link w:val="969"/>
    <w:uiPriority w:val="99"/>
    <w:qFormat/>
    <w:rPr>
      <w:rFonts w:ascii="楷体_GB2312" w:hAnsi="宋体" w:eastAsia="楷体_GB2312"/>
      <w:sz w:val="28"/>
      <w:szCs w:val="28"/>
    </w:rPr>
  </w:style>
  <w:style w:type="character" w:styleId="969" w:customStyle="1">
    <w:name w:val="正文文本 字符"/>
    <w:link w:val="968"/>
    <w:uiPriority w:val="99"/>
    <w:qFormat/>
    <w:rPr>
      <w:rFonts w:ascii="楷体_GB2312" w:hAnsi="宋体" w:eastAsia="楷体_GB2312" w:cs="宋体"/>
      <w:sz w:val="28"/>
      <w:szCs w:val="28"/>
    </w:rPr>
  </w:style>
  <w:style w:type="paragraph" w:styleId="970" w:customStyle="1">
    <w:name w:val="正文文本缩进1"/>
    <w:basedOn w:val="706"/>
    <w:next w:val="706"/>
    <w:uiPriority w:val="0"/>
    <w:qFormat/>
    <w:pPr>
      <w:ind w:firstLine="645"/>
    </w:pPr>
    <w:rPr>
      <w:rFonts w:ascii="楷体_GB2312" w:hAnsi="宋体" w:eastAsia="楷体_GB2312" w:cs="宋体"/>
      <w:sz w:val="32"/>
      <w:szCs w:val="32"/>
    </w:rPr>
  </w:style>
  <w:style w:type="paragraph" w:styleId="971" w:customStyle="1">
    <w:name w:val="列表 211"/>
    <w:basedOn w:val="706"/>
    <w:uiPriority w:val="0"/>
    <w:qFormat/>
    <w:pPr>
      <w:ind w:hanging="200"/>
    </w:pPr>
    <w:rPr>
      <w:szCs w:val="21"/>
    </w:rPr>
  </w:style>
  <w:style w:type="paragraph" w:styleId="972" w:customStyle="1">
    <w:name w:val="HTML 地址1"/>
    <w:basedOn w:val="706"/>
    <w:uiPriority w:val="0"/>
    <w:qFormat/>
    <w:rPr>
      <w:i/>
      <w:iCs/>
      <w:szCs w:val="21"/>
    </w:rPr>
  </w:style>
  <w:style w:type="paragraph" w:styleId="973" w:customStyle="1">
    <w:name w:val="目录 51"/>
    <w:basedOn w:val="706"/>
    <w:next w:val="706"/>
    <w:uiPriority w:val="39"/>
    <w:qFormat/>
    <w:pPr>
      <w:ind w:left="840"/>
      <w:jc w:val="left"/>
    </w:pPr>
    <w:rPr>
      <w:rFonts w:cs="Calibri"/>
      <w:sz w:val="18"/>
      <w:szCs w:val="18"/>
    </w:rPr>
  </w:style>
  <w:style w:type="paragraph" w:styleId="974" w:customStyle="1">
    <w:name w:val="目录 31"/>
    <w:basedOn w:val="706"/>
    <w:next w:val="706"/>
    <w:uiPriority w:val="39"/>
    <w:qFormat/>
    <w:pPr>
      <w:ind w:left="420"/>
      <w:jc w:val="left"/>
    </w:pPr>
    <w:rPr>
      <w:rFonts w:cs="Calibri"/>
      <w:i/>
      <w:iCs/>
      <w:sz w:val="20"/>
      <w:szCs w:val="20"/>
    </w:rPr>
  </w:style>
  <w:style w:type="paragraph" w:styleId="975" w:customStyle="1">
    <w:name w:val="纯文本1"/>
    <w:basedOn w:val="706"/>
    <w:link w:val="976"/>
    <w:uiPriority w:val="99"/>
    <w:qFormat/>
    <w:rPr>
      <w:rFonts w:ascii="宋体" w:hAnsi="宋体"/>
      <w:szCs w:val="21"/>
    </w:rPr>
  </w:style>
  <w:style w:type="character" w:styleId="976" w:customStyle="1">
    <w:name w:val="纯文本 字符"/>
    <w:link w:val="975"/>
    <w:uiPriority w:val="99"/>
    <w:qFormat/>
    <w:rPr>
      <w:rFonts w:ascii="宋体" w:hAnsi="宋体" w:cs="Courier New"/>
      <w:sz w:val="21"/>
      <w:szCs w:val="21"/>
    </w:rPr>
  </w:style>
  <w:style w:type="paragraph" w:styleId="977" w:customStyle="1">
    <w:name w:val="目录 81"/>
    <w:basedOn w:val="706"/>
    <w:next w:val="706"/>
    <w:uiPriority w:val="39"/>
    <w:qFormat/>
    <w:pPr>
      <w:ind w:left="1470"/>
      <w:jc w:val="left"/>
    </w:pPr>
    <w:rPr>
      <w:rFonts w:cs="Calibri"/>
      <w:sz w:val="18"/>
      <w:szCs w:val="18"/>
    </w:rPr>
  </w:style>
  <w:style w:type="paragraph" w:styleId="978" w:customStyle="1">
    <w:name w:val="日期1"/>
    <w:basedOn w:val="706"/>
    <w:next w:val="706"/>
    <w:link w:val="979"/>
    <w:uiPriority w:val="0"/>
    <w:qFormat/>
    <w:rPr>
      <w:sz w:val="24"/>
    </w:rPr>
  </w:style>
  <w:style w:type="character" w:styleId="979" w:customStyle="1">
    <w:name w:val="日期 字符"/>
    <w:link w:val="978"/>
    <w:uiPriority w:val="0"/>
    <w:qFormat/>
    <w:rPr>
      <w:sz w:val="24"/>
      <w:szCs w:val="24"/>
    </w:rPr>
  </w:style>
  <w:style w:type="paragraph" w:styleId="980" w:customStyle="1">
    <w:name w:val="正文文本缩进 21"/>
    <w:basedOn w:val="706"/>
    <w:uiPriority w:val="0"/>
    <w:qFormat/>
    <w:pPr>
      <w:ind w:left="630" w:firstLine="645"/>
    </w:pPr>
    <w:rPr>
      <w:rFonts w:ascii="Arial" w:hAnsi="Arial" w:eastAsia="仿宋_GB2312" w:cs="Arial"/>
      <w:sz w:val="32"/>
      <w:szCs w:val="32"/>
    </w:rPr>
  </w:style>
  <w:style w:type="paragraph" w:styleId="981" w:customStyle="1">
    <w:name w:val="批注框文本1"/>
    <w:basedOn w:val="706"/>
    <w:link w:val="982"/>
    <w:uiPriority w:val="99"/>
    <w:qFormat/>
    <w:rPr>
      <w:sz w:val="18"/>
      <w:szCs w:val="18"/>
    </w:rPr>
  </w:style>
  <w:style w:type="character" w:styleId="982" w:customStyle="1">
    <w:name w:val="批注框文本 字符"/>
    <w:link w:val="981"/>
    <w:uiPriority w:val="99"/>
    <w:qFormat/>
    <w:rPr>
      <w:sz w:val="18"/>
      <w:szCs w:val="18"/>
    </w:rPr>
  </w:style>
  <w:style w:type="paragraph" w:styleId="983" w:customStyle="1">
    <w:name w:val="页脚1"/>
    <w:basedOn w:val="706"/>
    <w:link w:val="984"/>
    <w:uiPriority w:val="99"/>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06"/>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06"/>
    <w:next w:val="706"/>
    <w:uiPriority w:val="39"/>
    <w:qFormat/>
    <w:pPr>
      <w:jc w:val="left"/>
      <w:spacing w:before="120" w:after="120"/>
    </w:pPr>
    <w:rPr>
      <w:rFonts w:cs="Calibri"/>
      <w:b/>
      <w:bCs/>
      <w:caps/>
      <w:sz w:val="20"/>
      <w:szCs w:val="20"/>
    </w:rPr>
  </w:style>
  <w:style w:type="paragraph" w:styleId="988" w:customStyle="1">
    <w:name w:val="目录 41"/>
    <w:basedOn w:val="706"/>
    <w:next w:val="706"/>
    <w:uiPriority w:val="39"/>
    <w:qFormat/>
    <w:pPr>
      <w:ind w:left="630"/>
      <w:jc w:val="left"/>
    </w:pPr>
    <w:rPr>
      <w:rFonts w:cs="Calibri"/>
      <w:sz w:val="18"/>
      <w:szCs w:val="18"/>
    </w:rPr>
  </w:style>
  <w:style w:type="paragraph" w:styleId="989" w:customStyle="1">
    <w:name w:val="副标题1"/>
    <w:basedOn w:val="706"/>
    <w:next w:val="706"/>
    <w:link w:val="99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0" w:customStyle="1">
    <w:name w:val="副标题 字符"/>
    <w:link w:val="989"/>
    <w:uiPriority w:val="0"/>
    <w:qFormat/>
    <w:rPr>
      <w:rFonts w:ascii="Cambria" w:hAnsi="Cambria"/>
      <w:b/>
      <w:bCs/>
      <w:sz w:val="32"/>
      <w:szCs w:val="32"/>
    </w:rPr>
  </w:style>
  <w:style w:type="paragraph" w:styleId="991" w:customStyle="1">
    <w:name w:val="列表1"/>
    <w:basedOn w:val="706"/>
    <w:uiPriority w:val="99"/>
    <w:qFormat/>
    <w:pPr>
      <w:ind w:left="200" w:hanging="200"/>
    </w:pPr>
    <w:rPr>
      <w:szCs w:val="21"/>
    </w:rPr>
  </w:style>
  <w:style w:type="paragraph" w:styleId="992" w:customStyle="1">
    <w:name w:val="脚注文本1"/>
    <w:basedOn w:val="706"/>
    <w:uiPriority w:val="0"/>
    <w:qFormat/>
    <w:pPr>
      <w:jc w:val="left"/>
      <w:widowControl/>
    </w:pPr>
    <w:rPr>
      <w:sz w:val="20"/>
      <w:szCs w:val="20"/>
    </w:rPr>
  </w:style>
  <w:style w:type="paragraph" w:styleId="993" w:customStyle="1">
    <w:name w:val="目录 61"/>
    <w:basedOn w:val="706"/>
    <w:next w:val="706"/>
    <w:uiPriority w:val="39"/>
    <w:qFormat/>
    <w:pPr>
      <w:ind w:left="1050"/>
      <w:jc w:val="left"/>
    </w:pPr>
    <w:rPr>
      <w:rFonts w:cs="Calibri"/>
      <w:sz w:val="18"/>
      <w:szCs w:val="18"/>
    </w:rPr>
  </w:style>
  <w:style w:type="paragraph" w:styleId="994" w:customStyle="1">
    <w:name w:val="正文文本缩进 31"/>
    <w:basedOn w:val="706"/>
    <w:uiPriority w:val="0"/>
    <w:qFormat/>
    <w:pPr>
      <w:ind w:left="645" w:firstLine="645"/>
    </w:pPr>
    <w:rPr>
      <w:rFonts w:ascii="Arial" w:hAnsi="Arial" w:eastAsia="仿宋_GB2312" w:cs="Arial"/>
      <w:color w:val="ffff00"/>
      <w:sz w:val="32"/>
      <w:szCs w:val="32"/>
    </w:rPr>
  </w:style>
  <w:style w:type="paragraph" w:styleId="995" w:customStyle="1">
    <w:name w:val="图表目录1"/>
    <w:basedOn w:val="706"/>
    <w:next w:val="706"/>
    <w:uiPriority w:val="0"/>
    <w:qFormat/>
    <w:pPr>
      <w:ind w:left="840" w:hanging="420"/>
    </w:pPr>
    <w:rPr>
      <w:szCs w:val="21"/>
    </w:rPr>
  </w:style>
  <w:style w:type="paragraph" w:styleId="996" w:customStyle="1">
    <w:name w:val="目录 21"/>
    <w:basedOn w:val="706"/>
    <w:next w:val="706"/>
    <w:uiPriority w:val="39"/>
    <w:qFormat/>
    <w:pPr>
      <w:ind w:left="210"/>
      <w:jc w:val="left"/>
    </w:pPr>
    <w:rPr>
      <w:rFonts w:cs="Calibri"/>
      <w:smallCaps/>
      <w:sz w:val="20"/>
      <w:szCs w:val="20"/>
    </w:rPr>
  </w:style>
  <w:style w:type="paragraph" w:styleId="997" w:customStyle="1">
    <w:name w:val="目录 91"/>
    <w:basedOn w:val="706"/>
    <w:next w:val="706"/>
    <w:uiPriority w:val="39"/>
    <w:qFormat/>
    <w:pPr>
      <w:ind w:left="1680"/>
      <w:jc w:val="left"/>
    </w:pPr>
    <w:rPr>
      <w:rFonts w:cs="Calibri"/>
      <w:sz w:val="18"/>
      <w:szCs w:val="18"/>
    </w:rPr>
  </w:style>
  <w:style w:type="paragraph" w:styleId="998" w:customStyle="1">
    <w:name w:val="正文文本 21"/>
    <w:basedOn w:val="706"/>
    <w:uiPriority w:val="0"/>
    <w:qFormat/>
    <w:pPr>
      <w:jc w:val="center"/>
      <w:widowControl/>
    </w:pPr>
    <w:rPr>
      <w:rFonts w:ascii="楷体_GB2312" w:hAnsi="宋体" w:eastAsia="楷体_GB2312" w:cs="宋体"/>
      <w:sz w:val="28"/>
      <w:szCs w:val="28"/>
    </w:rPr>
  </w:style>
  <w:style w:type="paragraph" w:styleId="999" w:customStyle="1">
    <w:name w:val="列表 41"/>
    <w:basedOn w:val="706"/>
    <w:uiPriority w:val="0"/>
    <w:qFormat/>
    <w:pPr>
      <w:ind w:left="100" w:hanging="200"/>
    </w:pPr>
    <w:rPr>
      <w:szCs w:val="21"/>
    </w:rPr>
  </w:style>
  <w:style w:type="paragraph" w:styleId="1000" w:customStyle="1">
    <w:name w:val="HTML 预设格式1"/>
    <w:basedOn w:val="7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customStyle="1">
    <w:name w:val="普通(网站)1"/>
    <w:basedOn w:val="706"/>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cs="宋体"/>
      <w:sz w:val="24"/>
      <w:szCs w:val="24"/>
    </w:rPr>
  </w:style>
  <w:style w:type="paragraph" w:styleId="1003" w:customStyle="1">
    <w:name w:val="列表接续 31"/>
    <w:basedOn w:val="706"/>
    <w:uiPriority w:val="0"/>
    <w:qFormat/>
    <w:pPr>
      <w:ind w:left="1260"/>
      <w:spacing w:after="120"/>
    </w:pPr>
    <w:rPr>
      <w:szCs w:val="20"/>
    </w:rPr>
  </w:style>
  <w:style w:type="paragraph" w:styleId="1004" w:customStyle="1">
    <w:name w:val="索引 11"/>
    <w:basedOn w:val="706"/>
    <w:next w:val="706"/>
    <w:uiPriority w:val="0"/>
    <w:qFormat/>
    <w:pPr>
      <w:spacing w:line="240" w:lineRule="atLeast"/>
    </w:pPr>
    <w:rPr>
      <w:b/>
      <w:bCs/>
      <w:szCs w:val="21"/>
    </w:rPr>
  </w:style>
  <w:style w:type="paragraph" w:styleId="1005" w:customStyle="1">
    <w:name w:val="标题11"/>
    <w:basedOn w:val="706"/>
    <w:link w:val="1006"/>
    <w:uiPriority w:val="0"/>
    <w:qFormat/>
    <w:pPr>
      <w:jc w:val="center"/>
      <w:spacing w:before="240" w:after="60"/>
      <w:outlineLvl w:val="0"/>
    </w:pPr>
    <w:rPr>
      <w:rFonts w:ascii="Arial" w:hAnsi="Arial" w:eastAsia="黑体"/>
      <w:b/>
      <w:bCs/>
      <w:sz w:val="44"/>
      <w:szCs w:val="32"/>
    </w:rPr>
  </w:style>
  <w:style w:type="character" w:styleId="1006" w:customStyle="1">
    <w:name w:val="标题 字符1"/>
    <w:link w:val="1005"/>
    <w:uiPriority w:val="0"/>
    <w:qFormat/>
    <w:rPr>
      <w:rFonts w:ascii="Arial" w:hAnsi="Arial" w:eastAsia="黑体" w:cs="Arial"/>
      <w:b/>
      <w:bCs/>
      <w:sz w:val="44"/>
      <w:szCs w:val="32"/>
    </w:rPr>
  </w:style>
  <w:style w:type="paragraph" w:styleId="1007" w:customStyle="1">
    <w:name w:val="批注主题1"/>
    <w:basedOn w:val="965"/>
    <w:next w:val="965"/>
    <w:link w:val="1008"/>
    <w:uiPriority w:val="99"/>
    <w:qFormat/>
    <w:rPr>
      <w:b/>
      <w:bCs/>
    </w:rPr>
  </w:style>
  <w:style w:type="character" w:styleId="1008" w:customStyle="1">
    <w:name w:val="批注主题 字符"/>
    <w:link w:val="1007"/>
    <w:uiPriority w:val="99"/>
    <w:qFormat/>
    <w:rPr>
      <w:b/>
      <w:bCs/>
      <w:sz w:val="21"/>
      <w:szCs w:val="21"/>
    </w:rPr>
  </w:style>
  <w:style w:type="paragraph" w:styleId="1009" w:customStyle="1">
    <w:name w:val="正文首行缩进11"/>
    <w:basedOn w:val="706"/>
    <w:link w:val="1010"/>
    <w:uiPriority w:val="0"/>
    <w:qFormat/>
    <w:pPr>
      <w:ind w:firstLine="200"/>
      <w:spacing w:line="360" w:lineRule="auto"/>
    </w:pPr>
    <w:rPr>
      <w:rFonts w:ascii="仿宋_GB2312" w:hAnsi="宋体" w:eastAsia="仿宋_GB2312"/>
      <w:sz w:val="30"/>
      <w:szCs w:val="30"/>
    </w:rPr>
  </w:style>
  <w:style w:type="character" w:styleId="1010" w:customStyle="1">
    <w:name w:val="正文首行缩进 字符"/>
    <w:link w:val="1009"/>
    <w:uiPriority w:val="0"/>
    <w:qFormat/>
    <w:rPr>
      <w:rFonts w:ascii="仿宋_GB2312" w:hAnsi="宋体" w:eastAsia="仿宋_GB2312" w:cs="宋体"/>
      <w:sz w:val="30"/>
      <w:szCs w:val="30"/>
    </w:rPr>
  </w:style>
  <w:style w:type="paragraph" w:styleId="1011" w:customStyle="1">
    <w:name w:val="正文首行缩进 21"/>
    <w:basedOn w:val="970"/>
    <w:uiPriority w:val="0"/>
    <w:qFormat/>
    <w:pPr>
      <w:ind w:firstLine="200"/>
      <w:spacing w:line="360" w:lineRule="auto"/>
    </w:pPr>
    <w:rPr>
      <w:rFonts w:ascii="宋体" w:eastAsia="宋体"/>
      <w:sz w:val="21"/>
      <w:szCs w:val="20"/>
    </w:rPr>
  </w:style>
  <w:style w:type="table" w:styleId="1012" w:customStyle="1">
    <w:name w:val="网格型1"/>
    <w:basedOn w:val="947"/>
    <w:uiPriority w:val="39"/>
    <w:qFormat/>
    <w:rPr>
      <w:rFonts w:ascii="Calibri" w:hAnsi="Calibri"/>
    </w:rPr>
    <w:tblPr>
      <w:tblCellMar>
        <w:left w:w="0" w:type="dxa"/>
        <w:top w:w="0" w:type="dxa"/>
        <w:right w:w="0" w:type="dxa"/>
        <w:bottom w:w="0" w:type="dxa"/>
      </w:tblCellMar>
    </w:tblPr>
  </w:style>
  <w:style w:type="character" w:styleId="1013" w:customStyle="1">
    <w:name w:val="要点1"/>
    <w:uiPriority w:val="22"/>
    <w:qFormat/>
    <w:rPr>
      <w:b/>
      <w:bCs/>
    </w:rPr>
  </w:style>
  <w:style w:type="character" w:styleId="1014" w:customStyle="1">
    <w:name w:val="页码1"/>
    <w:uiPriority w:val="0"/>
    <w:qFormat/>
  </w:style>
  <w:style w:type="character" w:styleId="1015" w:customStyle="1">
    <w:name w:val="已访问的超链接1"/>
    <w:uiPriority w:val="99"/>
    <w:qFormat/>
    <w:rPr>
      <w:color w:val="800080"/>
      <w:u w:val="single"/>
    </w:rPr>
  </w:style>
  <w:style w:type="character" w:styleId="1016" w:customStyle="1">
    <w:name w:val="强调1"/>
    <w:uiPriority w:val="20"/>
    <w:qFormat/>
    <w:rPr>
      <w:i/>
      <w:iCs/>
    </w:rPr>
  </w:style>
  <w:style w:type="character" w:styleId="1017" w:customStyle="1">
    <w:name w:val="超链接1"/>
    <w:uiPriority w:val="99"/>
    <w:qFormat/>
    <w:rPr>
      <w:color w:val="0000ff"/>
      <w:u w:val="single"/>
    </w:rPr>
  </w:style>
  <w:style w:type="character" w:styleId="1018" w:customStyle="1">
    <w:name w:val="批注引用1"/>
    <w:uiPriority w:val="99"/>
    <w:qFormat/>
    <w:rPr>
      <w:sz w:val="21"/>
      <w:szCs w:val="21"/>
    </w:rPr>
  </w:style>
  <w:style w:type="character" w:styleId="1019" w:customStyle="1">
    <w:name w:val="列出段落 Char"/>
    <w:link w:val="1020"/>
    <w:uiPriority w:val="0"/>
    <w:qFormat/>
    <w:rPr>
      <w:rFonts w:ascii="Calibri" w:hAnsi="Calibri"/>
      <w:sz w:val="22"/>
    </w:rPr>
  </w:style>
  <w:style w:type="paragraph" w:styleId="1020" w:customStyle="1">
    <w:name w:val="2"/>
    <w:basedOn w:val="706"/>
    <w:next w:val="1021"/>
    <w:link w:val="1019"/>
    <w:uiPriority w:val="0"/>
    <w:qFormat/>
    <w:pPr>
      <w:ind w:firstLine="420"/>
    </w:pPr>
    <w:rPr>
      <w:sz w:val="22"/>
      <w:szCs w:val="20"/>
    </w:rPr>
  </w:style>
  <w:style w:type="paragraph" w:styleId="1021" w:customStyle="1">
    <w:name w:val="列出段落1"/>
    <w:basedOn w:val="706"/>
    <w:uiPriority w:val="34"/>
    <w:qFormat/>
    <w:pPr>
      <w:contextualSpacing/>
      <w:ind w:left="720"/>
      <w:jc w:val="left"/>
      <w:widowControl/>
    </w:pPr>
    <w:rPr>
      <w:rFonts w:cs="宋体"/>
      <w:sz w:val="24"/>
      <w:lang w:eastAsia="en-US"/>
    </w:rPr>
  </w:style>
  <w:style w:type="character" w:styleId="1022" w:customStyle="1">
    <w:name w:val="标题 6 Char1"/>
    <w:uiPriority w:val="0"/>
    <w:semiHidden/>
    <w:qFormat/>
    <w:rPr>
      <w:rFonts w:ascii="Cambria" w:hAnsi="Cambria" w:eastAsia="宋体" w:cs="Times New Roman"/>
      <w:b/>
      <w:bCs/>
      <w:sz w:val="24"/>
      <w:szCs w:val="24"/>
    </w:rPr>
  </w:style>
  <w:style w:type="character" w:styleId="1023" w:customStyle="1">
    <w:name w:val="标题 3 Char1"/>
    <w:uiPriority w:val="99"/>
    <w:semiHidden/>
    <w:qFormat/>
    <w:rPr>
      <w:b/>
      <w:bCs/>
      <w:sz w:val="32"/>
      <w:szCs w:val="32"/>
    </w:rPr>
  </w:style>
  <w:style w:type="character" w:styleId="1024" w:customStyle="1">
    <w:name w:val="普通(网站) Char1"/>
    <w:uiPriority w:val="99"/>
    <w:semiHidden/>
    <w:qFormat/>
    <w:rPr>
      <w:sz w:val="18"/>
      <w:szCs w:val="18"/>
    </w:rPr>
  </w:style>
  <w:style w:type="character" w:styleId="1025" w:customStyle="1">
    <w:name w:val="font91"/>
    <w:uiPriority w:val="0"/>
    <w:qFormat/>
    <w:rPr>
      <w:rFonts w:ascii="Times New Roman" w:hAnsi="Times New Roman" w:cs="Times New Roman"/>
      <w:color w:val="000000"/>
      <w:sz w:val="20"/>
      <w:szCs w:val="20"/>
      <w:u w:val="none"/>
    </w:rPr>
  </w:style>
  <w:style w:type="character" w:styleId="1026" w:customStyle="1">
    <w:name w:val="标题 5 Char"/>
    <w:uiPriority w:val="0"/>
    <w:qFormat/>
    <w:rPr>
      <w:b/>
      <w:bCs/>
      <w:sz w:val="28"/>
      <w:szCs w:val="28"/>
    </w:rPr>
  </w:style>
  <w:style w:type="character" w:styleId="1027" w:customStyle="1">
    <w:name w:val="副标题 字符1"/>
    <w:uiPriority w:val="11"/>
    <w:qFormat/>
    <w:rPr>
      <w:b/>
      <w:bCs/>
      <w:sz w:val="32"/>
      <w:szCs w:val="32"/>
    </w:rPr>
  </w:style>
  <w:style w:type="character" w:styleId="1028" w:customStyle="1">
    <w:name w:val="标题 3 Char"/>
    <w:uiPriority w:val="0"/>
    <w:qFormat/>
    <w:rPr>
      <w:b/>
      <w:bCs/>
      <w:sz w:val="32"/>
      <w:szCs w:val="32"/>
    </w:rPr>
  </w:style>
  <w:style w:type="character" w:styleId="1029" w:customStyle="1">
    <w:name w:val="正文样式 Char"/>
    <w:link w:val="1030"/>
    <w:uiPriority w:val="0"/>
    <w:qFormat/>
    <w:rPr>
      <w:rFonts w:ascii="宋体" w:hAnsi="宋体"/>
      <w:sz w:val="24"/>
      <w:szCs w:val="24"/>
    </w:rPr>
  </w:style>
  <w:style w:type="paragraph" w:styleId="1030" w:customStyle="1">
    <w:name w:val="正文样式"/>
    <w:basedOn w:val="706"/>
    <w:link w:val="1029"/>
    <w:uiPriority w:val="0"/>
    <w:qFormat/>
    <w:pPr>
      <w:ind w:firstLine="480"/>
      <w:spacing w:line="360" w:lineRule="auto"/>
    </w:pPr>
    <w:rPr>
      <w:rFonts w:ascii="宋体" w:hAnsi="宋体"/>
      <w:sz w:val="24"/>
    </w:rPr>
  </w:style>
  <w:style w:type="character" w:styleId="1031" w:customStyle="1">
    <w:name w:val="表格非标题文字 Char"/>
    <w:link w:val="1032"/>
    <w:uiPriority w:val="99"/>
    <w:qFormat/>
    <w:rPr>
      <w:rFonts w:ascii="Futura Bk" w:hAnsi="Futura Bk"/>
      <w:sz w:val="18"/>
      <w:szCs w:val="21"/>
      <w:lang w:val="en-US" w:eastAsia="zh-CN" w:bidi="ar-SA"/>
    </w:rPr>
  </w:style>
  <w:style w:type="paragraph" w:styleId="1032" w:customStyle="1">
    <w:name w:val="表格非标题文字"/>
    <w:link w:val="1031"/>
    <w:uiPriority w:val="99"/>
    <w:qFormat/>
    <w:pPr>
      <w:spacing w:before="80" w:after="40"/>
    </w:pPr>
    <w:rPr>
      <w:rFonts w:hint="default" w:ascii="Futura Bk" w:hAnsi="Futura Bk" w:eastAsia="宋体" w:cs="Times New Roman"/>
      <w:sz w:val="18"/>
      <w:szCs w:val="21"/>
      <w:lang w:val="en-US" w:eastAsia="zh-CN" w:bidi="ar-SA"/>
    </w:rPr>
  </w:style>
  <w:style w:type="character" w:styleId="1033" w:customStyle="1">
    <w:name w:val="页脚 Char"/>
    <w:uiPriority w:val="99"/>
    <w:qFormat/>
    <w:rPr>
      <w:sz w:val="18"/>
      <w:szCs w:val="18"/>
    </w:rPr>
  </w:style>
  <w:style w:type="character" w:styleId="1034" w:customStyle="1">
    <w:name w:val="标题 1 Char1"/>
    <w:uiPriority w:val="99"/>
    <w:qFormat/>
    <w:rPr>
      <w:b/>
      <w:bCs/>
      <w:sz w:val="44"/>
      <w:szCs w:val="44"/>
    </w:rPr>
  </w:style>
  <w:style w:type="character" w:styleId="1035" w:customStyle="1">
    <w:name w:val="正文（绿盟科技） Char"/>
    <w:link w:val="1036"/>
    <w:uiPriority w:val="99"/>
    <w:qFormat/>
    <w:rPr>
      <w:rFonts w:ascii="Arial" w:hAnsi="Arial"/>
      <w:sz w:val="21"/>
      <w:szCs w:val="22"/>
      <w:lang w:val="en-US" w:eastAsia="zh-CN" w:bidi="ar-SA"/>
    </w:rPr>
  </w:style>
  <w:style w:type="paragraph" w:styleId="1036" w:customStyle="1">
    <w:name w:val="正文（绿盟科技）"/>
    <w:link w:val="1035"/>
    <w:uiPriority w:val="99"/>
    <w:qFormat/>
    <w:pPr>
      <w:spacing w:line="300" w:lineRule="auto"/>
    </w:pPr>
    <w:rPr>
      <w:rFonts w:hint="default" w:ascii="Arial" w:hAnsi="Arial" w:eastAsia="宋体" w:cs="Times New Roman"/>
      <w:sz w:val="21"/>
      <w:szCs w:val="22"/>
      <w:lang w:val="en-US" w:eastAsia="zh-CN" w:bidi="ar-SA"/>
    </w:rPr>
  </w:style>
  <w:style w:type="character" w:styleId="1037" w:customStyle="1">
    <w:name w:val="font01"/>
    <w:uiPriority w:val="0"/>
    <w:qFormat/>
    <w:rPr>
      <w:rFonts w:hint="eastAsia" w:ascii="宋体" w:hAnsi="宋体" w:eastAsia="宋体" w:cs="宋体"/>
      <w:color w:val="000000"/>
      <w:sz w:val="20"/>
      <w:szCs w:val="20"/>
      <w:u w:val="none"/>
    </w:rPr>
  </w:style>
  <w:style w:type="character" w:styleId="1038" w:customStyle="1">
    <w:name w:val="列出段落字符"/>
    <w:uiPriority w:val="34"/>
    <w:qFormat/>
    <w:rPr>
      <w:rFonts w:ascii="Calibri" w:hAnsi="Calibri" w:eastAsia="宋体" w:cs="Times New Roman"/>
      <w:sz w:val="24"/>
      <w:szCs w:val="24"/>
    </w:rPr>
  </w:style>
  <w:style w:type="character" w:styleId="1039" w:customStyle="1">
    <w:name w:val="标题 Char"/>
    <w:uiPriority w:val="0"/>
    <w:qFormat/>
    <w:rPr>
      <w:rFonts w:ascii="Cambria" w:hAnsi="Cambria" w:cs="Times New Roman"/>
      <w:b/>
      <w:bCs/>
      <w:sz w:val="32"/>
      <w:szCs w:val="32"/>
    </w:rPr>
  </w:style>
  <w:style w:type="character" w:styleId="1040" w:customStyle="1">
    <w:name w:val="apple-converted-space"/>
    <w:basedOn w:val="946"/>
    <w:uiPriority w:val="0"/>
    <w:qFormat/>
  </w:style>
  <w:style w:type="character" w:styleId="1041" w:customStyle="1">
    <w:name w:val="font101"/>
    <w:uiPriority w:val="0"/>
    <w:qFormat/>
    <w:rPr>
      <w:rFonts w:ascii="Tahoma" w:hAnsi="Tahoma" w:eastAsia="Tahoma" w:cs="Tahoma"/>
      <w:color w:val="000000"/>
      <w:sz w:val="22"/>
      <w:szCs w:val="22"/>
      <w:u w:val="none"/>
    </w:rPr>
  </w:style>
  <w:style w:type="character" w:styleId="1042" w:customStyle="1">
    <w:name w:val="标题 字符"/>
    <w:uiPriority w:val="10"/>
    <w:qFormat/>
    <w:rPr>
      <w:rFonts w:ascii="Cambria" w:hAnsi="Cambria" w:eastAsia="宋体" w:cs="Times New Roman"/>
      <w:b/>
      <w:bCs/>
      <w:sz w:val="32"/>
      <w:szCs w:val="32"/>
    </w:rPr>
  </w:style>
  <w:style w:type="character" w:styleId="1043" w:customStyle="1">
    <w:name w:val="apple-style-span"/>
    <w:uiPriority w:val="0"/>
    <w:qFormat/>
  </w:style>
  <w:style w:type="character" w:styleId="1044" w:customStyle="1">
    <w:name w:val="样式1 Char"/>
    <w:link w:val="1045"/>
    <w:uiPriority w:val="0"/>
    <w:qFormat/>
    <w:rPr>
      <w:rFonts w:ascii="宋体" w:hAnsi="宋体"/>
      <w:sz w:val="21"/>
      <w:szCs w:val="21"/>
    </w:rPr>
  </w:style>
  <w:style w:type="paragraph" w:styleId="1045" w:customStyle="1">
    <w:name w:val="样式1"/>
    <w:basedOn w:val="706"/>
    <w:link w:val="1044"/>
    <w:uiPriority w:val="0"/>
    <w:qFormat/>
    <w:pPr>
      <w:numPr>
        <w:ilvl w:val="0"/>
        <w:numId w:val="3"/>
      </w:numPr>
    </w:pPr>
    <w:rPr>
      <w:rFonts w:ascii="宋体" w:hAnsi="宋体"/>
      <w:szCs w:val="21"/>
    </w:rPr>
  </w:style>
  <w:style w:type="character" w:styleId="1046" w:customStyle="1">
    <w:name w:val="font61"/>
    <w:uiPriority w:val="0"/>
    <w:qFormat/>
    <w:rPr>
      <w:rFonts w:hint="eastAsia" w:ascii="宋体" w:hAnsi="宋体" w:eastAsia="宋体" w:cs="宋体"/>
      <w:i/>
      <w:color w:val="000000"/>
      <w:sz w:val="20"/>
      <w:szCs w:val="20"/>
      <w:u w:val="single"/>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06"/>
    <w:link w:val="1047"/>
    <w:uiPriority w:val="0"/>
    <w:qFormat/>
    <w:pPr>
      <w:ind w:firstLine="480"/>
      <w:jc w:val="left"/>
      <w:spacing w:before="120" w:after="120" w:line="360" w:lineRule="auto"/>
    </w:pPr>
    <w:rPr>
      <w:rFonts w:ascii="Arial" w:hAnsi="Arial"/>
      <w:sz w:val="24"/>
    </w:rPr>
  </w:style>
  <w:style w:type="character" w:styleId="1049" w:customStyle="1">
    <w:name w:val="页眉 Char"/>
    <w:uiPriority w:val="99"/>
    <w:qFormat/>
    <w:rPr>
      <w:sz w:val="18"/>
      <w:szCs w:val="18"/>
    </w:rPr>
  </w:style>
  <w:style w:type="character" w:styleId="1050" w:customStyle="1">
    <w:name w:val="Item List Char Char"/>
    <w:link w:val="1051"/>
    <w:uiPriority w:val="99"/>
    <w:qFormat/>
    <w:rPr>
      <w:rFonts w:ascii="Arial" w:hAnsi="Arial" w:cs="Arial"/>
      <w:lang w:eastAsia="en-US"/>
    </w:rPr>
  </w:style>
  <w:style w:type="paragraph" w:styleId="1051" w:customStyle="1">
    <w:name w:val="Item List"/>
    <w:basedOn w:val="706"/>
    <w:link w:val="105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52" w:customStyle="1">
    <w:name w:val="批注框文本 Char"/>
    <w:uiPriority w:val="99"/>
    <w:qFormat/>
    <w:rPr>
      <w:sz w:val="18"/>
      <w:szCs w:val="18"/>
    </w:rPr>
  </w:style>
  <w:style w:type="character" w:styleId="1053" w:customStyle="1">
    <w:name w:val="标题 2 Char"/>
    <w:uiPriority w:val="9"/>
    <w:qFormat/>
    <w:rPr>
      <w:rFonts w:ascii="Cambria" w:hAnsi="Cambria" w:eastAsia="宋体" w:cs="Times New Roman"/>
      <w:b/>
      <w:bCs/>
      <w:sz w:val="32"/>
      <w:szCs w:val="32"/>
    </w:rPr>
  </w:style>
  <w:style w:type="character" w:styleId="1054" w:customStyle="1">
    <w:name w:val="列出段落 Char1"/>
    <w:link w:val="1055"/>
    <w:uiPriority w:val="34"/>
    <w:qFormat/>
    <w:rPr>
      <w:rFonts w:ascii="Calibri" w:hAnsi="Calibri"/>
      <w:sz w:val="21"/>
      <w:szCs w:val="22"/>
    </w:rPr>
  </w:style>
  <w:style w:type="paragraph" w:styleId="1055" w:customStyle="1">
    <w:name w:val="列出段落112"/>
    <w:basedOn w:val="706"/>
    <w:link w:val="1054"/>
    <w:uiPriority w:val="34"/>
    <w:qFormat/>
    <w:pPr>
      <w:ind w:firstLine="420"/>
    </w:pPr>
  </w:style>
  <w:style w:type="character" w:styleId="1056" w:customStyle="1">
    <w:name w:val="font41"/>
    <w:basedOn w:val="946"/>
    <w:uiPriority w:val="0"/>
    <w:qFormat/>
    <w:rPr>
      <w:rFonts w:hint="eastAsia" w:ascii="宋体" w:hAnsi="宋体" w:eastAsia="宋体" w:cs="宋体"/>
      <w:color w:val="000000"/>
      <w:sz w:val="18"/>
      <w:szCs w:val="18"/>
      <w:u w:val="none"/>
    </w:rPr>
  </w:style>
  <w:style w:type="character" w:styleId="1057" w:customStyle="1">
    <w:name w:val="font131"/>
    <w:uiPriority w:val="0"/>
    <w:qFormat/>
    <w:rPr>
      <w:rFonts w:hint="eastAsia" w:ascii="宋体" w:hAnsi="宋体" w:eastAsia="宋体" w:cs="宋体"/>
      <w:color w:val="000000"/>
      <w:sz w:val="20"/>
      <w:szCs w:val="20"/>
      <w:u w:val="none"/>
    </w:rPr>
  </w:style>
  <w:style w:type="character" w:styleId="1058" w:customStyle="1">
    <w:name w:val="标题 5 Char1"/>
    <w:uiPriority w:val="0"/>
    <w:semiHidden/>
    <w:qFormat/>
    <w:rPr>
      <w:b/>
      <w:bCs/>
      <w:sz w:val="28"/>
      <w:szCs w:val="28"/>
    </w:rPr>
  </w:style>
  <w:style w:type="character" w:styleId="1059" w:customStyle="1">
    <w:name w:val="标题 7 Char1"/>
    <w:uiPriority w:val="0"/>
    <w:semiHidden/>
    <w:qFormat/>
    <w:rPr>
      <w:b/>
      <w:bCs/>
      <w:sz w:val="24"/>
      <w:szCs w:val="24"/>
    </w:rPr>
  </w:style>
  <w:style w:type="character" w:styleId="1060" w:customStyle="1">
    <w:name w:val="modeltitle"/>
    <w:basedOn w:val="946"/>
    <w:uiPriority w:val="0"/>
    <w:qFormat/>
  </w:style>
  <w:style w:type="character" w:styleId="1061" w:customStyle="1">
    <w:name w:val="intro1"/>
    <w:uiPriority w:val="0"/>
    <w:qFormat/>
    <w:rPr>
      <w:rFonts w:ascii="Trebuchet MS"/>
      <w:sz w:val="21"/>
      <w:szCs w:val="21"/>
    </w:rPr>
  </w:style>
  <w:style w:type="character" w:styleId="1062" w:customStyle="1">
    <w:name w:val="默认段落字体1"/>
    <w:uiPriority w:val="0"/>
    <w:semiHidden/>
    <w:qFormat/>
    <w:rPr>
      <w:rFonts w:ascii="Calibri" w:hAnsi="Calibri"/>
      <w:sz w:val="21"/>
      <w:szCs w:val="22"/>
      <w:lang w:val="en-US" w:eastAsia="zh-CN" w:bidi="ar-SA"/>
    </w:rPr>
  </w:style>
  <w:style w:type="character" w:styleId="1063" w:customStyle="1">
    <w:name w:val="日期 Char"/>
    <w:uiPriority w:val="0"/>
    <w:qFormat/>
    <w:rPr>
      <w:rFonts w:eastAsia="宋体"/>
      <w:sz w:val="24"/>
      <w:szCs w:val="24"/>
    </w:rPr>
  </w:style>
  <w:style w:type="character" w:styleId="1064" w:customStyle="1">
    <w:name w:val="font132"/>
    <w:uiPriority w:val="0"/>
    <w:qFormat/>
    <w:rPr>
      <w:rFonts w:hint="eastAsia" w:ascii="宋体" w:hAnsi="宋体" w:eastAsia="宋体" w:cs="宋体"/>
      <w:color w:val="000000"/>
      <w:sz w:val="22"/>
      <w:szCs w:val="22"/>
      <w:u w:val="none"/>
    </w:rPr>
  </w:style>
  <w:style w:type="character" w:styleId="1065" w:customStyle="1">
    <w:name w:val="标题 2 Char1"/>
    <w:uiPriority w:val="99"/>
    <w:semiHidden/>
    <w:qFormat/>
    <w:rPr>
      <w:rFonts w:ascii="Cambria" w:hAnsi="Cambria" w:eastAsia="宋体" w:cs="Times New Roman"/>
      <w:b/>
      <w:bCs/>
      <w:sz w:val="32"/>
      <w:szCs w:val="32"/>
    </w:rPr>
  </w:style>
  <w:style w:type="character" w:styleId="1066" w:customStyle="1">
    <w:name w:val="font112"/>
    <w:uiPriority w:val="0"/>
    <w:qFormat/>
    <w:rPr>
      <w:rFonts w:hint="eastAsia" w:ascii="宋体" w:hAnsi="宋体" w:eastAsia="宋体" w:cs="宋体"/>
      <w:color w:val="000000"/>
      <w:sz w:val="22"/>
      <w:szCs w:val="22"/>
      <w:u w:val="none"/>
    </w:rPr>
  </w:style>
  <w:style w:type="character" w:styleId="1067" w:customStyle="1">
    <w:name w:val="标题 4 Char"/>
    <w:uiPriority w:val="0"/>
    <w:qFormat/>
    <w:rPr>
      <w:rFonts w:ascii="Cambria" w:hAnsi="Cambria" w:eastAsia="宋体" w:cs="Times New Roman"/>
      <w:b/>
      <w:bCs/>
      <w:sz w:val="28"/>
      <w:szCs w:val="28"/>
    </w:rPr>
  </w:style>
  <w:style w:type="character" w:styleId="1068" w:customStyle="1">
    <w:name w:val="标题 8 Char1"/>
    <w:uiPriority w:val="0"/>
    <w:semiHidden/>
    <w:qFormat/>
    <w:rPr>
      <w:rFonts w:ascii="Cambria" w:hAnsi="Cambria" w:eastAsia="宋体" w:cs="Times New Roman"/>
      <w:sz w:val="24"/>
      <w:szCs w:val="24"/>
    </w:rPr>
  </w:style>
  <w:style w:type="character" w:styleId="1069" w:customStyle="1">
    <w:name w:val="标题 4 Char1"/>
    <w:uiPriority w:val="99"/>
    <w:semiHidden/>
    <w:qFormat/>
    <w:rPr>
      <w:rFonts w:ascii="Cambria" w:hAnsi="Cambria" w:eastAsia="宋体" w:cs="Times New Roman"/>
      <w:b/>
      <w:bCs/>
      <w:sz w:val="28"/>
      <w:szCs w:val="28"/>
    </w:rPr>
  </w:style>
  <w:style w:type="character" w:styleId="1070" w:customStyle="1">
    <w:name w:val="font51"/>
    <w:basedOn w:val="946"/>
    <w:uiPriority w:val="0"/>
    <w:qFormat/>
    <w:rPr>
      <w:rFonts w:hint="eastAsia" w:ascii="宋体" w:hAnsi="宋体" w:eastAsia="宋体" w:cs="宋体"/>
      <w:i/>
      <w:color w:val="000000"/>
      <w:sz w:val="20"/>
      <w:szCs w:val="20"/>
      <w:u w:val="single"/>
    </w:rPr>
  </w:style>
  <w:style w:type="character" w:styleId="1071" w:customStyle="1">
    <w:name w:val="font5 Char"/>
    <w:uiPriority w:val="0"/>
    <w:qFormat/>
    <w:rPr>
      <w:rFonts w:ascii="宋体" w:eastAsia="宋体"/>
      <w:sz w:val="28"/>
      <w:szCs w:val="28"/>
      <w:lang w:val="en-US" w:eastAsia="zh-CN"/>
    </w:rPr>
  </w:style>
  <w:style w:type="character" w:styleId="1072" w:customStyle="1">
    <w:name w:val="js-正文 Char"/>
    <w:link w:val="1073"/>
    <w:uiPriority w:val="0"/>
    <w:qFormat/>
    <w:rPr>
      <w:sz w:val="24"/>
      <w:szCs w:val="24"/>
    </w:rPr>
  </w:style>
  <w:style w:type="paragraph" w:styleId="1073" w:customStyle="1">
    <w:name w:val="js-正文"/>
    <w:basedOn w:val="706"/>
    <w:link w:val="1072"/>
    <w:uiPriority w:val="0"/>
    <w:qFormat/>
    <w:pPr>
      <w:ind w:firstLine="480"/>
      <w:spacing w:line="360" w:lineRule="auto"/>
    </w:pPr>
    <w:rPr>
      <w:sz w:val="24"/>
    </w:rPr>
  </w:style>
  <w:style w:type="character" w:styleId="1074" w:customStyle="1">
    <w:name w:val="文档结构图 Char"/>
    <w:uiPriority w:val="99"/>
    <w:qFormat/>
    <w:rPr>
      <w:rFonts w:ascii="宋体" w:eastAsia="宋体"/>
      <w:sz w:val="18"/>
      <w:szCs w:val="18"/>
    </w:rPr>
  </w:style>
  <w:style w:type="character" w:styleId="1075" w:customStyle="1">
    <w:name w:val="font121"/>
    <w:uiPriority w:val="0"/>
    <w:qFormat/>
    <w:rPr>
      <w:rFonts w:ascii="宋体-简" w:hAnsi="宋体-简" w:eastAsia="宋体-简" w:cs="宋体-简"/>
      <w:i/>
      <w:color w:val="000000"/>
      <w:sz w:val="20"/>
      <w:szCs w:val="20"/>
      <w:u w:val="single"/>
    </w:rPr>
  </w:style>
  <w:style w:type="character" w:styleId="1076" w:customStyle="1">
    <w:name w:val="font81"/>
    <w:uiPriority w:val="0"/>
    <w:qFormat/>
    <w:rPr>
      <w:rFonts w:hint="eastAsia" w:ascii="宋体" w:hAnsi="宋体" w:eastAsia="宋体" w:cs="宋体"/>
      <w:color w:val="000000"/>
      <w:sz w:val="20"/>
      <w:szCs w:val="20"/>
      <w:u w:val="none"/>
    </w:rPr>
  </w:style>
  <w:style w:type="character" w:styleId="1077" w:customStyle="1">
    <w:name w:val="标题 9 Char1"/>
    <w:uiPriority w:val="0"/>
    <w:semiHidden/>
    <w:qFormat/>
    <w:rPr>
      <w:rFonts w:ascii="Cambria" w:hAnsi="Cambria" w:eastAsia="宋体" w:cs="Times New Roman"/>
      <w:sz w:val="21"/>
      <w:szCs w:val="21"/>
    </w:rPr>
  </w:style>
  <w:style w:type="character" w:styleId="1078" w:customStyle="1">
    <w:name w:val="Item List in Table Char Char"/>
    <w:link w:val="1079"/>
    <w:uiPriority w:val="99"/>
    <w:qFormat/>
    <w:rPr>
      <w:rFonts w:ascii="Arial" w:hAnsi="Arial"/>
      <w:sz w:val="18"/>
      <w:szCs w:val="22"/>
      <w:lang w:val="en-US" w:eastAsia="zh-CN" w:bidi="ar-SA"/>
    </w:rPr>
  </w:style>
  <w:style w:type="paragraph" w:styleId="1079" w:customStyle="1">
    <w:name w:val="Item List in Table"/>
    <w:link w:val="1078"/>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80" w:customStyle="1">
    <w:name w:val="Table Text Char"/>
    <w:link w:val="1081"/>
    <w:uiPriority w:val="99"/>
    <w:qFormat/>
    <w:rPr>
      <w:rFonts w:ascii="Arial" w:hAnsi="Arial"/>
      <w:sz w:val="18"/>
      <w:szCs w:val="18"/>
      <w:lang w:val="en-US" w:eastAsia="zh-CN" w:bidi="ar-SA"/>
    </w:rPr>
  </w:style>
  <w:style w:type="paragraph" w:styleId="1081" w:customStyle="1">
    <w:name w:val="Table Text"/>
    <w:link w:val="1080"/>
    <w:uiPriority w:val="99"/>
    <w:qFormat/>
    <w:pPr>
      <w:spacing w:before="80" w:after="80"/>
    </w:pPr>
    <w:rPr>
      <w:rFonts w:hint="default" w:ascii="Arial" w:hAnsi="Arial" w:eastAsia="宋体" w:cs="Times New Roman"/>
      <w:sz w:val="18"/>
      <w:szCs w:val="18"/>
      <w:lang w:val="en-US" w:eastAsia="zh-CN" w:bidi="ar-SA"/>
    </w:rPr>
  </w:style>
  <w:style w:type="character" w:styleId="1082" w:customStyle="1">
    <w:name w:val="正文首行缩进 Char Char"/>
    <w:link w:val="1083"/>
    <w:uiPriority w:val="0"/>
    <w:qFormat/>
    <w:rPr>
      <w:szCs w:val="24"/>
    </w:rPr>
  </w:style>
  <w:style w:type="paragraph" w:styleId="1083" w:customStyle="1">
    <w:name w:val="正文首行缩进1"/>
    <w:basedOn w:val="968"/>
    <w:link w:val="1082"/>
    <w:uiPriority w:val="0"/>
    <w:qFormat/>
    <w:pPr>
      <w:ind w:firstLine="420"/>
      <w:spacing w:after="120"/>
    </w:pPr>
    <w:rPr>
      <w:rFonts w:ascii="Times New Roman" w:hAnsi="Times New Roman" w:eastAsia="宋体"/>
      <w:sz w:val="20"/>
      <w:szCs w:val="24"/>
    </w:rPr>
  </w:style>
  <w:style w:type="character" w:styleId="1084" w:customStyle="1">
    <w:name w:val="表格 Char Char"/>
    <w:link w:val="1085"/>
    <w:uiPriority w:val="0"/>
    <w:qFormat/>
    <w:rPr>
      <w:rFonts w:ascii="宋体" w:hAnsi="宋体" w:cs="宋体"/>
    </w:rPr>
  </w:style>
  <w:style w:type="paragraph" w:styleId="1085" w:customStyle="1">
    <w:name w:val="表格"/>
    <w:basedOn w:val="706"/>
    <w:link w:val="1084"/>
    <w:uiPriority w:val="0"/>
    <w:qFormat/>
    <w:pPr>
      <w:ind w:firstLine="21"/>
    </w:pPr>
    <w:rPr>
      <w:rFonts w:ascii="宋体" w:hAnsi="宋体"/>
      <w:sz w:val="20"/>
      <w:szCs w:val="20"/>
    </w:rPr>
  </w:style>
  <w:style w:type="character" w:styleId="1086" w:customStyle="1">
    <w:name w:val="标题 1 Char"/>
    <w:uiPriority w:val="0"/>
    <w:qFormat/>
    <w:rPr>
      <w:b/>
      <w:bCs/>
      <w:sz w:val="44"/>
      <w:szCs w:val="44"/>
    </w:rPr>
  </w:style>
  <w:style w:type="character" w:styleId="1087" w:customStyle="1">
    <w:name w:val="批注文字 Char1"/>
    <w:uiPriority w:val="99"/>
    <w:qFormat/>
    <w:rPr>
      <w:rFonts w:ascii="Times New Roman" w:hAnsi="Times New Roman" w:eastAsia="宋体" w:cs="Times New Roman"/>
      <w:szCs w:val="24"/>
    </w:rPr>
  </w:style>
  <w:style w:type="character" w:styleId="1088" w:customStyle="1">
    <w:name w:val="副标题 Char1"/>
    <w:uiPriority w:val="11"/>
    <w:qFormat/>
    <w:rPr>
      <w:rFonts w:ascii="Cambria" w:hAnsi="Cambria" w:cs="Times New Roman"/>
      <w:b/>
      <w:bCs/>
      <w:sz w:val="32"/>
      <w:szCs w:val="32"/>
    </w:rPr>
  </w:style>
  <w:style w:type="character" w:styleId="1089" w:customStyle="1">
    <w:name w:val="正文首行缩进 Char"/>
    <w:uiPriority w:val="0"/>
    <w:qFormat/>
    <w:rPr>
      <w:rFonts w:ascii="Times New Roman" w:hAnsi="Times New Roman" w:eastAsia="宋体" w:cs="Times New Roman"/>
      <w:szCs w:val="20"/>
    </w:rPr>
  </w:style>
  <w:style w:type="character" w:styleId="1090" w:customStyle="1">
    <w:name w:val="正文文本 Char"/>
    <w:uiPriority w:val="0"/>
    <w:qFormat/>
    <w:rPr>
      <w:rFonts w:ascii="Calibri" w:hAnsi="Calibri" w:eastAsia="宋体" w:cs="Times New Roman"/>
    </w:rPr>
  </w:style>
  <w:style w:type="character" w:styleId="1091" w:customStyle="1">
    <w:name w:val="标题 6 Char"/>
    <w:uiPriority w:val="0"/>
    <w:qFormat/>
    <w:rPr>
      <w:rFonts w:ascii="Cambria" w:hAnsi="Cambria" w:eastAsia="宋体" w:cs="Times New Roman"/>
      <w:b/>
      <w:bCs/>
      <w:sz w:val="24"/>
      <w:szCs w:val="24"/>
    </w:rPr>
  </w:style>
  <w:style w:type="character" w:styleId="1092" w:customStyle="1">
    <w:name w:val="正文首行缩进 Char1"/>
    <w:basedOn w:val="1090"/>
    <w:uiPriority w:val="99"/>
    <w:semiHidden/>
    <w:qFormat/>
    <w:rPr>
      <w:rFonts w:ascii="Calibri" w:hAnsi="Calibri" w:eastAsia="宋体" w:cs="Times New Roman"/>
    </w:rPr>
  </w:style>
  <w:style w:type="character" w:styleId="1093" w:customStyle="1">
    <w:name w:val="font71"/>
    <w:basedOn w:val="946"/>
    <w:uiPriority w:val="0"/>
    <w:qFormat/>
    <w:rPr>
      <w:rFonts w:hint="eastAsia" w:ascii="宋体" w:hAnsi="宋体" w:eastAsia="宋体" w:cs="宋体"/>
      <w:color w:val="000000"/>
      <w:sz w:val="20"/>
      <w:szCs w:val="20"/>
      <w:u w:val="none"/>
    </w:rPr>
  </w:style>
  <w:style w:type="character" w:styleId="1094" w:customStyle="1">
    <w:name w:val="批注主题 Char"/>
    <w:uiPriority w:val="99"/>
    <w:qFormat/>
    <w:rPr>
      <w:b/>
      <w:bCs/>
    </w:rPr>
  </w:style>
  <w:style w:type="character" w:styleId="1095" w:customStyle="1">
    <w:name w:val="标题 1 字符"/>
    <w:uiPriority w:val="9"/>
    <w:qFormat/>
    <w:rPr>
      <w:rFonts w:ascii="Calibri" w:hAnsi="Calibri" w:eastAsia="宋体" w:cs="Times New Roman"/>
      <w:b/>
      <w:bCs/>
      <w:sz w:val="44"/>
      <w:szCs w:val="44"/>
    </w:rPr>
  </w:style>
  <w:style w:type="character" w:styleId="1096" w:customStyle="1">
    <w:name w:val="as-productsummary-addonupgrade"/>
    <w:uiPriority w:val="0"/>
    <w:qFormat/>
  </w:style>
  <w:style w:type="paragraph" w:styleId="1097" w:customStyle="1">
    <w:name w:val="Char Char Char Char Char Char Char Char"/>
    <w:basedOn w:val="706"/>
    <w:uiPriority w:val="0"/>
    <w:qFormat/>
    <w:pPr>
      <w:jc w:val="left"/>
      <w:spacing w:after="160" w:line="240" w:lineRule="exact"/>
      <w:widowControl/>
    </w:pPr>
    <w:rPr>
      <w:rFonts w:ascii="Verdana" w:hAnsi="Verdana" w:cs="宋体"/>
      <w:sz w:val="20"/>
      <w:szCs w:val="20"/>
      <w:lang w:eastAsia="en-US"/>
    </w:rPr>
  </w:style>
  <w:style w:type="paragraph" w:styleId="1098" w:customStyle="1">
    <w:name w:val="段"/>
    <w:next w:val="1099"/>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9" w:customStyle="1">
    <w:name w:val="正文 A"/>
    <w:next w:val="109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00" w:customStyle="1">
    <w:name w:val="xl117"/>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1" w:customStyle="1">
    <w:name w:val="Char Char Char"/>
    <w:basedOn w:val="706"/>
    <w:uiPriority w:val="0"/>
    <w:qFormat/>
    <w:pPr>
      <w:jc w:val="left"/>
      <w:widowControl/>
    </w:pPr>
    <w:rPr>
      <w:rFonts w:ascii="Tahoma" w:hAnsi="Tahoma" w:cs="宋体"/>
      <w:sz w:val="24"/>
      <w:szCs w:val="20"/>
    </w:rPr>
  </w:style>
  <w:style w:type="paragraph" w:styleId="110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04" w:customStyle="1">
    <w:name w:val="xl11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85"/>
    <w:basedOn w:val="70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6" w:customStyle="1">
    <w:name w:val="彩色列表 - 强调文字颜色 11"/>
    <w:basedOn w:val="706"/>
    <w:uiPriority w:val="34"/>
    <w:qFormat/>
    <w:pPr>
      <w:ind w:firstLine="420"/>
    </w:pPr>
    <w:rPr>
      <w:rFonts w:ascii="Cambria" w:hAnsi="Cambria"/>
      <w:sz w:val="24"/>
    </w:rPr>
  </w:style>
  <w:style w:type="paragraph" w:styleId="1107" w:customStyle="1">
    <w:name w:val="标题1"/>
    <w:basedOn w:val="706"/>
    <w:next w:val="70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8" w:customStyle="1">
    <w:name w:val="Char5 Char Char Char Char Char Char1"/>
    <w:basedOn w:val="706"/>
    <w:uiPriority w:val="0"/>
    <w:qFormat/>
    <w:rPr>
      <w:rFonts w:ascii="Tahoma" w:hAnsi="Tahoma"/>
      <w:sz w:val="24"/>
      <w:szCs w:val="20"/>
    </w:rPr>
  </w:style>
  <w:style w:type="paragraph" w:styleId="1109" w:customStyle="1">
    <w:name w:val="默认段落字体 Para Char Char"/>
    <w:basedOn w:val="706"/>
    <w:uiPriority w:val="0"/>
    <w:qFormat/>
    <w:pPr>
      <w:spacing w:before="156" w:after="156"/>
    </w:pPr>
    <w:rPr>
      <w:szCs w:val="20"/>
    </w:rPr>
  </w:style>
  <w:style w:type="paragraph" w:styleId="1110" w:customStyle="1">
    <w:name w:val="xl120"/>
    <w:basedOn w:val="70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1" w:customStyle="1">
    <w:name w:val="标题8"/>
    <w:basedOn w:val="944"/>
    <w:uiPriority w:val="0"/>
    <w:qFormat/>
    <w:pPr>
      <w:numPr>
        <w:ilvl w:val="0"/>
        <w:numId w:val="0"/>
      </w:numPr>
      <w:keepLines w:val="0"/>
      <w:keepNext w:val="0"/>
      <w:spacing w:before="0" w:after="0" w:line="360" w:lineRule="auto"/>
    </w:pPr>
    <w:rPr>
      <w:rFonts w:eastAsia="仿宋_GB2312"/>
      <w:sz w:val="30"/>
    </w:rPr>
  </w:style>
  <w:style w:type="paragraph" w:styleId="1112" w:customStyle="1">
    <w:name w:val="_Style 7"/>
    <w:basedOn w:val="706"/>
    <w:uiPriority w:val="99"/>
    <w:qFormat/>
    <w:pPr>
      <w:ind w:firstLine="420"/>
    </w:pPr>
    <w:rPr>
      <w:szCs w:val="20"/>
    </w:rPr>
  </w:style>
  <w:style w:type="paragraph" w:styleId="111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4"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15" w:customStyle="1">
    <w:name w:val="font14"/>
    <w:basedOn w:val="706"/>
    <w:uiPriority w:val="0"/>
    <w:qFormat/>
    <w:pPr>
      <w:jc w:val="left"/>
      <w:spacing w:before="100" w:beforeAutospacing="1" w:after="100" w:afterAutospacing="1"/>
      <w:widowControl/>
    </w:pPr>
    <w:rPr>
      <w:rFonts w:ascii="宋体" w:hAnsi="宋体" w:cs="宋体"/>
      <w:color w:val="000000"/>
      <w:sz w:val="22"/>
    </w:rPr>
  </w:style>
  <w:style w:type="paragraph" w:styleId="111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17" w:customStyle="1">
    <w:name w:val="Char Char Char Char Char Char Char"/>
    <w:basedOn w:val="706"/>
    <w:uiPriority w:val="0"/>
    <w:qFormat/>
    <w:pPr>
      <w:ind w:left="432" w:hanging="432"/>
      <w:tabs>
        <w:tab w:val="left" w:pos="432" w:leader="none"/>
      </w:tabs>
    </w:pPr>
    <w:rPr>
      <w:rFonts w:ascii="Tahoma" w:hAnsi="Tahoma"/>
      <w:sz w:val="24"/>
      <w:szCs w:val="20"/>
    </w:rPr>
  </w:style>
  <w:style w:type="paragraph" w:styleId="1118" w:customStyle="1">
    <w:name w:val="xl30"/>
    <w:basedOn w:val="706"/>
    <w:uiPriority w:val="0"/>
    <w:qFormat/>
    <w:pPr>
      <w:jc w:val="center"/>
      <w:spacing w:before="100" w:beforeAutospacing="1" w:after="100" w:afterAutospacing="1"/>
      <w:widowControl/>
    </w:pPr>
    <w:rPr>
      <w:rFonts w:ascii="宋体" w:hAnsi="宋体" w:cs="宋体"/>
      <w:b/>
      <w:bCs/>
      <w:sz w:val="36"/>
      <w:szCs w:val="36"/>
    </w:rPr>
  </w:style>
  <w:style w:type="paragraph" w:styleId="1119" w:customStyle="1">
    <w:name w:val="Char Char Char Char Char Char Char2"/>
    <w:basedOn w:val="706"/>
    <w:uiPriority w:val="0"/>
    <w:qFormat/>
    <w:pPr>
      <w:ind w:left="432" w:hanging="432"/>
      <w:tabs>
        <w:tab w:val="left" w:pos="432" w:leader="none"/>
      </w:tabs>
    </w:pPr>
    <w:rPr>
      <w:rFonts w:ascii="Tahoma" w:hAnsi="Tahoma"/>
      <w:sz w:val="24"/>
      <w:szCs w:val="20"/>
    </w:rPr>
  </w:style>
  <w:style w:type="paragraph" w:styleId="1120" w:customStyle="1">
    <w:name w:val="font5"/>
    <w:basedOn w:val="706"/>
    <w:uiPriority w:val="0"/>
    <w:qFormat/>
    <w:pPr>
      <w:jc w:val="left"/>
      <w:spacing w:before="100" w:beforeAutospacing="1" w:after="100" w:afterAutospacing="1"/>
      <w:widowControl/>
    </w:pPr>
    <w:rPr>
      <w:rFonts w:ascii="宋体" w:hAnsi="宋体" w:cs="宋体"/>
      <w:sz w:val="28"/>
      <w:szCs w:val="28"/>
    </w:rPr>
  </w:style>
  <w:style w:type="paragraph" w:styleId="1121" w:customStyle="1">
    <w:name w:val="四级标题"/>
    <w:basedOn w:val="1122"/>
    <w:uiPriority w:val="0"/>
    <w:qFormat/>
    <w:pPr>
      <w:numPr>
        <w:ilvl w:val="3"/>
      </w:numPr>
      <w:outlineLvl w:val="3"/>
    </w:pPr>
  </w:style>
  <w:style w:type="paragraph" w:styleId="1122" w:customStyle="1">
    <w:name w:val="三级标题"/>
    <w:basedOn w:val="1123"/>
    <w:uiPriority w:val="0"/>
    <w:qFormat/>
    <w:pPr>
      <w:numPr>
        <w:ilvl w:val="2"/>
      </w:numPr>
      <w:ind w:left="1191"/>
      <w:spacing w:before="50" w:after="50"/>
      <w:outlineLvl w:val="2"/>
    </w:pPr>
    <w:rPr>
      <w:sz w:val="24"/>
    </w:rPr>
  </w:style>
  <w:style w:type="paragraph" w:styleId="1123" w:customStyle="1">
    <w:name w:val="二级标题"/>
    <w:basedOn w:val="1124"/>
    <w:uiPriority w:val="0"/>
    <w:qFormat/>
    <w:pPr>
      <w:numPr>
        <w:ilvl w:val="1"/>
      </w:numPr>
      <w:outlineLvl w:val="1"/>
    </w:pPr>
    <w:rPr>
      <w:lang w:eastAsia="zh-CN"/>
    </w:rPr>
  </w:style>
  <w:style w:type="paragraph" w:styleId="1124" w:customStyle="1">
    <w:name w:val="一级标题"/>
    <w:basedOn w:val="706"/>
    <w:uiPriority w:val="0"/>
    <w:qFormat/>
    <w:pPr>
      <w:numPr>
        <w:ilvl w:val="0"/>
        <w:numId w:val="5"/>
      </w:numPr>
      <w:ind w:firstLine="0"/>
      <w:jc w:val="left"/>
      <w:widowControl/>
      <w:outlineLvl w:val="0"/>
    </w:pPr>
    <w:rPr>
      <w:rFonts w:ascii="宋体" w:hAnsi="宋体"/>
      <w:b/>
      <w:sz w:val="30"/>
      <w:lang w:eastAsia="en-US" w:bidi="en-US"/>
    </w:rPr>
  </w:style>
  <w:style w:type="paragraph" w:styleId="1125" w:customStyle="1">
    <w:name w:val="TOC 标题2"/>
    <w:basedOn w:val="937"/>
    <w:next w:val="70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2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27" w:customStyle="1">
    <w:name w:val="p25"/>
    <w:basedOn w:val="706"/>
    <w:uiPriority w:val="0"/>
    <w:qFormat/>
    <w:pPr>
      <w:jc w:val="left"/>
      <w:widowControl/>
    </w:pPr>
    <w:rPr>
      <w:rFonts w:ascii="宋体" w:hAnsi="宋体" w:cs="宋体"/>
      <w:sz w:val="26"/>
      <w:szCs w:val="26"/>
    </w:rPr>
  </w:style>
  <w:style w:type="paragraph" w:styleId="1128" w:customStyle="1">
    <w:name w:val="xl118"/>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xl80"/>
    <w:basedOn w:val="706"/>
    <w:uiPriority w:val="0"/>
    <w:qFormat/>
    <w:pPr>
      <w:jc w:val="center"/>
      <w:spacing w:before="100" w:beforeAutospacing="1" w:after="100" w:afterAutospacing="1"/>
      <w:widowControl/>
    </w:pPr>
    <w:rPr>
      <w:rFonts w:ascii="宋体" w:hAnsi="宋体" w:cs="宋体"/>
      <w:color w:val="000000"/>
      <w:sz w:val="24"/>
    </w:rPr>
  </w:style>
  <w:style w:type="paragraph" w:styleId="1130" w:customStyle="1">
    <w:name w:val="xl10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1" w:customStyle="1">
    <w:name w:val="xl102"/>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customStyle="1">
    <w:name w:val="样式 样式 标题1 + 行距: 单倍行距 + 段前: 7.8 磅 段后: 7.8 磅"/>
    <w:basedOn w:val="70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3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36"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13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8" w:customStyle="1">
    <w:name w:val="xl108"/>
    <w:basedOn w:val="70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9" w:customStyle="1">
    <w:name w:val="1 Char Char Char Char Char Char Char"/>
    <w:basedOn w:val="706"/>
    <w:uiPriority w:val="0"/>
    <w:qFormat/>
    <w:pPr>
      <w:spacing w:line="360" w:lineRule="auto"/>
    </w:pPr>
    <w:rPr>
      <w:rFonts w:ascii="仿宋_GB2312" w:hAnsi="宋体" w:eastAsia="仿宋_GB2312" w:cs="宋体"/>
      <w:szCs w:val="21"/>
    </w:rPr>
  </w:style>
  <w:style w:type="paragraph" w:styleId="114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41" w:customStyle="1">
    <w:name w:val="xl96"/>
    <w:basedOn w:val="706"/>
    <w:uiPriority w:val="0"/>
    <w:qFormat/>
    <w:pPr>
      <w:jc w:val="center"/>
      <w:spacing w:before="100" w:beforeAutospacing="1" w:after="100" w:afterAutospacing="1"/>
      <w:widowControl/>
    </w:pPr>
    <w:rPr>
      <w:rFonts w:ascii="宋体" w:hAnsi="宋体" w:cs="宋体"/>
      <w:b/>
      <w:bCs/>
      <w:color w:val="000000"/>
      <w:sz w:val="24"/>
    </w:rPr>
  </w:style>
  <w:style w:type="paragraph" w:styleId="1142" w:customStyle="1">
    <w:name w:val="1"/>
    <w:basedOn w:val="706"/>
    <w:next w:val="1021"/>
    <w:uiPriority w:val="34"/>
    <w:qFormat/>
    <w:pPr>
      <w:ind w:firstLine="420"/>
    </w:pPr>
  </w:style>
  <w:style w:type="paragraph" w:styleId="1143" w:customStyle="1">
    <w:name w:val="样式2"/>
    <w:basedOn w:val="706"/>
    <w:uiPriority w:val="0"/>
    <w:qFormat/>
    <w:pPr>
      <w:numPr>
        <w:ilvl w:val="0"/>
        <w:numId w:val="6"/>
      </w:numPr>
      <w:spacing w:line="288" w:lineRule="auto"/>
    </w:pPr>
  </w:style>
  <w:style w:type="paragraph" w:styleId="1144"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47" w:customStyle="1">
    <w:name w:val="font21"/>
    <w:basedOn w:val="706"/>
    <w:uiPriority w:val="0"/>
    <w:qFormat/>
    <w:pPr>
      <w:jc w:val="left"/>
      <w:spacing w:before="100" w:beforeAutospacing="1" w:after="100" w:afterAutospacing="1"/>
      <w:widowControl/>
    </w:pPr>
    <w:rPr>
      <w:rFonts w:ascii="宋体" w:hAnsi="宋体" w:cs="宋体"/>
      <w:b/>
      <w:bCs/>
      <w:color w:val="000000"/>
      <w:sz w:val="18"/>
      <w:szCs w:val="18"/>
    </w:rPr>
  </w:style>
  <w:style w:type="paragraph" w:styleId="1148" w:customStyle="1">
    <w:name w:val="正文蓝"/>
    <w:basedOn w:val="960"/>
    <w:uiPriority w:val="0"/>
    <w:qFormat/>
    <w:pPr>
      <w:ind w:firstLine="482"/>
      <w:spacing w:line="288" w:lineRule="auto"/>
    </w:pPr>
    <w:rPr>
      <w:rFonts w:ascii="仿宋_GB2312" w:hAnsi="宋体" w:eastAsia="仿宋_GB2312" w:cs="宋体"/>
      <w:bCs/>
      <w:color w:val="0000ff"/>
      <w:sz w:val="24"/>
      <w:szCs w:val="20"/>
    </w:rPr>
  </w:style>
  <w:style w:type="paragraph" w:styleId="1149">
    <w:name w:val="List Paragraph"/>
    <w:basedOn w:val="706"/>
    <w:uiPriority w:val="0"/>
    <w:qFormat/>
    <w:pPr>
      <w:ind w:firstLine="200"/>
    </w:pPr>
    <w:rPr>
      <w:rFonts w:cs="Arial"/>
    </w:rPr>
  </w:style>
  <w:style w:type="paragraph" w:styleId="115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51" w:customStyle="1">
    <w:name w:val="xl69"/>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2" w:customStyle="1">
    <w:name w:val="列表 21"/>
    <w:basedOn w:val="706"/>
    <w:uiPriority w:val="0"/>
    <w:qFormat/>
    <w:pPr>
      <w:contextualSpacing/>
      <w:ind w:left="100" w:hanging="200"/>
    </w:pPr>
  </w:style>
  <w:style w:type="paragraph" w:styleId="1153"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54" w:customStyle="1">
    <w:name w:val="xl97"/>
    <w:basedOn w:val="70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58" w:customStyle="1">
    <w:name w:val="font8"/>
    <w:basedOn w:val="706"/>
    <w:uiPriority w:val="0"/>
    <w:qFormat/>
    <w:pPr>
      <w:jc w:val="left"/>
      <w:spacing w:before="100" w:beforeAutospacing="1" w:after="100" w:afterAutospacing="1"/>
      <w:widowControl/>
    </w:pPr>
    <w:rPr>
      <w:rFonts w:ascii="宋体" w:hAnsi="宋体" w:cs="宋体"/>
      <w:sz w:val="22"/>
    </w:rPr>
  </w:style>
  <w:style w:type="paragraph" w:styleId="115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60" w:customStyle="1">
    <w:name w:val="indent-fix3"/>
    <w:basedOn w:val="706"/>
    <w:uiPriority w:val="0"/>
    <w:qFormat/>
    <w:pPr>
      <w:jc w:val="left"/>
      <w:spacing w:before="100" w:beforeAutospacing="1" w:after="100" w:afterAutospacing="1"/>
      <w:widowControl/>
    </w:pPr>
    <w:rPr>
      <w:rFonts w:ascii="宋体" w:hAnsi="宋体" w:cs="宋体"/>
      <w:sz w:val="24"/>
    </w:rPr>
  </w:style>
  <w:style w:type="paragraph" w:styleId="1161" w:customStyle="1">
    <w:name w:val="首行缩进_0"/>
    <w:basedOn w:val="1162"/>
    <w:uiPriority w:val="0"/>
    <w:qFormat/>
    <w:pPr>
      <w:ind w:firstLine="480"/>
      <w:jc w:val="left"/>
      <w:spacing w:line="360" w:lineRule="auto"/>
    </w:pPr>
    <w:rPr>
      <w:rFonts w:ascii="宋体" w:hAnsi="宋体"/>
      <w:sz w:val="24"/>
    </w:rPr>
  </w:style>
  <w:style w:type="paragraph" w:styleId="1162" w:customStyle="1">
    <w:name w:val="Normal_0"/>
    <w:next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五级标题"/>
    <w:basedOn w:val="1121"/>
    <w:uiPriority w:val="0"/>
    <w:qFormat/>
    <w:pPr>
      <w:numPr>
        <w:ilvl w:val="4"/>
      </w:numPr>
      <w:ind w:right="278"/>
      <w:outlineLvl w:val="4"/>
    </w:pPr>
  </w:style>
  <w:style w:type="paragraph" w:styleId="1164" w:customStyle="1">
    <w:name w:val="列表 31"/>
    <w:basedOn w:val="706"/>
    <w:uiPriority w:val="0"/>
    <w:qFormat/>
    <w:pPr>
      <w:contextualSpacing/>
      <w:ind w:left="100" w:hanging="200"/>
    </w:pPr>
  </w:style>
  <w:style w:type="paragraph" w:styleId="1165" w:customStyle="1">
    <w:name w:val="xl72"/>
    <w:basedOn w:val="70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67"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16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69" w:customStyle="1">
    <w:name w:val="标书正文"/>
    <w:basedOn w:val="706"/>
    <w:uiPriority w:val="99"/>
    <w:qFormat/>
    <w:pPr>
      <w:ind w:firstLine="431"/>
      <w:jc w:val="left"/>
      <w:spacing w:before="120" w:after="120" w:line="360" w:lineRule="auto"/>
      <w:widowControl/>
    </w:pPr>
    <w:rPr>
      <w:sz w:val="22"/>
      <w:szCs w:val="21"/>
      <w:lang w:eastAsia="en-US"/>
    </w:rPr>
  </w:style>
  <w:style w:type="paragraph" w:styleId="1170" w:customStyle="1">
    <w:name w:val="默认段落字体 Para Char Char Char Char"/>
    <w:basedOn w:val="706"/>
    <w:uiPriority w:val="0"/>
    <w:qFormat/>
    <w:rPr>
      <w:rFonts w:ascii="Arial" w:hAnsi="Arial" w:cs="Arial"/>
      <w:szCs w:val="21"/>
    </w:rPr>
  </w:style>
  <w:style w:type="paragraph" w:styleId="1171" w:customStyle="1">
    <w:name w:val="xl98"/>
    <w:basedOn w:val="70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2" w:customStyle="1">
    <w:name w:val="Body Text(ch)"/>
    <w:basedOn w:val="706"/>
    <w:next w:val="968"/>
    <w:uiPriority w:val="0"/>
    <w:qFormat/>
    <w:pPr>
      <w:spacing w:after="120"/>
    </w:pPr>
    <w:rPr>
      <w:rFonts w:ascii="宋体" w:hAnsi="宋体" w:cs="宋体"/>
      <w:bCs/>
      <w:iCs/>
    </w:rPr>
  </w:style>
  <w:style w:type="paragraph" w:styleId="117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74" w:customStyle="1">
    <w:name w:val="xl93"/>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Main_heading"/>
    <w:basedOn w:val="706"/>
    <w:next w:val="706"/>
    <w:uiPriority w:val="0"/>
    <w:qFormat/>
    <w:pPr>
      <w:jc w:val="left"/>
      <w:spacing w:before="240" w:after="240" w:line="240" w:lineRule="atLeast"/>
      <w:widowControl/>
    </w:pPr>
    <w:rPr>
      <w:rFonts w:eastAsia="MS Mincho"/>
      <w:b/>
      <w:sz w:val="28"/>
      <w:szCs w:val="20"/>
      <w:lang w:eastAsia="ja-JP"/>
    </w:rPr>
  </w:style>
  <w:style w:type="paragraph" w:styleId="1176" w:customStyle="1">
    <w:name w:val="xl70"/>
    <w:basedOn w:val="70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78" w:customStyle="1">
    <w:name w:val="标题3"/>
    <w:basedOn w:val="706"/>
    <w:next w:val="706"/>
    <w:uiPriority w:val="0"/>
    <w:qFormat/>
    <w:pPr>
      <w:ind w:firstLine="624"/>
      <w:spacing w:line="590" w:lineRule="atLeast"/>
    </w:pPr>
    <w:rPr>
      <w:rFonts w:ascii="方正黑体_GBK" w:hAnsi="宋体" w:eastAsia="方正黑体_GBK" w:cs="宋体"/>
      <w:sz w:val="32"/>
      <w:szCs w:val="32"/>
    </w:rPr>
  </w:style>
  <w:style w:type="paragraph" w:styleId="1179" w:customStyle="1">
    <w:name w:val="xl75"/>
    <w:basedOn w:val="7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81" w:customStyle="1">
    <w:name w:val="table_1stline"/>
    <w:basedOn w:val="706"/>
    <w:uiPriority w:val="0"/>
    <w:qFormat/>
    <w:pPr>
      <w:jc w:val="left"/>
      <w:spacing w:before="120"/>
      <w:widowControl/>
    </w:pPr>
    <w:rPr>
      <w:bCs/>
      <w:sz w:val="20"/>
      <w:szCs w:val="20"/>
      <w:lang w:val="de-DE" w:eastAsia="de-DE"/>
    </w:rPr>
  </w:style>
  <w:style w:type="paragraph" w:styleId="1182" w:customStyle="1">
    <w:name w:val="_Style 235"/>
    <w:basedOn w:val="968"/>
    <w:next w:val="1009"/>
    <w:uiPriority w:val="0"/>
    <w:qFormat/>
    <w:pPr>
      <w:ind w:firstLine="420"/>
      <w:jc w:val="center"/>
      <w:spacing w:after="120"/>
    </w:pPr>
    <w:rPr>
      <w:rFonts w:ascii="Times New Roman" w:hAnsi="Times New Roman" w:eastAsia="宋体"/>
      <w:position w:val="6"/>
      <w:sz w:val="21"/>
      <w:szCs w:val="24"/>
    </w:rPr>
  </w:style>
  <w:style w:type="paragraph" w:styleId="1183" w:customStyle="1">
    <w:name w:val="列出段落111"/>
    <w:basedOn w:val="706"/>
    <w:uiPriority w:val="72"/>
    <w:qFormat/>
    <w:pPr>
      <w:ind w:firstLine="420"/>
      <w:jc w:val="left"/>
      <w:widowControl/>
    </w:pPr>
    <w:rPr>
      <w:sz w:val="24"/>
      <w:szCs w:val="20"/>
    </w:rPr>
  </w:style>
  <w:style w:type="paragraph" w:styleId="1184" w:customStyle="1">
    <w:name w:val="列出段落11"/>
    <w:basedOn w:val="706"/>
    <w:uiPriority w:val="99"/>
    <w:qFormat/>
    <w:pPr>
      <w:ind w:firstLine="420"/>
    </w:pPr>
  </w:style>
  <w:style w:type="paragraph" w:styleId="1185" w:customStyle="1">
    <w:name w:val="xl64"/>
    <w:basedOn w:val="706"/>
    <w:uiPriority w:val="0"/>
    <w:qFormat/>
    <w:pPr>
      <w:jc w:val="left"/>
      <w:spacing w:before="100" w:beforeAutospacing="1" w:after="100" w:afterAutospacing="1"/>
      <w:widowControl/>
    </w:pPr>
    <w:rPr>
      <w:rFonts w:ascii="宋体" w:hAnsi="宋体" w:cs="宋体"/>
      <w:color w:val="000000"/>
      <w:sz w:val="24"/>
    </w:rPr>
  </w:style>
  <w:style w:type="paragraph" w:styleId="1186" w:customStyle="1">
    <w:name w:val="xl103"/>
    <w:basedOn w:val="70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xl104"/>
    <w:basedOn w:val="70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Char5 Char Char Char Char Char Char"/>
    <w:basedOn w:val="706"/>
    <w:uiPriority w:val="0"/>
    <w:qFormat/>
    <w:rPr>
      <w:rFonts w:ascii="Tahoma" w:hAnsi="Tahoma"/>
      <w:sz w:val="24"/>
      <w:szCs w:val="20"/>
    </w:rPr>
  </w:style>
  <w:style w:type="paragraph" w:styleId="1189" w:customStyle="1">
    <w:name w:val="xl8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67"/>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customStyle="1">
    <w:name w:val="4"/>
    <w:basedOn w:val="706"/>
    <w:next w:val="994"/>
    <w:uiPriority w:val="0"/>
    <w:qFormat/>
    <w:pPr>
      <w:ind w:firstLine="420"/>
      <w:spacing w:line="360" w:lineRule="auto"/>
    </w:pPr>
    <w:rPr>
      <w:color w:val="ff0000"/>
      <w:sz w:val="24"/>
    </w:rPr>
  </w:style>
  <w:style w:type="paragraph" w:styleId="1192"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4" w:customStyle="1">
    <w:name w:val="xl10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196" w:customStyle="1">
    <w:name w:val="Char Char Char1 Char Char Char Char"/>
    <w:basedOn w:val="706"/>
    <w:uiPriority w:val="0"/>
    <w:qFormat/>
    <w:pPr>
      <w:jc w:val="left"/>
      <w:spacing w:after="160" w:line="240" w:lineRule="exact"/>
      <w:widowControl/>
    </w:pPr>
    <w:rPr>
      <w:rFonts w:ascii="宋体" w:hAnsi="宋体" w:cs="宋体"/>
      <w:b/>
      <w:sz w:val="28"/>
      <w:szCs w:val="28"/>
    </w:rPr>
  </w:style>
  <w:style w:type="paragraph" w:styleId="119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98" w:customStyle="1">
    <w:name w:val="xl90"/>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9" w:customStyle="1">
    <w:name w:val="font15"/>
    <w:basedOn w:val="706"/>
    <w:uiPriority w:val="0"/>
    <w:qFormat/>
    <w:pPr>
      <w:jc w:val="left"/>
      <w:spacing w:before="100" w:beforeAutospacing="1" w:after="100" w:afterAutospacing="1"/>
      <w:widowControl/>
    </w:pPr>
    <w:rPr>
      <w:rFonts w:ascii="宋体" w:hAnsi="宋体" w:cs="宋体"/>
      <w:sz w:val="18"/>
      <w:szCs w:val="18"/>
    </w:rPr>
  </w:style>
  <w:style w:type="paragraph" w:styleId="1200" w:customStyle="1">
    <w:name w:val="可研 + 首行缩进:  2 字符"/>
    <w:basedOn w:val="706"/>
    <w:uiPriority w:val="0"/>
    <w:qFormat/>
    <w:pPr>
      <w:ind w:firstLine="200"/>
      <w:spacing w:before="120" w:line="288" w:lineRule="auto"/>
    </w:pPr>
    <w:rPr>
      <w:rFonts w:eastAsia="仿宋_GB2312"/>
      <w:sz w:val="24"/>
      <w:szCs w:val="20"/>
    </w:rPr>
  </w:style>
  <w:style w:type="paragraph" w:styleId="1201" w:customStyle="1">
    <w:name w:val="Char5 Char Char Char Char Char Char3"/>
    <w:basedOn w:val="706"/>
    <w:uiPriority w:val="0"/>
    <w:qFormat/>
    <w:rPr>
      <w:rFonts w:ascii="Tahoma" w:hAnsi="Tahoma"/>
      <w:sz w:val="24"/>
      <w:szCs w:val="20"/>
    </w:rPr>
  </w:style>
  <w:style w:type="paragraph" w:styleId="120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0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0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05" w:customStyle="1">
    <w:name w:val="table_lines"/>
    <w:basedOn w:val="706"/>
    <w:uiPriority w:val="0"/>
    <w:qFormat/>
    <w:pPr>
      <w:jc w:val="left"/>
      <w:widowControl/>
    </w:pPr>
    <w:rPr>
      <w:sz w:val="20"/>
      <w:szCs w:val="20"/>
      <w:lang w:val="de-DE" w:eastAsia="de-DE"/>
    </w:rPr>
  </w:style>
  <w:style w:type="paragraph" w:styleId="1206" w:customStyle="1">
    <w:name w:val="xl101"/>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附录1"/>
    <w:uiPriority w:val="0"/>
    <w:qFormat/>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0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0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10" w:customStyle="1">
    <w:name w:val="Char Char1 Char Char Char Char Char Char Char Char"/>
    <w:basedOn w:val="706"/>
    <w:uiPriority w:val="0"/>
    <w:qFormat/>
    <w:pPr>
      <w:jc w:val="left"/>
      <w:spacing w:after="160" w:line="240" w:lineRule="exact"/>
      <w:widowControl/>
    </w:pPr>
    <w:rPr>
      <w:rFonts w:ascii="Verdana" w:hAnsi="Verdana" w:cs="宋体"/>
      <w:sz w:val="20"/>
      <w:szCs w:val="20"/>
      <w:lang w:eastAsia="en-US"/>
    </w:rPr>
  </w:style>
  <w:style w:type="paragraph" w:styleId="1211" w:customStyle="1">
    <w:name w:val="xl111"/>
    <w:basedOn w:val="70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2" w:customStyle="1">
    <w:name w:val="列出段落31"/>
    <w:basedOn w:val="706"/>
    <w:uiPriority w:val="72"/>
    <w:qFormat/>
    <w:pPr>
      <w:ind w:firstLine="420"/>
      <w:jc w:val="left"/>
      <w:widowControl/>
    </w:pPr>
    <w:rPr>
      <w:rFonts w:ascii="Cambria" w:hAnsi="Cambria"/>
      <w:sz w:val="24"/>
    </w:rPr>
  </w:style>
  <w:style w:type="paragraph" w:styleId="1213" w:customStyle="1">
    <w:name w:val="Item Step in Table"/>
    <w:uiPriority w:val="0"/>
    <w:qFormat/>
    <w:pPr>
      <w:numPr>
        <w:ilvl w:val="0"/>
        <w:numId w:val="8"/>
      </w:numPr>
      <w:jc w:val="both"/>
      <w:spacing w:before="40" w:after="40"/>
    </w:pPr>
    <w:rPr>
      <w:rFonts w:hint="default" w:ascii="Arial" w:hAnsi="Arial" w:eastAsia="宋体" w:cs="Arial"/>
      <w:sz w:val="18"/>
      <w:szCs w:val="18"/>
      <w:lang w:val="en-US" w:eastAsia="zh-CN" w:bidi="ar-SA"/>
    </w:rPr>
  </w:style>
  <w:style w:type="paragraph" w:styleId="1214" w:customStyle="1">
    <w:name w:val="xl86"/>
    <w:basedOn w:val="70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5"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16" w:customStyle="1">
    <w:name w:val="xl100"/>
    <w:basedOn w:val="7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7" w:customStyle="1">
    <w:name w:val="Char Char Char Char Char Char Char1"/>
    <w:basedOn w:val="706"/>
    <w:uiPriority w:val="0"/>
    <w:qFormat/>
    <w:pPr>
      <w:ind w:left="432" w:hanging="432"/>
      <w:tabs>
        <w:tab w:val="left" w:pos="432" w:leader="none"/>
      </w:tabs>
    </w:pPr>
    <w:rPr>
      <w:rFonts w:ascii="Tahoma" w:hAnsi="Tahoma"/>
      <w:sz w:val="24"/>
      <w:szCs w:val="20"/>
    </w:rPr>
  </w:style>
  <w:style w:type="paragraph" w:styleId="12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19" w:customStyle="1">
    <w:name w:val="xl76"/>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0" w:customStyle="1">
    <w:name w:val="Char Char1 Char Char Char Char Char Char Char"/>
    <w:basedOn w:val="706"/>
    <w:uiPriority w:val="0"/>
    <w:qFormat/>
    <w:rPr>
      <w:rFonts w:ascii="Tahoma" w:hAnsi="Tahoma" w:cs="Tahoma"/>
      <w:sz w:val="24"/>
    </w:rPr>
  </w:style>
  <w:style w:type="paragraph" w:styleId="1221" w:customStyle="1">
    <w:name w:val="xl121"/>
    <w:basedOn w:val="70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2" w:customStyle="1">
    <w:name w:val="font13"/>
    <w:basedOn w:val="706"/>
    <w:uiPriority w:val="0"/>
    <w:qFormat/>
    <w:pPr>
      <w:jc w:val="left"/>
      <w:spacing w:before="100" w:beforeAutospacing="1" w:after="100" w:afterAutospacing="1"/>
      <w:widowControl/>
    </w:pPr>
    <w:rPr>
      <w:rFonts w:ascii="宋体" w:hAnsi="宋体" w:cs="宋体"/>
      <w:b/>
      <w:bCs/>
      <w:color w:val="000000"/>
      <w:sz w:val="28"/>
      <w:szCs w:val="28"/>
    </w:rPr>
  </w:style>
  <w:style w:type="paragraph" w:styleId="1223" w:customStyle="1">
    <w:name w:val="Char1 Char Char Char"/>
    <w:basedOn w:val="706"/>
    <w:uiPriority w:val="0"/>
    <w:qFormat/>
    <w:rPr>
      <w:rFonts w:ascii="Tahoma" w:hAnsi="Tahoma" w:cs="Tahoma"/>
      <w:sz w:val="24"/>
      <w:szCs w:val="20"/>
    </w:rPr>
  </w:style>
  <w:style w:type="paragraph" w:styleId="122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5" w:customStyle="1">
    <w:name w:val="xl112"/>
    <w:basedOn w:val="70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6" w:customStyle="1">
    <w:name w:val="xl71"/>
    <w:basedOn w:val="70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7" w:customStyle="1">
    <w:name w:val="Item List_3"/>
    <w:basedOn w:val="1228"/>
    <w:uiPriority w:val="99"/>
    <w:semiHidden/>
    <w:qFormat/>
    <w:pPr>
      <w:tabs>
        <w:tab w:val="left" w:pos="360" w:leader="none"/>
        <w:tab w:val="left" w:pos="840" w:leader="none"/>
        <w:tab w:val="left" w:pos="1134" w:leader="none"/>
      </w:tabs>
    </w:pPr>
  </w:style>
  <w:style w:type="paragraph" w:styleId="1228" w:customStyle="1">
    <w:name w:val="Item List_2"/>
    <w:basedOn w:val="1051"/>
    <w:uiPriority w:val="99"/>
    <w:qFormat/>
    <w:pPr>
      <w:ind w:left="840" w:hanging="420"/>
      <w:tabs>
        <w:tab w:val="left" w:pos="360" w:leader="none"/>
        <w:tab w:val="left" w:pos="840" w:leader="none"/>
      </w:tabs>
    </w:pPr>
  </w:style>
  <w:style w:type="paragraph" w:styleId="122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30" w:customStyle="1">
    <w:name w:val="xl114"/>
    <w:basedOn w:val="70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1" w:customStyle="1">
    <w:name w:val="xl7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Char Char Char Char"/>
    <w:basedOn w:val="962"/>
    <w:uiPriority w:val="0"/>
    <w:qFormat/>
    <w:pPr>
      <w:spacing w:line="360" w:lineRule="auto"/>
    </w:pPr>
    <w:rPr>
      <w:rFonts w:ascii="Tahoma" w:hAnsi="Tahoma"/>
      <w:sz w:val="24"/>
      <w:szCs w:val="24"/>
    </w:rPr>
  </w:style>
  <w:style w:type="paragraph" w:styleId="1233" w:customStyle="1">
    <w:name w:val="font7"/>
    <w:basedOn w:val="706"/>
    <w:uiPriority w:val="0"/>
    <w:qFormat/>
    <w:pPr>
      <w:jc w:val="left"/>
      <w:spacing w:before="100" w:beforeAutospacing="1" w:after="100" w:afterAutospacing="1"/>
      <w:widowControl/>
    </w:pPr>
    <w:rPr>
      <w:rFonts w:ascii="宋体" w:hAnsi="宋体" w:cs="宋体"/>
      <w:sz w:val="18"/>
      <w:szCs w:val="18"/>
    </w:rPr>
  </w:style>
  <w:style w:type="paragraph" w:styleId="1234" w:customStyle="1">
    <w:name w:val="p0"/>
    <w:basedOn w:val="706"/>
    <w:uiPriority w:val="99"/>
    <w:qFormat/>
    <w:pPr>
      <w:widowControl/>
    </w:pPr>
    <w:rPr>
      <w:rFonts w:cs="宋体"/>
      <w:szCs w:val="21"/>
    </w:rPr>
  </w:style>
  <w:style w:type="paragraph" w:styleId="1235" w:customStyle="1">
    <w:name w:val="Char5 Char Char Char Char Char Char2"/>
    <w:basedOn w:val="706"/>
    <w:uiPriority w:val="0"/>
    <w:qFormat/>
    <w:rPr>
      <w:rFonts w:ascii="Tahoma" w:hAnsi="Tahoma"/>
      <w:sz w:val="24"/>
      <w:szCs w:val="20"/>
    </w:rPr>
  </w:style>
  <w:style w:type="paragraph" w:styleId="1236" w:customStyle="1">
    <w:name w:val="xl92"/>
    <w:basedOn w:val="70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7" w:customStyle="1">
    <w:name w:val="默认段落字体 Para Char Char Char Char Char Char Char Char Char1 Char Char Char Char Char Char Char"/>
    <w:basedOn w:val="962"/>
    <w:uiPriority w:val="0"/>
    <w:qFormat/>
    <w:rPr>
      <w:rFonts w:ascii="Tahoma" w:hAnsi="Tahoma" w:cs="Tahoma"/>
      <w:sz w:val="24"/>
      <w:szCs w:val="24"/>
    </w:rPr>
  </w:style>
  <w:style w:type="paragraph" w:styleId="1238" w:customStyle="1">
    <w:name w:val="xl81"/>
    <w:basedOn w:val="70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样式3"/>
    <w:basedOn w:val="975"/>
    <w:uiPriority w:val="0"/>
    <w:qFormat/>
    <w:rPr>
      <w:rFonts w:cs="宋体"/>
    </w:rPr>
  </w:style>
  <w:style w:type="paragraph" w:styleId="1240" w:customStyle="1">
    <w:name w:val="font12"/>
    <w:basedOn w:val="706"/>
    <w:uiPriority w:val="0"/>
    <w:qFormat/>
    <w:pPr>
      <w:jc w:val="left"/>
      <w:spacing w:before="100" w:beforeAutospacing="1" w:after="100" w:afterAutospacing="1"/>
      <w:widowControl/>
    </w:pPr>
    <w:rPr>
      <w:rFonts w:ascii="宋体" w:hAnsi="宋体" w:cs="宋体"/>
      <w:sz w:val="18"/>
      <w:szCs w:val="18"/>
    </w:rPr>
  </w:style>
  <w:style w:type="paragraph" w:styleId="1241" w:customStyle="1">
    <w:name w:val="xl65"/>
    <w:basedOn w:val="706"/>
    <w:uiPriority w:val="0"/>
    <w:qFormat/>
    <w:pPr>
      <w:jc w:val="left"/>
      <w:spacing w:before="100" w:beforeAutospacing="1" w:after="100" w:afterAutospacing="1"/>
      <w:widowControl/>
    </w:pPr>
    <w:rPr>
      <w:rFonts w:ascii="宋体" w:hAnsi="宋体" w:cs="宋体"/>
      <w:b/>
      <w:bCs/>
      <w:color w:val="000000"/>
      <w:sz w:val="24"/>
    </w:rPr>
  </w:style>
  <w:style w:type="paragraph" w:styleId="1242" w:customStyle="1">
    <w:name w:val="font20"/>
    <w:basedOn w:val="706"/>
    <w:uiPriority w:val="0"/>
    <w:qFormat/>
    <w:pPr>
      <w:jc w:val="left"/>
      <w:spacing w:before="100" w:beforeAutospacing="1" w:after="100" w:afterAutospacing="1"/>
      <w:widowControl/>
    </w:pPr>
    <w:rPr>
      <w:rFonts w:ascii="Tahoma" w:hAnsi="Tahoma" w:cs="Tahoma"/>
      <w:b/>
      <w:bCs/>
      <w:color w:val="000000"/>
      <w:sz w:val="18"/>
      <w:szCs w:val="18"/>
    </w:rPr>
  </w:style>
  <w:style w:type="paragraph" w:styleId="124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44" w:customStyle="1">
    <w:name w:val="Char Char Char Char1"/>
    <w:basedOn w:val="962"/>
    <w:uiPriority w:val="0"/>
    <w:qFormat/>
    <w:pPr>
      <w:spacing w:line="360" w:lineRule="auto"/>
    </w:pPr>
    <w:rPr>
      <w:rFonts w:ascii="Tahoma" w:hAnsi="Tahoma" w:cs="Tahoma"/>
      <w:sz w:val="24"/>
      <w:szCs w:val="24"/>
    </w:rPr>
  </w:style>
  <w:style w:type="paragraph" w:styleId="1245" w:customStyle="1">
    <w:name w:val="Char"/>
    <w:basedOn w:val="706"/>
    <w:uiPriority w:val="0"/>
    <w:qFormat/>
    <w:rPr>
      <w:rFonts w:ascii="Tahoma" w:hAnsi="Tahoma"/>
      <w:sz w:val="24"/>
      <w:szCs w:val="20"/>
    </w:rPr>
  </w:style>
  <w:style w:type="paragraph" w:styleId="1246" w:customStyle="1">
    <w:name w:val="xl107"/>
    <w:basedOn w:val="7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7" w:customStyle="1">
    <w:name w:val="列表内容"/>
    <w:basedOn w:val="706"/>
    <w:next w:val="706"/>
    <w:uiPriority w:val="0"/>
    <w:qFormat/>
    <w:pPr>
      <w:ind w:left="840" w:hanging="420"/>
      <w:jc w:val="left"/>
      <w:widowControl/>
      <w:tabs>
        <w:tab w:val="left" w:pos="840" w:leader="none"/>
      </w:tabs>
    </w:pPr>
    <w:rPr>
      <w:sz w:val="18"/>
    </w:rPr>
  </w:style>
  <w:style w:type="paragraph" w:styleId="1248" w:customStyle="1">
    <w:name w:val="正文文本_0"/>
    <w:basedOn w:val="1249"/>
    <w:uiPriority w:val="0"/>
    <w:qFormat/>
    <w:pPr>
      <w:spacing w:line="400" w:lineRule="exact"/>
    </w:pPr>
    <w:rPr>
      <w:sz w:val="24"/>
    </w:rPr>
  </w:style>
  <w:style w:type="paragraph" w:styleId="1249" w:customStyle="1">
    <w:name w:val="正文_1"/>
    <w:next w:val="1248"/>
    <w:uiPriority w:val="0"/>
    <w:qFormat/>
    <w:pPr>
      <w:jc w:val="both"/>
      <w:widowControl w:val="off"/>
    </w:pPr>
    <w:rPr>
      <w:rFonts w:hint="default" w:ascii="Times New Roman" w:hAnsi="Times New Roman" w:eastAsia="宋体" w:cs="Times New Roman"/>
      <w:sz w:val="21"/>
      <w:lang w:val="en-US" w:eastAsia="zh-CN" w:bidi="ar-SA"/>
    </w:rPr>
  </w:style>
  <w:style w:type="paragraph" w:styleId="1250" w:customStyle="1">
    <w:name w:val="xl9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52" w:customStyle="1">
    <w:name w:val="标书内容123"/>
    <w:basedOn w:val="706"/>
    <w:uiPriority w:val="99"/>
    <w:qFormat/>
    <w:pPr>
      <w:ind w:left="432"/>
      <w:jc w:val="left"/>
      <w:spacing w:line="360" w:lineRule="auto"/>
      <w:widowControl/>
    </w:pPr>
    <w:rPr>
      <w:sz w:val="24"/>
    </w:rPr>
  </w:style>
  <w:style w:type="paragraph" w:styleId="1253" w:customStyle="1">
    <w:name w:val="font18"/>
    <w:basedOn w:val="706"/>
    <w:uiPriority w:val="0"/>
    <w:qFormat/>
    <w:pPr>
      <w:jc w:val="left"/>
      <w:spacing w:before="100" w:beforeAutospacing="1" w:after="100" w:afterAutospacing="1"/>
      <w:widowControl/>
    </w:pPr>
    <w:rPr>
      <w:rFonts w:ascii="宋体" w:hAnsi="宋体" w:cs="宋体"/>
      <w:sz w:val="18"/>
      <w:szCs w:val="18"/>
    </w:rPr>
  </w:style>
  <w:style w:type="paragraph" w:styleId="125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55" w:customStyle="1">
    <w:name w:val="xl122"/>
    <w:basedOn w:val="70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标题2"/>
    <w:basedOn w:val="93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57" w:customStyle="1">
    <w:name w:val="Char Char Char Char Char Char Char Char Char Char"/>
    <w:basedOn w:val="706"/>
    <w:uiPriority w:val="0"/>
    <w:qFormat/>
    <w:pPr>
      <w:spacing w:line="360" w:lineRule="auto"/>
    </w:pPr>
    <w:rPr>
      <w:sz w:val="24"/>
      <w:szCs w:val="20"/>
    </w:rPr>
  </w:style>
  <w:style w:type="paragraph" w:styleId="1258" w:customStyle="1">
    <w:name w:val="font11"/>
    <w:basedOn w:val="706"/>
    <w:uiPriority w:val="0"/>
    <w:qFormat/>
    <w:pPr>
      <w:jc w:val="left"/>
      <w:spacing w:before="100" w:beforeAutospacing="1" w:after="100" w:afterAutospacing="1"/>
      <w:widowControl/>
    </w:pPr>
    <w:rPr>
      <w:rFonts w:ascii="宋体" w:hAnsi="宋体" w:cs="宋体"/>
      <w:b/>
      <w:bCs/>
      <w:sz w:val="18"/>
      <w:szCs w:val="18"/>
    </w:rPr>
  </w:style>
  <w:style w:type="paragraph" w:styleId="125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261" w:customStyle="1">
    <w:name w:val="Char Char Char Char Char Char Char Char Char"/>
    <w:basedOn w:val="706"/>
    <w:uiPriority w:val="0"/>
    <w:qFormat/>
    <w:rPr>
      <w:rFonts w:ascii="Tahoma" w:hAnsi="Tahoma" w:cs="Tahoma"/>
      <w:sz w:val="24"/>
      <w:szCs w:val="20"/>
    </w:rPr>
  </w:style>
  <w:style w:type="paragraph" w:styleId="1262" w:customStyle="1">
    <w:name w:val="xl82"/>
    <w:basedOn w:val="70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xl115"/>
    <w:basedOn w:val="70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4" w:customStyle="1">
    <w:name w:val="Char1"/>
    <w:basedOn w:val="706"/>
    <w:uiPriority w:val="0"/>
    <w:qFormat/>
    <w:pPr>
      <w:ind w:left="840" w:hanging="420"/>
      <w:tabs>
        <w:tab w:val="left" w:pos="840" w:leader="none"/>
      </w:tabs>
    </w:pPr>
    <w:rPr>
      <w:sz w:val="24"/>
    </w:rPr>
  </w:style>
  <w:style w:type="paragraph" w:styleId="126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68" w:customStyle="1">
    <w:name w:val="WPSOffice手动目录 1"/>
    <w:uiPriority w:val="0"/>
    <w:qFormat/>
    <w:rPr>
      <w:rFonts w:hint="default" w:ascii="Times New Roman" w:hAnsi="Times New Roman" w:eastAsia="宋体" w:cs="Times New Roman"/>
      <w:lang w:val="en-US" w:eastAsia="zh-CN" w:bidi="ar-SA"/>
    </w:rPr>
  </w:style>
  <w:style w:type="paragraph" w:styleId="126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72" w:customStyle="1">
    <w:name w:val="xl7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Char Char"/>
    <w:basedOn w:val="706"/>
    <w:uiPriority w:val="0"/>
    <w:qFormat/>
    <w:pPr>
      <w:ind w:left="360"/>
      <w:jc w:val="left"/>
      <w:spacing w:before="100" w:beforeAutospacing="1" w:after="100" w:afterAutospacing="1" w:line="360" w:lineRule="auto"/>
      <w:widowControl/>
    </w:pPr>
    <w:rPr>
      <w:szCs w:val="20"/>
    </w:rPr>
  </w:style>
  <w:style w:type="paragraph" w:styleId="1275" w:customStyle="1">
    <w:name w:val="Char Char Char1 Char Char Char Char1"/>
    <w:basedOn w:val="706"/>
    <w:uiPriority w:val="0"/>
    <w:qFormat/>
    <w:pPr>
      <w:jc w:val="left"/>
      <w:spacing w:after="160" w:line="240" w:lineRule="exact"/>
      <w:widowControl/>
    </w:pPr>
    <w:rPr>
      <w:rFonts w:ascii="宋体" w:hAnsi="宋体"/>
      <w:b/>
      <w:sz w:val="28"/>
      <w:szCs w:val="28"/>
    </w:rPr>
  </w:style>
  <w:style w:type="paragraph" w:styleId="1276"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7" w:customStyle="1">
    <w:name w:val="xl106"/>
    <w:basedOn w:val="70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79"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0" w:customStyle="1">
    <w:name w:val="font9"/>
    <w:basedOn w:val="706"/>
    <w:uiPriority w:val="0"/>
    <w:qFormat/>
    <w:pPr>
      <w:jc w:val="left"/>
      <w:spacing w:before="100" w:beforeAutospacing="1" w:after="100" w:afterAutospacing="1"/>
      <w:widowControl/>
    </w:pPr>
    <w:rPr>
      <w:rFonts w:ascii="宋体" w:hAnsi="宋体" w:cs="宋体"/>
      <w:sz w:val="20"/>
      <w:szCs w:val="20"/>
    </w:rPr>
  </w:style>
  <w:style w:type="paragraph" w:styleId="1281" w:customStyle="1">
    <w:name w:val="xl91"/>
    <w:basedOn w:val="70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0_0_0_0"/>
    <w:basedOn w:val="706"/>
    <w:uiPriority w:val="0"/>
    <w:qFormat/>
    <w:pPr>
      <w:jc w:val="left"/>
      <w:widowControl/>
    </w:pPr>
    <w:rPr>
      <w:rFonts w:ascii="Times New Roman" w:hAnsi="Times New Roman" w:eastAsia="Times New Roman"/>
      <w:sz w:val="24"/>
      <w:szCs w:val="24"/>
    </w:rPr>
  </w:style>
  <w:style w:type="paragraph" w:styleId="128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86" w:customStyle="1">
    <w:name w:val="xl7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7" w:customStyle="1">
    <w:name w:val="文档正文"/>
    <w:basedOn w:val="706"/>
    <w:uiPriority w:val="0"/>
    <w:qFormat/>
    <w:pPr>
      <w:ind w:firstLine="567"/>
      <w:spacing w:line="480" w:lineRule="atLeast"/>
    </w:pPr>
    <w:rPr>
      <w:rFonts w:ascii="仿宋_GB2312" w:eastAsia="仿宋_GB2312"/>
      <w:b/>
      <w:bCs/>
      <w:sz w:val="28"/>
      <w:szCs w:val="20"/>
    </w:rPr>
  </w:style>
  <w:style w:type="paragraph" w:styleId="1288" w:customStyle="1">
    <w:name w:val="正文格式"/>
    <w:basedOn w:val="706"/>
    <w:uiPriority w:val="0"/>
    <w:qFormat/>
    <w:pPr>
      <w:ind w:firstLine="482"/>
      <w:spacing w:line="400" w:lineRule="exact"/>
      <w:widowControl/>
    </w:pPr>
    <w:rPr>
      <w:rFonts w:ascii="Arial" w:hAnsi="Arial" w:eastAsia="新宋体" w:cs="Arial"/>
      <w:sz w:val="24"/>
      <w:szCs w:val="20"/>
    </w:rPr>
  </w:style>
  <w:style w:type="paragraph" w:styleId="1289"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xl9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1" w:customStyle="1">
    <w:name w:val="font16"/>
    <w:basedOn w:val="706"/>
    <w:uiPriority w:val="0"/>
    <w:qFormat/>
    <w:pPr>
      <w:jc w:val="left"/>
      <w:spacing w:before="100" w:beforeAutospacing="1" w:after="100" w:afterAutospacing="1"/>
      <w:widowControl/>
    </w:pPr>
    <w:rPr>
      <w:rFonts w:ascii="宋体" w:hAnsi="宋体" w:cs="宋体"/>
      <w:color w:val="000000"/>
      <w:sz w:val="22"/>
    </w:rPr>
  </w:style>
  <w:style w:type="paragraph" w:styleId="1292" w:customStyle="1">
    <w:name w:val="xl6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94" w:customStyle="1">
    <w:name w:val="xl110"/>
    <w:basedOn w:val="70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95"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98" w:customStyle="1">
    <w:name w:val="普通 (Web)"/>
    <w:basedOn w:val="706"/>
    <w:uiPriority w:val="0"/>
    <w:qFormat/>
    <w:pPr>
      <w:jc w:val="left"/>
      <w:spacing w:before="100" w:beforeAutospacing="1" w:after="100" w:afterAutospacing="1"/>
      <w:widowControl/>
    </w:pPr>
    <w:rPr>
      <w:rFonts w:ascii="宋体" w:hAnsi="宋体" w:cs="宋体"/>
      <w:sz w:val="24"/>
    </w:rPr>
  </w:style>
  <w:style w:type="paragraph" w:styleId="1299"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0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xl8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04" w:customStyle="1">
    <w:name w:val="font6"/>
    <w:basedOn w:val="706"/>
    <w:uiPriority w:val="0"/>
    <w:qFormat/>
    <w:pPr>
      <w:jc w:val="left"/>
      <w:spacing w:before="100" w:beforeAutospacing="1" w:after="100" w:afterAutospacing="1"/>
      <w:widowControl/>
    </w:pPr>
    <w:rPr>
      <w:rFonts w:ascii="宋体" w:hAnsi="宋体" w:cs="宋体"/>
      <w:sz w:val="28"/>
      <w:szCs w:val="28"/>
      <w:u w:val="single"/>
    </w:rPr>
  </w:style>
  <w:style w:type="paragraph" w:styleId="1305" w:customStyle="1">
    <w:name w:val="xl99"/>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6" w:customStyle="1">
    <w:name w:val="font10"/>
    <w:basedOn w:val="706"/>
    <w:uiPriority w:val="0"/>
    <w:qFormat/>
    <w:pPr>
      <w:jc w:val="left"/>
      <w:spacing w:before="100" w:beforeAutospacing="1" w:after="100" w:afterAutospacing="1"/>
      <w:widowControl/>
    </w:pPr>
    <w:rPr>
      <w:rFonts w:ascii="Tahoma" w:hAnsi="Tahoma" w:cs="Tahoma"/>
      <w:b/>
      <w:bCs/>
      <w:sz w:val="18"/>
      <w:szCs w:val="18"/>
    </w:rPr>
  </w:style>
  <w:style w:type="paragraph" w:styleId="1307" w:customStyle="1">
    <w:name w:val="font17"/>
    <w:basedOn w:val="706"/>
    <w:uiPriority w:val="0"/>
    <w:qFormat/>
    <w:pPr>
      <w:jc w:val="left"/>
      <w:spacing w:before="100" w:beforeAutospacing="1" w:after="100" w:afterAutospacing="1"/>
      <w:widowControl/>
    </w:pPr>
    <w:rPr>
      <w:rFonts w:ascii="宋体" w:hAnsi="宋体" w:cs="宋体"/>
      <w:color w:val="ff0000"/>
      <w:sz w:val="22"/>
    </w:rPr>
  </w:style>
  <w:style w:type="paragraph" w:styleId="1308" w:customStyle="1">
    <w:name w:val="Char Char Char Char Char Char Char Char Char Char Char Char Char Char Char Char Char Char"/>
    <w:basedOn w:val="706"/>
    <w:uiPriority w:val="0"/>
    <w:qFormat/>
    <w:pPr>
      <w:jc w:val="center"/>
      <w:spacing w:line="480" w:lineRule="exact"/>
    </w:pPr>
    <w:rPr>
      <w:color w:val="000000"/>
      <w:sz w:val="28"/>
      <w:szCs w:val="52"/>
    </w:rPr>
  </w:style>
  <w:style w:type="paragraph" w:styleId="1309" w:customStyle="1">
    <w:name w:val="报告正文"/>
    <w:basedOn w:val="706"/>
    <w:uiPriority w:val="0"/>
    <w:qFormat/>
    <w:pPr>
      <w:ind w:firstLine="567"/>
    </w:pPr>
    <w:rPr>
      <w:rFonts w:ascii="Arial Narrow" w:hAnsi="Arial Narrow" w:eastAsia="仿宋_GB2312"/>
      <w:sz w:val="28"/>
      <w:szCs w:val="20"/>
    </w:rPr>
  </w:style>
  <w:style w:type="paragraph" w:styleId="131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11" w:customStyle="1">
    <w:name w:val="纯文本2"/>
    <w:basedOn w:val="706"/>
    <w:uiPriority w:val="0"/>
    <w:qFormat/>
    <w:rPr>
      <w:rFonts w:ascii="宋体" w:hAnsi="Courier New" w:eastAsia="楷体_GB2312"/>
      <w:sz w:val="26"/>
      <w:szCs w:val="20"/>
    </w:rPr>
  </w:style>
  <w:style w:type="paragraph" w:styleId="1312" w:customStyle="1">
    <w:name w:val="xl8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16" w:customStyle="1">
    <w:name w:val="font19"/>
    <w:basedOn w:val="706"/>
    <w:uiPriority w:val="0"/>
    <w:qFormat/>
    <w:pPr>
      <w:jc w:val="left"/>
      <w:spacing w:before="100" w:beforeAutospacing="1" w:after="100" w:afterAutospacing="1"/>
      <w:widowControl/>
    </w:pPr>
    <w:rPr>
      <w:rFonts w:ascii="宋体" w:hAnsi="宋体" w:cs="宋体"/>
      <w:sz w:val="18"/>
      <w:szCs w:val="18"/>
    </w:rPr>
  </w:style>
  <w:style w:type="paragraph" w:styleId="1317" w:customStyle="1">
    <w:name w:val="标题5"/>
    <w:basedOn w:val="94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1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19" w:customStyle="1">
    <w:name w:val="列出段落2"/>
    <w:basedOn w:val="706"/>
    <w:uiPriority w:val="99"/>
    <w:qFormat/>
    <w:pPr>
      <w:ind w:firstLine="420"/>
      <w:jc w:val="left"/>
      <w:widowControl/>
    </w:pPr>
    <w:rPr>
      <w:sz w:val="24"/>
    </w:rPr>
  </w:style>
  <w:style w:type="paragraph" w:styleId="1320" w:customStyle="1">
    <w:name w:val="xl113"/>
    <w:basedOn w:val="70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1" w:customStyle="1">
    <w:name w:val="Char5 Char Char Char Char Char Char4"/>
    <w:basedOn w:val="706"/>
    <w:uiPriority w:val="0"/>
    <w:qFormat/>
    <w:rPr>
      <w:rFonts w:ascii="Tahoma" w:hAnsi="Tahoma"/>
      <w:sz w:val="24"/>
      <w:szCs w:val="20"/>
    </w:rPr>
  </w:style>
  <w:style w:type="paragraph" w:styleId="1322" w:customStyle="1">
    <w:name w:val="reader-word-layer"/>
    <w:basedOn w:val="706"/>
    <w:uiPriority w:val="0"/>
    <w:qFormat/>
    <w:pPr>
      <w:jc w:val="left"/>
      <w:spacing w:before="100" w:beforeAutospacing="1" w:after="100" w:afterAutospacing="1"/>
      <w:widowControl/>
    </w:pPr>
    <w:rPr>
      <w:sz w:val="24"/>
    </w:rPr>
  </w:style>
  <w:style w:type="paragraph" w:styleId="1323" w:customStyle="1">
    <w:name w:val="Normal_0_1_0"/>
    <w:basedOn w:val="706"/>
    <w:uiPriority w:val="0"/>
    <w:qFormat/>
    <w:pPr>
      <w:jc w:val="left"/>
      <w:widowControl/>
    </w:pPr>
    <w:rPr>
      <w:rFonts w:ascii="Times New Roman" w:hAnsi="Times New Roman" w:eastAsia="Times New Roman"/>
      <w:sz w:val="24"/>
      <w:szCs w:val="24"/>
    </w:rPr>
  </w:style>
  <w:style w:type="paragraph" w:styleId="1324" w:customStyle="1">
    <w:name w:val="标题6"/>
    <w:basedOn w:val="942"/>
    <w:uiPriority w:val="0"/>
    <w:qFormat/>
    <w:pPr>
      <w:numPr>
        <w:ilvl w:val="0"/>
        <w:numId w:val="0"/>
      </w:numPr>
      <w:keepLines w:val="0"/>
      <w:keepNext w:val="0"/>
      <w:spacing w:before="0" w:after="0" w:line="360" w:lineRule="auto"/>
    </w:pPr>
    <w:rPr>
      <w:rFonts w:eastAsia="仿宋_GB2312"/>
      <w:b w:val="0"/>
      <w:sz w:val="30"/>
    </w:rPr>
  </w:style>
  <w:style w:type="paragraph" w:styleId="1325" w:customStyle="1">
    <w:name w:val="正文文本_0_0"/>
    <w:basedOn w:val="1326"/>
    <w:uiPriority w:val="0"/>
    <w:qFormat/>
    <w:pPr>
      <w:spacing w:line="400" w:lineRule="exact"/>
    </w:pPr>
    <w:rPr>
      <w:sz w:val="24"/>
    </w:rPr>
  </w:style>
  <w:style w:type="paragraph" w:styleId="1326" w:customStyle="1">
    <w:name w:val="正文_2"/>
    <w:next w:val="1325"/>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28" w:customStyle="1">
    <w:name w:val="xl73"/>
    <w:basedOn w:val="70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29" w:customStyle="1">
    <w:name w:val="font0"/>
    <w:basedOn w:val="706"/>
    <w:uiPriority w:val="0"/>
    <w:qFormat/>
    <w:pPr>
      <w:jc w:val="left"/>
      <w:spacing w:before="100" w:beforeAutospacing="1" w:after="100" w:afterAutospacing="1"/>
      <w:widowControl/>
    </w:pPr>
    <w:rPr>
      <w:rFonts w:ascii="宋体" w:hAnsi="宋体" w:cs="宋体"/>
      <w:color w:val="000000"/>
      <w:sz w:val="22"/>
    </w:rPr>
  </w:style>
  <w:style w:type="paragraph" w:styleId="1330" w:customStyle="1">
    <w:name w:val="Char3"/>
    <w:basedOn w:val="962"/>
    <w:uiPriority w:val="0"/>
    <w:qFormat/>
    <w:pPr>
      <w:spacing w:line="360" w:lineRule="auto"/>
    </w:pPr>
    <w:rPr>
      <w:rFonts w:ascii="Tahoma" w:hAnsi="Tahoma" w:cs="Tahoma"/>
      <w:sz w:val="24"/>
      <w:szCs w:val="24"/>
    </w:rPr>
  </w:style>
  <w:style w:type="paragraph" w:styleId="1331" w:customStyle="1">
    <w:name w:val="xl7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2"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36" w:customStyle="1">
    <w:name w:val="Char21"/>
    <w:basedOn w:val="706"/>
    <w:uiPriority w:val="0"/>
    <w:qFormat/>
    <w:pPr>
      <w:tabs>
        <w:tab w:val="left" w:pos="360" w:leader="none"/>
      </w:tabs>
    </w:pPr>
    <w:rPr>
      <w:sz w:val="24"/>
    </w:rPr>
  </w:style>
  <w:style w:type="paragraph" w:styleId="133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39" w:customStyle="1">
    <w:name w:val="标题9"/>
    <w:basedOn w:val="945"/>
    <w:uiPriority w:val="0"/>
    <w:qFormat/>
    <w:pPr>
      <w:numPr>
        <w:ilvl w:val="0"/>
        <w:numId w:val="0"/>
      </w:numPr>
      <w:keepLines w:val="0"/>
      <w:keepNext w:val="0"/>
      <w:spacing w:before="0" w:after="0" w:line="360" w:lineRule="auto"/>
    </w:pPr>
    <w:rPr>
      <w:rFonts w:eastAsia="仿宋_GB2312"/>
      <w:sz w:val="30"/>
    </w:rPr>
  </w:style>
  <w:style w:type="paragraph" w:styleId="1340"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4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42" w:customStyle="1">
    <w:name w:val="xl87"/>
    <w:basedOn w:val="70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3"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44" w:customStyle="1">
    <w:name w:val="Char2"/>
    <w:basedOn w:val="706"/>
    <w:uiPriority w:val="0"/>
    <w:qFormat/>
    <w:rPr>
      <w:rFonts w:ascii="仿宋_GB2312" w:eastAsia="仿宋_GB2312"/>
      <w:b/>
      <w:sz w:val="32"/>
      <w:szCs w:val="32"/>
    </w:rPr>
  </w:style>
  <w:style w:type="paragraph" w:styleId="134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46" w:customStyle="1">
    <w:name w:val="xl116"/>
    <w:basedOn w:val="70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7"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48" w:customStyle="1">
    <w:name w:val="xl83"/>
    <w:basedOn w:val="70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5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52" w:customStyle="1">
    <w:name w:val="xl6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5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7" w:customStyle="1">
    <w:name w:val="正文1"/>
    <w:basedOn w:val="706"/>
    <w:next w:val="706"/>
    <w:uiPriority w:val="0"/>
    <w:qFormat/>
    <w:pPr>
      <w:ind w:left="420"/>
      <w:spacing w:line="300" w:lineRule="auto"/>
      <w:widowControl/>
    </w:pPr>
  </w:style>
  <w:style w:type="character" w:styleId="1358" w:customStyle="1">
    <w:name w:val="fontstyle01"/>
    <w:basedOn w:val="716"/>
    <w:uiPriority w:val="0"/>
    <w:qFormat/>
    <w:rPr>
      <w:rFonts w:ascii="华文仿宋" w:hAnsi="华文仿宋" w:eastAsia="华文仿宋" w:cs="华文仿宋"/>
      <w:color w:val="000000"/>
      <w:sz w:val="16"/>
      <w:szCs w:val="16"/>
    </w:rPr>
  </w:style>
  <w:style w:type="character" w:styleId="1359" w:customStyle="1">
    <w:name w:val="批注框文本 Char1"/>
    <w:basedOn w:val="716"/>
    <w:link w:val="730"/>
    <w:uiPriority w:val="99"/>
    <w:semiHidden/>
    <w:qFormat/>
    <w:rPr>
      <w:rFonts w:ascii="Calibri" w:hAnsi="Calibri"/>
      <w:sz w:val="18"/>
      <w:szCs w:val="18"/>
    </w:rPr>
  </w:style>
  <w:style w:type="character" w:styleId="1360" w:customStyle="1">
    <w:name w:val="批注文字 Char"/>
    <w:basedOn w:val="716"/>
    <w:link w:val="721"/>
    <w:uiPriority w:val="99"/>
    <w:semiHidden/>
    <w:qFormat/>
    <w:rPr>
      <w:rFonts w:ascii="Calibri" w:hAnsi="Calibri"/>
      <w:sz w:val="21"/>
      <w:szCs w:val="22"/>
    </w:rPr>
  </w:style>
  <w:style w:type="character" w:styleId="1361" w:customStyle="1">
    <w:name w:val="批注主题 Char1"/>
    <w:basedOn w:val="1360"/>
    <w:link w:val="743"/>
    <w:uiPriority w:val="99"/>
    <w:semiHidden/>
    <w:qFormat/>
    <w:rPr>
      <w:rFonts w:ascii="Calibri" w:hAnsi="Calibri"/>
      <w:b/>
      <w:bCs/>
      <w:sz w:val="21"/>
      <w:szCs w:val="22"/>
    </w:rPr>
  </w:style>
  <w:style w:type="paragraph" w:styleId="136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63" w:customStyle="1">
    <w:name w:val="表格正文"/>
    <w:basedOn w:val="1279"/>
    <w:uiPriority w:val="0"/>
    <w:qFormat/>
    <w:pPr>
      <w:jc w:val="left"/>
    </w:pPr>
    <w:rPr>
      <w:rFonts w:ascii="宋体" w:hAnsi="宋体" w:eastAsia="宋体"/>
      <w:sz w:val="24"/>
      <w:szCs w:val="24"/>
    </w:rPr>
  </w:style>
  <w:style w:type="paragraph" w:styleId="1364" w:customStyle="1">
    <w:name w:val="正文2"/>
    <w:basedOn w:val="706"/>
    <w:uiPriority w:val="0"/>
    <w:qFormat/>
    <w:pPr>
      <w:ind w:firstLine="420"/>
    </w:pPr>
    <w:rPr>
      <w:rFonts w:ascii="Times New Roman" w:hAnsi="Times New Roman"/>
      <w:sz w:val="28"/>
      <w:szCs w:val="24"/>
    </w:rPr>
  </w:style>
  <w:style w:type="paragraph" w:styleId="1365" w:customStyle="1">
    <w:name w:val="Table Paragraph"/>
    <w:basedOn w:val="706"/>
    <w:uiPriority w:val="1"/>
    <w:qFormat/>
  </w:style>
  <w:style w:type="paragraph" w:styleId="1366" w:customStyle="1">
    <w:name w:val="Body Text First Indent 21"/>
    <w:basedOn w:val="706"/>
    <w:uiPriority w:val="0"/>
    <w:qFormat/>
    <w:pPr>
      <w:ind w:left="200" w:firstLine="420"/>
      <w:jc w:val="both"/>
      <w:spacing w:after="120"/>
    </w:pPr>
    <w:rPr>
      <w:rFonts w:ascii="仿宋_GB2312" w:eastAsia="仿宋_GB2312" w:cs="仿宋_GB2312"/>
      <w:sz w:val="32"/>
      <w:szCs w:val="32"/>
      <w:lang w:eastAsia="zh-CN"/>
    </w:rPr>
  </w:style>
  <w:style w:type="paragraph" w:styleId="1367" w:customStyle="1">
    <w:name w:val="页脚11"/>
    <w:basedOn w:val="706"/>
    <w:uiPriority w:val="99"/>
    <w:unhideWhenUsed/>
    <w:qFormat/>
    <w:pPr>
      <w:tabs>
        <w:tab w:val="center" w:pos="7143" w:leader="none"/>
        <w:tab w:val="right" w:pos="14287" w:leader="none"/>
      </w:tabs>
    </w:pPr>
  </w:style>
  <w:style w:type="paragraph" w:styleId="1368" w:customStyle="1">
    <w:name w:val="标题 411"/>
    <w:basedOn w:val="706"/>
    <w:next w:val="706"/>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1369" w:customStyle="1">
    <w:name w:val="10"/>
    <w:link w:val="706"/>
    <w:uiPriority w:val="0"/>
    <w:qFormat/>
    <w:rPr>
      <w:rFonts w:ascii="Times New Roman" w:hAnsi="Times New Roman" w:cs="Times New Roman"/>
    </w:rPr>
  </w:style>
  <w:style w:type="character" w:styleId="1370" w:customStyle="1">
    <w:name w:val="active16"/>
    <w:basedOn w:val="716"/>
    <w:uiPriority w:val="0"/>
    <w:qFormat/>
    <w:rPr>
      <w:color w:val="ffffff"/>
      <w:shd w:val="clear" w:color="auto" w:fill="0f5bb9"/>
    </w:rPr>
  </w:style>
  <w:style w:type="character" w:styleId="1371" w:customStyle="1">
    <w:name w:val="active"/>
    <w:basedOn w:val="716"/>
    <w:uiPriority w:val="0"/>
    <w:qFormat/>
    <w:rPr>
      <w:color w:val="ffffff"/>
      <w:shd w:val="clear" w:color="auto" w:fill="0f5bb9"/>
    </w:rPr>
  </w:style>
  <w:style w:type="numbering" w:styleId="25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4</cp:revision>
  <dcterms:created xsi:type="dcterms:W3CDTF">2023-07-08T23:23:00Z</dcterms:created>
  <dcterms:modified xsi:type="dcterms:W3CDTF">2026-05-07T05:21:06Z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79CD708304A4464AAD200BB95F6D0995_13</vt:lpwstr>
  </property>
  <property fmtid="{D5CDD505-2E9C-101B-9397-08002B2CF9AE}" pid="4" name="KSOTemplateDocerSaveRecord">
    <vt:lpwstr>eyJoZGlkIjoiODU2Mjc5NTY5OThhMjU0YTdiNDY3Y2FkODJhZGZhODIiLCJ1c2VySWQiOiI0MzI2ODA5ODkifQ==</vt:lpwstr>
  </property>
</Properties>
</file>