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803"/>
        <w:spacing w:line="360" w:lineRule="auto"/>
        <w:tabs>
          <w:tab w:val="left" w:pos="5760" w:leader="none"/>
          <w:tab w:val="left" w:pos="6300" w:leader="none"/>
        </w:tabs>
        <w:rPr>
          <w:rFonts w:hint="eastAsia" w:ascii="仿宋" w:hAnsi="仿宋" w:eastAsia="仿宋" w:cs="仿宋"/>
          <w:b/>
          <w:bCs/>
          <w:sz w:val="40"/>
          <w:szCs w:val="40"/>
          <w:highlight w:val="none"/>
        </w:rPr>
      </w:pPr>
      <w:r>
        <w:rPr>
          <w:rFonts w:hint="eastAsia" w:ascii="仿宋" w:hAnsi="仿宋" w:eastAsia="仿宋" w:cs="仿宋"/>
          <w:b/>
          <w:bCs/>
          <w:sz w:val="40"/>
          <w:szCs w:val="40"/>
          <w:highlight w:val="none"/>
        </w:rPr>
      </w:r>
      <w:r/>
    </w:p>
    <w:p>
      <w:pPr>
        <w:jc w:val="both"/>
        <w:spacing w:line="880" w:lineRule="exact"/>
        <w:rPr>
          <w:rFonts w:hint="eastAsia" w:ascii="仿宋" w:hAnsi="仿宋" w:eastAsia="仿宋" w:cs="仿宋"/>
          <w:b/>
          <w:sz w:val="72"/>
          <w:szCs w:val="72"/>
          <w:highlight w:val="none"/>
        </w:rPr>
      </w:pPr>
      <w:r>
        <w:rPr>
          <w:rFonts w:hint="eastAsia" w:ascii="仿宋" w:hAnsi="仿宋" w:eastAsia="仿宋" w:cs="仿宋"/>
          <w:b/>
          <w:bCs/>
          <w:color w:val="auto"/>
          <w:sz w:val="40"/>
          <w:szCs w:val="40"/>
          <w:highlight w:val="none"/>
          <w:lang w:eastAsia="zh-CN"/>
        </w:rPr>
        <w:t xml:space="preserve">南通市生态环境监测站2026年度监测技术支撑项目</w:t>
      </w:r>
      <w:r/>
    </w:p>
    <w:p>
      <w:pPr>
        <w:ind w:firstLine="1446"/>
        <w:jc w:val="center"/>
        <w:spacing w:line="880" w:lineRule="exact"/>
        <w:rPr>
          <w:rFonts w:hint="eastAsia" w:ascii="仿宋" w:hAnsi="仿宋" w:eastAsia="仿宋" w:cs="仿宋"/>
          <w:b/>
          <w:sz w:val="72"/>
          <w:szCs w:val="72"/>
          <w:highlight w:val="none"/>
        </w:rPr>
      </w:pPr>
      <w:r>
        <w:rPr>
          <w:rFonts w:hint="eastAsia" w:ascii="仿宋" w:hAnsi="仿宋" w:eastAsia="仿宋" w:cs="仿宋"/>
          <w:b/>
          <w:sz w:val="72"/>
          <w:szCs w:val="72"/>
          <w:highlight w:val="none"/>
        </w:rPr>
      </w:r>
      <w:r/>
    </w:p>
    <w:p>
      <w:pPr>
        <w:ind w:firstLine="1446"/>
        <w:jc w:val="center"/>
        <w:spacing w:line="880" w:lineRule="exact"/>
        <w:rPr>
          <w:rFonts w:hint="eastAsia" w:ascii="仿宋" w:hAnsi="仿宋" w:eastAsia="仿宋" w:cs="仿宋"/>
          <w:b/>
          <w:sz w:val="72"/>
          <w:szCs w:val="72"/>
          <w:highlight w:val="none"/>
        </w:rPr>
      </w:pPr>
      <w:r>
        <w:rPr>
          <w:rFonts w:hint="eastAsia" w:ascii="仿宋" w:hAnsi="仿宋" w:eastAsia="仿宋" w:cs="仿宋"/>
          <w:b/>
          <w:sz w:val="72"/>
          <w:szCs w:val="72"/>
          <w:highlight w:val="none"/>
        </w:rPr>
      </w:r>
      <w:r/>
    </w:p>
    <w:p>
      <w:pPr>
        <w:ind w:firstLine="1446"/>
        <w:jc w:val="center"/>
        <w:spacing w:line="880" w:lineRule="exact"/>
        <w:rPr>
          <w:rFonts w:hint="eastAsia" w:ascii="仿宋" w:hAnsi="仿宋" w:eastAsia="仿宋" w:cs="仿宋"/>
          <w:b/>
          <w:sz w:val="72"/>
          <w:szCs w:val="72"/>
          <w:highlight w:val="none"/>
        </w:rPr>
      </w:pPr>
      <w:r>
        <w:rPr>
          <w:rFonts w:hint="eastAsia" w:ascii="仿宋" w:hAnsi="仿宋" w:eastAsia="仿宋" w:cs="仿宋"/>
          <w:b/>
          <w:sz w:val="72"/>
          <w:szCs w:val="72"/>
          <w:highlight w:val="none"/>
        </w:rPr>
        <w:t xml:space="preserve">政府采购</w:t>
      </w:r>
      <w:r/>
    </w:p>
    <w:p>
      <w:pPr>
        <w:ind w:firstLine="1446"/>
        <w:jc w:val="center"/>
        <w:spacing w:line="880" w:lineRule="exact"/>
        <w:rPr>
          <w:rFonts w:hint="eastAsia" w:ascii="仿宋" w:hAnsi="仿宋" w:eastAsia="仿宋" w:cs="仿宋"/>
          <w:b/>
          <w:sz w:val="44"/>
          <w:szCs w:val="44"/>
          <w:highlight w:val="none"/>
        </w:rPr>
      </w:pPr>
      <w:r>
        <w:rPr>
          <w:rFonts w:hint="eastAsia" w:ascii="仿宋" w:hAnsi="仿宋" w:eastAsia="仿宋" w:cs="仿宋"/>
          <w:b/>
          <w:sz w:val="72"/>
          <w:szCs w:val="72"/>
          <w:highlight w:val="none"/>
        </w:rPr>
        <w:t xml:space="preserve">竞争性磋商文件</w:t>
      </w:r>
      <w:r/>
    </w:p>
    <w:p>
      <w:pPr>
        <w:ind w:firstLine="643"/>
        <w:jc w:val="center"/>
        <w:spacing w:line="72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ind w:firstLine="643"/>
        <w:jc w:val="center"/>
        <w:spacing w:line="720" w:lineRule="auto"/>
        <w:rPr>
          <w:rFonts w:hint="eastAsia" w:ascii="仿宋" w:hAnsi="仿宋" w:eastAsia="仿宋" w:cs="仿宋"/>
          <w:b/>
          <w:sz w:val="32"/>
          <w:szCs w:val="32"/>
          <w:highlight w:val="none"/>
          <w:lang w:eastAsia="zh-CN"/>
        </w:rPr>
      </w:pPr>
      <w:r>
        <w:rPr>
          <w:rFonts w:hint="eastAsia" w:ascii="仿宋" w:hAnsi="仿宋" w:eastAsia="仿宋" w:cs="仿宋"/>
          <w:b/>
          <w:sz w:val="32"/>
          <w:szCs w:val="32"/>
          <w:highlight w:val="none"/>
        </w:rPr>
        <w:t xml:space="preserve">项目编号：JSZC-320600-CJZD-C2026-0015</w:t>
      </w:r>
      <w:r>
        <w:rPr>
          <w:rFonts w:hint="eastAsia" w:ascii="仿宋" w:hAnsi="仿宋" w:eastAsia="仿宋" w:cs="仿宋"/>
          <w:b/>
          <w:sz w:val="32"/>
          <w:szCs w:val="32"/>
          <w:highlight w:val="none"/>
          <w:lang w:val="en-US" w:eastAsia="zh-CN"/>
        </w:rPr>
        <w:t xml:space="preserve"> </w:t>
      </w:r>
      <w:r/>
    </w:p>
    <w:p>
      <w:pPr>
        <w:ind w:firstLine="723"/>
        <w:spacing w:line="360" w:lineRule="auto"/>
        <w:rPr>
          <w:rFonts w:hint="eastAsia" w:ascii="仿宋" w:hAnsi="仿宋" w:eastAsia="仿宋" w:cs="仿宋"/>
          <w:b/>
          <w:sz w:val="36"/>
          <w:highlight w:val="none"/>
        </w:rPr>
      </w:pPr>
      <w:r>
        <w:rPr>
          <w:rFonts w:hint="eastAsia" w:ascii="仿宋" w:hAnsi="仿宋" w:eastAsia="仿宋" w:cs="仿宋"/>
          <w:b/>
          <w:sz w:val="36"/>
          <w:highlight w:val="none"/>
        </w:rPr>
      </w:r>
      <w:r/>
    </w:p>
    <w:p>
      <w:pPr>
        <w:ind w:firstLine="723"/>
        <w:jc w:val="center"/>
        <w:spacing w:line="360" w:lineRule="auto"/>
        <w:rPr>
          <w:rFonts w:hint="eastAsia" w:ascii="仿宋" w:hAnsi="仿宋" w:eastAsia="仿宋" w:cs="仿宋"/>
          <w:b/>
          <w:sz w:val="36"/>
          <w:highlight w:val="none"/>
        </w:rPr>
      </w:pPr>
      <w:r>
        <w:rPr>
          <w:rFonts w:hint="eastAsia" w:ascii="仿宋" w:hAnsi="仿宋" w:eastAsia="仿宋" w:cs="仿宋"/>
          <w:b/>
          <w:sz w:val="36"/>
          <w:highlight w:val="none"/>
        </w:rPr>
      </w:r>
      <w:r/>
    </w:p>
    <w:p>
      <w:pPr>
        <w:ind w:firstLine="643"/>
        <w:jc w:val="center"/>
        <w:spacing w:line="360" w:lineRule="auto"/>
        <w:rPr>
          <w:rFonts w:hint="eastAsia" w:ascii="仿宋" w:hAnsi="仿宋" w:eastAsia="仿宋" w:cs="仿宋"/>
          <w:b/>
          <w:sz w:val="32"/>
          <w:szCs w:val="32"/>
          <w:highlight w:val="none"/>
          <w:lang w:eastAsia="zh-CN"/>
        </w:rPr>
      </w:pPr>
      <w:r>
        <w:rPr>
          <w:rFonts w:hint="eastAsia" w:ascii="仿宋" w:hAnsi="仿宋" w:eastAsia="仿宋" w:cs="仿宋"/>
          <w:b/>
          <w:sz w:val="32"/>
          <w:szCs w:val="32"/>
          <w:highlight w:val="none"/>
        </w:rPr>
        <w:t xml:space="preserve">采购单位：</w:t>
      </w:r>
      <w:r>
        <w:rPr>
          <w:rFonts w:hint="eastAsia" w:ascii="仿宋" w:hAnsi="仿宋" w:eastAsia="仿宋" w:cs="仿宋"/>
          <w:b/>
          <w:sz w:val="32"/>
          <w:szCs w:val="32"/>
          <w:highlight w:val="none"/>
          <w:lang w:eastAsia="zh-CN"/>
        </w:rPr>
        <w:t xml:space="preserve">南通市生态环境监测站</w:t>
      </w:r>
      <w:r/>
    </w:p>
    <w:p>
      <w:pPr>
        <w:ind w:firstLine="643"/>
        <w:jc w:val="center"/>
        <w:spacing w:line="360" w:lineRule="auto"/>
        <w:rPr>
          <w:rFonts w:hint="eastAsia" w:ascii="仿宋" w:hAnsi="仿宋" w:eastAsia="仿宋" w:cs="仿宋"/>
          <w:b/>
          <w:sz w:val="32"/>
          <w:szCs w:val="32"/>
          <w:highlight w:val="none"/>
          <w:lang w:eastAsia="zh-CN"/>
        </w:rPr>
      </w:pPr>
      <w:r>
        <w:rPr>
          <w:rFonts w:hint="eastAsia" w:ascii="仿宋" w:hAnsi="仿宋" w:eastAsia="仿宋" w:cs="仿宋"/>
          <w:b/>
          <w:sz w:val="32"/>
          <w:szCs w:val="32"/>
          <w:highlight w:val="none"/>
        </w:rPr>
        <w:t xml:space="preserve">采购代理机构：</w:t>
      </w:r>
      <w:r>
        <w:rPr>
          <w:rFonts w:hint="eastAsia" w:ascii="仿宋" w:hAnsi="仿宋" w:eastAsia="仿宋" w:cs="仿宋"/>
          <w:b/>
          <w:sz w:val="32"/>
          <w:szCs w:val="32"/>
          <w:highlight w:val="none"/>
          <w:lang w:eastAsia="zh-CN"/>
        </w:rPr>
        <w:t xml:space="preserve">江苏澄建正达工程项目管理有限公司</w:t>
      </w:r>
      <w:r/>
    </w:p>
    <w:p>
      <w:pPr>
        <w:ind w:firstLine="643"/>
        <w:jc w:val="cente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二〇二</w:t>
      </w:r>
      <w:r>
        <w:rPr>
          <w:rFonts w:hint="eastAsia" w:ascii="仿宋" w:hAnsi="仿宋" w:eastAsia="仿宋" w:cs="仿宋"/>
          <w:b/>
          <w:sz w:val="32"/>
          <w:szCs w:val="32"/>
          <w:highlight w:val="none"/>
          <w:lang w:val="en-US" w:eastAsia="zh-CN"/>
        </w:rPr>
        <w:t xml:space="preserve">六</w:t>
      </w:r>
      <w:r>
        <w:rPr>
          <w:rFonts w:hint="eastAsia" w:ascii="仿宋" w:hAnsi="仿宋" w:eastAsia="仿宋" w:cs="仿宋"/>
          <w:b/>
          <w:sz w:val="32"/>
          <w:szCs w:val="32"/>
          <w:highlight w:val="none"/>
        </w:rPr>
        <w:t xml:space="preserve">年</w:t>
      </w:r>
      <w:r>
        <w:rPr>
          <w:rFonts w:hint="eastAsia" w:ascii="仿宋" w:hAnsi="仿宋" w:eastAsia="仿宋" w:cs="仿宋"/>
          <w:b/>
          <w:sz w:val="32"/>
          <w:szCs w:val="32"/>
          <w:highlight w:val="none"/>
          <w:lang w:val="en-US" w:eastAsia="zh-CN"/>
        </w:rPr>
        <w:t xml:space="preserve">五</w:t>
      </w:r>
      <w:r>
        <w:rPr>
          <w:rFonts w:hint="eastAsia" w:ascii="仿宋" w:hAnsi="仿宋" w:eastAsia="仿宋" w:cs="仿宋"/>
          <w:b/>
          <w:sz w:val="32"/>
          <w:szCs w:val="32"/>
          <w:highlight w:val="none"/>
        </w:rPr>
        <w:t xml:space="preserve">月</w:t>
      </w:r>
      <w:r/>
    </w:p>
    <w:p>
      <w:pPr>
        <w:pStyle w:val="874"/>
        <w:ind w:firstLine="883"/>
        <w:jc w:val="center"/>
        <w:rPr>
          <w:rFonts w:hint="eastAsia" w:ascii="仿宋" w:hAnsi="仿宋" w:eastAsia="仿宋" w:cs="仿宋"/>
          <w:b/>
          <w:sz w:val="44"/>
          <w:szCs w:val="44"/>
          <w:highlight w:val="none"/>
        </w:rPr>
      </w:pPr>
      <w:r>
        <w:rPr>
          <w:rFonts w:hint="eastAsia" w:ascii="仿宋" w:hAnsi="仿宋" w:eastAsia="仿宋" w:cs="仿宋"/>
          <w:b/>
          <w:sz w:val="44"/>
          <w:szCs w:val="44"/>
          <w:highlight w:val="none"/>
        </w:rPr>
        <w:br w:type="page" w:clear="all"/>
      </w:r>
      <w:r/>
    </w:p>
    <w:p>
      <w:pPr>
        <w:pStyle w:val="874"/>
        <w:ind w:firstLine="883"/>
        <w:jc w:val="center"/>
        <w:rPr>
          <w:rFonts w:hint="eastAsia" w:ascii="仿宋" w:hAnsi="仿宋" w:eastAsia="仿宋" w:cs="仿宋"/>
          <w:b/>
          <w:sz w:val="44"/>
          <w:szCs w:val="44"/>
          <w:highlight w:val="none"/>
        </w:rPr>
      </w:pPr>
      <w:r>
        <w:rPr>
          <w:rFonts w:hint="eastAsia" w:ascii="仿宋" w:hAnsi="仿宋" w:eastAsia="仿宋" w:cs="仿宋"/>
          <w:b/>
          <w:sz w:val="44"/>
          <w:szCs w:val="44"/>
          <w:highlight w:val="none"/>
        </w:rPr>
      </w:r>
      <w:r/>
    </w:p>
    <w:p>
      <w:pPr>
        <w:pStyle w:val="874"/>
        <w:ind w:firstLine="883"/>
        <w:jc w:val="center"/>
        <w:rPr>
          <w:rFonts w:hint="eastAsia" w:ascii="仿宋" w:hAnsi="仿宋" w:eastAsia="仿宋" w:cs="仿宋"/>
          <w:b/>
          <w:sz w:val="44"/>
          <w:szCs w:val="44"/>
          <w:highlight w:val="none"/>
        </w:rPr>
      </w:pPr>
      <w:r>
        <w:rPr>
          <w:rFonts w:hint="eastAsia" w:ascii="仿宋" w:hAnsi="仿宋" w:eastAsia="仿宋" w:cs="仿宋"/>
          <w:b/>
          <w:sz w:val="44"/>
          <w:szCs w:val="44"/>
          <w:highlight w:val="none"/>
        </w:rPr>
        <w:t xml:space="preserve">目  录</w:t>
      </w:r>
      <w:r/>
    </w:p>
    <w:p>
      <w:pPr>
        <w:pStyle w:val="874"/>
        <w:ind w:firstLine="600"/>
        <w:jc w:val="center"/>
        <w:rPr>
          <w:rFonts w:hint="eastAsia" w:ascii="仿宋" w:hAnsi="仿宋" w:eastAsia="仿宋" w:cs="仿宋"/>
          <w:sz w:val="30"/>
          <w:highlight w:val="none"/>
        </w:rPr>
      </w:pPr>
      <w:r>
        <w:rPr>
          <w:rFonts w:hint="eastAsia" w:ascii="仿宋" w:hAnsi="仿宋" w:eastAsia="仿宋" w:cs="仿宋"/>
          <w:sz w:val="30"/>
          <w:highlight w:val="none"/>
        </w:rPr>
      </w:r>
      <w:r/>
    </w:p>
    <w:p>
      <w:pPr>
        <w:pStyle w:val="883"/>
        <w:ind w:firstLine="640"/>
        <w:spacing w:line="1200" w:lineRule="exact"/>
        <w:tabs>
          <w:tab w:val="right" w:pos="9528" w:leader="dot"/>
        </w:tabs>
        <w:rPr>
          <w:rFonts w:hint="eastAsia" w:ascii="仿宋" w:hAnsi="仿宋" w:eastAsia="仿宋" w:cs="仿宋"/>
          <w:sz w:val="32"/>
          <w:szCs w:val="32"/>
          <w:highlight w:val="none"/>
        </w:rPr>
      </w:pPr>
      <w:r>
        <w:rPr>
          <w:rFonts w:hint="eastAsia" w:ascii="仿宋" w:hAnsi="仿宋" w:eastAsia="仿宋" w:cs="仿宋"/>
          <w:sz w:val="32"/>
          <w:szCs w:val="32"/>
          <w:highlight w:val="none"/>
        </w:rPr>
        <w:fldChar w:fldCharType="begin"/>
      </w:r>
      <w:r>
        <w:rPr>
          <w:rFonts w:hint="eastAsia" w:ascii="仿宋" w:hAnsi="仿宋" w:eastAsia="仿宋" w:cs="仿宋"/>
          <w:sz w:val="32"/>
          <w:szCs w:val="32"/>
          <w:highlight w:val="none"/>
        </w:rPr>
        <w:instrText xml:space="preserve"> TOC \o "1-1"</w:instrText>
      </w:r>
      <w:r>
        <w:rPr>
          <w:rFonts w:hint="eastAsia" w:ascii="仿宋" w:hAnsi="仿宋" w:eastAsia="仿宋" w:cs="仿宋"/>
          <w:sz w:val="32"/>
          <w:szCs w:val="32"/>
          <w:highlight w:val="none"/>
        </w:rPr>
        <w:fldChar w:fldCharType="separate"/>
      </w:r>
      <w:r>
        <w:rPr>
          <w:rFonts w:hint="eastAsia" w:ascii="仿宋" w:hAnsi="仿宋" w:eastAsia="仿宋" w:cs="仿宋"/>
          <w:sz w:val="32"/>
          <w:szCs w:val="32"/>
          <w:highlight w:val="none"/>
        </w:rPr>
        <w:t xml:space="preserve">第一章 磋商邀请</w:t>
      </w:r>
      <w:r/>
    </w:p>
    <w:p>
      <w:pPr>
        <w:pStyle w:val="883"/>
        <w:ind w:firstLine="640"/>
        <w:spacing w:line="1200" w:lineRule="exact"/>
        <w:tabs>
          <w:tab w:val="right" w:pos="9528" w:leader="dot"/>
        </w:tabs>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第二章 供应商须知</w:t>
      </w:r>
      <w:r/>
    </w:p>
    <w:p>
      <w:pPr>
        <w:pStyle w:val="883"/>
        <w:ind w:firstLine="640"/>
        <w:spacing w:line="1200" w:lineRule="exact"/>
        <w:tabs>
          <w:tab w:val="right" w:pos="9528" w:leader="dot"/>
        </w:tabs>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第三章 项目需求</w:t>
      </w:r>
      <w:r/>
    </w:p>
    <w:p>
      <w:pPr>
        <w:pStyle w:val="883"/>
        <w:ind w:firstLine="640"/>
        <w:spacing w:line="1200" w:lineRule="exact"/>
        <w:tabs>
          <w:tab w:val="right" w:pos="9528" w:leader="dot"/>
        </w:tabs>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第四章 评审方法和程序</w:t>
      </w:r>
      <w:r/>
    </w:p>
    <w:p>
      <w:pPr>
        <w:pStyle w:val="883"/>
        <w:ind w:firstLine="640"/>
        <w:spacing w:line="1200" w:lineRule="exact"/>
        <w:tabs>
          <w:tab w:val="right" w:pos="9528" w:leader="dot"/>
        </w:tabs>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第五章 合同及履约保证</w:t>
      </w:r>
      <w:r/>
    </w:p>
    <w:p>
      <w:pPr>
        <w:pStyle w:val="883"/>
        <w:ind w:firstLine="640"/>
        <w:spacing w:line="1200" w:lineRule="exact"/>
        <w:tabs>
          <w:tab w:val="right" w:pos="9528" w:leader="dot"/>
        </w:tabs>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第六章 响应文件组成及格式</w:t>
      </w:r>
      <w:r>
        <w:rPr>
          <w:rFonts w:hint="eastAsia" w:ascii="仿宋" w:hAnsi="仿宋" w:eastAsia="仿宋" w:cs="仿宋"/>
          <w:sz w:val="32"/>
          <w:szCs w:val="32"/>
          <w:highlight w:val="none"/>
        </w:rPr>
        <w:fldChar w:fldCharType="end"/>
      </w:r>
      <w:r/>
    </w:p>
    <w:p>
      <w:pPr>
        <w:ind w:firstLine="723"/>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firstLine="723"/>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firstLine="723"/>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firstLine="420"/>
        <w:spacing w:line="360" w:lineRule="auto"/>
        <w:rPr>
          <w:rFonts w:hint="eastAsia" w:ascii="仿宋" w:hAnsi="仿宋" w:eastAsia="仿宋" w:cs="仿宋"/>
          <w:b/>
          <w:sz w:val="28"/>
          <w:szCs w:val="28"/>
          <w:highlight w:val="none"/>
        </w:rPr>
      </w:pPr>
      <w:r>
        <w:rPr>
          <w:rFonts w:hint="eastAsia" w:ascii="仿宋" w:hAnsi="仿宋" w:eastAsia="仿宋" w:cs="仿宋"/>
          <w:szCs w:val="44"/>
          <w:highlight w:val="none"/>
        </w:rPr>
        <w:br w:type="page" w:clear="all"/>
      </w:r>
      <w:r>
        <w:rPr>
          <w:rFonts w:hint="eastAsia" w:ascii="仿宋" w:hAnsi="仿宋" w:eastAsia="仿宋" w:cs="仿宋"/>
          <w:b/>
          <w:sz w:val="28"/>
          <w:szCs w:val="28"/>
          <w:highlight w:val="none"/>
        </w:rPr>
        <w:t xml:space="preserve">尊敬的供应商：</w:t>
      </w:r>
      <w:r/>
    </w:p>
    <w:p>
      <w:pPr>
        <w:pStyle w:val="869"/>
        <w:ind w:firstLine="442"/>
        <w:jc w:val="left"/>
        <w:keepLines w:val="0"/>
        <w:keepNext w:val="0"/>
        <w:spacing w:before="0"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欢迎参加本采购项目的竞争性磋商。为了保证本次磋商项目顺利进行，请在制作响应文件之前，仔细阅读本竞争性磋商文件的各项条款，并按要求制作和递交响应文件。谢谢合作！</w:t>
      </w:r>
      <w:r/>
    </w:p>
    <w:p>
      <w:pPr>
        <w:pStyle w:val="869"/>
        <w:ind w:firstLine="883"/>
        <w:jc w:val="center"/>
        <w:keepLines w:val="0"/>
        <w:keepNext w:val="0"/>
        <w:spacing w:before="0" w:after="0" w:line="800" w:lineRule="exact"/>
        <w:rPr>
          <w:rFonts w:hint="eastAsia" w:ascii="仿宋" w:hAnsi="仿宋" w:eastAsia="仿宋" w:cs="仿宋"/>
          <w:sz w:val="28"/>
          <w:szCs w:val="28"/>
          <w:highlight w:val="none"/>
        </w:rPr>
      </w:pPr>
      <w:r>
        <w:rPr>
          <w:rFonts w:hint="eastAsia" w:ascii="仿宋" w:hAnsi="仿宋" w:eastAsia="仿宋" w:cs="仿宋"/>
          <w:szCs w:val="44"/>
          <w:highlight w:val="none"/>
        </w:rPr>
        <w:t xml:space="preserve">第一章  磋商邀请</w:t>
      </w:r>
      <w:r/>
    </w:p>
    <w:p>
      <w:pPr>
        <w:ind w:firstLine="42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spacing w:line="360" w:lineRule="auto"/>
        <w:rPr>
          <w:rFonts w:hint="eastAsia" w:ascii="仿宋" w:hAnsi="仿宋" w:eastAsia="仿宋" w:cs="仿宋"/>
          <w:sz w:val="28"/>
          <w:szCs w:val="28"/>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8"/>
          <w:szCs w:val="28"/>
          <w:highlight w:val="none"/>
        </w:rPr>
        <w:t xml:space="preserve">项目概况</w:t>
      </w:r>
      <w:r/>
    </w:p>
    <w:p>
      <w:pPr>
        <w:ind w:firstLine="480"/>
        <w:spacing w:line="360" w:lineRule="auto"/>
        <w:rPr>
          <w:rFonts w:hint="eastAsia" w:ascii="仿宋" w:hAnsi="仿宋" w:eastAsia="仿宋" w:cs="仿宋"/>
          <w:sz w:val="28"/>
          <w:szCs w:val="28"/>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8"/>
          <w:szCs w:val="28"/>
          <w:highlight w:val="none"/>
          <w:u w:val="single"/>
          <w:lang w:eastAsia="zh-CN"/>
        </w:rPr>
        <w:t xml:space="preserve">南通市生态环境监测站2026年度监测技术支撑项目</w:t>
      </w:r>
      <w:r>
        <w:rPr>
          <w:rFonts w:hint="eastAsia" w:ascii="仿宋" w:hAnsi="仿宋" w:eastAsia="仿宋" w:cs="仿宋"/>
          <w:sz w:val="28"/>
          <w:szCs w:val="28"/>
          <w:highlight w:val="none"/>
        </w:rPr>
        <w:t xml:space="preserve">的潜在供应商应在</w:t>
      </w:r>
      <w:r>
        <w:rPr>
          <w:rFonts w:hint="eastAsia" w:ascii="仿宋" w:hAnsi="仿宋" w:eastAsia="仿宋" w:cs="仿宋"/>
          <w:sz w:val="28"/>
          <w:szCs w:val="28"/>
          <w:highlight w:val="none"/>
          <w:u w:val="single"/>
        </w:rPr>
        <w:t xml:space="preserve">苏采云系统内免费下载磋商文</w:t>
      </w:r>
      <w:r>
        <w:rPr>
          <w:rFonts w:hint="eastAsia" w:ascii="仿宋" w:hAnsi="仿宋" w:eastAsia="仿宋" w:cs="仿宋"/>
          <w:sz w:val="28"/>
          <w:szCs w:val="28"/>
          <w:highlight w:val="none"/>
          <w:u w:val="single"/>
          <w:shd w:val="clear" w:color="auto" w:fill="ffffff" w:themeFill="background1"/>
        </w:rPr>
        <w:t xml:space="preserve">件</w:t>
      </w:r>
      <w:r>
        <w:rPr>
          <w:rFonts w:hint="eastAsia" w:ascii="仿宋" w:hAnsi="仿宋" w:eastAsia="仿宋" w:cs="仿宋"/>
          <w:sz w:val="28"/>
          <w:szCs w:val="28"/>
          <w:highlight w:val="none"/>
          <w:shd w:val="clear" w:color="auto" w:fill="ffffff" w:themeFill="background1"/>
        </w:rPr>
        <w:t xml:space="preserve">，并于</w:t>
      </w:r>
      <w:r>
        <w:rPr>
          <w:rFonts w:hint="eastAsia" w:ascii="仿宋" w:hAnsi="仿宋" w:eastAsia="仿宋" w:cs="仿宋"/>
          <w:sz w:val="28"/>
          <w:szCs w:val="28"/>
          <w:highlight w:val="none"/>
          <w:u w:val="single"/>
          <w:shd w:val="clear" w:color="auto" w:fill="ffffff" w:themeFill="background1"/>
        </w:rPr>
        <w:t xml:space="preserve">202</w:t>
      </w:r>
      <w:r>
        <w:rPr>
          <w:rFonts w:hint="eastAsia" w:ascii="仿宋" w:hAnsi="仿宋" w:eastAsia="仿宋" w:cs="仿宋"/>
          <w:sz w:val="28"/>
          <w:szCs w:val="28"/>
          <w:highlight w:val="none"/>
          <w:u w:val="single"/>
          <w:shd w:val="clear" w:color="auto" w:fill="ffffff" w:themeFill="background1"/>
          <w:lang w:val="en-US" w:eastAsia="zh-CN"/>
        </w:rPr>
        <w:t xml:space="preserve">6</w:t>
      </w:r>
      <w:r>
        <w:rPr>
          <w:rFonts w:hint="eastAsia" w:ascii="仿宋" w:hAnsi="仿宋" w:eastAsia="仿宋" w:cs="仿宋"/>
          <w:sz w:val="28"/>
          <w:szCs w:val="28"/>
          <w:highlight w:val="none"/>
          <w:u w:val="single"/>
          <w:shd w:val="clear" w:color="auto" w:fill="ffffff" w:themeFill="background1"/>
        </w:rPr>
        <w:t xml:space="preserve">年</w:t>
      </w:r>
      <w:r>
        <w:rPr>
          <w:rFonts w:hint="eastAsia" w:ascii="仿宋" w:hAnsi="仿宋" w:eastAsia="仿宋" w:cs="仿宋"/>
          <w:sz w:val="28"/>
          <w:szCs w:val="28"/>
          <w:highlight w:val="none"/>
          <w:u w:val="single"/>
          <w:shd w:val="clear" w:color="auto" w:fill="ffffff" w:themeFill="background1"/>
        </w:rPr>
        <w:t xml:space="preserve"> </w:t>
      </w:r>
      <w:r>
        <w:rPr>
          <w:rFonts w:hint="eastAsia" w:ascii="仿宋" w:hAnsi="仿宋" w:eastAsia="仿宋" w:cs="仿宋"/>
          <w:sz w:val="28"/>
          <w:szCs w:val="28"/>
          <w:highlight w:val="none"/>
          <w:u w:val="single"/>
          <w:shd w:val="clear" w:color="auto" w:fill="ffffff" w:themeFill="background1"/>
          <w:lang w:val="en-US" w:eastAsia="zh-CN"/>
        </w:rPr>
        <w:t xml:space="preserve">05 </w:t>
      </w:r>
      <w:r>
        <w:rPr>
          <w:rFonts w:hint="eastAsia" w:ascii="仿宋" w:hAnsi="仿宋" w:eastAsia="仿宋" w:cs="仿宋"/>
          <w:sz w:val="28"/>
          <w:szCs w:val="28"/>
          <w:highlight w:val="none"/>
          <w:u w:val="single"/>
          <w:shd w:val="clear" w:color="auto" w:fill="ffffff" w:themeFill="background1"/>
        </w:rPr>
        <w:t xml:space="preserve">月 </w:t>
      </w:r>
      <w:r>
        <w:rPr>
          <w:rFonts w:hint="eastAsia" w:ascii="仿宋" w:hAnsi="仿宋" w:eastAsia="仿宋" w:cs="仿宋"/>
          <w:sz w:val="28"/>
          <w:szCs w:val="28"/>
          <w:highlight w:val="none"/>
          <w:u w:val="single"/>
          <w:shd w:val="clear" w:color="auto" w:fill="ffffff" w:themeFill="background1"/>
          <w:lang w:val="en-US" w:eastAsia="zh-CN"/>
        </w:rPr>
        <w:t xml:space="preserve">22 </w:t>
      </w:r>
      <w:r>
        <w:rPr>
          <w:rFonts w:hint="eastAsia" w:ascii="仿宋" w:hAnsi="仿宋" w:eastAsia="仿宋" w:cs="仿宋"/>
          <w:sz w:val="28"/>
          <w:szCs w:val="28"/>
          <w:highlight w:val="none"/>
          <w:u w:val="single"/>
          <w:shd w:val="clear" w:color="auto" w:fill="ffffff" w:themeFill="background1"/>
        </w:rPr>
        <w:t xml:space="preserve">日</w:t>
      </w:r>
      <w:r>
        <w:rPr>
          <w:rFonts w:hint="eastAsia" w:ascii="仿宋" w:hAnsi="仿宋" w:eastAsia="仿宋" w:cs="仿宋"/>
          <w:sz w:val="28"/>
          <w:szCs w:val="28"/>
          <w:highlight w:val="none"/>
          <w:u w:val="single"/>
          <w:shd w:val="clear" w:color="auto" w:fill="ffffff" w:themeFill="background1"/>
          <w:lang w:val="en-US" w:eastAsia="zh-CN"/>
        </w:rPr>
        <w:t xml:space="preserve">09</w:t>
      </w:r>
      <w:r>
        <w:rPr>
          <w:rFonts w:hint="eastAsia" w:ascii="仿宋" w:hAnsi="仿宋" w:eastAsia="仿宋" w:cs="仿宋"/>
          <w:sz w:val="28"/>
          <w:szCs w:val="28"/>
          <w:highlight w:val="none"/>
          <w:u w:val="single"/>
          <w:shd w:val="clear" w:color="auto" w:fill="ffffff" w:themeFill="background1"/>
        </w:rPr>
        <w:t xml:space="preserve">时</w:t>
      </w:r>
      <w:r>
        <w:rPr>
          <w:rFonts w:hint="eastAsia" w:ascii="仿宋" w:hAnsi="仿宋" w:eastAsia="仿宋" w:cs="仿宋"/>
          <w:sz w:val="28"/>
          <w:szCs w:val="28"/>
          <w:highlight w:val="none"/>
          <w:u w:val="single"/>
          <w:shd w:val="clear" w:color="auto" w:fill="ffffff" w:themeFill="background1"/>
        </w:rPr>
        <w:t xml:space="preserve">30分</w:t>
      </w:r>
      <w:r>
        <w:rPr>
          <w:rFonts w:hint="eastAsia" w:ascii="仿宋" w:hAnsi="仿宋" w:eastAsia="仿宋" w:cs="仿宋"/>
          <w:bCs/>
          <w:sz w:val="28"/>
          <w:szCs w:val="28"/>
          <w:highlight w:val="none"/>
        </w:rPr>
        <w:t xml:space="preserve">（北京时间）前提交响应文件</w:t>
      </w:r>
      <w:r>
        <w:rPr>
          <w:rFonts w:hint="eastAsia" w:ascii="仿宋" w:hAnsi="仿宋" w:eastAsia="仿宋" w:cs="仿宋"/>
          <w:sz w:val="28"/>
          <w:szCs w:val="28"/>
          <w:highlight w:val="none"/>
        </w:rPr>
        <w:t xml:space="preserve">。</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江苏澄建正达工程项目管理有限公司</w:t>
      </w:r>
      <w:r>
        <w:rPr>
          <w:rFonts w:hint="eastAsia" w:ascii="仿宋" w:hAnsi="仿宋" w:eastAsia="仿宋" w:cs="仿宋"/>
          <w:sz w:val="28"/>
          <w:szCs w:val="28"/>
          <w:highlight w:val="none"/>
        </w:rPr>
        <w:t xml:space="preserve">（以下简称代理机构）受</w:t>
      </w:r>
      <w:r>
        <w:rPr>
          <w:rFonts w:hint="eastAsia" w:ascii="仿宋" w:hAnsi="仿宋" w:eastAsia="仿宋" w:cs="仿宋"/>
          <w:sz w:val="28"/>
          <w:szCs w:val="28"/>
          <w:highlight w:val="none"/>
          <w:lang w:eastAsia="zh-CN"/>
        </w:rPr>
        <w:t xml:space="preserve">南通市生态环境监测站</w:t>
      </w:r>
      <w:r>
        <w:rPr>
          <w:rFonts w:hint="eastAsia" w:ascii="仿宋" w:hAnsi="仿宋" w:eastAsia="仿宋" w:cs="仿宋"/>
          <w:sz w:val="28"/>
          <w:szCs w:val="28"/>
          <w:highlight w:val="none"/>
        </w:rPr>
        <w:t xml:space="preserve">（以下简称采购单位）的委托，对</w:t>
      </w:r>
      <w:r>
        <w:rPr>
          <w:rFonts w:hint="eastAsia" w:ascii="仿宋" w:hAnsi="仿宋" w:eastAsia="仿宋" w:cs="仿宋"/>
          <w:sz w:val="28"/>
          <w:szCs w:val="28"/>
          <w:highlight w:val="none"/>
          <w:lang w:eastAsia="zh-CN"/>
        </w:rPr>
        <w:t xml:space="preserve">南通市生态环境监测站2026年度监测技术支撑项目</w:t>
      </w:r>
      <w:r>
        <w:rPr>
          <w:rFonts w:hint="eastAsia" w:ascii="仿宋" w:hAnsi="仿宋" w:eastAsia="仿宋" w:cs="仿宋"/>
          <w:sz w:val="28"/>
          <w:szCs w:val="28"/>
          <w:highlight w:val="none"/>
        </w:rPr>
        <w:t xml:space="preserve">采用竞争性磋商采购，诚邀符合条件的供应商参加该项目的竞争性磋商。</w:t>
      </w:r>
      <w:r/>
    </w:p>
    <w:p>
      <w:pPr>
        <w:pStyle w:val="870"/>
        <w:ind w:firstLine="482"/>
        <w:spacing w:before="0" w:after="0" w:line="360" w:lineRule="auto"/>
        <w:rPr>
          <w:rFonts w:hint="eastAsia" w:ascii="仿宋" w:hAnsi="仿宋" w:eastAsia="仿宋" w:cs="仿宋"/>
          <w:sz w:val="28"/>
          <w:szCs w:val="28"/>
          <w:highlight w:val="none"/>
        </w:rPr>
      </w:pPr>
      <w:r/>
      <w:bookmarkStart w:id="0" w:name="_Toc35393629"/>
      <w:r/>
      <w:bookmarkStart w:id="1" w:name="_Toc28359089"/>
      <w:r/>
      <w:bookmarkStart w:id="2" w:name="_Toc28359012"/>
      <w:r/>
      <w:bookmarkStart w:id="3" w:name="_Toc35393798"/>
      <w:r>
        <w:rPr>
          <w:rFonts w:hint="eastAsia" w:ascii="仿宋" w:hAnsi="仿宋" w:eastAsia="仿宋" w:cs="仿宋"/>
          <w:sz w:val="28"/>
          <w:szCs w:val="28"/>
          <w:highlight w:val="none"/>
        </w:rPr>
        <w:t xml:space="preserve">一、项目基本情况</w:t>
      </w:r>
      <w:bookmarkEnd w:id="0"/>
      <w:r/>
      <w:bookmarkEnd w:id="1"/>
      <w:r/>
      <w:bookmarkEnd w:id="2"/>
      <w:r/>
      <w:bookmarkEnd w:id="3"/>
      <w:r/>
      <w:r/>
    </w:p>
    <w:p>
      <w:pPr>
        <w:ind w:firstLine="480"/>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1.项目编号：JSZC-320600-CJZD-C2026-0015</w:t>
      </w:r>
      <w:r>
        <w:rPr>
          <w:rFonts w:hint="eastAsia" w:ascii="仿宋" w:hAnsi="仿宋" w:eastAsia="仿宋" w:cs="仿宋"/>
          <w:sz w:val="28"/>
          <w:szCs w:val="28"/>
          <w:highlight w:val="none"/>
          <w:lang w:val="en-US" w:eastAsia="zh-CN"/>
        </w:rPr>
        <w:t xml:space="preserve">  </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2.项目名称：</w:t>
      </w:r>
      <w:r>
        <w:rPr>
          <w:rFonts w:hint="eastAsia" w:ascii="仿宋" w:hAnsi="仿宋" w:eastAsia="仿宋" w:cs="仿宋"/>
          <w:sz w:val="28"/>
          <w:szCs w:val="28"/>
          <w:highlight w:val="none"/>
          <w:lang w:eastAsia="zh-CN"/>
        </w:rPr>
        <w:t xml:space="preserve">南通市生态环境监测站2026年度监测技术支撑项目</w:t>
      </w:r>
      <w:r>
        <w:rPr>
          <w:rFonts w:hint="eastAsia" w:ascii="仿宋" w:hAnsi="仿宋" w:eastAsia="仿宋" w:cs="仿宋"/>
          <w:sz w:val="28"/>
          <w:szCs w:val="28"/>
          <w:highlight w:val="none"/>
        </w:rPr>
        <w:t xml:space="preserve">；</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3.项目类型：服务；</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bookmarkStart w:id="4" w:name="_Toc35393630"/>
      <w:r/>
      <w:bookmarkStart w:id="5" w:name="_Toc28359090"/>
      <w:r/>
      <w:bookmarkStart w:id="6" w:name="_Toc28359013"/>
      <w:r/>
      <w:bookmarkStart w:id="7" w:name="_Toc35393799"/>
      <w:r>
        <w:rPr>
          <w:rFonts w:hint="eastAsia" w:ascii="仿宋" w:hAnsi="仿宋" w:eastAsia="仿宋" w:cs="仿宋"/>
          <w:sz w:val="28"/>
          <w:szCs w:val="28"/>
          <w:highlight w:val="none"/>
        </w:rPr>
        <w:t xml:space="preserve">所属行业：其他未列明行业（科学研究和技术服务业）；</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.采购方式：竞争性磋商；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.预算金额：</w:t>
      </w:r>
      <w:r>
        <w:rPr>
          <w:rFonts w:hint="eastAsia" w:ascii="仿宋" w:hAnsi="仿宋" w:eastAsia="仿宋" w:cs="仿宋"/>
          <w:sz w:val="28"/>
          <w:szCs w:val="28"/>
          <w:highlight w:val="none"/>
          <w:lang w:val="en-US" w:eastAsia="zh-CN"/>
        </w:rPr>
        <w:t xml:space="preserve">包1：</w:t>
      </w:r>
      <w:r>
        <w:rPr>
          <w:rFonts w:hint="eastAsia" w:ascii="仿宋" w:hAnsi="仿宋" w:eastAsia="仿宋" w:cs="仿宋"/>
          <w:sz w:val="28"/>
          <w:szCs w:val="28"/>
          <w:highlight w:val="none"/>
        </w:rPr>
        <w:t xml:space="preserve">90万元；包</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24</w:t>
      </w:r>
      <w:r>
        <w:rPr>
          <w:rFonts w:hint="eastAsia" w:ascii="仿宋" w:hAnsi="仿宋" w:eastAsia="仿宋" w:cs="仿宋"/>
          <w:sz w:val="28"/>
          <w:szCs w:val="28"/>
          <w:highlight w:val="none"/>
          <w:lang w:val="zh-CN"/>
        </w:rPr>
        <w:t xml:space="preserve">万元人民币</w:t>
      </w:r>
      <w:r>
        <w:rPr>
          <w:rFonts w:hint="eastAsia" w:ascii="仿宋" w:hAnsi="仿宋" w:eastAsia="仿宋" w:cs="仿宋"/>
          <w:sz w:val="28"/>
          <w:szCs w:val="28"/>
          <w:highlight w:val="none"/>
        </w:rPr>
        <w:t xml:space="preserve">；包</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22</w:t>
      </w:r>
      <w:r>
        <w:rPr>
          <w:rFonts w:hint="eastAsia" w:ascii="仿宋" w:hAnsi="仿宋" w:eastAsia="仿宋" w:cs="仿宋"/>
          <w:sz w:val="28"/>
          <w:szCs w:val="28"/>
          <w:highlight w:val="none"/>
          <w:lang w:val="zh-CN"/>
        </w:rPr>
        <w:t xml:space="preserve">万元人民币</w:t>
      </w:r>
      <w:r>
        <w:rPr>
          <w:rFonts w:hint="eastAsia" w:ascii="仿宋" w:hAnsi="仿宋" w:eastAsia="仿宋" w:cs="仿宋"/>
          <w:sz w:val="28"/>
          <w:szCs w:val="28"/>
          <w:highlight w:val="none"/>
        </w:rPr>
        <w:t xml:space="preserve">；包</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22</w:t>
      </w:r>
      <w:r>
        <w:rPr>
          <w:rFonts w:hint="eastAsia" w:ascii="仿宋" w:hAnsi="仿宋" w:eastAsia="仿宋" w:cs="仿宋"/>
          <w:sz w:val="28"/>
          <w:szCs w:val="28"/>
          <w:highlight w:val="none"/>
          <w:lang w:val="zh-CN"/>
        </w:rPr>
        <w:t xml:space="preserve">万元人民币</w:t>
      </w:r>
      <w:r>
        <w:rPr>
          <w:rFonts w:hint="eastAsia" w:ascii="仿宋" w:hAnsi="仿宋" w:eastAsia="仿宋" w:cs="仿宋"/>
          <w:sz w:val="28"/>
          <w:szCs w:val="28"/>
          <w:highlight w:val="none"/>
        </w:rPr>
        <w:t xml:space="preserve">；包</w:t>
      </w: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22</w:t>
      </w:r>
      <w:r>
        <w:rPr>
          <w:rFonts w:hint="eastAsia" w:ascii="仿宋" w:hAnsi="仿宋" w:eastAsia="仿宋" w:cs="仿宋"/>
          <w:sz w:val="28"/>
          <w:szCs w:val="28"/>
          <w:highlight w:val="none"/>
          <w:lang w:val="zh-CN"/>
        </w:rPr>
        <w:t xml:space="preserve">万元人民币。</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.最高限价：</w:t>
      </w:r>
      <w:r/>
    </w:p>
    <w:p>
      <w:pPr>
        <w:ind w:firstLine="480"/>
        <w:spacing w:line="360" w:lineRule="auto"/>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lang w:val="en-US" w:eastAsia="zh-CN"/>
        </w:rPr>
        <w:t xml:space="preserve">包1：</w:t>
      </w:r>
      <w:r>
        <w:rPr>
          <w:rFonts w:hint="eastAsia" w:ascii="仿宋" w:hAnsi="仿宋" w:eastAsia="仿宋" w:cs="仿宋"/>
          <w:b w:val="0"/>
          <w:bCs w:val="0"/>
          <w:color w:val="auto"/>
          <w:sz w:val="28"/>
          <w:szCs w:val="28"/>
          <w:highlight w:val="none"/>
        </w:rPr>
        <w:t xml:space="preserve">最高限价90万元</w:t>
      </w:r>
      <w:r>
        <w:rPr>
          <w:rFonts w:hint="eastAsia" w:ascii="仿宋" w:hAnsi="仿宋" w:eastAsia="仿宋" w:cs="仿宋"/>
          <w:b w:val="0"/>
          <w:bCs w:val="0"/>
          <w:color w:val="auto"/>
          <w:sz w:val="28"/>
          <w:szCs w:val="28"/>
          <w:highlight w:val="none"/>
          <w:lang w:val="zh-CN"/>
        </w:rPr>
        <w:t xml:space="preserve">基础上</w:t>
      </w:r>
      <w:r>
        <w:rPr>
          <w:rFonts w:hint="eastAsia" w:ascii="仿宋" w:hAnsi="仿宋" w:eastAsia="仿宋" w:cs="仿宋"/>
          <w:b w:val="0"/>
          <w:bCs w:val="0"/>
          <w:color w:val="auto"/>
          <w:sz w:val="28"/>
          <w:szCs w:val="28"/>
          <w:highlight w:val="none"/>
        </w:rPr>
        <w:t xml:space="preserve">报优惠率，</w:t>
      </w:r>
      <w:r>
        <w:rPr>
          <w:rFonts w:hint="eastAsia" w:ascii="仿宋" w:hAnsi="仿宋" w:eastAsia="仿宋" w:cs="仿宋"/>
          <w:b w:val="0"/>
          <w:bCs w:val="0"/>
          <w:color w:val="auto"/>
          <w:sz w:val="28"/>
          <w:szCs w:val="28"/>
          <w:highlight w:val="none"/>
          <w:lang w:eastAsia="zh-CN"/>
        </w:rPr>
        <w:t xml:space="preserve">优惠率</w:t>
      </w:r>
      <w:r>
        <w:rPr>
          <w:rFonts w:hint="eastAsia" w:ascii="仿宋" w:hAnsi="仿宋" w:eastAsia="仿宋" w:cs="仿宋"/>
          <w:b w:val="0"/>
          <w:bCs w:val="0"/>
          <w:color w:val="auto"/>
          <w:sz w:val="28"/>
          <w:szCs w:val="28"/>
          <w:highlight w:val="none"/>
          <w:lang w:val="zh-CN"/>
        </w:rPr>
        <w:t xml:space="preserve">不得低于</w:t>
      </w:r>
      <w:r>
        <w:rPr>
          <w:rFonts w:hint="eastAsia" w:ascii="仿宋" w:hAnsi="仿宋" w:eastAsia="仿宋" w:cs="仿宋"/>
          <w:b w:val="0"/>
          <w:bCs w:val="0"/>
          <w:color w:val="auto"/>
          <w:sz w:val="28"/>
          <w:szCs w:val="28"/>
          <w:highlight w:val="none"/>
          <w:lang w:val="en-US" w:eastAsia="zh-CN"/>
        </w:rPr>
        <w:t xml:space="preserve">0</w:t>
      </w:r>
      <w:r>
        <w:rPr>
          <w:rFonts w:hint="eastAsia" w:ascii="仿宋" w:hAnsi="仿宋" w:eastAsia="仿宋" w:cs="仿宋"/>
          <w:b w:val="0"/>
          <w:bCs w:val="0"/>
          <w:color w:val="auto"/>
          <w:sz w:val="28"/>
          <w:szCs w:val="28"/>
          <w:highlight w:val="none"/>
        </w:rPr>
        <w:t xml:space="preserve">%</w:t>
      </w:r>
      <w:r>
        <w:rPr>
          <w:rFonts w:hint="eastAsia" w:ascii="仿宋" w:hAnsi="仿宋" w:eastAsia="仿宋" w:cs="仿宋"/>
          <w:b w:val="0"/>
          <w:bCs w:val="0"/>
          <w:color w:val="auto"/>
          <w:sz w:val="28"/>
          <w:szCs w:val="28"/>
          <w:highlight w:val="none"/>
          <w:lang w:eastAsia="zh-CN"/>
        </w:rPr>
        <w:t xml:space="preserve">，否则作为无效标响应；</w:t>
      </w:r>
      <w:r/>
    </w:p>
    <w:p>
      <w:pPr>
        <w:ind w:firstLine="480"/>
        <w:spacing w:line="360" w:lineRule="auto"/>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包2-包5：《江苏省环境监测专业服务收费标准》（苏价费[2006]397号）单价为依据，在此基础上报统一优惠率不低于50%。</w:t>
      </w:r>
      <w:r/>
    </w:p>
    <w:p>
      <w:pPr>
        <w:ind w:firstLine="480"/>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注：</w:t>
      </w:r>
      <w:r>
        <w:rPr>
          <w:rFonts w:hint="eastAsia" w:ascii="仿宋" w:hAnsi="仿宋" w:eastAsia="仿宋" w:cs="仿宋"/>
          <w:b/>
          <w:bCs/>
          <w:color w:val="auto"/>
          <w:sz w:val="28"/>
          <w:szCs w:val="28"/>
          <w:highlight w:val="none"/>
        </w:rPr>
        <w:t xml:space="preserve">本项目采用优惠率（%）报价（该优惠率即为下浮率。举例说明：如</w:t>
      </w:r>
      <w:r>
        <w:rPr>
          <w:rFonts w:hint="eastAsia" w:ascii="仿宋" w:hAnsi="仿宋" w:eastAsia="仿宋" w:cs="仿宋"/>
          <w:b/>
          <w:bCs/>
          <w:color w:val="auto"/>
          <w:sz w:val="28"/>
          <w:szCs w:val="28"/>
          <w:highlight w:val="none"/>
          <w:lang w:val="en-US" w:eastAsia="zh-CN"/>
        </w:rPr>
        <w:t xml:space="preserve">包1</w:t>
      </w:r>
      <w:r>
        <w:rPr>
          <w:rFonts w:hint="eastAsia" w:ascii="仿宋" w:hAnsi="仿宋" w:eastAsia="仿宋" w:cs="仿宋"/>
          <w:b/>
          <w:bCs/>
          <w:color w:val="auto"/>
          <w:sz w:val="28"/>
          <w:szCs w:val="28"/>
          <w:highlight w:val="none"/>
        </w:rPr>
        <w:t xml:space="preserve">中标报价优惠率为</w:t>
      </w:r>
      <w:r>
        <w:rPr>
          <w:rFonts w:hint="eastAsia" w:ascii="仿宋" w:hAnsi="仿宋" w:eastAsia="仿宋" w:cs="仿宋"/>
          <w:b/>
          <w:bCs/>
          <w:color w:val="auto"/>
          <w:sz w:val="28"/>
          <w:szCs w:val="28"/>
          <w:highlight w:val="none"/>
          <w:lang w:val="en-US" w:eastAsia="zh-CN"/>
        </w:rPr>
        <w:t xml:space="preserve">5</w:t>
      </w:r>
      <w:r>
        <w:rPr>
          <w:rFonts w:hint="eastAsia" w:ascii="仿宋" w:hAnsi="仿宋" w:eastAsia="仿宋" w:cs="仿宋"/>
          <w:b/>
          <w:bCs/>
          <w:color w:val="auto"/>
          <w:sz w:val="28"/>
          <w:szCs w:val="28"/>
          <w:highlight w:val="none"/>
        </w:rPr>
        <w:t xml:space="preserve">%，即中标下浮率为</w:t>
      </w:r>
      <w:r>
        <w:rPr>
          <w:rFonts w:hint="eastAsia" w:ascii="仿宋" w:hAnsi="仿宋" w:eastAsia="仿宋" w:cs="仿宋"/>
          <w:b/>
          <w:bCs/>
          <w:color w:val="auto"/>
          <w:sz w:val="28"/>
          <w:szCs w:val="28"/>
          <w:highlight w:val="none"/>
          <w:lang w:val="en-US" w:eastAsia="zh-CN"/>
        </w:rPr>
        <w:t xml:space="preserve">5</w:t>
      </w:r>
      <w:r>
        <w:rPr>
          <w:rFonts w:hint="eastAsia" w:ascii="仿宋" w:hAnsi="仿宋" w:eastAsia="仿宋" w:cs="仿宋"/>
          <w:b/>
          <w:bCs/>
          <w:color w:val="auto"/>
          <w:sz w:val="28"/>
          <w:szCs w:val="28"/>
          <w:highlight w:val="none"/>
        </w:rPr>
        <w:t xml:space="preserve">%，即为</w:t>
      </w:r>
      <w:r>
        <w:rPr>
          <w:rFonts w:hint="eastAsia" w:ascii="仿宋" w:hAnsi="仿宋" w:eastAsia="仿宋" w:cs="仿宋"/>
          <w:b/>
          <w:bCs/>
          <w:color w:val="auto"/>
          <w:sz w:val="28"/>
          <w:szCs w:val="28"/>
          <w:highlight w:val="none"/>
          <w:lang w:eastAsia="zh-CN"/>
        </w:rPr>
        <w:t xml:space="preserve">最高限价</w:t>
      </w:r>
      <w:r>
        <w:rPr>
          <w:rFonts w:hint="eastAsia" w:ascii="仿宋" w:hAnsi="仿宋" w:eastAsia="仿宋" w:cs="仿宋"/>
          <w:b/>
          <w:bCs/>
          <w:color w:val="auto"/>
          <w:sz w:val="28"/>
          <w:szCs w:val="28"/>
          <w:highlight w:val="none"/>
          <w:lang w:val="en-US" w:eastAsia="zh-CN"/>
        </w:rPr>
        <w:t xml:space="preserve">90万</w:t>
      </w:r>
      <w:r>
        <w:rPr>
          <w:rFonts w:hint="eastAsia" w:ascii="仿宋" w:hAnsi="仿宋" w:eastAsia="仿宋" w:cs="仿宋"/>
          <w:b/>
          <w:bCs/>
          <w:color w:val="auto"/>
          <w:sz w:val="28"/>
          <w:szCs w:val="28"/>
          <w:highlight w:val="none"/>
        </w:rPr>
        <w:t xml:space="preserve">的</w:t>
      </w:r>
      <w:r>
        <w:rPr>
          <w:rFonts w:hint="eastAsia" w:ascii="仿宋" w:hAnsi="仿宋" w:eastAsia="仿宋" w:cs="仿宋"/>
          <w:b/>
          <w:bCs/>
          <w:color w:val="auto"/>
          <w:sz w:val="28"/>
          <w:szCs w:val="28"/>
          <w:highlight w:val="none"/>
          <w:lang w:val="en-US" w:eastAsia="zh-CN"/>
        </w:rPr>
        <w:t xml:space="preserve">95</w:t>
      </w:r>
      <w:r>
        <w:rPr>
          <w:rFonts w:hint="eastAsia" w:ascii="仿宋" w:hAnsi="仿宋" w:eastAsia="仿宋" w:cs="仿宋"/>
          <w:b/>
          <w:bCs/>
          <w:color w:val="auto"/>
          <w:sz w:val="28"/>
          <w:szCs w:val="28"/>
          <w:highlight w:val="none"/>
        </w:rPr>
        <w:t xml:space="preserve">折</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包2-包5</w:t>
      </w:r>
      <w:r>
        <w:rPr>
          <w:rFonts w:hint="eastAsia" w:ascii="仿宋" w:hAnsi="仿宋" w:eastAsia="仿宋" w:cs="仿宋"/>
          <w:b/>
          <w:bCs/>
          <w:color w:val="auto"/>
          <w:sz w:val="28"/>
          <w:szCs w:val="28"/>
          <w:highlight w:val="none"/>
          <w:lang w:eastAsia="zh-CN"/>
        </w:rPr>
        <w:t xml:space="preserve">如中标报价优惠率为60%，即中标下浮率为60%，即为</w:t>
      </w:r>
      <w:r>
        <w:rPr>
          <w:rFonts w:hint="eastAsia" w:ascii="仿宋" w:hAnsi="仿宋" w:eastAsia="仿宋" w:cs="仿宋"/>
          <w:b/>
          <w:bCs/>
          <w:color w:val="auto"/>
          <w:sz w:val="28"/>
          <w:szCs w:val="28"/>
          <w:highlight w:val="none"/>
          <w:lang w:val="zh-CN" w:eastAsia="zh-CN"/>
        </w:rPr>
        <w:t xml:space="preserve">《江苏省环境监测专业服务收费标准》（苏价费[2006]397号）单价</w:t>
      </w:r>
      <w:r>
        <w:rPr>
          <w:rFonts w:hint="eastAsia" w:ascii="仿宋" w:hAnsi="仿宋" w:eastAsia="仿宋" w:cs="仿宋"/>
          <w:b/>
          <w:bCs/>
          <w:color w:val="auto"/>
          <w:sz w:val="28"/>
          <w:szCs w:val="28"/>
          <w:highlight w:val="none"/>
          <w:lang w:eastAsia="zh-CN"/>
        </w:rPr>
        <w:t xml:space="preserve">的4折）</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.采购需求：详见第三部分项目需求；</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9</w:t>
      </w:r>
      <w:r>
        <w:rPr>
          <w:rFonts w:hint="eastAsia" w:ascii="仿宋" w:hAnsi="仿宋" w:eastAsia="仿宋" w:cs="仿宋"/>
          <w:sz w:val="28"/>
          <w:szCs w:val="28"/>
          <w:highlight w:val="none"/>
        </w:rPr>
        <w:t xml:space="preserve">.合同履行期限：</w:t>
      </w:r>
      <w:r>
        <w:rPr>
          <w:rFonts w:hint="eastAsia" w:ascii="仿宋" w:hAnsi="仿宋" w:eastAsia="仿宋" w:cs="仿宋"/>
          <w:strike w:val="0"/>
          <w:sz w:val="28"/>
          <w:szCs w:val="28"/>
          <w:highlight w:val="none"/>
        </w:rPr>
        <w:t xml:space="preserve">1年</w:t>
      </w:r>
      <w:r>
        <w:rPr>
          <w:rFonts w:hint="eastAsia" w:ascii="仿宋" w:hAnsi="仿宋" w:eastAsia="仿宋" w:cs="仿宋"/>
          <w:sz w:val="28"/>
          <w:szCs w:val="28"/>
          <w:highlight w:val="none"/>
          <w:lang w:val="zh-CN"/>
        </w:rPr>
        <w:t xml:space="preserve">，具体以合同为准，</w:t>
      </w:r>
      <w:r>
        <w:rPr>
          <w:rFonts w:hint="eastAsia" w:ascii="仿宋" w:hAnsi="仿宋" w:eastAsia="仿宋" w:cs="仿宋"/>
          <w:sz w:val="28"/>
          <w:szCs w:val="28"/>
          <w:highlight w:val="none"/>
        </w:rPr>
        <w:t xml:space="preserve">到期后或经费使用完后</w:t>
      </w:r>
      <w:r>
        <w:rPr>
          <w:rFonts w:hint="eastAsia" w:ascii="仿宋" w:hAnsi="仿宋" w:eastAsia="仿宋" w:cs="仿宋"/>
          <w:sz w:val="28"/>
          <w:szCs w:val="28"/>
          <w:highlight w:val="none"/>
          <w:lang w:val="zh-CN"/>
        </w:rPr>
        <w:t xml:space="preserve">合同自动终止</w:t>
      </w:r>
      <w:r>
        <w:rPr>
          <w:rFonts w:hint="eastAsia" w:ascii="仿宋" w:hAnsi="仿宋" w:eastAsia="仿宋" w:cs="仿宋"/>
          <w:sz w:val="28"/>
          <w:szCs w:val="28"/>
          <w:highlight w:val="none"/>
        </w:rPr>
        <w:t xml:space="preserve">。</w:t>
      </w:r>
      <w:r/>
    </w:p>
    <w:p>
      <w:pPr>
        <w:ind w:firstLine="480"/>
        <w:spacing w:line="360" w:lineRule="auto"/>
        <w:rPr>
          <w:rFonts w:hint="default" w:ascii="仿宋" w:hAnsi="仿宋" w:eastAsia="仿宋" w:cs="仿宋"/>
          <w:b/>
          <w:bCs/>
          <w:sz w:val="28"/>
          <w:szCs w:val="28"/>
          <w:highlight w:val="none"/>
          <w:lang w:val="en-US" w:eastAsia="zh-CN"/>
        </w:rPr>
      </w:pP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rPr>
        <w:t xml:space="preserve">.本项目是/否面向中小企业采购：</w:t>
      </w:r>
      <w:r>
        <w:rPr>
          <w:rFonts w:hint="eastAsia" w:ascii="仿宋" w:hAnsi="仿宋" w:eastAsia="仿宋" w:cs="仿宋"/>
          <w:b/>
          <w:bCs/>
          <w:sz w:val="28"/>
          <w:szCs w:val="28"/>
          <w:highlight w:val="none"/>
          <w:lang w:val="en-US" w:eastAsia="zh-CN"/>
        </w:rPr>
        <w:t xml:space="preserve">包1不专门面向中小企业采购</w:t>
      </w:r>
      <w:r>
        <w:rPr>
          <w:rFonts w:hint="eastAsia" w:ascii="仿宋" w:hAnsi="仿宋" w:eastAsia="仿宋" w:cs="仿宋"/>
          <w:b/>
          <w:bCs/>
          <w:sz w:val="28"/>
          <w:szCs w:val="28"/>
          <w:highlight w:val="none"/>
          <w:lang w:val="zh-CN"/>
        </w:rPr>
        <w:t xml:space="preserve">；</w:t>
      </w:r>
      <w:r>
        <w:rPr>
          <w:rFonts w:hint="eastAsia" w:ascii="仿宋" w:hAnsi="仿宋" w:eastAsia="仿宋" w:cs="仿宋"/>
          <w:b/>
          <w:bCs/>
          <w:sz w:val="28"/>
          <w:szCs w:val="28"/>
          <w:highlight w:val="none"/>
          <w:lang w:val="en-US" w:eastAsia="zh-CN"/>
        </w:rPr>
        <w:t xml:space="preserve">包2-包5专门面向中小企业采购。</w:t>
      </w:r>
      <w:r/>
    </w:p>
    <w:p>
      <w:pPr>
        <w:ind w:firstLine="480"/>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.本项目不接受联合体</w:t>
      </w:r>
      <w:r>
        <w:rPr>
          <w:rFonts w:hint="eastAsia" w:ascii="仿宋" w:hAnsi="仿宋" w:eastAsia="仿宋" w:cs="仿宋"/>
          <w:sz w:val="28"/>
          <w:szCs w:val="28"/>
          <w:highlight w:val="none"/>
          <w:lang w:eastAsia="zh-CN"/>
        </w:rPr>
        <w:t xml:space="preserve">。</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w:t>
      </w:r>
      <w:r>
        <w:rPr>
          <w:rFonts w:hint="eastAsia" w:ascii="仿宋" w:hAnsi="仿宋" w:eastAsia="仿宋" w:cs="仿宋"/>
          <w:color w:val="000000"/>
          <w:sz w:val="28"/>
          <w:szCs w:val="28"/>
          <w:highlight w:val="none"/>
          <w:lang w:val="en-US" w:eastAsia="zh-CN"/>
        </w:rPr>
        <w:t xml:space="preserve">本项目五个包，投标人可自行决定参与一个或多个包的投标，项目允许兼投不允许兼中。评标委员会按照</w:t>
      </w:r>
      <w:r>
        <w:rPr>
          <w:rFonts w:hint="eastAsia" w:ascii="仿宋" w:hAnsi="仿宋" w:eastAsia="仿宋" w:cs="仿宋"/>
          <w:sz w:val="28"/>
          <w:szCs w:val="28"/>
          <w:highlight w:val="none"/>
        </w:rPr>
        <w:t xml:space="preserve">包1→包2→包3→包4→包</w:t>
      </w:r>
      <w:r>
        <w:rPr>
          <w:rFonts w:hint="eastAsia" w:ascii="仿宋" w:hAnsi="仿宋" w:eastAsia="仿宋" w:cs="仿宋"/>
          <w:sz w:val="28"/>
          <w:szCs w:val="28"/>
          <w:highlight w:val="none"/>
          <w:lang w:val="en-US" w:eastAsia="zh-CN"/>
        </w:rPr>
        <w:t xml:space="preserve">5</w:t>
      </w:r>
      <w:r>
        <w:rPr>
          <w:rFonts w:hint="eastAsia" w:ascii="仿宋" w:hAnsi="仿宋" w:eastAsia="仿宋" w:cs="仿宋"/>
          <w:color w:val="000000"/>
          <w:sz w:val="28"/>
          <w:szCs w:val="28"/>
          <w:highlight w:val="none"/>
          <w:lang w:val="en-US" w:eastAsia="zh-CN"/>
        </w:rPr>
        <w:t xml:space="preserve">的顺序依次开评标，每个包确定1个成交供应商。前面包的成交供应商如已递交后面采购包的投标文件，在后面采购包资格审查环节做无效处理，不属于后面包的合格投标人，自动丧失后面采购包评审资格。</w:t>
      </w:r>
      <w:r/>
    </w:p>
    <w:p>
      <w:pPr>
        <w:pStyle w:val="870"/>
        <w:ind w:firstLine="482"/>
        <w:spacing w:before="0"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w:t>
      </w:r>
      <w:bookmarkEnd w:id="4"/>
      <w:r/>
      <w:bookmarkEnd w:id="5"/>
      <w:r/>
      <w:bookmarkEnd w:id="6"/>
      <w:r/>
      <w:bookmarkEnd w:id="7"/>
      <w:r>
        <w:rPr>
          <w:rFonts w:hint="eastAsia" w:ascii="仿宋" w:hAnsi="仿宋" w:eastAsia="仿宋" w:cs="仿宋"/>
          <w:sz w:val="28"/>
          <w:szCs w:val="28"/>
          <w:highlight w:val="none"/>
        </w:rPr>
        <w:t xml:space="preserve">申请人的资格要求</w:t>
      </w:r>
      <w:r/>
    </w:p>
    <w:p>
      <w:pPr>
        <w:ind w:firstLine="560"/>
        <w:jc w:val="left"/>
        <w:spacing w:line="360" w:lineRule="auto"/>
        <w:rPr>
          <w:rFonts w:hint="eastAsia" w:ascii="仿宋" w:hAnsi="仿宋" w:eastAsia="仿宋" w:cs="仿宋"/>
          <w:color w:val="000000"/>
          <w:sz w:val="28"/>
          <w:szCs w:val="28"/>
          <w:highlight w:val="none"/>
        </w:rPr>
      </w:pPr>
      <w:r/>
      <w:bookmarkStart w:id="8" w:name="_Toc28359015"/>
      <w:r/>
      <w:bookmarkStart w:id="9" w:name="_Toc28359092"/>
      <w:r/>
      <w:bookmarkStart w:id="10" w:name="_Toc35393801"/>
      <w:r/>
      <w:bookmarkStart w:id="11" w:name="_Toc35393632"/>
      <w:r>
        <w:rPr>
          <w:rFonts w:hint="eastAsia" w:ascii="仿宋" w:hAnsi="仿宋" w:eastAsia="仿宋" w:cs="仿宋"/>
          <w:color w:val="000000"/>
          <w:sz w:val="28"/>
          <w:szCs w:val="28"/>
          <w:highlight w:val="none"/>
        </w:rPr>
        <w:t xml:space="preserve">1.满足《中华人民共和国政府采购法》第二十二条规定：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法律、行政法规规定的其他条件。</w:t>
      </w:r>
      <w:r/>
    </w:p>
    <w:p>
      <w:pPr>
        <w:ind w:firstLine="560"/>
        <w:jc w:val="left"/>
        <w:spacing w:line="360" w:lineRule="auto"/>
        <w:rPr>
          <w:rFonts w:hint="eastAsia" w:ascii="仿宋" w:hAnsi="仿宋" w:eastAsia="仿宋" w:cs="仿宋"/>
          <w:sz w:val="28"/>
          <w:szCs w:val="28"/>
          <w:highlight w:val="none"/>
          <w:lang w:eastAsia="zh-CN"/>
        </w:rPr>
      </w:pPr>
      <w:r>
        <w:rPr>
          <w:rFonts w:hint="eastAsia" w:ascii="仿宋" w:hAnsi="仿宋" w:eastAsia="仿宋" w:cs="仿宋"/>
          <w:color w:val="000000"/>
          <w:sz w:val="28"/>
          <w:szCs w:val="28"/>
          <w:highlight w:val="none"/>
        </w:rPr>
        <w:t xml:space="preserve">2.落实政府采购政策需满足的资格要求：</w:t>
      </w:r>
      <w:r>
        <w:rPr>
          <w:rFonts w:hint="eastAsia" w:ascii="仿宋" w:hAnsi="仿宋" w:eastAsia="仿宋" w:cs="仿宋"/>
          <w:color w:val="000000"/>
          <w:sz w:val="28"/>
          <w:szCs w:val="28"/>
          <w:highlight w:val="none"/>
          <w:lang w:val="en-US" w:eastAsia="zh-CN"/>
        </w:rPr>
        <w:t xml:space="preserve">包1：</w:t>
      </w:r>
      <w:r>
        <w:rPr>
          <w:rFonts w:hint="eastAsia" w:ascii="仿宋" w:hAnsi="仿宋" w:eastAsia="仿宋" w:cs="仿宋"/>
          <w:b/>
          <w:bCs/>
          <w:color w:val="000000"/>
          <w:sz w:val="28"/>
          <w:szCs w:val="28"/>
          <w:highlight w:val="none"/>
        </w:rPr>
        <w:t xml:space="preserve">无</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包2-包5：</w:t>
      </w:r>
      <w:r>
        <w:rPr>
          <w:rFonts w:hint="eastAsia" w:ascii="仿宋" w:hAnsi="仿宋" w:eastAsia="仿宋" w:cs="仿宋"/>
          <w:b/>
          <w:sz w:val="28"/>
          <w:szCs w:val="28"/>
          <w:highlight w:val="none"/>
          <w:u w:val="single"/>
        </w:rPr>
        <w:t xml:space="preserve">属于专门面向中小企业采购的项目,供应商应为中小微企业、监狱企业或残疾人福利性单位，并按照采购文件要求提供《中小企业声明函》、《残疾人福利性单位声明函》或监狱和戒毒企业证明材料</w:t>
      </w:r>
      <w:r>
        <w:rPr>
          <w:rFonts w:hint="eastAsia" w:ascii="仿宋" w:hAnsi="仿宋" w:eastAsia="仿宋" w:cs="仿宋"/>
          <w:b/>
          <w:sz w:val="28"/>
          <w:szCs w:val="28"/>
          <w:highlight w:val="none"/>
          <w:u w:val="single"/>
          <w:lang w:eastAsia="zh-CN"/>
        </w:rPr>
        <w:t xml:space="preserve">。</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sz w:val="28"/>
          <w:szCs w:val="28"/>
          <w:highlight w:val="none"/>
        </w:rPr>
        <w:t xml:space="preserve">本项目的特定资格要求：</w:t>
      </w:r>
      <w:r/>
    </w:p>
    <w:p>
      <w:pPr>
        <w:ind w:firstLine="562"/>
        <w:jc w:val="left"/>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 xml:space="preserve">包1</w:t>
      </w:r>
      <w:r>
        <w:rPr>
          <w:rFonts w:hint="eastAsia" w:ascii="仿宋" w:hAnsi="仿宋" w:eastAsia="仿宋" w:cs="仿宋"/>
          <w:sz w:val="28"/>
          <w:szCs w:val="28"/>
          <w:highlight w:val="none"/>
          <w:lang w:val="en-US" w:eastAsia="zh-CN"/>
        </w:rPr>
        <w:t xml:space="preserve">：</w:t>
      </w:r>
      <w:r>
        <w:rPr>
          <w:rFonts w:hint="eastAsia" w:ascii="仿宋" w:hAnsi="仿宋" w:eastAsia="仿宋" w:cs="仿宋"/>
          <w:b/>
          <w:bCs/>
          <w:sz w:val="28"/>
          <w:szCs w:val="28"/>
          <w:highlight w:val="none"/>
        </w:rPr>
        <w:t xml:space="preserve">供应商须满足《生态环境监测条例》第二十八条第一款、第二款规定，且具有</w:t>
      </w:r>
      <w:r>
        <w:rPr>
          <w:rFonts w:hint="eastAsia" w:ascii="仿宋" w:hAnsi="仿宋" w:eastAsia="仿宋" w:cs="仿宋"/>
          <w:b/>
          <w:bCs/>
          <w:sz w:val="28"/>
          <w:szCs w:val="28"/>
          <w:highlight w:val="none"/>
          <w:lang w:eastAsia="zh-CN"/>
        </w:rPr>
        <w:t xml:space="preserve">有效期内的</w:t>
      </w:r>
      <w:r>
        <w:rPr>
          <w:rFonts w:hint="eastAsia" w:ascii="仿宋" w:hAnsi="仿宋" w:eastAsia="仿宋" w:cs="仿宋"/>
          <w:b/>
          <w:bCs/>
          <w:sz w:val="28"/>
          <w:szCs w:val="28"/>
          <w:highlight w:val="none"/>
        </w:rPr>
        <w:t xml:space="preserve">CMA资质认定证书，能力附表认证类别必须同时包括海洋水文、海洋气象、海水3大类检测能力。</w:t>
      </w:r>
      <w:r/>
    </w:p>
    <w:p>
      <w:pPr>
        <w:ind w:firstLine="562"/>
        <w:jc w:val="left"/>
        <w:spacing w:line="360" w:lineRule="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包2-包5：（1）供应商须满足《生态环境监测条例》第二十八条第一款、第二款规定，且具有</w:t>
      </w:r>
      <w:r>
        <w:rPr>
          <w:rFonts w:hint="eastAsia" w:ascii="仿宋" w:hAnsi="仿宋" w:eastAsia="仿宋" w:cs="仿宋"/>
          <w:b/>
          <w:bCs/>
          <w:sz w:val="28"/>
          <w:szCs w:val="28"/>
          <w:highlight w:val="none"/>
          <w:lang w:eastAsia="zh-CN"/>
        </w:rPr>
        <w:t xml:space="preserve">有效期内的</w:t>
      </w:r>
      <w:r>
        <w:rPr>
          <w:rFonts w:hint="eastAsia" w:ascii="仿宋" w:hAnsi="仿宋" w:eastAsia="仿宋" w:cs="仿宋"/>
          <w:b/>
          <w:bCs/>
          <w:sz w:val="28"/>
          <w:szCs w:val="28"/>
          <w:highlight w:val="none"/>
          <w:lang w:val="en-US" w:eastAsia="zh-CN"/>
        </w:rPr>
        <w:t xml:space="preserve">CMA资质认定证书；</w:t>
      </w:r>
      <w:r/>
    </w:p>
    <w:p>
      <w:pPr>
        <w:pStyle w:val="870"/>
        <w:ind w:firstLine="2004"/>
        <w:spacing w:before="0" w:after="0" w:line="360" w:lineRule="auto"/>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bidi="ar-SA"/>
        </w:rPr>
        <w:t xml:space="preserve">（2）拟派项目负责人为工程师或以上。</w:t>
      </w:r>
      <w:r/>
    </w:p>
    <w:p>
      <w:pPr>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4.其他资格要求：</w:t>
      </w:r>
      <w:r/>
    </w:p>
    <w:p>
      <w:pPr>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（1）未被“信用中国”网站列入失信被执行人、重大税收违法案件当事人名单、政府采购不良行为记录名单；</w:t>
      </w:r>
      <w:r/>
    </w:p>
    <w:p>
      <w:pPr>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法定代表人为同一个人的两个及两个以上法人，母公司、全资子公司及其控股公司，都不得在同一采购项目或同一标段中同时参加投标，一经发现，将视同围标处理。为项目提供整体设计、规范编制或者项目管理、监理、检测等服务的供应商，不得再参加本项目的采购活动；</w:t>
      </w:r>
      <w:r/>
    </w:p>
    <w:p>
      <w:pPr>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（3）未经采购人同意，成交供应商不得采用分包的形式履行合同。</w:t>
      </w:r>
      <w:r/>
    </w:p>
    <w:p>
      <w:pPr>
        <w:ind w:firstLine="562"/>
        <w:spacing w:line="360" w:lineRule="auto"/>
        <w:rPr>
          <w:rFonts w:hint="eastAsia" w:ascii="仿宋" w:hAnsi="仿宋" w:eastAsia="仿宋" w:cs="仿宋"/>
          <w:b/>
          <w:bCs/>
          <w:sz w:val="28"/>
          <w:szCs w:val="28"/>
          <w:highlight w:val="none"/>
          <w:u w:val="single"/>
          <w:lang w:eastAsia="zh-CN"/>
        </w:rPr>
      </w:pPr>
      <w:r>
        <w:rPr>
          <w:rFonts w:hint="eastAsia" w:ascii="仿宋" w:hAnsi="仿宋" w:eastAsia="仿宋" w:cs="仿宋"/>
          <w:b/>
          <w:bCs/>
          <w:sz w:val="28"/>
          <w:szCs w:val="28"/>
          <w:highlight w:val="none"/>
          <w:u w:val="single"/>
        </w:rPr>
        <w:t xml:space="preserve">具体资格要求详见第六章响应文件组成及格式</w:t>
      </w:r>
      <w:r>
        <w:rPr>
          <w:rFonts w:hint="eastAsia" w:ascii="仿宋" w:hAnsi="仿宋" w:eastAsia="仿宋" w:cs="仿宋"/>
          <w:b/>
          <w:bCs/>
          <w:sz w:val="28"/>
          <w:szCs w:val="28"/>
          <w:highlight w:val="none"/>
          <w:u w:val="single"/>
          <w:lang w:val="en-US" w:eastAsia="zh-CN"/>
        </w:rPr>
        <w:t xml:space="preserve">中格审查证明材料</w:t>
      </w:r>
      <w:r>
        <w:rPr>
          <w:rFonts w:hint="eastAsia" w:ascii="仿宋" w:hAnsi="仿宋" w:eastAsia="仿宋" w:cs="仿宋"/>
          <w:b/>
          <w:bCs/>
          <w:sz w:val="28"/>
          <w:szCs w:val="28"/>
          <w:highlight w:val="none"/>
          <w:u w:val="single"/>
          <w:lang w:eastAsia="zh-CN"/>
        </w:rPr>
        <w:t xml:space="preserve">。</w:t>
      </w:r>
      <w:r/>
    </w:p>
    <w:p>
      <w:pPr>
        <w:pStyle w:val="870"/>
        <w:ind w:firstLine="482"/>
        <w:spacing w:before="0"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三、获取采购文件</w:t>
      </w:r>
      <w:r/>
    </w:p>
    <w:p>
      <w:pPr>
        <w:ind w:firstLine="480"/>
        <w:jc w:val="left"/>
        <w:spacing w:line="360" w:lineRule="auto"/>
        <w:widowControl/>
        <w:rPr>
          <w:rStyle w:val="895"/>
          <w:rFonts w:hint="eastAsia" w:ascii="仿宋" w:hAnsi="仿宋" w:eastAsia="仿宋" w:cs="仿宋"/>
          <w:bCs/>
          <w:sz w:val="28"/>
          <w:szCs w:val="28"/>
          <w:highlight w:val="none"/>
          <w:lang w:eastAsia="zh-CN"/>
        </w:rPr>
      </w:pPr>
      <w:r>
        <w:rPr>
          <w:rStyle w:val="895"/>
          <w:rFonts w:hint="eastAsia" w:ascii="仿宋" w:hAnsi="仿宋" w:eastAsia="仿宋" w:cs="仿宋"/>
          <w:bCs/>
          <w:sz w:val="28"/>
          <w:szCs w:val="28"/>
          <w:highlight w:val="none"/>
        </w:rPr>
        <w:t xml:space="preserve">1.时间：自本公告发布之日起</w:t>
      </w:r>
      <w:r>
        <w:rPr>
          <w:rStyle w:val="895"/>
          <w:rFonts w:hint="eastAsia" w:ascii="仿宋" w:hAnsi="仿宋" w:eastAsia="仿宋" w:cs="仿宋"/>
          <w:bCs/>
          <w:sz w:val="28"/>
          <w:szCs w:val="28"/>
          <w:highlight w:val="none"/>
          <w:lang w:val="en-US" w:eastAsia="zh-CN"/>
        </w:rPr>
        <w:t xml:space="preserve">五个工作日</w:t>
      </w:r>
      <w:r/>
    </w:p>
    <w:p>
      <w:pPr>
        <w:ind w:firstLine="480"/>
        <w:jc w:val="left"/>
        <w:spacing w:line="360" w:lineRule="auto"/>
        <w:widowControl/>
        <w:rPr>
          <w:rStyle w:val="895"/>
          <w:rFonts w:hint="eastAsia" w:ascii="仿宋" w:hAnsi="仿宋" w:eastAsia="仿宋" w:cs="仿宋"/>
          <w:bCs/>
          <w:sz w:val="28"/>
          <w:szCs w:val="28"/>
          <w:highlight w:val="none"/>
        </w:rPr>
      </w:pPr>
      <w:r>
        <w:rPr>
          <w:rStyle w:val="895"/>
          <w:rFonts w:hint="eastAsia" w:ascii="仿宋" w:hAnsi="仿宋" w:eastAsia="仿宋" w:cs="仿宋"/>
          <w:bCs/>
          <w:sz w:val="28"/>
          <w:szCs w:val="28"/>
          <w:highlight w:val="none"/>
        </w:rPr>
        <w:t xml:space="preserve">2.地点：网上注册登记成功后系统内免费下载</w:t>
      </w:r>
      <w:r/>
    </w:p>
    <w:p>
      <w:pPr>
        <w:ind w:firstLine="480"/>
        <w:jc w:val="left"/>
        <w:spacing w:line="360" w:lineRule="auto"/>
        <w:widowControl/>
        <w:rPr>
          <w:rStyle w:val="895"/>
          <w:rFonts w:hint="eastAsia" w:ascii="仿宋" w:hAnsi="仿宋" w:eastAsia="仿宋" w:cs="仿宋"/>
          <w:bCs/>
          <w:sz w:val="28"/>
          <w:szCs w:val="28"/>
          <w:highlight w:val="none"/>
        </w:rPr>
      </w:pPr>
      <w:r>
        <w:rPr>
          <w:rStyle w:val="895"/>
          <w:rFonts w:hint="eastAsia" w:ascii="仿宋" w:hAnsi="仿宋" w:eastAsia="仿宋" w:cs="仿宋"/>
          <w:bCs/>
          <w:sz w:val="28"/>
          <w:szCs w:val="28"/>
          <w:highlight w:val="none"/>
        </w:rPr>
        <w:t xml:space="preserve">3.获取方式：本项目采用网上注册登记方式。</w:t>
      </w:r>
      <w:r/>
    </w:p>
    <w:p>
      <w:pPr>
        <w:ind w:firstLine="480"/>
        <w:jc w:val="left"/>
        <w:spacing w:line="360" w:lineRule="auto"/>
        <w:widowControl/>
        <w:rPr>
          <w:rStyle w:val="895"/>
          <w:rFonts w:hint="eastAsia" w:ascii="仿宋" w:hAnsi="仿宋" w:eastAsia="仿宋" w:cs="仿宋"/>
          <w:bCs/>
          <w:sz w:val="28"/>
          <w:szCs w:val="28"/>
          <w:highlight w:val="none"/>
        </w:rPr>
      </w:pPr>
      <w:r>
        <w:rPr>
          <w:rStyle w:val="895"/>
          <w:rFonts w:hint="eastAsia" w:ascii="仿宋" w:hAnsi="仿宋" w:eastAsia="仿宋" w:cs="仿宋"/>
          <w:bCs/>
          <w:sz w:val="28"/>
          <w:szCs w:val="28"/>
          <w:highlight w:val="none"/>
        </w:rPr>
        <w:t xml:space="preserve">3.1潜在供应商访问电子招标响应交易平台的网络地址和方法：</w:t>
      </w:r>
      <w:r/>
    </w:p>
    <w:p>
      <w:pPr>
        <w:ind w:firstLine="480"/>
        <w:jc w:val="left"/>
        <w:spacing w:line="360" w:lineRule="auto"/>
        <w:widowControl/>
        <w:rPr>
          <w:rStyle w:val="895"/>
          <w:rFonts w:hint="eastAsia" w:ascii="仿宋" w:hAnsi="仿宋" w:eastAsia="仿宋" w:cs="仿宋"/>
          <w:bCs/>
          <w:sz w:val="28"/>
          <w:szCs w:val="28"/>
          <w:highlight w:val="none"/>
        </w:rPr>
      </w:pPr>
      <w:r>
        <w:rPr>
          <w:rStyle w:val="895"/>
          <w:rFonts w:hint="eastAsia" w:ascii="仿宋" w:hAnsi="仿宋" w:eastAsia="仿宋" w:cs="仿宋"/>
          <w:bCs/>
          <w:sz w:val="28"/>
          <w:szCs w:val="28"/>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jc w:val="left"/>
        <w:spacing w:line="360" w:lineRule="auto"/>
        <w:widowControl/>
        <w:rPr>
          <w:rStyle w:val="895"/>
          <w:rFonts w:hint="eastAsia" w:ascii="仿宋" w:hAnsi="仿宋" w:eastAsia="仿宋" w:cs="仿宋"/>
          <w:bCs/>
          <w:sz w:val="28"/>
          <w:szCs w:val="28"/>
          <w:highlight w:val="none"/>
          <w:lang w:eastAsia="en-US"/>
        </w:rPr>
      </w:pPr>
      <w:r>
        <w:rPr>
          <w:rStyle w:val="895"/>
          <w:rFonts w:hint="eastAsia" w:ascii="仿宋" w:hAnsi="仿宋" w:eastAsia="仿宋" w:cs="仿宋"/>
          <w:bCs/>
          <w:sz w:val="28"/>
          <w:szCs w:val="28"/>
          <w:highlight w:val="none"/>
          <w:lang w:eastAsia="en-US"/>
        </w:rPr>
        <w:t xml:space="preserve">3.2潜在供应商访问“苏采云”系统的网络地址和方法：“苏采云”系统的网址：http://jszfcg.jsczt.cn/。</w:t>
      </w:r>
      <w:r/>
    </w:p>
    <w:p>
      <w:pPr>
        <w:ind w:firstLine="480"/>
        <w:jc w:val="left"/>
        <w:spacing w:line="360" w:lineRule="auto"/>
        <w:widowControl/>
        <w:rPr>
          <w:rStyle w:val="895"/>
          <w:rFonts w:hint="eastAsia" w:ascii="仿宋" w:hAnsi="仿宋" w:eastAsia="仿宋" w:cs="仿宋"/>
          <w:bCs/>
          <w:sz w:val="28"/>
          <w:szCs w:val="28"/>
          <w:highlight w:val="none"/>
        </w:rPr>
      </w:pPr>
      <w:r>
        <w:rPr>
          <w:rStyle w:val="895"/>
          <w:rFonts w:hint="eastAsia" w:ascii="仿宋" w:hAnsi="仿宋" w:eastAsia="仿宋" w:cs="仿宋"/>
          <w:bCs/>
          <w:sz w:val="28"/>
          <w:szCs w:val="28"/>
          <w:highlight w:val="none"/>
        </w:rPr>
        <w:t xml:space="preserve">3.3“CA数字证书”的获取：</w:t>
      </w:r>
      <w:r/>
    </w:p>
    <w:p>
      <w:pPr>
        <w:ind w:firstLine="480"/>
        <w:jc w:val="left"/>
        <w:spacing w:line="360" w:lineRule="auto"/>
        <w:widowControl/>
        <w:rPr>
          <w:rStyle w:val="895"/>
          <w:rFonts w:hint="eastAsia" w:ascii="仿宋" w:hAnsi="仿宋" w:eastAsia="仿宋" w:cs="仿宋"/>
          <w:bCs/>
          <w:sz w:val="28"/>
          <w:szCs w:val="28"/>
          <w:highlight w:val="none"/>
        </w:rPr>
      </w:pPr>
      <w:r>
        <w:rPr>
          <w:rStyle w:val="895"/>
          <w:rFonts w:hint="eastAsia" w:ascii="仿宋" w:hAnsi="仿宋" w:eastAsia="仿宋" w:cs="仿宋"/>
          <w:bCs/>
          <w:sz w:val="28"/>
          <w:szCs w:val="28"/>
          <w:highlight w:val="none"/>
        </w:rPr>
        <w:t xml:space="preserve">响应供应商需办理“CA 数字证书”，CA办理指南及“苏采云”操作手册可至江苏省政府采购网―办事指南-资料下载中心下载。</w:t>
      </w:r>
      <w:r/>
    </w:p>
    <w:p>
      <w:pPr>
        <w:ind w:firstLine="480"/>
        <w:jc w:val="left"/>
        <w:spacing w:line="360" w:lineRule="auto"/>
        <w:widowControl/>
        <w:rPr>
          <w:rStyle w:val="895"/>
          <w:rFonts w:hint="eastAsia" w:ascii="仿宋" w:hAnsi="仿宋" w:eastAsia="仿宋" w:cs="仿宋"/>
          <w:bCs/>
          <w:sz w:val="28"/>
          <w:szCs w:val="28"/>
          <w:highlight w:val="none"/>
          <w:lang w:eastAsia="en-US"/>
        </w:rPr>
      </w:pPr>
      <w:r>
        <w:rPr>
          <w:rStyle w:val="895"/>
          <w:rFonts w:hint="eastAsia" w:ascii="仿宋" w:hAnsi="仿宋" w:eastAsia="仿宋" w:cs="仿宋"/>
          <w:bCs/>
          <w:sz w:val="28"/>
          <w:szCs w:val="28"/>
          <w:highlight w:val="none"/>
          <w:lang w:eastAsia="en-US"/>
        </w:rPr>
        <w:t xml:space="preserve">通过苏采云系统首页（http://jszfcg.jscz.gov.cn/）的“苏采云控件驱动下载”，选择“政务CA、方正签章控件驱动安装包及安装说明”下载安装，具体安装方法详见下载文件内的《安装说明》。</w:t>
      </w:r>
      <w:r/>
    </w:p>
    <w:p>
      <w:pPr>
        <w:ind w:firstLine="480"/>
        <w:jc w:val="left"/>
        <w:spacing w:line="360" w:lineRule="auto"/>
        <w:widowControl/>
        <w:rPr>
          <w:rStyle w:val="895"/>
          <w:rFonts w:hint="eastAsia" w:ascii="仿宋" w:hAnsi="仿宋" w:eastAsia="仿宋" w:cs="仿宋"/>
          <w:bCs/>
          <w:sz w:val="28"/>
          <w:szCs w:val="28"/>
          <w:highlight w:val="none"/>
        </w:rPr>
      </w:pPr>
      <w:r>
        <w:rPr>
          <w:rStyle w:val="895"/>
          <w:rFonts w:hint="eastAsia" w:ascii="仿宋" w:hAnsi="仿宋" w:eastAsia="仿宋" w:cs="仿宋"/>
          <w:bCs/>
          <w:sz w:val="28"/>
          <w:szCs w:val="28"/>
          <w:highlight w:val="none"/>
        </w:rPr>
        <w:t xml:space="preserve">3.4采购文件（后缀名为“.kedt”）、供应商操作手册及政府采购客户端工具可通过“苏采云”系统--已报名项目--报名详情页面内相应链接进行下载。</w:t>
      </w:r>
      <w:r/>
    </w:p>
    <w:p>
      <w:pPr>
        <w:ind w:firstLine="480"/>
        <w:jc w:val="left"/>
        <w:spacing w:line="360" w:lineRule="auto"/>
        <w:widowControl/>
        <w:rPr>
          <w:rStyle w:val="895"/>
          <w:rFonts w:hint="eastAsia" w:ascii="仿宋" w:hAnsi="仿宋" w:eastAsia="仿宋" w:cs="仿宋"/>
          <w:bCs/>
          <w:sz w:val="28"/>
          <w:szCs w:val="28"/>
          <w:highlight w:val="none"/>
        </w:rPr>
      </w:pPr>
      <w:r>
        <w:rPr>
          <w:rStyle w:val="895"/>
          <w:rFonts w:hint="eastAsia" w:ascii="仿宋" w:hAnsi="仿宋" w:eastAsia="仿宋" w:cs="仿宋"/>
          <w:bCs/>
          <w:sz w:val="28"/>
          <w:szCs w:val="28"/>
          <w:highlight w:val="none"/>
        </w:rPr>
        <w:t xml:space="preserve">3.5采购人或采购代理机构将数据电文形式的采购文件加载至“苏采云”系统，供潜在供应商下载或者查阅。</w:t>
      </w:r>
      <w:r/>
    </w:p>
    <w:p>
      <w:pPr>
        <w:ind w:firstLine="480"/>
        <w:jc w:val="left"/>
        <w:spacing w:line="360" w:lineRule="auto"/>
        <w:widowControl/>
        <w:rPr>
          <w:rStyle w:val="895"/>
          <w:rFonts w:hint="eastAsia" w:ascii="仿宋" w:hAnsi="仿宋" w:eastAsia="仿宋" w:cs="仿宋"/>
          <w:bCs/>
          <w:sz w:val="28"/>
          <w:szCs w:val="28"/>
          <w:highlight w:val="none"/>
        </w:rPr>
      </w:pPr>
      <w:r>
        <w:rPr>
          <w:rStyle w:val="895"/>
          <w:rFonts w:hint="eastAsia" w:ascii="仿宋" w:hAnsi="仿宋" w:eastAsia="仿宋" w:cs="仿宋"/>
          <w:bCs/>
          <w:sz w:val="28"/>
          <w:szCs w:val="28"/>
          <w:highlight w:val="none"/>
        </w:rPr>
        <w:t xml:space="preserve">3.6请潜在供应商提前安装相应的控件（详见《江苏省政府采购管理交易系统（苏采云）供应商操作手册》）并使用谷歌浏览器登录“苏采云”系统参与不见面开评标。</w:t>
      </w:r>
      <w:r/>
    </w:p>
    <w:p>
      <w:pPr>
        <w:ind w:firstLine="480"/>
        <w:jc w:val="left"/>
        <w:spacing w:line="360" w:lineRule="auto"/>
        <w:widowControl/>
        <w:rPr>
          <w:rStyle w:val="895"/>
          <w:rFonts w:hint="eastAsia" w:ascii="仿宋" w:hAnsi="仿宋" w:eastAsia="仿宋" w:cs="仿宋"/>
          <w:bCs/>
          <w:sz w:val="28"/>
          <w:szCs w:val="28"/>
          <w:highlight w:val="none"/>
        </w:rPr>
      </w:pPr>
      <w:r>
        <w:rPr>
          <w:rStyle w:val="895"/>
          <w:rFonts w:hint="eastAsia" w:ascii="仿宋" w:hAnsi="仿宋" w:eastAsia="仿宋" w:cs="仿宋"/>
          <w:bCs/>
          <w:sz w:val="28"/>
          <w:szCs w:val="28"/>
          <w:highlight w:val="none"/>
        </w:rPr>
        <w:t xml:space="preserve">3.7开评标</w:t>
      </w:r>
      <w:r>
        <w:rPr>
          <w:rStyle w:val="895"/>
          <w:rFonts w:hint="eastAsia" w:ascii="仿宋" w:hAnsi="仿宋" w:eastAsia="仿宋" w:cs="仿宋"/>
          <w:bCs/>
          <w:sz w:val="28"/>
          <w:szCs w:val="28"/>
          <w:highlight w:val="none"/>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firstLine="482"/>
        <w:jc w:val="left"/>
        <w:spacing w:line="360" w:lineRule="auto"/>
        <w:widowControl/>
        <w:rPr>
          <w:rStyle w:val="895"/>
          <w:rFonts w:hint="eastAsia" w:ascii="仿宋" w:hAnsi="仿宋" w:eastAsia="仿宋" w:cs="仿宋"/>
          <w:b/>
          <w:sz w:val="28"/>
          <w:szCs w:val="28"/>
          <w:highlight w:val="none"/>
        </w:rPr>
      </w:pPr>
      <w:r>
        <w:rPr>
          <w:rStyle w:val="895"/>
          <w:rFonts w:hint="eastAsia" w:ascii="仿宋" w:hAnsi="仿宋" w:eastAsia="仿宋" w:cs="仿宋"/>
          <w:b/>
          <w:sz w:val="28"/>
          <w:szCs w:val="28"/>
          <w:highlight w:val="none"/>
        </w:rPr>
        <w:t xml:space="preserve">注：如潜在供应商未按上述要求操作，将自行承担所产生的风险。</w:t>
      </w:r>
      <w:r/>
    </w:p>
    <w:p>
      <w:pPr>
        <w:pStyle w:val="870"/>
        <w:ind w:firstLine="482"/>
        <w:spacing w:before="0"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四、响应文件提交</w:t>
      </w:r>
      <w:bookmarkEnd w:id="8"/>
      <w:r/>
      <w:bookmarkEnd w:id="9"/>
      <w:r/>
      <w:bookmarkEnd w:id="10"/>
      <w:r/>
      <w:bookmarkEnd w:id="11"/>
      <w:r/>
      <w:r/>
    </w:p>
    <w:p>
      <w:pPr>
        <w:ind w:firstLine="480"/>
        <w:spacing w:line="360" w:lineRule="auto"/>
        <w:rPr>
          <w:rFonts w:hint="eastAsia" w:ascii="仿宋" w:hAnsi="仿宋" w:eastAsia="仿宋" w:cs="仿宋"/>
          <w:sz w:val="28"/>
          <w:szCs w:val="28"/>
          <w:highlight w:val="none"/>
        </w:rPr>
      </w:pPr>
      <w:r/>
      <w:bookmarkStart w:id="12" w:name="_Toc35393802"/>
      <w:r/>
      <w:bookmarkStart w:id="13" w:name="_Toc28359093"/>
      <w:r/>
      <w:bookmarkStart w:id="14" w:name="_Toc35393633"/>
      <w:r/>
      <w:bookmarkStart w:id="15" w:name="_Toc28359016"/>
      <w:r>
        <w:rPr>
          <w:rFonts w:hint="eastAsia" w:ascii="仿宋" w:hAnsi="仿宋" w:eastAsia="仿宋" w:cs="仿宋"/>
          <w:sz w:val="28"/>
          <w:szCs w:val="28"/>
          <w:highlight w:val="none"/>
        </w:rPr>
        <w:t xml:space="preserve">1.响应文件提交截止时间：</w:t>
      </w:r>
      <w:r>
        <w:rPr>
          <w:rFonts w:hint="eastAsia" w:ascii="仿宋" w:hAnsi="仿宋" w:eastAsia="仿宋" w:cs="仿宋"/>
          <w:b/>
          <w:bCs/>
          <w:sz w:val="28"/>
          <w:szCs w:val="28"/>
          <w:highlight w:val="none"/>
        </w:rPr>
        <w:t xml:space="preserve">202</w:t>
      </w:r>
      <w:r>
        <w:rPr>
          <w:rFonts w:hint="eastAsia" w:ascii="仿宋" w:hAnsi="仿宋" w:eastAsia="仿宋" w:cs="仿宋"/>
          <w:b/>
          <w:bCs/>
          <w:sz w:val="28"/>
          <w:szCs w:val="28"/>
          <w:highlight w:val="none"/>
          <w:lang w:val="en-US" w:eastAsia="zh-CN"/>
        </w:rPr>
        <w:t xml:space="preserve">6</w:t>
      </w:r>
      <w:r>
        <w:rPr>
          <w:rFonts w:hint="eastAsia" w:ascii="仿宋" w:hAnsi="仿宋" w:eastAsia="仿宋" w:cs="仿宋"/>
          <w:b/>
          <w:bCs/>
          <w:sz w:val="28"/>
          <w:szCs w:val="28"/>
          <w:highlight w:val="none"/>
        </w:rPr>
        <w:t xml:space="preserve">年</w:t>
      </w:r>
      <w:r>
        <w:rPr>
          <w:rFonts w:hint="eastAsia" w:ascii="仿宋" w:hAnsi="仿宋" w:eastAsia="仿宋" w:cs="仿宋"/>
          <w:b/>
          <w:bCs/>
          <w:sz w:val="28"/>
          <w:szCs w:val="28"/>
          <w:highlight w:val="none"/>
        </w:rPr>
        <w:t xml:space="preserve"> </w:t>
      </w:r>
      <w:r>
        <w:rPr>
          <w:rFonts w:hint="eastAsia" w:ascii="仿宋" w:hAnsi="仿宋" w:eastAsia="仿宋" w:cs="仿宋"/>
          <w:b/>
          <w:bCs/>
          <w:sz w:val="28"/>
          <w:szCs w:val="28"/>
          <w:highlight w:val="none"/>
          <w:lang w:val="en-US" w:eastAsia="zh-CN"/>
        </w:rPr>
        <w:t xml:space="preserve">5</w:t>
      </w:r>
      <w:r>
        <w:rPr>
          <w:rFonts w:hint="eastAsia" w:ascii="仿宋" w:hAnsi="仿宋" w:eastAsia="仿宋" w:cs="仿宋"/>
          <w:b/>
          <w:bCs/>
          <w:sz w:val="28"/>
          <w:szCs w:val="28"/>
          <w:highlight w:val="none"/>
        </w:rPr>
        <w:t xml:space="preserve">月</w:t>
      </w:r>
      <w:r>
        <w:rPr>
          <w:rFonts w:hint="eastAsia" w:ascii="仿宋" w:hAnsi="仿宋" w:eastAsia="仿宋" w:cs="仿宋"/>
          <w:b/>
          <w:bCs/>
          <w:sz w:val="28"/>
          <w:szCs w:val="28"/>
          <w:highlight w:val="none"/>
          <w:lang w:val="en-US" w:eastAsia="zh-CN"/>
        </w:rPr>
        <w:t xml:space="preserve">22</w:t>
      </w:r>
      <w:r>
        <w:rPr>
          <w:rFonts w:hint="eastAsia" w:ascii="仿宋" w:hAnsi="仿宋" w:eastAsia="仿宋" w:cs="仿宋"/>
          <w:b/>
          <w:bCs/>
          <w:sz w:val="28"/>
          <w:szCs w:val="28"/>
          <w:highlight w:val="none"/>
        </w:rPr>
        <w:t xml:space="preserve">日</w:t>
      </w:r>
      <w:r>
        <w:rPr>
          <w:rFonts w:hint="eastAsia" w:ascii="仿宋" w:hAnsi="仿宋" w:eastAsia="仿宋" w:cs="仿宋"/>
          <w:b/>
          <w:bCs/>
          <w:sz w:val="28"/>
          <w:szCs w:val="28"/>
          <w:highlight w:val="none"/>
          <w:lang w:val="en-US" w:eastAsia="zh-CN"/>
        </w:rPr>
        <w:t xml:space="preserve">09</w:t>
      </w:r>
      <w:r>
        <w:rPr>
          <w:rFonts w:hint="eastAsia" w:ascii="仿宋" w:hAnsi="仿宋" w:eastAsia="仿宋" w:cs="仿宋"/>
          <w:b/>
          <w:bCs/>
          <w:sz w:val="28"/>
          <w:szCs w:val="28"/>
          <w:highlight w:val="none"/>
        </w:rPr>
        <w:t xml:space="preserve">时</w:t>
      </w:r>
      <w:r>
        <w:rPr>
          <w:rFonts w:hint="eastAsia" w:ascii="仿宋" w:hAnsi="仿宋" w:eastAsia="仿宋" w:cs="仿宋"/>
          <w:b/>
          <w:bCs/>
          <w:sz w:val="28"/>
          <w:szCs w:val="28"/>
          <w:highlight w:val="none"/>
          <w:lang w:val="en-US" w:eastAsia="zh-CN"/>
        </w:rPr>
        <w:t xml:space="preserve">3</w:t>
      </w:r>
      <w:r>
        <w:rPr>
          <w:rFonts w:hint="eastAsia" w:ascii="仿宋" w:hAnsi="仿宋" w:eastAsia="仿宋" w:cs="仿宋"/>
          <w:b/>
          <w:bCs/>
          <w:sz w:val="28"/>
          <w:szCs w:val="28"/>
          <w:highlight w:val="none"/>
        </w:rPr>
        <w:t xml:space="preserve">0分</w:t>
      </w:r>
      <w:r>
        <w:rPr>
          <w:rFonts w:hint="eastAsia" w:ascii="仿宋" w:hAnsi="仿宋" w:eastAsia="仿宋" w:cs="仿宋"/>
          <w:b/>
          <w:bCs/>
          <w:sz w:val="28"/>
          <w:szCs w:val="28"/>
          <w:highlight w:val="none"/>
        </w:rPr>
        <w:t xml:space="preserve">（北京时间）</w:t>
      </w:r>
      <w:r>
        <w:rPr>
          <w:rFonts w:hint="eastAsia" w:ascii="仿宋" w:hAnsi="仿宋" w:eastAsia="仿宋" w:cs="仿宋"/>
          <w:sz w:val="28"/>
          <w:szCs w:val="28"/>
          <w:highlight w:val="none"/>
        </w:rPr>
        <w:t xml:space="preserve">。逾时，“苏采云”系统将拒绝接受上传响应文件电子文档。</w:t>
      </w:r>
      <w:r/>
    </w:p>
    <w:p>
      <w:pPr>
        <w:ind w:firstLine="480"/>
        <w:spacing w:line="360" w:lineRule="auto"/>
        <w:rPr>
          <w:rFonts w:hint="eastAsia" w:ascii="仿宋" w:hAnsi="仿宋" w:eastAsia="仿宋" w:cs="仿宋"/>
          <w:sz w:val="28"/>
          <w:szCs w:val="28"/>
          <w:highlight w:val="none"/>
          <w:lang w:eastAsia="en-US"/>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eastAsia="en-US"/>
        </w:rPr>
        <w:t xml:space="preserve">地点：“苏采云”系统（网址：http://jszfcg.jsczt.cn/）</w:t>
      </w:r>
      <w:r/>
    </w:p>
    <w:p>
      <w:pPr>
        <w:ind w:firstLine="482"/>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五、开启</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1.时间：</w:t>
      </w:r>
      <w:r>
        <w:rPr>
          <w:rFonts w:hint="eastAsia" w:ascii="仿宋" w:hAnsi="仿宋" w:eastAsia="仿宋" w:cs="仿宋"/>
          <w:b/>
          <w:bCs/>
          <w:sz w:val="28"/>
          <w:szCs w:val="28"/>
          <w:highlight w:val="none"/>
        </w:rPr>
        <w:t xml:space="preserve">202</w:t>
      </w:r>
      <w:r>
        <w:rPr>
          <w:rFonts w:hint="eastAsia" w:ascii="仿宋" w:hAnsi="仿宋" w:eastAsia="仿宋" w:cs="仿宋"/>
          <w:b/>
          <w:bCs/>
          <w:sz w:val="28"/>
          <w:szCs w:val="28"/>
          <w:highlight w:val="none"/>
          <w:lang w:val="en-US" w:eastAsia="zh-CN"/>
        </w:rPr>
        <w:t xml:space="preserve">6</w:t>
      </w:r>
      <w:r>
        <w:rPr>
          <w:rFonts w:hint="eastAsia" w:ascii="仿宋" w:hAnsi="仿宋" w:eastAsia="仿宋" w:cs="仿宋"/>
          <w:b/>
          <w:bCs/>
          <w:sz w:val="28"/>
          <w:szCs w:val="28"/>
          <w:highlight w:val="none"/>
        </w:rPr>
        <w:t xml:space="preserve">年</w:t>
      </w:r>
      <w:r>
        <w:rPr>
          <w:rFonts w:hint="eastAsia" w:ascii="仿宋" w:hAnsi="仿宋" w:eastAsia="仿宋" w:cs="仿宋"/>
          <w:b/>
          <w:bCs/>
          <w:sz w:val="28"/>
          <w:szCs w:val="28"/>
          <w:highlight w:val="none"/>
          <w:lang w:val="en-US" w:eastAsia="zh-CN"/>
        </w:rPr>
        <w:t xml:space="preserve"> 5 </w:t>
      </w:r>
      <w:r>
        <w:rPr>
          <w:rFonts w:hint="eastAsia" w:ascii="仿宋" w:hAnsi="仿宋" w:eastAsia="仿宋" w:cs="仿宋"/>
          <w:b/>
          <w:bCs/>
          <w:sz w:val="28"/>
          <w:szCs w:val="28"/>
          <w:highlight w:val="none"/>
        </w:rPr>
        <w:t xml:space="preserve">月</w:t>
      </w:r>
      <w:r>
        <w:rPr>
          <w:rFonts w:hint="eastAsia" w:ascii="仿宋" w:hAnsi="仿宋" w:eastAsia="仿宋" w:cs="仿宋"/>
          <w:b/>
          <w:bCs/>
          <w:sz w:val="28"/>
          <w:szCs w:val="28"/>
          <w:highlight w:val="none"/>
          <w:lang w:val="en-US" w:eastAsia="zh-CN"/>
        </w:rPr>
        <w:t xml:space="preserve">22</w:t>
      </w:r>
      <w:r>
        <w:rPr>
          <w:rFonts w:hint="eastAsia" w:ascii="仿宋" w:hAnsi="仿宋" w:eastAsia="仿宋" w:cs="仿宋"/>
          <w:b/>
          <w:bCs/>
          <w:sz w:val="28"/>
          <w:szCs w:val="28"/>
          <w:highlight w:val="none"/>
        </w:rPr>
        <w:t xml:space="preserve">日</w:t>
      </w:r>
      <w:r>
        <w:rPr>
          <w:rFonts w:hint="eastAsia" w:ascii="仿宋" w:hAnsi="仿宋" w:eastAsia="仿宋" w:cs="仿宋"/>
          <w:b/>
          <w:bCs/>
          <w:sz w:val="28"/>
          <w:szCs w:val="28"/>
          <w:highlight w:val="none"/>
          <w:lang w:val="en-US" w:eastAsia="zh-CN"/>
        </w:rPr>
        <w:t xml:space="preserve">09</w:t>
      </w:r>
      <w:r>
        <w:rPr>
          <w:rFonts w:hint="eastAsia" w:ascii="仿宋" w:hAnsi="仿宋" w:eastAsia="仿宋" w:cs="仿宋"/>
          <w:b/>
          <w:bCs/>
          <w:sz w:val="28"/>
          <w:szCs w:val="28"/>
          <w:highlight w:val="none"/>
        </w:rPr>
        <w:t xml:space="preserve">时30分</w:t>
      </w:r>
      <w:r>
        <w:rPr>
          <w:rFonts w:hint="eastAsia" w:ascii="仿宋" w:hAnsi="仿宋" w:eastAsia="仿宋" w:cs="仿宋"/>
          <w:b/>
          <w:bCs/>
          <w:sz w:val="28"/>
          <w:szCs w:val="28"/>
          <w:highlight w:val="none"/>
        </w:rPr>
        <w:t xml:space="preserve">（北京时间）</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2.地点：</w:t>
      </w:r>
      <w:r>
        <w:rPr>
          <w:rFonts w:hint="eastAsia" w:ascii="仿宋" w:hAnsi="仿宋" w:eastAsia="仿宋" w:cs="仿宋"/>
          <w:sz w:val="28"/>
          <w:szCs w:val="28"/>
          <w:highlight w:val="none"/>
          <w:lang w:eastAsia="en-US"/>
        </w:rPr>
        <w:t xml:space="preserve">“苏采云”系统（网址：http://jszfcg.jsczt.cn/）“开标大厅”</w:t>
      </w:r>
      <w:r/>
    </w:p>
    <w:p>
      <w:pPr>
        <w:ind w:firstLine="560"/>
        <w:spacing w:line="36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仿宋" w:hAnsi="仿宋" w:eastAsia="仿宋" w:cs="仿宋"/>
          <w:b/>
          <w:sz w:val="28"/>
          <w:szCs w:val="28"/>
          <w:highlight w:val="none"/>
        </w:rPr>
        <w:t xml:space="preserve">投标供应商解密限定在开标后</w:t>
      </w:r>
      <w:r>
        <w:rPr>
          <w:rFonts w:hint="eastAsia" w:ascii="仿宋" w:hAnsi="仿宋" w:eastAsia="仿宋" w:cs="仿宋"/>
          <w:b/>
          <w:color w:val="ff0000"/>
          <w:sz w:val="28"/>
          <w:szCs w:val="28"/>
          <w:highlight w:val="none"/>
        </w:rPr>
        <w:t xml:space="preserve">30</w:t>
      </w:r>
      <w:r>
        <w:rPr>
          <w:rFonts w:hint="eastAsia" w:ascii="仿宋" w:hAnsi="仿宋" w:eastAsia="仿宋" w:cs="仿宋"/>
          <w:b/>
          <w:sz w:val="28"/>
          <w:szCs w:val="28"/>
          <w:highlight w:val="none"/>
        </w:rPr>
        <w:t xml:space="preserve">分钟之内完成</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2"/>
        <w:spacing w:line="36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注：</w:t>
      </w:r>
      <w:r>
        <w:rPr>
          <w:rFonts w:hint="eastAsia" w:ascii="仿宋" w:hAnsi="仿宋" w:eastAsia="仿宋" w:cs="仿宋"/>
          <w:sz w:val="28"/>
          <w:szCs w:val="28"/>
          <w:highlight w:val="none"/>
        </w:rPr>
        <w:t xml:space="preserve">各供应商请关注开标大厅交流区，在开标结束后，请勿离开开标大厅。采购人或采购代理机构通知最后报价填报后，所有的响应供应商须在</w:t>
      </w:r>
      <w:r>
        <w:rPr>
          <w:rFonts w:hint="eastAsia" w:ascii="仿宋" w:hAnsi="仿宋" w:eastAsia="仿宋" w:cs="仿宋"/>
          <w:color w:val="ff0000"/>
          <w:sz w:val="28"/>
          <w:szCs w:val="28"/>
          <w:highlight w:val="none"/>
        </w:rPr>
        <w:t xml:space="preserve">15</w:t>
      </w:r>
      <w:r>
        <w:rPr>
          <w:rFonts w:hint="eastAsia" w:ascii="仿宋" w:hAnsi="仿宋" w:eastAsia="仿宋" w:cs="仿宋"/>
          <w:sz w:val="28"/>
          <w:szCs w:val="28"/>
          <w:highlight w:val="none"/>
        </w:rPr>
        <w:t xml:space="preserve">分钟内填写并提交最后报价，未在规定时间内提交最后报价的，视作无效响应处理。</w:t>
      </w:r>
      <w:bookmarkEnd w:id="12"/>
      <w:r/>
      <w:bookmarkEnd w:id="13"/>
      <w:r/>
      <w:bookmarkEnd w:id="14"/>
      <w:r/>
      <w:bookmarkEnd w:id="15"/>
      <w:r/>
      <w:r/>
    </w:p>
    <w:p>
      <w:pPr>
        <w:ind w:firstLine="482"/>
        <w:spacing w:line="360" w:lineRule="auto"/>
        <w:rPr>
          <w:rFonts w:hint="eastAsia" w:ascii="仿宋" w:hAnsi="仿宋" w:eastAsia="仿宋" w:cs="仿宋"/>
          <w:bCs/>
          <w:sz w:val="28"/>
          <w:szCs w:val="28"/>
          <w:highlight w:val="none"/>
        </w:rPr>
        <w:outlineLvl w:val="1"/>
      </w:pPr>
      <w:r>
        <w:rPr>
          <w:rFonts w:hint="eastAsia" w:ascii="仿宋" w:hAnsi="仿宋" w:eastAsia="仿宋" w:cs="仿宋"/>
          <w:b/>
          <w:bCs/>
          <w:sz w:val="28"/>
          <w:szCs w:val="28"/>
          <w:highlight w:val="none"/>
        </w:rPr>
        <w:t xml:space="preserve">六、公告期限：</w:t>
      </w:r>
      <w:r>
        <w:rPr>
          <w:rFonts w:hint="eastAsia" w:ascii="仿宋" w:hAnsi="仿宋" w:eastAsia="仿宋" w:cs="仿宋"/>
          <w:sz w:val="28"/>
          <w:szCs w:val="28"/>
          <w:highlight w:val="none"/>
        </w:rPr>
        <w:t xml:space="preserve">自</w:t>
      </w:r>
      <w:r>
        <w:rPr>
          <w:rFonts w:hint="eastAsia" w:ascii="仿宋" w:hAnsi="仿宋" w:eastAsia="仿宋" w:cs="仿宋"/>
          <w:bCs/>
          <w:sz w:val="28"/>
          <w:szCs w:val="28"/>
          <w:highlight w:val="none"/>
        </w:rPr>
        <w:t xml:space="preserve">本公告发布之日起3个工作日。</w:t>
      </w:r>
      <w:bookmarkStart w:id="16" w:name="_Toc35393635"/>
      <w:r/>
      <w:bookmarkEnd w:id="16"/>
      <w:r/>
      <w:bookmarkStart w:id="17" w:name="_Toc35393804"/>
      <w:r/>
      <w:bookmarkEnd w:id="17"/>
      <w:r/>
      <w:r/>
    </w:p>
    <w:p>
      <w:pPr>
        <w:ind w:firstLine="482"/>
        <w:spacing w:line="360" w:lineRule="auto"/>
        <w:rPr>
          <w:rFonts w:hint="eastAsia" w:ascii="仿宋" w:hAnsi="仿宋" w:eastAsia="仿宋" w:cs="仿宋"/>
          <w:b/>
          <w:bCs/>
          <w:sz w:val="28"/>
          <w:szCs w:val="28"/>
          <w:highlight w:val="none"/>
        </w:rPr>
        <w:outlineLvl w:val="1"/>
      </w:pPr>
      <w:r>
        <w:rPr>
          <w:rFonts w:hint="eastAsia" w:ascii="仿宋" w:hAnsi="仿宋" w:eastAsia="仿宋" w:cs="仿宋"/>
          <w:b/>
          <w:bCs/>
          <w:sz w:val="28"/>
          <w:szCs w:val="28"/>
          <w:highlight w:val="none"/>
        </w:rPr>
        <w:t xml:space="preserve">七、其他补充事宜</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1.磋商保证金：免收。</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2.项目磋商活动模式：不见面远程磋商模式，供应商在各自地点通过不见面交易系统参加开标会。 </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3.项目演示、样品、答辩等（如有请描述）：无；</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供应商应依照规定提交各类声明函、承诺函，不再同时提供原件备查或提供有关部门出具的相关证明文件。但成交供应商应做好提交声明函、承诺函、业绩、认证相应原件的核查准备；核查后发现虚假或违背承诺的，依照相关法律法规规定处理。</w:t>
      </w:r>
      <w:r/>
    </w:p>
    <w:p>
      <w:pPr>
        <w:ind w:firstLine="562"/>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5.本项目属于非招标方式，不存在唱标环节。按照政府采购法律制度规定，在磋商中任何一方不得透露与磋商有关的其他供应商的技术资料、价格和其他信息，因此不公开唱标。最终成交供应商名称和成交金额可通过江苏省政府采购网站发布成交结果公告获得。</w:t>
      </w:r>
      <w:r/>
    </w:p>
    <w:p>
      <w:pPr>
        <w:pStyle w:val="870"/>
        <w:ind w:firstLine="482"/>
        <w:spacing w:before="0"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八、凡对本次采购提出询问，请按以下方式联系</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1.采购人信息</w:t>
      </w:r>
      <w:r/>
    </w:p>
    <w:p>
      <w:pPr>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 称：南通市生态环境监测站</w:t>
      </w:r>
      <w:r/>
    </w:p>
    <w:p>
      <w:pPr>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地址：南通市通州区朝霞路99号5号楼</w:t>
      </w:r>
      <w:r/>
    </w:p>
    <w:p>
      <w:pPr>
        <w:ind w:firstLine="560"/>
        <w:jc w:val="left"/>
        <w:spacing w:line="360" w:lineRule="auto"/>
        <w:rPr>
          <w:rFonts w:hint="default" w:ascii="仿宋" w:hAnsi="仿宋" w:eastAsia="仿宋" w:cs="仿宋"/>
          <w:color w:val="0000ff"/>
          <w:sz w:val="28"/>
          <w:szCs w:val="28"/>
          <w:highlight w:val="none"/>
          <w:lang w:val="en-US" w:eastAsia="zh-CN"/>
        </w:rPr>
      </w:pPr>
      <w:r>
        <w:rPr>
          <w:rFonts w:hint="eastAsia" w:ascii="仿宋" w:hAnsi="仿宋" w:eastAsia="仿宋" w:cs="仿宋"/>
          <w:color w:val="000000"/>
          <w:sz w:val="28"/>
          <w:szCs w:val="28"/>
          <w:highlight w:val="none"/>
        </w:rPr>
        <w:t xml:space="preserve">联系方式：</w:t>
      </w:r>
      <w:r>
        <w:rPr>
          <w:rFonts w:hint="eastAsia" w:ascii="仿宋" w:hAnsi="仿宋" w:eastAsia="仿宋" w:cs="仿宋"/>
          <w:color w:val="000000"/>
          <w:sz w:val="28"/>
          <w:szCs w:val="28"/>
          <w:highlight w:val="none"/>
          <w:lang w:val="en-US" w:eastAsia="zh-CN"/>
        </w:rPr>
        <w:t xml:space="preserve"> 曹先生 （电话：0513-86513263） </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p>
    <w:p>
      <w:pPr>
        <w:ind w:firstLine="480"/>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名称：</w:t>
      </w:r>
      <w:r>
        <w:rPr>
          <w:rFonts w:hint="eastAsia" w:ascii="仿宋" w:hAnsi="仿宋" w:eastAsia="仿宋" w:cs="仿宋"/>
          <w:sz w:val="28"/>
          <w:szCs w:val="28"/>
          <w:highlight w:val="none"/>
          <w:lang w:eastAsia="zh-CN"/>
        </w:rPr>
        <w:t xml:space="preserve">江苏澄建正达工程项目管理有限公司</w:t>
      </w:r>
      <w:r/>
    </w:p>
    <w:p>
      <w:pPr>
        <w:ind w:firstLine="48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地址：南通市崇川区</w:t>
      </w:r>
      <w:r>
        <w:rPr>
          <w:rFonts w:hint="eastAsia" w:ascii="仿宋" w:hAnsi="仿宋" w:eastAsia="仿宋" w:cs="仿宋"/>
          <w:sz w:val="28"/>
          <w:szCs w:val="28"/>
          <w:highlight w:val="none"/>
          <w:lang w:val="en-US" w:eastAsia="zh-CN"/>
        </w:rPr>
        <w:t xml:space="preserve">通京大道14号</w:t>
      </w:r>
      <w:r/>
    </w:p>
    <w:p>
      <w:pPr>
        <w:ind w:firstLine="48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联系方式：</w:t>
      </w:r>
      <w:r>
        <w:rPr>
          <w:rFonts w:hint="eastAsia" w:ascii="仿宋" w:hAnsi="仿宋" w:eastAsia="仿宋" w:cs="仿宋"/>
          <w:sz w:val="28"/>
          <w:szCs w:val="28"/>
          <w:highlight w:val="none"/>
          <w:lang w:val="en-US" w:eastAsia="zh-CN"/>
        </w:rPr>
        <w:t xml:space="preserve">郑</w:t>
      </w:r>
      <w:r>
        <w:rPr>
          <w:rFonts w:hint="eastAsia" w:ascii="仿宋" w:hAnsi="仿宋" w:eastAsia="仿宋" w:cs="仿宋"/>
          <w:sz w:val="28"/>
          <w:szCs w:val="28"/>
          <w:highlight w:val="none"/>
        </w:rPr>
        <w:t xml:space="preserve">女士</w:t>
      </w:r>
      <w:r>
        <w:rPr>
          <w:rFonts w:hint="eastAsia" w:ascii="仿宋" w:hAnsi="仿宋" w:eastAsia="仿宋" w:cs="仿宋"/>
          <w:sz w:val="28"/>
          <w:szCs w:val="28"/>
          <w:highlight w:val="none"/>
          <w:lang w:val="en-US" w:eastAsia="zh-CN"/>
        </w:rPr>
        <w:t xml:space="preserve">  18651320756</w:t>
      </w:r>
      <w:r/>
    </w:p>
    <w:p>
      <w:pPr>
        <w:numPr>
          <w:ilvl w:val="0"/>
          <w:numId w:val="0"/>
        </w:numPr>
        <w:ind w:firstLine="1960"/>
        <w:spacing w:line="360" w:lineRule="auto"/>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 xml:space="preserve">王先生  18851386789</w:t>
      </w:r>
      <w:r/>
    </w:p>
    <w:p>
      <w:pPr>
        <w:numPr>
          <w:ilvl w:val="0"/>
          <w:numId w:val="2"/>
        </w:num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软件技术支持：0519-86722801。</w:t>
      </w:r>
      <w:r/>
    </w:p>
    <w:p>
      <w:pPr>
        <w:pStyle w:val="870"/>
        <w:ind w:firstLine="482"/>
        <w:jc w:val="right"/>
        <w:spacing w:before="0" w:after="0" w:line="360" w:lineRule="auto"/>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lang w:eastAsia="zh-CN"/>
        </w:rPr>
        <w:t xml:space="preserve">南通市生态环境监测站</w:t>
      </w:r>
      <w:r/>
    </w:p>
    <w:p>
      <w:pPr>
        <w:pStyle w:val="870"/>
        <w:ind w:firstLine="482"/>
        <w:spacing w:before="0"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附件:</w:t>
      </w:r>
      <w:r/>
    </w:p>
    <w:p>
      <w:pPr>
        <w:pStyle w:val="870"/>
        <w:ind w:firstLine="482"/>
        <w:spacing w:before="0"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1.竞争性磋商文件</w:t>
      </w:r>
      <w:r/>
    </w:p>
    <w:p>
      <w:pPr>
        <w:pStyle w:val="870"/>
        <w:ind w:firstLine="482"/>
        <w:spacing w:before="0"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2.采购人信用承诺书</w:t>
      </w:r>
      <w:r/>
    </w:p>
    <w:p>
      <w:pPr>
        <w:pStyle w:val="870"/>
        <w:ind w:firstLine="482"/>
        <w:spacing w:before="0"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3.公平竞争审查二维码</w:t>
      </w:r>
      <w:r/>
    </w:p>
    <w:p>
      <w:pPr>
        <w:pStyle w:val="870"/>
        <w:ind w:firstLine="482"/>
        <w:spacing w:before="0"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4.“苏采云”系统供应商操作手册</w:t>
      </w:r>
      <w:r/>
    </w:p>
    <w:p>
      <w:pPr>
        <w:pStyle w:val="870"/>
        <w:ind w:firstLine="482"/>
        <w:spacing w:before="0" w:after="0" w:line="360" w:lineRule="auto"/>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5.办理政采贷和履约保函（保险）告知函</w:t>
      </w:r>
      <w:r/>
    </w:p>
    <w:p>
      <w:pPr>
        <w:ind w:firstLine="420"/>
        <w:spacing w:line="44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pStyle w:val="869"/>
        <w:ind w:firstLine="883"/>
        <w:jc w:val="center"/>
        <w:keepLines w:val="0"/>
        <w:keepNext w:val="0"/>
        <w:spacing w:before="0" w:after="0" w:line="800" w:lineRule="exact"/>
        <w:rPr>
          <w:rFonts w:hint="eastAsia" w:ascii="仿宋" w:hAnsi="仿宋" w:eastAsia="仿宋" w:cs="仿宋"/>
          <w:sz w:val="32"/>
          <w:szCs w:val="32"/>
          <w:highlight w:val="none"/>
        </w:rPr>
      </w:pPr>
      <w:r>
        <w:rPr>
          <w:rFonts w:hint="eastAsia" w:ascii="仿宋" w:hAnsi="仿宋" w:eastAsia="仿宋" w:cs="仿宋"/>
          <w:szCs w:val="44"/>
          <w:highlight w:val="none"/>
        </w:rPr>
        <w:br w:type="page" w:clear="all"/>
      </w:r>
      <w:r>
        <w:rPr>
          <w:rFonts w:hint="eastAsia" w:ascii="仿宋" w:hAnsi="仿宋" w:eastAsia="仿宋" w:cs="仿宋"/>
          <w:sz w:val="32"/>
          <w:szCs w:val="32"/>
          <w:highlight w:val="none"/>
        </w:rPr>
        <w:t xml:space="preserve">第二章  供应商须知</w:t>
      </w:r>
      <w:r/>
    </w:p>
    <w:p>
      <w:pPr>
        <w:ind w:firstLine="482"/>
        <w:keepLines/>
        <w:keepNext/>
        <w:spacing w:line="360" w:lineRule="auto"/>
        <w:rPr>
          <w:rFonts w:hint="eastAsia" w:ascii="仿宋" w:hAnsi="仿宋" w:eastAsia="仿宋" w:cs="仿宋"/>
          <w:b/>
          <w:bCs/>
          <w:sz w:val="28"/>
          <w:szCs w:val="28"/>
          <w:highlight w:val="none"/>
        </w:rPr>
        <w:outlineLvl w:val="2"/>
      </w:pPr>
      <w:r/>
      <w:bookmarkStart w:id="18" w:name="_Toc513029203"/>
      <w:r/>
      <w:bookmarkStart w:id="19" w:name="_Toc120614214"/>
      <w:r/>
      <w:bookmarkStart w:id="20" w:name="_Toc16938519"/>
      <w:r/>
      <w:bookmarkStart w:id="21" w:name="_Toc20823275"/>
      <w:r/>
      <w:bookmarkStart w:id="22" w:name="_Toc432763305"/>
      <w:r>
        <w:rPr>
          <w:rFonts w:hint="eastAsia" w:ascii="仿宋" w:hAnsi="仿宋" w:eastAsia="仿宋" w:cs="仿宋"/>
          <w:b/>
          <w:bCs/>
          <w:sz w:val="28"/>
          <w:szCs w:val="28"/>
          <w:highlight w:val="none"/>
        </w:rPr>
        <w:t xml:space="preserve">（一）总则</w:t>
      </w:r>
      <w:bookmarkEnd w:id="18"/>
      <w:r/>
      <w:bookmarkEnd w:id="19"/>
      <w:r/>
      <w:bookmarkEnd w:id="20"/>
      <w:r/>
      <w:bookmarkEnd w:id="21"/>
      <w:r/>
      <w:r/>
    </w:p>
    <w:p>
      <w:pPr>
        <w:ind w:firstLine="480"/>
        <w:keepNext/>
        <w:spacing w:line="360" w:lineRule="auto"/>
        <w:rPr>
          <w:rFonts w:hint="eastAsia" w:ascii="仿宋" w:hAnsi="仿宋" w:eastAsia="仿宋" w:cs="仿宋"/>
          <w:b/>
          <w:bCs/>
          <w:sz w:val="28"/>
          <w:szCs w:val="28"/>
          <w:highlight w:val="none"/>
        </w:rPr>
        <w:outlineLvl w:val="3"/>
      </w:pPr>
      <w:r/>
      <w:bookmarkStart w:id="23" w:name="_Hlt16619475"/>
      <w:r/>
      <w:bookmarkEnd w:id="23"/>
      <w:r/>
      <w:bookmarkStart w:id="24" w:name="_Toc458694821"/>
      <w:r/>
      <w:bookmarkStart w:id="25" w:name="_Toc16938520"/>
      <w:r/>
      <w:bookmarkStart w:id="26" w:name="_Toc20823276"/>
      <w:r/>
      <w:bookmarkStart w:id="27" w:name="_Toc513029204"/>
      <w:r>
        <w:rPr>
          <w:rFonts w:hint="eastAsia" w:ascii="仿宋" w:hAnsi="仿宋" w:eastAsia="仿宋" w:cs="仿宋"/>
          <w:sz w:val="28"/>
          <w:szCs w:val="28"/>
          <w:highlight w:val="none"/>
        </w:rPr>
        <w:t xml:space="preserve">1</w:t>
      </w:r>
      <w:bookmarkEnd w:id="24"/>
      <w:r>
        <w:rPr>
          <w:rFonts w:hint="eastAsia" w:ascii="仿宋" w:hAnsi="仿宋" w:eastAsia="仿宋" w:cs="仿宋"/>
          <w:sz w:val="28"/>
          <w:szCs w:val="28"/>
          <w:highlight w:val="none"/>
        </w:rPr>
        <w:t xml:space="preserve">.采购方式</w:t>
      </w:r>
      <w:bookmarkEnd w:id="25"/>
      <w:r/>
      <w:bookmarkEnd w:id="26"/>
      <w:r/>
      <w:bookmarkEnd w:id="27"/>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 本次政府采购活动采取竞争性磋商(以下简称磋商)方式，本磋商文件仅适用于磋商公告中所述项目。</w:t>
      </w:r>
      <w:r/>
    </w:p>
    <w:p>
      <w:pPr>
        <w:ind w:firstLine="480"/>
        <w:keepNext/>
        <w:spacing w:line="360" w:lineRule="auto"/>
        <w:rPr>
          <w:rFonts w:hint="eastAsia" w:ascii="仿宋" w:hAnsi="仿宋" w:eastAsia="仿宋" w:cs="仿宋"/>
          <w:b/>
          <w:bCs/>
          <w:sz w:val="28"/>
          <w:szCs w:val="28"/>
          <w:highlight w:val="none"/>
        </w:rPr>
        <w:outlineLvl w:val="3"/>
      </w:pPr>
      <w:r/>
      <w:bookmarkStart w:id="28" w:name="_Toc513029205"/>
      <w:r/>
      <w:bookmarkStart w:id="29" w:name="_Toc16938521"/>
      <w:r/>
      <w:bookmarkStart w:id="30" w:name="_Toc20823277"/>
      <w:r>
        <w:rPr>
          <w:rFonts w:hint="eastAsia" w:ascii="仿宋" w:hAnsi="仿宋" w:eastAsia="仿宋" w:cs="仿宋"/>
          <w:sz w:val="28"/>
          <w:szCs w:val="28"/>
          <w:highlight w:val="none"/>
        </w:rPr>
        <w:t xml:space="preserve">2.合格的</w:t>
      </w:r>
      <w:bookmarkEnd w:id="28"/>
      <w:r/>
      <w:bookmarkEnd w:id="29"/>
      <w:r/>
      <w:bookmarkEnd w:id="30"/>
      <w:r>
        <w:rPr>
          <w:rFonts w:hint="eastAsia" w:ascii="仿宋" w:hAnsi="仿宋" w:eastAsia="仿宋" w:cs="仿宋"/>
          <w:sz w:val="28"/>
          <w:szCs w:val="28"/>
          <w:highlight w:val="none"/>
        </w:rPr>
        <w:t xml:space="preserve">供应商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2.1满足磋商公告中供应商的资格要求的规定。</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 满足本磋商文件实质性要求和条件的规定。</w:t>
      </w:r>
      <w:r/>
    </w:p>
    <w:p>
      <w:pPr>
        <w:ind w:firstLine="480"/>
        <w:keepNext/>
        <w:spacing w:line="360" w:lineRule="auto"/>
        <w:rPr>
          <w:rFonts w:hint="eastAsia" w:ascii="仿宋" w:hAnsi="仿宋" w:eastAsia="仿宋" w:cs="仿宋"/>
          <w:b/>
          <w:bCs/>
          <w:sz w:val="28"/>
          <w:szCs w:val="28"/>
          <w:highlight w:val="none"/>
        </w:rPr>
        <w:outlineLvl w:val="3"/>
      </w:pPr>
      <w:r/>
      <w:bookmarkStart w:id="31" w:name="_Toc20823278"/>
      <w:r/>
      <w:bookmarkStart w:id="32" w:name="_Toc513029206"/>
      <w:r/>
      <w:bookmarkStart w:id="33" w:name="_Toc16938522"/>
      <w:r>
        <w:rPr>
          <w:rFonts w:hint="eastAsia" w:ascii="仿宋" w:hAnsi="仿宋" w:eastAsia="仿宋" w:cs="仿宋"/>
          <w:sz w:val="28"/>
          <w:szCs w:val="28"/>
          <w:highlight w:val="none"/>
        </w:rPr>
        <w:t xml:space="preserve">3.适用法律</w:t>
      </w:r>
      <w:bookmarkEnd w:id="31"/>
      <w:r/>
      <w:bookmarkEnd w:id="32"/>
      <w:r/>
      <w:bookmarkEnd w:id="33"/>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3.1 本次磋商及由此产生的合同受中华人民共和国有关的法律法规制约和保护。</w:t>
      </w:r>
      <w:r/>
    </w:p>
    <w:p>
      <w:pPr>
        <w:ind w:firstLine="480"/>
        <w:keepNext/>
        <w:spacing w:line="360" w:lineRule="auto"/>
        <w:rPr>
          <w:rFonts w:hint="eastAsia" w:ascii="仿宋" w:hAnsi="仿宋" w:eastAsia="仿宋" w:cs="仿宋"/>
          <w:b/>
          <w:bCs/>
          <w:sz w:val="28"/>
          <w:szCs w:val="28"/>
          <w:highlight w:val="none"/>
        </w:rPr>
        <w:outlineLvl w:val="3"/>
      </w:pPr>
      <w:r/>
      <w:bookmarkStart w:id="34" w:name="_Toc20823279"/>
      <w:r/>
      <w:bookmarkStart w:id="35" w:name="_Toc513029207"/>
      <w:r/>
      <w:bookmarkStart w:id="36" w:name="_Toc462564067"/>
      <w:r/>
      <w:bookmarkStart w:id="37" w:name="_Toc16938523"/>
      <w:r>
        <w:rPr>
          <w:rFonts w:hint="eastAsia" w:ascii="仿宋" w:hAnsi="仿宋" w:eastAsia="仿宋" w:cs="仿宋"/>
          <w:sz w:val="28"/>
          <w:szCs w:val="28"/>
          <w:highlight w:val="none"/>
        </w:rPr>
        <w:t xml:space="preserve">4.磋商费用</w:t>
      </w:r>
      <w:bookmarkEnd w:id="34"/>
      <w:r/>
      <w:bookmarkEnd w:id="35"/>
      <w:r/>
      <w:bookmarkEnd w:id="36"/>
      <w:r/>
      <w:bookmarkEnd w:id="37"/>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4.1 供应商应自行承担所有与参加磋商有关的费用，无论磋商过程中的做法和结果如何，采购人及代理机构在任何情况下均无义务和责任承担这些费用。</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4.2本次磋商采购代理服务费</w:t>
      </w:r>
      <w:r>
        <w:rPr>
          <w:rFonts w:hint="eastAsia" w:ascii="仿宋" w:hAnsi="仿宋" w:eastAsia="仿宋" w:cs="仿宋"/>
          <w:sz w:val="28"/>
          <w:szCs w:val="28"/>
          <w:highlight w:val="none"/>
          <w:lang w:val="en-US" w:eastAsia="zh-CN"/>
        </w:rPr>
        <w:t xml:space="preserve">包1：</w:t>
      </w:r>
      <w:r>
        <w:rPr>
          <w:rFonts w:hint="eastAsia" w:ascii="仿宋" w:hAnsi="仿宋" w:eastAsia="仿宋" w:cs="仿宋"/>
          <w:sz w:val="28"/>
          <w:szCs w:val="28"/>
          <w:highlight w:val="none"/>
        </w:rPr>
        <w:t xml:space="preserve">人民币4000元</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包2-包5：人民币3000元/包</w:t>
      </w:r>
      <w:r>
        <w:rPr>
          <w:rFonts w:hint="eastAsia" w:ascii="仿宋" w:hAnsi="仿宋" w:eastAsia="仿宋" w:cs="仿宋"/>
          <w:sz w:val="28"/>
          <w:szCs w:val="28"/>
          <w:highlight w:val="none"/>
        </w:rPr>
        <w:t xml:space="preserve">，供应商须综合考虑在响应报价内（不得单列），由成交供应商承担并在领取成交通知书前支付给采购代理机构。</w:t>
      </w:r>
      <w:r/>
    </w:p>
    <w:p>
      <w:pPr>
        <w:ind w:firstLine="480"/>
        <w:keepNext/>
        <w:spacing w:line="360" w:lineRule="auto"/>
        <w:rPr>
          <w:rFonts w:hint="eastAsia" w:ascii="仿宋" w:hAnsi="仿宋" w:eastAsia="仿宋" w:cs="仿宋"/>
          <w:sz w:val="28"/>
          <w:szCs w:val="28"/>
          <w:highlight w:val="none"/>
        </w:rPr>
        <w:outlineLvl w:val="3"/>
      </w:pPr>
      <w:r>
        <w:rPr>
          <w:rFonts w:hint="eastAsia" w:ascii="仿宋" w:hAnsi="仿宋" w:eastAsia="仿宋" w:cs="仿宋"/>
          <w:sz w:val="28"/>
          <w:szCs w:val="28"/>
          <w:highlight w:val="none"/>
        </w:rPr>
        <w:t xml:space="preserve">5.磋商文件的约束力</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5.1</w:t>
      </w:r>
      <w:r>
        <w:rPr>
          <w:rFonts w:hint="eastAsia" w:ascii="仿宋" w:hAnsi="仿宋" w:eastAsia="仿宋" w:cs="仿宋"/>
          <w:sz w:val="28"/>
          <w:szCs w:val="28"/>
          <w:highlight w:val="none"/>
        </w:rPr>
        <w:t xml:space="preserve"> 供应商一旦参加本项目采购活动，即被认为接受了本磋商文件的规定和约束。</w:t>
      </w:r>
      <w:r/>
    </w:p>
    <w:p>
      <w:pPr>
        <w:ind w:firstLine="480"/>
        <w:keepNext/>
        <w:spacing w:line="360" w:lineRule="auto"/>
        <w:rPr>
          <w:rFonts w:hint="eastAsia" w:ascii="仿宋" w:hAnsi="仿宋" w:eastAsia="仿宋" w:cs="仿宋"/>
          <w:sz w:val="28"/>
          <w:szCs w:val="28"/>
          <w:highlight w:val="none"/>
        </w:rPr>
        <w:outlineLvl w:val="3"/>
      </w:pPr>
      <w:r>
        <w:rPr>
          <w:rFonts w:hint="eastAsia" w:ascii="仿宋" w:hAnsi="仿宋" w:eastAsia="仿宋" w:cs="仿宋"/>
          <w:sz w:val="28"/>
          <w:szCs w:val="28"/>
          <w:highlight w:val="none"/>
        </w:rPr>
        <w:t xml:space="preserve">6.磋商文件的解释</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6.1</w:t>
      </w:r>
      <w:r>
        <w:rPr>
          <w:rFonts w:hint="eastAsia" w:ascii="仿宋" w:hAnsi="仿宋" w:eastAsia="仿宋" w:cs="仿宋"/>
          <w:sz w:val="28"/>
          <w:szCs w:val="28"/>
          <w:highlight w:val="none"/>
        </w:rPr>
        <w:t xml:space="preserve">磋商文件需求部分（供应商资格要求、项目需求、商务技术评分标准）由采购人解释，其它部分由采购代理机构解释。</w:t>
      </w:r>
      <w:r/>
    </w:p>
    <w:p>
      <w:pPr>
        <w:ind w:firstLine="482"/>
        <w:keepLines/>
        <w:keepNext/>
        <w:spacing w:line="360" w:lineRule="auto"/>
        <w:rPr>
          <w:rFonts w:hint="eastAsia" w:ascii="仿宋" w:hAnsi="仿宋" w:eastAsia="仿宋" w:cs="仿宋"/>
          <w:b/>
          <w:bCs/>
          <w:sz w:val="28"/>
          <w:szCs w:val="28"/>
          <w:highlight w:val="none"/>
          <w:lang w:eastAsia="en-US"/>
        </w:rPr>
        <w:outlineLvl w:val="2"/>
      </w:pPr>
      <w:r/>
      <w:bookmarkStart w:id="38" w:name="_Toc513029209"/>
      <w:r/>
      <w:bookmarkStart w:id="39" w:name="_Toc16938525"/>
      <w:r/>
      <w:bookmarkStart w:id="40" w:name="_Toc20823281"/>
      <w:r/>
      <w:bookmarkStart w:id="41" w:name="_Toc120614215"/>
      <w:r>
        <w:rPr>
          <w:rFonts w:hint="eastAsia" w:ascii="仿宋" w:hAnsi="仿宋" w:eastAsia="仿宋" w:cs="仿宋"/>
          <w:b/>
          <w:bCs/>
          <w:sz w:val="28"/>
          <w:szCs w:val="28"/>
          <w:highlight w:val="none"/>
          <w:lang w:eastAsia="en-US"/>
        </w:rPr>
        <w:t xml:space="preserve">（二）磋商文件</w:t>
      </w:r>
      <w:bookmarkEnd w:id="38"/>
      <w:r/>
      <w:bookmarkEnd w:id="39"/>
      <w:r/>
      <w:bookmarkEnd w:id="40"/>
      <w:r/>
      <w:bookmarkEnd w:id="41"/>
      <w:r/>
      <w:r/>
    </w:p>
    <w:p>
      <w:pPr>
        <w:ind w:firstLine="480"/>
        <w:keepNext/>
        <w:spacing w:line="360" w:lineRule="auto"/>
        <w:rPr>
          <w:rFonts w:hint="eastAsia" w:ascii="仿宋" w:hAnsi="仿宋" w:eastAsia="仿宋" w:cs="仿宋"/>
          <w:b/>
          <w:bCs/>
          <w:sz w:val="28"/>
          <w:szCs w:val="28"/>
          <w:highlight w:val="none"/>
          <w:lang w:eastAsia="en-US"/>
        </w:rPr>
        <w:outlineLvl w:val="3"/>
      </w:pPr>
      <w:r/>
      <w:bookmarkStart w:id="42" w:name="_Toc20823282"/>
      <w:r/>
      <w:bookmarkStart w:id="43" w:name="_Toc16938526"/>
      <w:r/>
      <w:bookmarkStart w:id="44" w:name="_Toc513029210"/>
      <w:r>
        <w:rPr>
          <w:rFonts w:hint="eastAsia" w:ascii="仿宋" w:hAnsi="仿宋" w:eastAsia="仿宋" w:cs="仿宋"/>
          <w:sz w:val="28"/>
          <w:szCs w:val="28"/>
          <w:highlight w:val="none"/>
          <w:lang w:eastAsia="en-US"/>
        </w:rPr>
        <w:t xml:space="preserve">1.磋商文件构成</w:t>
      </w:r>
      <w:bookmarkEnd w:id="42"/>
      <w:r/>
      <w:bookmarkEnd w:id="43"/>
      <w:r/>
      <w:bookmarkEnd w:id="44"/>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1.1</w:t>
      </w:r>
      <w:r>
        <w:rPr>
          <w:rFonts w:hint="eastAsia" w:ascii="仿宋" w:hAnsi="仿宋" w:eastAsia="仿宋" w:cs="仿宋"/>
          <w:sz w:val="28"/>
          <w:szCs w:val="28"/>
          <w:highlight w:val="none"/>
        </w:rPr>
        <w:t xml:space="preserve"> 磋商文件由以下部分组成：</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（1）磋商邀请</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（2）供应商须知</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（3）项目需求</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（4）评审方法和评审标准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（5）响应文件组成</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请仔细检查磋商文件是否齐全，如有缺漏请立即与</w:t>
      </w:r>
      <w:r>
        <w:rPr>
          <w:rFonts w:hint="eastAsia" w:ascii="仿宋" w:hAnsi="仿宋" w:eastAsia="仿宋" w:cs="仿宋"/>
          <w:bCs/>
          <w:sz w:val="28"/>
          <w:szCs w:val="28"/>
          <w:highlight w:val="none"/>
        </w:rPr>
        <w:t xml:space="preserve">采购人或采购代理机构</w:t>
      </w:r>
      <w:r>
        <w:rPr>
          <w:rFonts w:hint="eastAsia" w:ascii="仿宋" w:hAnsi="仿宋" w:eastAsia="仿宋" w:cs="仿宋"/>
          <w:sz w:val="28"/>
          <w:szCs w:val="28"/>
          <w:highlight w:val="none"/>
        </w:rPr>
        <w:t xml:space="preserve">联系解决。</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1.2</w:t>
      </w:r>
      <w:r>
        <w:rPr>
          <w:rFonts w:hint="eastAsia" w:ascii="仿宋" w:hAnsi="仿宋" w:eastAsia="仿宋" w:cs="仿宋"/>
          <w:sz w:val="28"/>
          <w:szCs w:val="28"/>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Next/>
        <w:spacing w:line="360" w:lineRule="auto"/>
        <w:rPr>
          <w:rFonts w:hint="eastAsia" w:ascii="仿宋" w:hAnsi="仿宋" w:eastAsia="仿宋" w:cs="仿宋"/>
          <w:b/>
          <w:bCs/>
          <w:sz w:val="28"/>
          <w:szCs w:val="28"/>
          <w:highlight w:val="none"/>
        </w:rPr>
        <w:outlineLvl w:val="3"/>
      </w:pPr>
      <w:r/>
      <w:bookmarkStart w:id="45" w:name="_Toc16938527"/>
      <w:r/>
      <w:bookmarkStart w:id="46" w:name="_Toc462564070"/>
      <w:r/>
      <w:bookmarkStart w:id="47" w:name="_Toc513029211"/>
      <w:r/>
      <w:bookmarkStart w:id="48" w:name="_Toc20823283"/>
      <w:r>
        <w:rPr>
          <w:rFonts w:hint="eastAsia" w:ascii="仿宋" w:hAnsi="仿宋" w:eastAsia="仿宋" w:cs="仿宋"/>
          <w:sz w:val="28"/>
          <w:szCs w:val="28"/>
          <w:highlight w:val="none"/>
        </w:rPr>
        <w:t xml:space="preserve">2.磋商文件的澄清</w:t>
      </w:r>
      <w:bookmarkEnd w:id="45"/>
      <w:r/>
      <w:bookmarkEnd w:id="46"/>
      <w:r/>
      <w:bookmarkEnd w:id="47"/>
      <w:r/>
      <w:bookmarkEnd w:id="48"/>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2.1</w:t>
      </w:r>
      <w:r>
        <w:rPr>
          <w:rFonts w:hint="eastAsia" w:ascii="仿宋" w:hAnsi="仿宋" w:eastAsia="仿宋" w:cs="仿宋"/>
          <w:sz w:val="28"/>
          <w:szCs w:val="28"/>
          <w:highlight w:val="none"/>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w:t>
      </w:r>
      <w:r>
        <w:rPr>
          <w:rFonts w:hint="eastAsia" w:ascii="仿宋" w:hAnsi="仿宋" w:eastAsia="仿宋" w:cs="仿宋"/>
          <w:bCs/>
          <w:sz w:val="28"/>
          <w:szCs w:val="28"/>
          <w:highlight w:val="none"/>
        </w:rPr>
        <w:t xml:space="preserve">采购人</w:t>
      </w:r>
      <w:r>
        <w:rPr>
          <w:rFonts w:hint="eastAsia" w:ascii="仿宋" w:hAnsi="仿宋" w:eastAsia="仿宋" w:cs="仿宋"/>
          <w:sz w:val="28"/>
          <w:szCs w:val="28"/>
          <w:highlight w:val="none"/>
        </w:rPr>
        <w:t xml:space="preserve">可以视采购项目的具体情况，组织供应商进行现场考察或召开磋商前答疑会，但不单独或分别组织只有一个供应商参加的现场考察和答疑会。</w:t>
      </w:r>
      <w:r/>
    </w:p>
    <w:p>
      <w:pPr>
        <w:ind w:firstLine="480"/>
        <w:keepNext/>
        <w:spacing w:line="360" w:lineRule="auto"/>
        <w:rPr>
          <w:rFonts w:hint="eastAsia" w:ascii="仿宋" w:hAnsi="仿宋" w:eastAsia="仿宋" w:cs="仿宋"/>
          <w:b/>
          <w:bCs/>
          <w:sz w:val="28"/>
          <w:szCs w:val="28"/>
          <w:highlight w:val="none"/>
        </w:rPr>
        <w:outlineLvl w:val="3"/>
      </w:pPr>
      <w:r/>
      <w:bookmarkStart w:id="49" w:name="_Toc16938528"/>
      <w:r/>
      <w:bookmarkStart w:id="50" w:name="_Toc20823284"/>
      <w:r/>
      <w:bookmarkStart w:id="51" w:name="_Toc513029212"/>
      <w:r/>
      <w:bookmarkStart w:id="52" w:name="_Toc462564071"/>
      <w:r>
        <w:rPr>
          <w:rFonts w:hint="eastAsia" w:ascii="仿宋" w:hAnsi="仿宋" w:eastAsia="仿宋" w:cs="仿宋"/>
          <w:sz w:val="28"/>
          <w:szCs w:val="28"/>
          <w:highlight w:val="none"/>
        </w:rPr>
        <w:t xml:space="preserve">3.磋商文件的修改</w:t>
      </w:r>
      <w:bookmarkEnd w:id="49"/>
      <w:r/>
      <w:bookmarkEnd w:id="50"/>
      <w:r/>
      <w:bookmarkEnd w:id="51"/>
      <w:r/>
      <w:bookmarkEnd w:id="52"/>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3.1 在响应文件提交截止时间前，采购人或采购代理机构可以对磋商文件进行修改</w:t>
      </w:r>
      <w:r>
        <w:rPr>
          <w:rFonts w:hint="eastAsia" w:ascii="仿宋" w:hAnsi="仿宋" w:eastAsia="仿宋" w:cs="仿宋"/>
          <w:sz w:val="28"/>
          <w:szCs w:val="28"/>
          <w:highlight w:val="none"/>
        </w:rPr>
        <w:t xml:space="preserve">, 澄清或者修改的内容作为磋商文件的组成部分。</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3.2 采购人或采购代理机构有权按照法定的要求推迟响应文件提交截止日期和磋商日期。</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3.3 磋商文件的修改将在江苏政府采购网公布，补充文件将作为磋商文件的组成部分，并对供应商具有约束力</w:t>
      </w:r>
      <w:r>
        <w:rPr>
          <w:rFonts w:hint="eastAsia" w:ascii="仿宋" w:hAnsi="仿宋" w:eastAsia="仿宋" w:cs="仿宋"/>
          <w:sz w:val="28"/>
          <w:szCs w:val="28"/>
          <w:highlight w:val="none"/>
        </w:rPr>
        <w:t xml:space="preserve">。</w:t>
      </w:r>
      <w:r/>
    </w:p>
    <w:p>
      <w:pPr>
        <w:ind w:firstLine="482"/>
        <w:spacing w:line="360" w:lineRule="auto"/>
        <w:rPr>
          <w:rFonts w:hint="eastAsia" w:ascii="仿宋" w:hAnsi="仿宋" w:eastAsia="仿宋" w:cs="仿宋"/>
          <w:b/>
          <w:bCs/>
          <w:sz w:val="28"/>
          <w:szCs w:val="28"/>
          <w:highlight w:val="none"/>
          <w:u w:val="single"/>
        </w:rPr>
      </w:pPr>
      <w:r>
        <w:rPr>
          <w:rFonts w:hint="eastAsia" w:ascii="仿宋" w:hAnsi="仿宋" w:eastAsia="仿宋" w:cs="仿宋"/>
          <w:b/>
          <w:bCs/>
          <w:sz w:val="28"/>
          <w:szCs w:val="28"/>
          <w:highlight w:val="none"/>
          <w:u w:val="singl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2"/>
        <w:keepLines/>
        <w:keepNext/>
        <w:spacing w:line="360" w:lineRule="auto"/>
        <w:rPr>
          <w:rFonts w:hint="eastAsia" w:ascii="仿宋" w:hAnsi="仿宋" w:eastAsia="仿宋" w:cs="仿宋"/>
          <w:b/>
          <w:bCs/>
          <w:sz w:val="28"/>
          <w:szCs w:val="28"/>
          <w:highlight w:val="none"/>
        </w:rPr>
        <w:outlineLvl w:val="2"/>
      </w:pPr>
      <w:r/>
      <w:bookmarkStart w:id="53" w:name="_Toc462564072"/>
      <w:r/>
      <w:bookmarkStart w:id="54" w:name="_Toc513029213"/>
      <w:r/>
      <w:bookmarkStart w:id="55" w:name="_Toc16938529"/>
      <w:r/>
      <w:bookmarkStart w:id="56" w:name="_Toc120614216"/>
      <w:r/>
      <w:bookmarkStart w:id="57" w:name="_Toc20823285"/>
      <w:r>
        <w:rPr>
          <w:rFonts w:hint="eastAsia" w:ascii="仿宋" w:hAnsi="仿宋" w:eastAsia="仿宋" w:cs="仿宋"/>
          <w:b/>
          <w:bCs/>
          <w:sz w:val="28"/>
          <w:szCs w:val="28"/>
          <w:highlight w:val="none"/>
        </w:rPr>
        <w:t xml:space="preserve">（三）响应文件的编制</w:t>
      </w:r>
      <w:bookmarkEnd w:id="53"/>
      <w:r/>
      <w:bookmarkEnd w:id="54"/>
      <w:r/>
      <w:bookmarkEnd w:id="55"/>
      <w:r/>
      <w:bookmarkEnd w:id="56"/>
      <w:r/>
      <w:bookmarkEnd w:id="57"/>
      <w:r/>
      <w:r/>
    </w:p>
    <w:p>
      <w:pPr>
        <w:ind w:firstLine="480"/>
        <w:keepNext/>
        <w:spacing w:line="360" w:lineRule="auto"/>
        <w:rPr>
          <w:rFonts w:hint="eastAsia" w:ascii="仿宋" w:hAnsi="仿宋" w:eastAsia="仿宋" w:cs="仿宋"/>
          <w:bCs/>
          <w:sz w:val="28"/>
          <w:szCs w:val="28"/>
          <w:highlight w:val="none"/>
        </w:rPr>
        <w:outlineLvl w:val="3"/>
      </w:pPr>
      <w:r/>
      <w:bookmarkStart w:id="58" w:name="_Toc20823286"/>
      <w:r/>
      <w:bookmarkStart w:id="59" w:name="_Toc513029214"/>
      <w:r/>
      <w:bookmarkStart w:id="60" w:name="_Toc16938530"/>
      <w:r/>
      <w:bookmarkStart w:id="61" w:name="_Toc462564073"/>
      <w:r>
        <w:rPr>
          <w:rFonts w:hint="eastAsia" w:ascii="仿宋" w:hAnsi="仿宋" w:eastAsia="仿宋" w:cs="仿宋"/>
          <w:sz w:val="28"/>
          <w:szCs w:val="28"/>
          <w:highlight w:val="none"/>
        </w:rPr>
        <w:t xml:space="preserve">1.响应文件的语言及度量衡单位</w:t>
      </w:r>
      <w:bookmarkEnd w:id="58"/>
      <w:r/>
      <w:bookmarkEnd w:id="59"/>
      <w:r/>
      <w:bookmarkEnd w:id="60"/>
      <w:r/>
      <w:bookmarkEnd w:id="61"/>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1.1供应商提交的响应文件以及供应商与采购人或采购代理机构就有关磋商的所有来往通知、函件和文件均应使用简体中文。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1.2 除技术性能另有规定外，响应文件所使用的度量衡单位，均须采用国家法定计量单位</w:t>
      </w:r>
      <w:r>
        <w:rPr>
          <w:rFonts w:hint="eastAsia" w:ascii="仿宋" w:hAnsi="仿宋" w:eastAsia="仿宋" w:cs="仿宋"/>
          <w:sz w:val="28"/>
          <w:szCs w:val="28"/>
          <w:highlight w:val="none"/>
        </w:rPr>
        <w:t xml:space="preserve">。</w:t>
      </w:r>
      <w:r/>
    </w:p>
    <w:p>
      <w:pPr>
        <w:ind w:firstLine="480"/>
        <w:keepNext/>
        <w:spacing w:line="360" w:lineRule="auto"/>
        <w:rPr>
          <w:rFonts w:hint="eastAsia" w:ascii="仿宋" w:hAnsi="仿宋" w:eastAsia="仿宋" w:cs="仿宋"/>
          <w:b/>
          <w:bCs/>
          <w:sz w:val="28"/>
          <w:szCs w:val="28"/>
          <w:highlight w:val="none"/>
        </w:rPr>
        <w:outlineLvl w:val="3"/>
      </w:pPr>
      <w:r/>
      <w:bookmarkStart w:id="62" w:name="_Toc20823287"/>
      <w:r/>
      <w:bookmarkStart w:id="63" w:name="_Toc462564074"/>
      <w:r/>
      <w:bookmarkStart w:id="64" w:name="_Toc16938531"/>
      <w:r/>
      <w:bookmarkStart w:id="65" w:name="_Toc513029215"/>
      <w:r>
        <w:rPr>
          <w:rFonts w:hint="eastAsia" w:ascii="仿宋" w:hAnsi="仿宋" w:eastAsia="仿宋" w:cs="仿宋"/>
          <w:sz w:val="28"/>
          <w:szCs w:val="28"/>
          <w:highlight w:val="none"/>
        </w:rPr>
        <w:t xml:space="preserve">2.响应文件构成</w:t>
      </w:r>
      <w:bookmarkEnd w:id="62"/>
      <w:r/>
      <w:bookmarkEnd w:id="63"/>
      <w:r/>
      <w:bookmarkEnd w:id="64"/>
      <w:r/>
      <w:bookmarkEnd w:id="65"/>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2.1 供应商编写的响应文件应包括资格审查文件、商务技术响应文件、报价响应文件。供应商按“第六章 响应文件组成”要求编写响应文件</w:t>
      </w:r>
      <w:r>
        <w:rPr>
          <w:rFonts w:hint="eastAsia" w:ascii="仿宋" w:hAnsi="仿宋" w:eastAsia="仿宋" w:cs="仿宋"/>
          <w:sz w:val="28"/>
          <w:szCs w:val="28"/>
          <w:highlight w:val="none"/>
        </w:rPr>
        <w:t xml:space="preserve">。</w:t>
      </w:r>
      <w:r/>
    </w:p>
    <w:p>
      <w:pPr>
        <w:ind w:firstLine="480"/>
        <w:keepNext/>
        <w:spacing w:line="360" w:lineRule="auto"/>
        <w:rPr>
          <w:rFonts w:hint="eastAsia" w:ascii="仿宋" w:hAnsi="仿宋" w:eastAsia="仿宋" w:cs="仿宋"/>
          <w:b/>
          <w:bCs/>
          <w:sz w:val="28"/>
          <w:szCs w:val="28"/>
          <w:highlight w:val="none"/>
        </w:rPr>
        <w:outlineLvl w:val="3"/>
      </w:pPr>
      <w:r/>
      <w:bookmarkStart w:id="66" w:name="_Hlt26670360"/>
      <w:r/>
      <w:bookmarkEnd w:id="66"/>
      <w:r/>
      <w:bookmarkStart w:id="67" w:name="_Hlt26668975"/>
      <w:r/>
      <w:bookmarkEnd w:id="67"/>
      <w:r/>
      <w:bookmarkStart w:id="68" w:name="_Hlt26954838"/>
      <w:r/>
      <w:bookmarkEnd w:id="68"/>
      <w:r/>
      <w:bookmarkStart w:id="69" w:name="_Toc14577360"/>
      <w:r/>
      <w:bookmarkStart w:id="70" w:name="_Toc49090511"/>
      <w:r>
        <w:rPr>
          <w:rFonts w:hint="eastAsia" w:ascii="仿宋" w:hAnsi="仿宋" w:eastAsia="仿宋" w:cs="仿宋"/>
          <w:sz w:val="28"/>
          <w:szCs w:val="28"/>
          <w:highlight w:val="none"/>
        </w:rPr>
        <w:t xml:space="preserve">3.</w:t>
      </w:r>
      <w:bookmarkEnd w:id="69"/>
      <w:r/>
      <w:bookmarkEnd w:id="70"/>
      <w:r>
        <w:rPr>
          <w:rFonts w:hint="eastAsia" w:ascii="仿宋" w:hAnsi="仿宋" w:eastAsia="仿宋" w:cs="仿宋"/>
          <w:sz w:val="28"/>
          <w:szCs w:val="28"/>
          <w:highlight w:val="none"/>
        </w:rPr>
        <w:t xml:space="preserve">磋商响应有效期</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3.1磋商响应有效期为采购文件规定的响应文件</w:t>
      </w:r>
      <w:r>
        <w:rPr>
          <w:rFonts w:hint="eastAsia" w:ascii="仿宋" w:hAnsi="仿宋" w:eastAsia="仿宋" w:cs="仿宋"/>
          <w:sz w:val="28"/>
          <w:szCs w:val="28"/>
          <w:highlight w:val="none"/>
        </w:rPr>
        <w:t xml:space="preserve">提交</w:t>
      </w:r>
      <w:r>
        <w:rPr>
          <w:rFonts w:hint="eastAsia" w:ascii="仿宋" w:hAnsi="仿宋" w:eastAsia="仿宋" w:cs="仿宋"/>
          <w:bCs/>
          <w:sz w:val="28"/>
          <w:szCs w:val="28"/>
          <w:highlight w:val="none"/>
        </w:rPr>
        <w:t xml:space="preserve">截止时间后</w:t>
      </w:r>
      <w:r>
        <w:rPr>
          <w:rFonts w:hint="eastAsia" w:ascii="仿宋" w:hAnsi="仿宋" w:eastAsia="仿宋" w:cs="仿宋"/>
          <w:b/>
          <w:sz w:val="28"/>
          <w:szCs w:val="28"/>
          <w:highlight w:val="none"/>
          <w:u w:val="single"/>
        </w:rPr>
        <w:t xml:space="preserve">六十（60）天</w:t>
      </w:r>
      <w:r>
        <w:rPr>
          <w:rFonts w:hint="eastAsia" w:ascii="仿宋" w:hAnsi="仿宋" w:eastAsia="仿宋" w:cs="仿宋"/>
          <w:bCs/>
          <w:sz w:val="28"/>
          <w:szCs w:val="28"/>
          <w:highlight w:val="none"/>
        </w:rPr>
        <w:t xml:space="preserve">。磋商响应有效期比规定短的将被视为非实质性响应而予以拒绝。</w:t>
      </w:r>
      <w:r/>
    </w:p>
    <w:p>
      <w:pPr>
        <w:ind w:firstLine="480"/>
        <w:keepNext/>
        <w:spacing w:line="360" w:lineRule="auto"/>
        <w:rPr>
          <w:rFonts w:hint="eastAsia" w:ascii="仿宋" w:hAnsi="仿宋" w:eastAsia="仿宋" w:cs="仿宋"/>
          <w:b/>
          <w:bCs/>
          <w:sz w:val="28"/>
          <w:szCs w:val="28"/>
          <w:highlight w:val="none"/>
        </w:rPr>
        <w:outlineLvl w:val="3"/>
      </w:pPr>
      <w:r>
        <w:rPr>
          <w:rFonts w:hint="eastAsia" w:ascii="仿宋" w:hAnsi="仿宋" w:eastAsia="仿宋" w:cs="仿宋"/>
          <w:sz w:val="28"/>
          <w:szCs w:val="28"/>
          <w:highlight w:val="none"/>
        </w:rPr>
        <w:t xml:space="preserve">4. 磋商响应有效期的延长</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spacing w:line="360" w:lineRule="auto"/>
        <w:rPr>
          <w:rFonts w:hint="eastAsia" w:ascii="仿宋" w:hAnsi="仿宋" w:eastAsia="仿宋" w:cs="仿宋"/>
          <w:bCs/>
          <w:sz w:val="28"/>
          <w:szCs w:val="28"/>
          <w:highlight w:val="none"/>
        </w:rPr>
      </w:pPr>
      <w:r/>
      <w:bookmarkStart w:id="71" w:name="_Hlt26954852"/>
      <w:r/>
      <w:bookmarkEnd w:id="71"/>
      <w:r/>
      <w:bookmarkStart w:id="72" w:name="_Hlt26954739"/>
      <w:r/>
      <w:bookmarkEnd w:id="72"/>
      <w:r/>
      <w:bookmarkStart w:id="73" w:name="_Toc16938540"/>
      <w:r/>
      <w:bookmarkStart w:id="74" w:name="_Toc513029224"/>
      <w:r/>
      <w:bookmarkStart w:id="75" w:name="_Toc20823296"/>
      <w:r/>
      <w:bookmarkStart w:id="76" w:name="_Toc120614217"/>
      <w:r>
        <w:rPr>
          <w:rFonts w:hint="eastAsia" w:ascii="仿宋" w:hAnsi="仿宋" w:eastAsia="仿宋" w:cs="仿宋"/>
          <w:bCs/>
          <w:sz w:val="28"/>
          <w:szCs w:val="28"/>
          <w:highlight w:val="none"/>
        </w:rPr>
        <w:t xml:space="preserve">5.电子响应文件其他要求</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5.1电子招标投标交易平台（即“苏采云”系统）相关要求是本采购文件的组成部分。</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5.2供应商应对CA证书妥善保管，如被他人盗用投标，因此带来的结果均由供应商自行承担。</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5.3供应商应当对采购文件提出的实质性要求和条件作出实质性响应，并在电子投标系统逐条应答。</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5.4供应商应对要求提供的资格证明文件（如资质证书、资格证书）、技术资料（如白皮书、彩页、手册、检测报告等）扫描上传至投标系统。 </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firstLine="482"/>
        <w:keepLines/>
        <w:keepNext/>
        <w:spacing w:line="360" w:lineRule="auto"/>
        <w:rPr>
          <w:rFonts w:hint="eastAsia" w:ascii="仿宋" w:hAnsi="仿宋" w:eastAsia="仿宋" w:cs="仿宋"/>
          <w:b/>
          <w:bCs/>
          <w:sz w:val="28"/>
          <w:szCs w:val="28"/>
          <w:highlight w:val="none"/>
        </w:rPr>
        <w:outlineLvl w:val="2"/>
      </w:pPr>
      <w:r>
        <w:rPr>
          <w:rFonts w:hint="eastAsia" w:ascii="仿宋" w:hAnsi="仿宋" w:eastAsia="仿宋" w:cs="仿宋"/>
          <w:b/>
          <w:bCs/>
          <w:sz w:val="28"/>
          <w:szCs w:val="28"/>
          <w:highlight w:val="none"/>
        </w:rPr>
        <w:t xml:space="preserve">（四）响应文件的提交</w:t>
      </w:r>
      <w:bookmarkEnd w:id="73"/>
      <w:r/>
      <w:bookmarkEnd w:id="74"/>
      <w:r/>
      <w:bookmarkEnd w:id="75"/>
      <w:r/>
      <w:bookmarkEnd w:id="76"/>
      <w:r/>
      <w:r/>
    </w:p>
    <w:p>
      <w:pPr>
        <w:ind w:firstLine="480"/>
        <w:keepNext/>
        <w:spacing w:line="360" w:lineRule="auto"/>
        <w:rPr>
          <w:rFonts w:hint="eastAsia" w:ascii="仿宋" w:hAnsi="仿宋" w:eastAsia="仿宋" w:cs="仿宋"/>
          <w:b/>
          <w:bCs/>
          <w:sz w:val="28"/>
          <w:szCs w:val="28"/>
          <w:highlight w:val="none"/>
        </w:rPr>
        <w:outlineLvl w:val="3"/>
      </w:pPr>
      <w:r/>
      <w:bookmarkStart w:id="77" w:name="_Toc462564084"/>
      <w:r/>
      <w:bookmarkStart w:id="78" w:name="_Toc20823297"/>
      <w:r/>
      <w:bookmarkStart w:id="79" w:name="_Toc16938541"/>
      <w:r/>
      <w:bookmarkStart w:id="80" w:name="_Toc513029225"/>
      <w:r/>
      <w:bookmarkStart w:id="81" w:name="_Toc513029229"/>
      <w:r/>
      <w:bookmarkStart w:id="82" w:name="_Toc16938545"/>
      <w:r/>
      <w:bookmarkStart w:id="83" w:name="_Toc120614218"/>
      <w:r/>
      <w:bookmarkStart w:id="84" w:name="_Toc20823301"/>
      <w:r>
        <w:rPr>
          <w:rFonts w:hint="eastAsia" w:ascii="仿宋" w:hAnsi="仿宋" w:eastAsia="仿宋" w:cs="仿宋"/>
          <w:sz w:val="28"/>
          <w:szCs w:val="28"/>
          <w:highlight w:val="none"/>
        </w:rPr>
        <w:t xml:space="preserve">1.响应文件</w:t>
      </w:r>
      <w:bookmarkEnd w:id="77"/>
      <w:r/>
      <w:bookmarkEnd w:id="78"/>
      <w:r/>
      <w:bookmarkEnd w:id="79"/>
      <w:r/>
      <w:bookmarkEnd w:id="80"/>
      <w:r>
        <w:rPr>
          <w:rFonts w:hint="eastAsia" w:ascii="仿宋" w:hAnsi="仿宋" w:eastAsia="仿宋" w:cs="仿宋"/>
          <w:sz w:val="28"/>
          <w:szCs w:val="28"/>
          <w:highlight w:val="none"/>
        </w:rPr>
        <w:t xml:space="preserve">的提交</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1.1线上提交与接收地点：供应商应当通过“苏采云”系统提交数据电文形式的响应文件（即电子投标），“苏采云”系统自动接收。</w:t>
      </w:r>
      <w:r/>
    </w:p>
    <w:p>
      <w:pPr>
        <w:ind w:firstLine="482"/>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2.提交响应文件截止日期</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2.1 供应商上传电子响应文件的时间不得迟于竞争性磋商公告中规定的响应文件提交截止时间。</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2.2 采购人或采购代理机构可以按照规定，通过修改响应文件酌情延长响应文件提交截止日期，在此情况下，供应商的所有权利和义务以及供应商受制的截止日期均应以延长后新的截止日期为准。</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3.响应文件的密封（加密）要求：</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3.2供应商须通过“苏采云”系统提供的政府采购客户端工具（使用“CA数字证书”）加盖电子签章。</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说明：供应商应在用CA数字证书以及自备的能够登录“苏采云”系统的电脑，在达到开标时间后，使用CA数字证书解密各自响应文件。</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3.3供应商未按规定加密的响应文件，“苏采云”系统将拒收并提示。</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4.响应文件的拒收</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4.1 “苏采云”系统拒绝接收在规定的响应文件提交截止时间后上传的任何响应文件。</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 响应文件的撤回和修改</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5.1 响应文件的撤回</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5.1.1 电子响应文件的撤回</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供应商可在响应文件提交截止时间前，撤回其电子响应文件，具体操作方法见“苏采云”系统供应商操作手册。</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5.1.2 供应商撤回电子响应文件，则认为其不再参与本项目竞争性磋商活动。</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5.2 响应文件的修改</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供应商可在响应文件提交截止时间前，对其电子响应文件进行修改。具体操作方法见“苏采云”系统供应商操作手册。</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5.3 在响应文件提交截止时间之后，供应商不得对其电子响应文件作任何修改。</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5.4 在响应文件提交截止时间至磋商文件中规定的磋商响应有效期满之间的这段时间内，供应商不得撤回其响应文件。</w:t>
      </w:r>
      <w:r/>
    </w:p>
    <w:p>
      <w:pPr>
        <w:ind w:firstLine="482"/>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（五）</w:t>
      </w:r>
      <w:bookmarkEnd w:id="81"/>
      <w:r/>
      <w:bookmarkEnd w:id="82"/>
      <w:r/>
      <w:bookmarkEnd w:id="83"/>
      <w:r/>
      <w:bookmarkEnd w:id="84"/>
      <w:r/>
      <w:bookmarkStart w:id="85" w:name="_Toc16938546"/>
      <w:r/>
      <w:bookmarkStart w:id="86" w:name="_Toc513029230"/>
      <w:r/>
      <w:bookmarkStart w:id="87" w:name="_Toc20823302"/>
      <w:r>
        <w:rPr>
          <w:rFonts w:hint="eastAsia" w:ascii="仿宋" w:hAnsi="仿宋" w:eastAsia="仿宋" w:cs="仿宋"/>
          <w:b/>
          <w:bCs/>
          <w:sz w:val="28"/>
          <w:szCs w:val="28"/>
          <w:highlight w:val="none"/>
        </w:rPr>
        <w:t xml:space="preserve">磋商与评审</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1.磋商仪式</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1.1采购人或采购代理机构将在磋商公告中规定的时间和地点组织磋商开始仪式。</w:t>
      </w:r>
      <w:r/>
    </w:p>
    <w:p>
      <w:pPr>
        <w:ind w:firstLine="482"/>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仿宋" w:hAnsi="仿宋" w:eastAsia="仿宋" w:cs="仿宋"/>
          <w:b/>
          <w:color w:val="ff0000"/>
          <w:sz w:val="28"/>
          <w:szCs w:val="28"/>
          <w:highlight w:val="none"/>
          <w:u w:val="single"/>
        </w:rPr>
        <w:t xml:space="preserve">30分钟</w:t>
      </w:r>
      <w:r>
        <w:rPr>
          <w:rFonts w:hint="eastAsia" w:ascii="仿宋" w:hAnsi="仿宋" w:eastAsia="仿宋" w:cs="仿宋"/>
          <w:b/>
          <w:sz w:val="28"/>
          <w:szCs w:val="28"/>
          <w:highlight w:val="none"/>
        </w:rPr>
        <w:t xml:space="preserve">之内完成。</w:t>
      </w:r>
      <w:r>
        <w:rPr>
          <w:rFonts w:hint="eastAsia" w:ascii="仿宋" w:hAnsi="仿宋" w:eastAsia="仿宋" w:cs="仿宋"/>
          <w:b/>
          <w:sz w:val="28"/>
          <w:szCs w:val="28"/>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仿宋" w:hAnsi="仿宋" w:eastAsia="仿宋" w:cs="仿宋"/>
          <w:b/>
          <w:sz w:val="28"/>
          <w:szCs w:val="28"/>
          <w:highlight w:val="none"/>
        </w:rPr>
        <w:t xml:space="preserve">因采购人（或采购代理机构）原因或网上招投标平台发生故障，导致无法按时完成响应文件解密或开、评标工作无法进行的，可根据实际情况相应延迟解密时间或调整开、评标时间。</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 磋商活动的文件解密工作由采购代理机构组织。</w:t>
      </w:r>
      <w:r/>
    </w:p>
    <w:p>
      <w:pPr>
        <w:ind w:firstLine="482"/>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注：各供应商请关注开标大厅交流区，在开标结束后，请勿离开开标大厅，采购人或采购代理机构通知最后报价填报后，所有的响应供应商须在</w:t>
      </w:r>
      <w:r>
        <w:rPr>
          <w:rFonts w:hint="eastAsia" w:ascii="仿宋" w:hAnsi="仿宋" w:eastAsia="仿宋" w:cs="仿宋"/>
          <w:b/>
          <w:color w:val="ff0000"/>
          <w:sz w:val="28"/>
          <w:szCs w:val="28"/>
          <w:highlight w:val="none"/>
          <w:u w:val="single"/>
        </w:rPr>
        <w:t xml:space="preserve">15分钟</w:t>
      </w:r>
      <w:r>
        <w:rPr>
          <w:rFonts w:hint="eastAsia" w:ascii="仿宋" w:hAnsi="仿宋" w:eastAsia="仿宋" w:cs="仿宋"/>
          <w:b/>
          <w:sz w:val="28"/>
          <w:szCs w:val="28"/>
          <w:highlight w:val="none"/>
        </w:rPr>
        <w:t xml:space="preserve">内填写并提交最后报价，未在规定时间内提交最后报价的，视作无效响应处理。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2.磋商小组</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2.1磋商开始仪式结束后，采购人或采购代理机构将立即组织磋商小组进行评审。</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2.3超过公开招标限额标准的项目，磋商小组应当由5人及以上单数组成。</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2.5磋商小组独立工作，负责评审所有响应文件并确定成交候选人。</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 磋商评审过程的保密与公正</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3.1磋商小组、采购人或采购代理机构、相关监督人员等与评审工作有关的人员，对评审情况以及在评审过程中获悉的国家秘密、商业秘密负有保密责任。</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3.2在磋商评审过程中，磋商供应商不得以任何行为影响磋商评审过程，否则其响应文件将被作为无效响应文件。</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3.5在评审期间，采购人或采购代理机构将设专门人员与供应商联系。</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3.6采购人、采购代理机构和磋商小组不向未成交的供应商解释未成交原因，也不公布评审过程中的相关细节。</w:t>
      </w:r>
      <w:r/>
    </w:p>
    <w:p>
      <w:pPr>
        <w:ind w:firstLine="480"/>
        <w:spacing w:line="360" w:lineRule="auto"/>
        <w:tabs>
          <w:tab w:val="left" w:pos="90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4、评审过程的澄清</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4.3 接到磋商小组澄清、说明和更正要求的供应商如未按规定做出澄清、说明和 更正，其风险由供应商自行承担。</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5.对响应文件的审查</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5.1响应文件初审分为资格性审查和符合性审查。</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5.1.1资格性检查：由磋商小组依据法律法规和磋商文件的规定，对响应文件中的资格证明文件进行审查，以确定供应商是否具备参加磋商的资格。</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磋商小组在进行资格性审查的同时，将在“信用中国”网站查询供应商的信用记录，以确定供应商是否具备磋商资格。</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5.1.2符合性审查：依据磋商文件的规定，由磋商小组从响应文件的有效性、完整性和对磋商文件的响应程度进行审查，以确定是否对磋商文件的实质性要求作出响应。</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5.1.3未通过资格审查或符合性审查的供应商，磋商小组将在</w:t>
      </w:r>
      <w:r>
        <w:rPr>
          <w:rFonts w:hint="eastAsia" w:ascii="仿宋" w:hAnsi="仿宋" w:eastAsia="仿宋" w:cs="仿宋"/>
          <w:sz w:val="28"/>
          <w:szCs w:val="28"/>
          <w:highlight w:val="none"/>
        </w:rPr>
        <w:t xml:space="preserve">苏采云系统</w:t>
      </w:r>
      <w:r>
        <w:rPr>
          <w:rFonts w:hint="eastAsia" w:ascii="仿宋" w:hAnsi="仿宋" w:eastAsia="仿宋" w:cs="仿宋"/>
          <w:bCs/>
          <w:sz w:val="28"/>
          <w:szCs w:val="28"/>
          <w:highlight w:val="none"/>
        </w:rPr>
        <w:t xml:space="preserve">中告知未通过资格审查或符合性审查的原因，评审结束后，磋商小组将不再告知未通过资格审查或符合性审查的原因。</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5.2</w:t>
      </w:r>
      <w:r>
        <w:rPr>
          <w:rFonts w:hint="eastAsia" w:ascii="仿宋" w:hAnsi="仿宋" w:eastAsia="仿宋" w:cs="仿宋"/>
          <w:sz w:val="28"/>
          <w:szCs w:val="28"/>
          <w:highlight w:val="none"/>
        </w:rPr>
        <w:t xml:space="preserve">在详细评审之前</w:t>
      </w:r>
      <w:r>
        <w:rPr>
          <w:rFonts w:hint="eastAsia" w:ascii="仿宋" w:hAnsi="仿宋" w:eastAsia="仿宋" w:cs="仿宋"/>
          <w:bCs/>
          <w:sz w:val="28"/>
          <w:szCs w:val="28"/>
          <w:highlight w:val="none"/>
        </w:rPr>
        <w:t xml:space="preserve">，磋商小组将首先审查每份响应文件是否实质性响应了磋商文件的要求。实质性响应的响应文件应该是与磋商文件要求的全部条款、条件和规格相符，没有重大负偏离或保留。</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5.3如果响应文件实质上没有响应磋商文件的要求，磋商小组将予以拒绝，供应商不得通过修改或撤销不合要求的偏离或保留而使其响应文件成为实质性响应的文件。</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5.4磋商小组将对确定为实质性响应的文件进行进一步审核，看其是否有计算上或累加上的算术错误，修正错误的原则如下：</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（1）响应文件中报价总表内容与响应文件中相应内容不一致的，以报价总表为准。</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（2）大写金额和小写金额不一致的，以大写金额为准。</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（3）单价金额小数点或者百分比有明显错位的，以报价总表的总价为准，并修改单价。</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（4）总价金额与按单价汇总金额不一致的，以单价金额计算结果为准。</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同时出现两种以上错误的，按照前款规定的顺序修正。</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5.6磋商小组将允许修正响应文件中不构成重大偏离的、微小的、非正规的、不一致的或不规则的地方，但这些修改不能影响任何供应商相应的名次排列。</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5.7供应商在评审全过程中应保持通讯畅通，并安排专人与采购人或采购代理机构及磋商小组联系</w:t>
      </w:r>
      <w:r>
        <w:rPr>
          <w:rFonts w:hint="eastAsia" w:ascii="仿宋" w:hAnsi="仿宋" w:eastAsia="仿宋" w:cs="仿宋"/>
          <w:sz w:val="28"/>
          <w:szCs w:val="28"/>
          <w:highlight w:val="none"/>
        </w:rPr>
        <w:t xml:space="preserve">。</w:t>
      </w:r>
      <w:r/>
    </w:p>
    <w:p>
      <w:pPr>
        <w:ind w:firstLine="482"/>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6. 响应文件线上格式要求</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6.1供应商应当通过“苏采云”系统提交数据电文形式的响应文件（即电子投标）。</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6.2 通过“苏采云”系统提交政府采购客户端工具导出加密的响应文件（后缀名为zip）。响应文件</w:t>
      </w:r>
      <w:r>
        <w:rPr>
          <w:rFonts w:hint="eastAsia" w:ascii="仿宋" w:hAnsi="仿宋" w:eastAsia="仿宋" w:cs="仿宋"/>
          <w:bCs/>
          <w:color w:val="ff0000"/>
          <w:sz w:val="28"/>
          <w:szCs w:val="28"/>
          <w:highlight w:val="none"/>
        </w:rPr>
        <w:t xml:space="preserve">不得超过150M！</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6.3 本项目采用线上投标，即供应商响应文件从政府采购客户端工具制作通过“苏采云”系统提交，未提供线上响应文件的，投标无效。</w:t>
      </w:r>
      <w:bookmarkEnd w:id="85"/>
      <w:r/>
      <w:bookmarkEnd w:id="86"/>
      <w:r/>
      <w:bookmarkEnd w:id="87"/>
      <w:r/>
      <w:bookmarkStart w:id="88" w:name="_Toc120614219"/>
      <w:r/>
      <w:r/>
    </w:p>
    <w:p>
      <w:pPr>
        <w:ind w:firstLine="482"/>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（六）</w:t>
      </w:r>
      <w:bookmarkEnd w:id="88"/>
      <w:r>
        <w:rPr>
          <w:rFonts w:hint="eastAsia" w:ascii="仿宋" w:hAnsi="仿宋" w:eastAsia="仿宋" w:cs="仿宋"/>
          <w:b/>
          <w:bCs/>
          <w:sz w:val="28"/>
          <w:szCs w:val="28"/>
          <w:highlight w:val="none"/>
        </w:rPr>
        <w:t xml:space="preserve">成交</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1.确定成交单位</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1.1成交候选供应商的选取原则和数量见磋商文件第四部分规定。</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1.2采购人授权磋商小组在成交候选供应商中直接确定成交供应商。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 采购代理机构将在“江苏政府采购网”发布成交结果公告，公告期限为1个工作日。</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1.4若有充分证据证明，成交供应商出现下列情况之一的，一经查实，将被取消成交资格：</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1.4.1提供虚假材料谋取成交的。</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1.4.2向采购人或采购代理机构行贿或者评审专家提供其他不正当利益的。</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1.4.3恶意竞争，最后报价明显低于其自身合理成本且又无法提供证明的。</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1.4.4属于本文件规定的无效条件，但在评审过程中又未被磋商小组发现的。</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1.4.5</w:t>
      </w:r>
      <w:r>
        <w:rPr>
          <w:rFonts w:hint="eastAsia" w:ascii="仿宋" w:hAnsi="仿宋" w:eastAsia="仿宋" w:cs="仿宋"/>
          <w:bCs/>
          <w:sz w:val="28"/>
          <w:szCs w:val="28"/>
          <w:highlight w:val="none"/>
        </w:rPr>
        <w:t xml:space="preserve">与评审专家、采购人、其他供应商或者采购中心工作人员恶意串通的。</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1.4.6采取不正当手段诋毁、排挤其他供应商的。</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1.4.7成交后无正当理由拒不与采购人签订政府采购合同或者未按照磋商文件确定的事项签订政府采购合同的。</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1.4.8将政府采购合同转包的。</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1.5.有下列情形之一的，视为供应商串通参与磋商，响应无效：</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1.5.1不同供应商的响应文件由同一单位或者个人编制；</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1.5.2不同供应商委托同一单位或者个人办理磋商事宜；</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1.5.3不同供应商的响应文件载明的项目管理成员或者联系人员为同一人；</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1.5.4不同供应商的响应文件异常一致或者响应报价呈规律性差异。</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2.质疑处理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 提出质疑的供应商应当是参与所质疑项目采购活动的供应商。潜在供应商依法获取其可质疑的磋商文件的，可以对磋商文件提出质疑。</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2.2.1对可以质疑的磋商文件提出质疑的，为收到磋商文件之日或者磋商文件公告期限届满之日；</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2.2.2对采购过程提出质疑的，为各采购程序环节结束之日；</w:t>
      </w:r>
      <w:r/>
    </w:p>
    <w:p>
      <w:pPr>
        <w:ind w:firstLine="562"/>
        <w:spacing w:line="360" w:lineRule="auto"/>
        <w:tabs>
          <w:tab w:val="left" w:pos="6555" w:leader="none"/>
          <w:tab w:val="right" w:pos="8306" w:leader="none"/>
        </w:tabs>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其中：对评审过程中涉及到的身份核对、澄清等和程序性事项，供应商如有异议的，必须当场提出。否则，均视为供应商无异议。无论是否成交，供应商事后不得再就前述事项提出任何异议或质疑投诉。</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2.2.3对成交结果提出质疑的，为成交结果公告期限届满之日。</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2.4质疑答复依据《政府采购质疑和投诉办法》（财政部令第94号）。</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采购人或采购代理机构质疑接收人及联系方式，见磋商文件第一部分。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 以下情形的质疑不予受理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 内容不符合《政府采购质疑和投诉办法》第十二条规定的质疑。</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2.5.2 超出政府采购法定期限的质疑。</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2.5.3 未参加磋商活动的供应商或在磋商活动中自身权益未受到损害的供应商所提出的质疑。</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2.5.4供应商组成联合体参加磋商，联合体中任何一方或多方未按要求签字、盖章、加盖公章的质疑。</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（七）成交通知书</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成交结果确定后，采购人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2"/>
        <w:spacing w:line="36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特别说明：成交供应商在下载成交通知书后须提供</w:t>
      </w:r>
      <w:r>
        <w:rPr>
          <w:rFonts w:hint="eastAsia" w:ascii="仿宋" w:hAnsi="仿宋" w:eastAsia="仿宋" w:cs="仿宋"/>
          <w:b/>
          <w:bCs/>
          <w:sz w:val="28"/>
          <w:szCs w:val="28"/>
          <w:highlight w:val="none"/>
          <w:u w:val="single"/>
        </w:rPr>
        <w:t xml:space="preserve">3套</w:t>
      </w:r>
      <w:r>
        <w:rPr>
          <w:rFonts w:hint="eastAsia" w:ascii="仿宋" w:hAnsi="仿宋" w:eastAsia="仿宋" w:cs="仿宋"/>
          <w:b/>
          <w:bCs/>
          <w:sz w:val="28"/>
          <w:szCs w:val="28"/>
          <w:highlight w:val="none"/>
        </w:rPr>
        <w:t xml:space="preserve">加盖红章的系统内打印的纸质响应文件给采购代理机构。</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（八）授予合同</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1.签订合同</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1.l成交供应商应当在成交通知书发出之日起三十日内，按照磋商文件确定的事项与采购人签订政府采购合同。</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1.2磋商文件、成交供应商的响应文件及磋商过程中有关澄清、承诺文件均应作为合同附件。</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2.标的物的追加</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3.履约保证金：不收取</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 政府采购合同信用融资扶持政策</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4.1根据《关于深入开展南通市政府采购线上合同信用融资业务的通知》（通财购〔2022〕68号），成交供应商可通过中征应收账款融资服务平台（简称“中征平台”）办理“政采贷”融资贷款，具体业务操作流程如下： </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4.1.1确定融资意向。成交供应商取得成交通知书后，联系意向金融机构，商治融资事项，确定融资意向。</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4.1.2签订采购合同。成交供应商与采购人签订政府采购合同时，应将自身融资需求告知采购人或其委托的采购代理机构，提醒 (或协助 ) 其当天在“苏采云”上传合同的同时将“供应商是否融资”选为“是”</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4.1.3提交融资申请。成交供应商登录“中征平台”进行用户注册，查看“政采贷”融资产品，向确定合作的金融机构提交融资申请。</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4.1.4确认回款账户。金融机构填写需要锁定的回款账户信息后成交供应商应登录“中征平台”确认账户信息，以实现回款账户的锁定。</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（九）电子招标投标交易平台</w:t>
      </w:r>
      <w:r/>
    </w:p>
    <w:p>
      <w:pPr>
        <w:ind w:firstLine="480"/>
        <w:spacing w:line="360" w:lineRule="auto"/>
        <w:rPr>
          <w:rFonts w:hint="eastAsia" w:ascii="仿宋" w:hAnsi="仿宋" w:eastAsia="仿宋" w:cs="仿宋"/>
          <w:sz w:val="28"/>
          <w:szCs w:val="28"/>
          <w:highlight w:val="none"/>
          <w:lang w:eastAsia="en-US"/>
        </w:rPr>
      </w:pPr>
      <w:r>
        <w:rPr>
          <w:rFonts w:hint="eastAsia" w:ascii="仿宋" w:hAnsi="仿宋" w:eastAsia="仿宋" w:cs="仿宋"/>
          <w:sz w:val="28"/>
          <w:szCs w:val="28"/>
          <w:highlight w:val="none"/>
          <w:lang w:eastAsia="en-US"/>
        </w:rPr>
        <w:t xml:space="preserve">电子招标投标交易平台（即“苏采云”系统，网址：</w:t>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"http://jszfcg.jsczt.cn/）相关要求是本采购文件的组成部分。"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lang w:eastAsia="en-US"/>
        </w:rPr>
        <w:t xml:space="preserve">http://jszfcg.jsczt.cn/）相关要求是本采购文件的组成部分。</w:t>
      </w:r>
      <w:r>
        <w:rPr>
          <w:rFonts w:hint="eastAsia" w:ascii="仿宋" w:hAnsi="仿宋" w:eastAsia="仿宋" w:cs="仿宋"/>
          <w:sz w:val="28"/>
          <w:szCs w:val="28"/>
          <w:highlight w:val="none"/>
          <w:lang w:eastAsia="en-US"/>
        </w:rPr>
        <w:fldChar w:fldCharType="end"/>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（十）未尽事宜</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8"/>
          <w:szCs w:val="28"/>
          <w:highlight w:val="none"/>
        </w:rPr>
        <w:t xml:space="preserve">按《中华人民共和国政府采购法》《政府采购竞争性磋商采购方式管理暂行办法》及其他有关法律法规的规定执行。</w:t>
      </w:r>
      <w:r/>
    </w:p>
    <w:p>
      <w:pPr>
        <w:ind w:firstLine="480"/>
        <w:spacing w:line="360" w:lineRule="auto"/>
        <w:rPr>
          <w:rFonts w:hint="eastAsia" w:ascii="仿宋" w:hAnsi="仿宋" w:eastAsia="仿宋" w:cs="仿宋"/>
          <w:sz w:val="24"/>
          <w:szCs w:val="24"/>
          <w:highlight w:val="none"/>
        </w:rPr>
        <w:sectPr>
          <w:headerReference w:type="default" r:id="rId9"/>
          <w:footerReference w:type="default" r:id="rId13"/>
          <w:footnotePr/>
          <w:endnotePr/>
          <w:type w:val="nextPage"/>
          <w:pgSz w:w="11906" w:h="16838" w:orient="portrait"/>
          <w:pgMar w:top="1247" w:right="1418" w:bottom="1247" w:left="1418" w:header="851" w:footer="992" w:gutter="0"/>
          <w:cols w:num="1" w:sep="0" w:space="720" w:equalWidth="1"/>
          <w:docGrid w:linePitch="360"/>
        </w:sectPr>
      </w:pPr>
      <w:r>
        <w:rPr>
          <w:rFonts w:hint="eastAsia" w:ascii="仿宋" w:hAnsi="仿宋" w:eastAsia="仿宋" w:cs="仿宋"/>
          <w:sz w:val="24"/>
          <w:szCs w:val="24"/>
          <w:highlight w:val="none"/>
        </w:rPr>
      </w:r>
      <w:bookmarkEnd w:id="22"/>
      <w:r/>
    </w:p>
    <w:p>
      <w:pPr>
        <w:ind w:firstLine="723"/>
        <w:jc w:val="center"/>
        <w:rPr>
          <w:rFonts w:hint="eastAsia" w:ascii="仿宋" w:hAnsi="仿宋" w:eastAsia="仿宋" w:cs="仿宋"/>
          <w:b/>
          <w:sz w:val="32"/>
          <w:szCs w:val="32"/>
          <w:highlight w:val="none"/>
        </w:rPr>
        <w:outlineLvl w:val="0"/>
      </w:pPr>
      <w:r>
        <w:rPr>
          <w:rFonts w:hint="eastAsia" w:ascii="仿宋" w:hAnsi="仿宋" w:eastAsia="仿宋" w:cs="仿宋"/>
          <w:b/>
          <w:sz w:val="32"/>
          <w:szCs w:val="32"/>
          <w:highlight w:val="none"/>
        </w:rPr>
        <w:t xml:space="preserve">第三章  </w:t>
      </w:r>
      <w:bookmarkStart w:id="89" w:name="_Hlt16619369"/>
      <w:r/>
      <w:bookmarkEnd w:id="89"/>
      <w:r>
        <w:rPr>
          <w:rFonts w:hint="eastAsia" w:ascii="仿宋" w:hAnsi="仿宋" w:eastAsia="仿宋" w:cs="仿宋"/>
          <w:b/>
          <w:sz w:val="32"/>
          <w:szCs w:val="32"/>
          <w:highlight w:val="none"/>
        </w:rPr>
        <w:t xml:space="preserve"> 项目需求</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请供应商在制作响应文件时仔细研究项目需求说明。</w:t>
      </w:r>
      <w:r>
        <w:rPr>
          <w:rFonts w:hint="eastAsia" w:ascii="仿宋" w:hAnsi="仿宋" w:eastAsia="仿宋" w:cs="仿宋"/>
          <w:color w:val="000000" w:themeColor="text1"/>
          <w:sz w:val="28"/>
          <w:szCs w:val="28"/>
          <w:highlight w:val="none"/>
          <w14:textFill>
            <w14:solidFill>
              <w14:schemeClr w14:val="tx1"/>
            </w14:solidFill>
          </w14:textFill>
        </w:rPr>
        <w:t xml:space="preserve">供应商不能简单照搬照抄采购人项目需求说明中的技术、商务要求，必须作实事求是的响应。如照搬照抄项目需求说明中的技术、商务要求的，成交供应商在同采购人签订合同和履约环节中不得提出异议，一切后果和损失由成交供应商承担。如供应商提供的货物和服务同采购人提出的项目需求说明中的技术、商务要求不同的，必须在《技术商务部分正负偏离表》上明示，如不明示的视同完全响应。</w:t>
      </w:r>
      <w:r/>
    </w:p>
    <w:p>
      <w:pPr>
        <w:ind w:firstLine="560"/>
        <w:jc w:val="left"/>
        <w:spacing w:line="580" w:lineRule="exact"/>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包1</w:t>
      </w:r>
      <w:r/>
    </w:p>
    <w:p>
      <w:pPr>
        <w:numPr>
          <w:ilvl w:val="0"/>
          <w:numId w:val="3"/>
        </w:numPr>
        <w:ind w:firstLine="560"/>
        <w:jc w:val="left"/>
        <w:spacing w:line="5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项目概况</w:t>
      </w:r>
      <w:r/>
    </w:p>
    <w:p>
      <w:pPr>
        <w:ind w:firstLine="560"/>
        <w:jc w:val="left"/>
        <w:spacing w:line="5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（1）布设点位</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依据《十五五国家海洋生态环境质量监测点位设置方案》、《2026年全省生态环境监测方案》，在南通市近岸海域39个国控监测点位开展海水水质自评估监测。</w:t>
      </w:r>
      <w:r/>
    </w:p>
    <w:p>
      <w:pPr>
        <w:ind w:firstLine="560"/>
        <w:jc w:val="left"/>
        <w:spacing w:line="5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（2）监测项目及分析方法</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基础指标：水深、水温、盐度；</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化学指标：pH、溶解氧、化学需氧量、氨氮、硝酸盐氮、亚硝酸盐氮、活性磷酸盐、石油类、总氮、总磷、铜、锌、总铬、汞、镉、铅、砷；</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表1 海水水质监测指标及分析方法</w:t>
      </w:r>
      <w:r/>
    </w:p>
    <w:tbl>
      <w:tblPr>
        <w:tblStyle w:val="873"/>
        <w:tblW w:w="9511"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27"/>
        <w:gridCol w:w="2925"/>
        <w:gridCol w:w="2693"/>
        <w:gridCol w:w="1962"/>
      </w:tblGrid>
      <w:tr>
        <w:trPr>
          <w:trHeight w:val="351"/>
          <w:tblHeader/>
        </w:trPr>
        <w:tc>
          <w:tcPr>
            <w:shd w:val="clear" w:color="auto" w:fill="d9d9d9"/>
            <w:tcW w:w="704" w:type="dxa"/>
            <w:vAlign w:val="center"/>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序号</w:t>
            </w:r>
            <w:r/>
          </w:p>
        </w:tc>
        <w:tc>
          <w:tcPr>
            <w:shd w:val="clear" w:color="auto" w:fill="d9d9d9"/>
            <w:tcW w:w="1227" w:type="dxa"/>
            <w:vAlign w:val="center"/>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监测指标</w:t>
            </w:r>
            <w:r/>
          </w:p>
        </w:tc>
        <w:tc>
          <w:tcPr>
            <w:shd w:val="clear" w:color="auto" w:fill="d9d9d9"/>
            <w:tcW w:w="2925" w:type="dxa"/>
            <w:vAlign w:val="center"/>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分析方法</w:t>
            </w:r>
            <w:r/>
          </w:p>
        </w:tc>
        <w:tc>
          <w:tcPr>
            <w:shd w:val="clear" w:color="auto" w:fill="d9d9d9"/>
            <w:tcW w:w="2693" w:type="dxa"/>
            <w:vAlign w:val="center"/>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依据标准</w:t>
            </w:r>
            <w:r/>
          </w:p>
        </w:tc>
        <w:tc>
          <w:tcPr>
            <w:shd w:val="clear" w:color="auto" w:fill="d9d9d9"/>
            <w:tcW w:w="1962" w:type="dxa"/>
            <w:vAlign w:val="center"/>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优先采用方法</w:t>
            </w:r>
            <w:r/>
          </w:p>
        </w:tc>
      </w:tr>
      <w:tr>
        <w:trPr>
          <w:trHeight w:val="351"/>
        </w:trPr>
        <w:tc>
          <w:tcPr>
            <w:tcW w:w="704" w:type="dxa"/>
            <w:vAlign w:val="center"/>
            <w:vMerge w:val="restart"/>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w:t>
            </w:r>
            <w:r/>
          </w:p>
        </w:tc>
        <w:tc>
          <w:tcPr>
            <w:tcW w:w="1227" w:type="dxa"/>
            <w:vAlign w:val="center"/>
            <w:vMerge w:val="restart"/>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水温</w:t>
            </w:r>
            <w:r/>
          </w:p>
        </w:tc>
        <w:tc>
          <w:tcPr>
            <w:tcW w:w="2925" w:type="dxa"/>
            <w:vAlign w:val="center"/>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温盐深剖面仪法</w:t>
            </w:r>
            <w:r/>
          </w:p>
        </w:tc>
        <w:tc>
          <w:tcPr>
            <w:tcW w:w="2693" w:type="dxa"/>
            <w:vAlign w:val="center"/>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HY/T 147.6-2013（4.1）</w:t>
            </w:r>
            <w:r/>
          </w:p>
        </w:tc>
        <w:tc>
          <w:tcPr>
            <w:tcW w:w="1962" w:type="dxa"/>
            <w:vAlign w:val="center"/>
            <w:vMerge w:val="restart"/>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温盐深剖面仪法a</w:t>
            </w:r>
            <w:r/>
          </w:p>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（可使用多参数水质仪原位测试）</w:t>
            </w:r>
            <w:r/>
          </w:p>
        </w:tc>
      </w:tr>
      <w:tr>
        <w:trPr>
          <w:trHeight w:val="351"/>
        </w:trPr>
        <w:tc>
          <w:tcPr>
            <w:tcW w:w="704" w:type="dxa"/>
            <w:vAlign w:val="center"/>
            <w:vMerge w:val="continue"/>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27" w:type="dxa"/>
            <w:vAlign w:val="center"/>
            <w:vMerge w:val="continue"/>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925" w:type="dxa"/>
            <w:vAlign w:val="center"/>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数字测温仪法</w:t>
            </w:r>
            <w:r/>
          </w:p>
        </w:tc>
        <w:tc>
          <w:tcPr>
            <w:tcW w:w="2693" w:type="dxa"/>
            <w:vAlign w:val="center"/>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HY/T 147.6-2013（4.2）</w:t>
            </w:r>
            <w:r/>
          </w:p>
        </w:tc>
        <w:tc>
          <w:tcPr>
            <w:tcW w:w="1962" w:type="dxa"/>
            <w:vAlign w:val="center"/>
            <w:vMerge w:val="continue"/>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351"/>
        </w:trPr>
        <w:tc>
          <w:tcPr>
            <w:tcW w:w="704" w:type="dxa"/>
            <w:vAlign w:val="center"/>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p>
        </w:tc>
        <w:tc>
          <w:tcPr>
            <w:tcW w:w="1227" w:type="dxa"/>
            <w:vAlign w:val="center"/>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水深</w:t>
            </w:r>
            <w:r/>
          </w:p>
        </w:tc>
        <w:tc>
          <w:tcPr>
            <w:tcW w:w="2925" w:type="dxa"/>
            <w:vAlign w:val="center"/>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水深测量</w:t>
            </w:r>
            <w:r/>
          </w:p>
        </w:tc>
        <w:tc>
          <w:tcPr>
            <w:tcW w:w="2693" w:type="dxa"/>
            <w:vAlign w:val="center"/>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GB/T 12763.2-2007</w:t>
            </w:r>
            <w:r/>
          </w:p>
        </w:tc>
        <w:tc>
          <w:tcPr>
            <w:tcW w:w="1962" w:type="dxa"/>
            <w:vAlign w:val="center"/>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p>
        </w:tc>
      </w:tr>
      <w:tr>
        <w:trPr>
          <w:trHeight w:val="351"/>
        </w:trPr>
        <w:tc>
          <w:tcPr>
            <w:tcW w:w="704" w:type="dxa"/>
            <w:vAlign w:val="center"/>
            <w:vMerge w:val="restart"/>
            <w:textDirection w:val="lrTb"/>
            <w:noWrap/>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w:t>
            </w:r>
            <w:r/>
          </w:p>
        </w:tc>
        <w:tc>
          <w:tcPr>
            <w:tcW w:w="1227" w:type="dxa"/>
            <w:vAlign w:val="center"/>
            <w:vMerge w:val="restart"/>
            <w:textDirection w:val="lrTb"/>
            <w:noWrap/>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盐度</w:t>
            </w:r>
            <w:r/>
          </w:p>
        </w:tc>
        <w:tc>
          <w:tcPr>
            <w:tcW w:w="2925" w:type="dxa"/>
            <w:vAlign w:val="center"/>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温盐深剖面仪法</w:t>
            </w:r>
            <w:r/>
          </w:p>
        </w:tc>
        <w:tc>
          <w:tcPr>
            <w:tcW w:w="2693" w:type="dxa"/>
            <w:vAlign w:val="center"/>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HY/T 147.6-2013（5）</w:t>
            </w:r>
            <w:r/>
          </w:p>
        </w:tc>
        <w:tc>
          <w:tcPr>
            <w:tcW w:w="1962" w:type="dxa"/>
            <w:vAlign w:val="center"/>
            <w:vMerge w:val="restart"/>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温盐深剖面仪法a</w:t>
            </w:r>
            <w:r/>
          </w:p>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（可使用多参数水质仪原位测试）</w:t>
            </w:r>
            <w:r/>
          </w:p>
        </w:tc>
      </w:tr>
      <w:tr>
        <w:trPr>
          <w:trHeight w:val="351"/>
        </w:trPr>
        <w:tc>
          <w:tcPr>
            <w:tcW w:w="704" w:type="dxa"/>
            <w:vAlign w:val="center"/>
            <w:vMerge w:val="continue"/>
            <w:textDirection w:val="lrTb"/>
            <w:noWrap/>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27" w:type="dxa"/>
            <w:vAlign w:val="center"/>
            <w:vMerge w:val="continue"/>
            <w:textDirection w:val="lrTb"/>
            <w:noWrap/>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925" w:type="dxa"/>
            <w:vAlign w:val="center"/>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盐度计法</w:t>
            </w:r>
            <w:r/>
          </w:p>
        </w:tc>
        <w:tc>
          <w:tcPr>
            <w:tcW w:w="2693" w:type="dxa"/>
            <w:vAlign w:val="center"/>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GB 17378.4-2007（29.1）</w:t>
            </w:r>
            <w:r/>
          </w:p>
        </w:tc>
        <w:tc>
          <w:tcPr>
            <w:tcW w:w="1962" w:type="dxa"/>
            <w:vAlign w:val="center"/>
            <w:vMerge w:val="continue"/>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351"/>
        </w:trPr>
        <w:tc>
          <w:tcPr>
            <w:tcW w:w="704" w:type="dxa"/>
            <w:vAlign w:val="center"/>
            <w:textDirection w:val="lrTb"/>
            <w:noWrap/>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w:t>
            </w:r>
            <w:r/>
          </w:p>
        </w:tc>
        <w:tc>
          <w:tcPr>
            <w:tcW w:w="1227" w:type="dxa"/>
            <w:vAlign w:val="center"/>
            <w:textDirection w:val="lrTb"/>
            <w:noWrap/>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pH</w:t>
            </w:r>
            <w:r/>
          </w:p>
        </w:tc>
        <w:tc>
          <w:tcPr>
            <w:tcW w:w="2925" w:type="dxa"/>
            <w:vAlign w:val="center"/>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pH计法</w:t>
            </w:r>
            <w:r/>
          </w:p>
        </w:tc>
        <w:tc>
          <w:tcPr>
            <w:tcW w:w="2693" w:type="dxa"/>
            <w:vAlign w:val="center"/>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GB 17378.4-2007（26）</w:t>
            </w:r>
            <w:r/>
          </w:p>
        </w:tc>
        <w:tc>
          <w:tcPr>
            <w:tcW w:w="1962" w:type="dxa"/>
            <w:vAlign w:val="center"/>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p>
        </w:tc>
      </w:tr>
      <w:tr>
        <w:trPr>
          <w:trHeight w:val="351"/>
        </w:trPr>
        <w:tc>
          <w:tcPr>
            <w:tcW w:w="704" w:type="dxa"/>
            <w:vAlign w:val="center"/>
            <w:vMerge w:val="restart"/>
            <w:textDirection w:val="lrTb"/>
            <w:noWrap/>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w:t>
            </w:r>
            <w:r/>
          </w:p>
        </w:tc>
        <w:tc>
          <w:tcPr>
            <w:tcW w:w="1227" w:type="dxa"/>
            <w:vAlign w:val="center"/>
            <w:vMerge w:val="restart"/>
            <w:textDirection w:val="lrTb"/>
            <w:noWrap/>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溶解氧</w:t>
            </w:r>
            <w:r/>
          </w:p>
        </w:tc>
        <w:tc>
          <w:tcPr>
            <w:tcW w:w="2925" w:type="dxa"/>
            <w:vAlign w:val="center"/>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电化学探头法</w:t>
            </w:r>
            <w:r/>
          </w:p>
        </w:tc>
        <w:tc>
          <w:tcPr>
            <w:tcW w:w="2693" w:type="dxa"/>
            <w:vAlign w:val="center"/>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HJ 506-2009</w:t>
            </w:r>
            <w:r/>
          </w:p>
        </w:tc>
        <w:tc>
          <w:tcPr>
            <w:tcW w:w="1962" w:type="dxa"/>
            <w:vAlign w:val="center"/>
            <w:vMerge w:val="restart"/>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电化学探头法</w:t>
            </w:r>
            <w:r/>
          </w:p>
        </w:tc>
      </w:tr>
      <w:tr>
        <w:trPr>
          <w:trHeight w:val="351"/>
        </w:trPr>
        <w:tc>
          <w:tcPr>
            <w:tcW w:w="704" w:type="dxa"/>
            <w:vAlign w:val="center"/>
            <w:vMerge w:val="continue"/>
            <w:textDirection w:val="lrTb"/>
            <w:noWrap/>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27" w:type="dxa"/>
            <w:vAlign w:val="center"/>
            <w:vMerge w:val="continue"/>
            <w:textDirection w:val="lrTb"/>
            <w:noWrap/>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925" w:type="dxa"/>
            <w:vAlign w:val="center"/>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碘量法</w:t>
            </w:r>
            <w:r/>
          </w:p>
        </w:tc>
        <w:tc>
          <w:tcPr>
            <w:tcW w:w="2693" w:type="dxa"/>
            <w:vAlign w:val="center"/>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GB 17378.4-2007（31）</w:t>
            </w:r>
            <w:r/>
          </w:p>
        </w:tc>
        <w:tc>
          <w:tcPr>
            <w:tcW w:w="1962" w:type="dxa"/>
            <w:vAlign w:val="center"/>
            <w:vMerge w:val="continue"/>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351"/>
        </w:trPr>
        <w:tc>
          <w:tcPr>
            <w:tcW w:w="704" w:type="dxa"/>
            <w:vAlign w:val="center"/>
            <w:vMerge w:val="restart"/>
            <w:textDirection w:val="lrTb"/>
            <w:noWrap/>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w:t>
            </w:r>
            <w:r/>
          </w:p>
        </w:tc>
        <w:tc>
          <w:tcPr>
            <w:tcW w:w="1227" w:type="dxa"/>
            <w:vAlign w:val="center"/>
            <w:vMerge w:val="restart"/>
            <w:textDirection w:val="lrTb"/>
            <w:noWrap/>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化学需氧量</w:t>
            </w:r>
            <w:r/>
          </w:p>
        </w:tc>
        <w:tc>
          <w:tcPr>
            <w:tcW w:w="2925" w:type="dxa"/>
            <w:vAlign w:val="center"/>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碱性高锰酸钾法</w:t>
            </w:r>
            <w:r/>
          </w:p>
        </w:tc>
        <w:tc>
          <w:tcPr>
            <w:tcW w:w="2693" w:type="dxa"/>
            <w:vAlign w:val="center"/>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GB 17378.4-2007（32）</w:t>
            </w:r>
            <w:r/>
          </w:p>
        </w:tc>
        <w:tc>
          <w:tcPr>
            <w:tcW w:w="1962" w:type="dxa"/>
            <w:vAlign w:val="center"/>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p>
        </w:tc>
      </w:tr>
      <w:tr>
        <w:trPr>
          <w:trHeight w:val="351"/>
        </w:trPr>
        <w:tc>
          <w:tcPr>
            <w:tcW w:w="704" w:type="dxa"/>
            <w:vAlign w:val="center"/>
            <w:vMerge w:val="continue"/>
            <w:textDirection w:val="lrTb"/>
            <w:noWrap/>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27" w:type="dxa"/>
            <w:vAlign w:val="center"/>
            <w:vMerge w:val="continue"/>
            <w:textDirection w:val="lrTb"/>
            <w:noWrap/>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925" w:type="dxa"/>
            <w:vAlign w:val="center"/>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酸性高锰酸钾法</w:t>
            </w:r>
            <w:r/>
          </w:p>
        </w:tc>
        <w:tc>
          <w:tcPr>
            <w:tcW w:w="2693" w:type="dxa"/>
            <w:vAlign w:val="center"/>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GB/T 5750.7-2023</w:t>
            </w:r>
            <w:r/>
          </w:p>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GB 11892-89</w:t>
            </w:r>
            <w:r/>
          </w:p>
        </w:tc>
        <w:tc>
          <w:tcPr>
            <w:tcW w:w="1962" w:type="dxa"/>
            <w:vAlign w:val="center"/>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仅限盐度小于2的水样</w:t>
            </w:r>
            <w:r/>
          </w:p>
        </w:tc>
      </w:tr>
      <w:tr>
        <w:trPr>
          <w:trHeight w:val="351"/>
        </w:trPr>
        <w:tc>
          <w:tcPr>
            <w:tcW w:w="704" w:type="dxa"/>
            <w:vAlign w:val="center"/>
            <w:vMerge w:val="restart"/>
            <w:textDirection w:val="lrTb"/>
            <w:noWrap/>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w:t>
            </w:r>
            <w:r/>
          </w:p>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27" w:type="dxa"/>
            <w:vAlign w:val="center"/>
            <w:vMerge w:val="restart"/>
            <w:textDirection w:val="lrTb"/>
            <w:noWrap/>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活性磷酸盐</w:t>
            </w:r>
            <w:r/>
          </w:p>
        </w:tc>
        <w:tc>
          <w:tcPr>
            <w:tcW w:w="2925" w:type="dxa"/>
            <w:vAlign w:val="center"/>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磷钼蓝分光光度法</w:t>
            </w:r>
            <w:r/>
          </w:p>
        </w:tc>
        <w:tc>
          <w:tcPr>
            <w:tcW w:w="2693" w:type="dxa"/>
            <w:vAlign w:val="center"/>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GB 17378.4-2007（39.1）</w:t>
            </w:r>
            <w:r/>
          </w:p>
        </w:tc>
        <w:tc>
          <w:tcPr>
            <w:tcW w:w="1962" w:type="dxa"/>
            <w:vAlign w:val="center"/>
            <w:vMerge w:val="restart"/>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流动分析法</w:t>
            </w:r>
            <w:r/>
          </w:p>
        </w:tc>
      </w:tr>
      <w:tr>
        <w:trPr>
          <w:trHeight w:val="351"/>
        </w:trPr>
        <w:tc>
          <w:tcPr>
            <w:tcW w:w="704" w:type="dxa"/>
            <w:vAlign w:val="center"/>
            <w:vMerge w:val="continue"/>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27" w:type="dxa"/>
            <w:vAlign w:val="center"/>
            <w:vMerge w:val="continue"/>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925" w:type="dxa"/>
            <w:vAlign w:val="center"/>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流动分析法</w:t>
            </w:r>
            <w:r/>
          </w:p>
        </w:tc>
        <w:tc>
          <w:tcPr>
            <w:tcW w:w="2693" w:type="dxa"/>
            <w:vAlign w:val="center"/>
            <w:textDirection w:val="lrTb"/>
            <w:noWrap w:val="false"/>
          </w:tcPr>
          <w:p>
            <w:pPr>
              <w:jc w:val="both"/>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HY/T 147.1-2013（10.1）</w:t>
            </w:r>
            <w:r/>
          </w:p>
          <w:p>
            <w:pPr>
              <w:jc w:val="both"/>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HJ 442.3-2020附录E</w:t>
            </w:r>
            <w:r/>
          </w:p>
        </w:tc>
        <w:tc>
          <w:tcPr>
            <w:tcW w:w="1962" w:type="dxa"/>
            <w:vAlign w:val="center"/>
            <w:vMerge w:val="continue"/>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351"/>
        </w:trPr>
        <w:tc>
          <w:tcPr>
            <w:tcW w:w="704" w:type="dxa"/>
            <w:vAlign w:val="center"/>
            <w:vMerge w:val="restart"/>
            <w:textDirection w:val="lrTb"/>
            <w:noWrap/>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w:t>
            </w:r>
            <w:r/>
          </w:p>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27" w:type="dxa"/>
            <w:vAlign w:val="center"/>
            <w:vMerge w:val="restart"/>
            <w:textDirection w:val="lrTb"/>
            <w:noWrap/>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亚硝酸盐氮</w:t>
            </w:r>
            <w:r/>
          </w:p>
        </w:tc>
        <w:tc>
          <w:tcPr>
            <w:tcW w:w="2925" w:type="dxa"/>
            <w:vAlign w:val="center"/>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萘乙二胺分光光度法</w:t>
            </w:r>
            <w:r/>
          </w:p>
        </w:tc>
        <w:tc>
          <w:tcPr>
            <w:tcW w:w="2693" w:type="dxa"/>
            <w:vAlign w:val="center"/>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GB 17378.4-2007（37）</w:t>
            </w:r>
            <w:r/>
          </w:p>
        </w:tc>
        <w:tc>
          <w:tcPr>
            <w:tcW w:w="1962" w:type="dxa"/>
            <w:vAlign w:val="center"/>
            <w:vMerge w:val="restart"/>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流动分析法</w:t>
            </w:r>
            <w:r/>
          </w:p>
        </w:tc>
      </w:tr>
      <w:tr>
        <w:trPr>
          <w:trHeight w:val="351"/>
        </w:trPr>
        <w:tc>
          <w:tcPr>
            <w:tcW w:w="704" w:type="dxa"/>
            <w:vAlign w:val="center"/>
            <w:vMerge w:val="continue"/>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27" w:type="dxa"/>
            <w:vAlign w:val="center"/>
            <w:vMerge w:val="continue"/>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925" w:type="dxa"/>
            <w:vAlign w:val="center"/>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流动分析法</w:t>
            </w:r>
            <w:r/>
          </w:p>
        </w:tc>
        <w:tc>
          <w:tcPr>
            <w:tcW w:w="2693" w:type="dxa"/>
            <w:vAlign w:val="center"/>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HY/T 147.1-2013（7.1）</w:t>
            </w:r>
            <w:r/>
          </w:p>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HJ 442.3-2020附录D</w:t>
            </w:r>
            <w:r/>
          </w:p>
        </w:tc>
        <w:tc>
          <w:tcPr>
            <w:tcW w:w="1962" w:type="dxa"/>
            <w:vAlign w:val="center"/>
            <w:vMerge w:val="continue"/>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351"/>
        </w:trPr>
        <w:tc>
          <w:tcPr>
            <w:tcW w:w="704" w:type="dxa"/>
            <w:vAlign w:val="center"/>
            <w:vMerge w:val="restart"/>
            <w:textDirection w:val="lrTb"/>
            <w:noWrap/>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9</w:t>
            </w:r>
            <w:r/>
          </w:p>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27" w:type="dxa"/>
            <w:vAlign w:val="center"/>
            <w:vMerge w:val="restart"/>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硝酸盐氮</w:t>
            </w:r>
            <w:r/>
          </w:p>
        </w:tc>
        <w:tc>
          <w:tcPr>
            <w:tcW w:w="2925" w:type="dxa"/>
            <w:vAlign w:val="center"/>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镉柱还原法</w:t>
            </w:r>
            <w:r/>
          </w:p>
        </w:tc>
        <w:tc>
          <w:tcPr>
            <w:tcW w:w="2693" w:type="dxa"/>
            <w:vAlign w:val="center"/>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GB 17378.4-2007（38.1）</w:t>
            </w:r>
            <w:r/>
          </w:p>
        </w:tc>
        <w:tc>
          <w:tcPr>
            <w:tcW w:w="1962" w:type="dxa"/>
            <w:vAlign w:val="center"/>
            <w:vMerge w:val="restart"/>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流动分析法</w:t>
            </w:r>
            <w:r/>
          </w:p>
        </w:tc>
      </w:tr>
      <w:tr>
        <w:trPr>
          <w:trHeight w:val="351"/>
        </w:trPr>
        <w:tc>
          <w:tcPr>
            <w:tcW w:w="704" w:type="dxa"/>
            <w:vAlign w:val="center"/>
            <w:vMerge w:val="continue"/>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27" w:type="dxa"/>
            <w:vAlign w:val="center"/>
            <w:vMerge w:val="continue"/>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925" w:type="dxa"/>
            <w:vAlign w:val="center"/>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流动分析法</w:t>
            </w:r>
            <w:r/>
          </w:p>
        </w:tc>
        <w:tc>
          <w:tcPr>
            <w:tcW w:w="2693" w:type="dxa"/>
            <w:vAlign w:val="center"/>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HY/T 147.1-2013（8.1）</w:t>
            </w:r>
            <w:r/>
          </w:p>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HJ 442.3-2020附录D</w:t>
            </w:r>
            <w:r/>
          </w:p>
        </w:tc>
        <w:tc>
          <w:tcPr>
            <w:tcW w:w="1962" w:type="dxa"/>
            <w:vAlign w:val="center"/>
            <w:vMerge w:val="continue"/>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351"/>
        </w:trPr>
        <w:tc>
          <w:tcPr>
            <w:tcW w:w="704" w:type="dxa"/>
            <w:vAlign w:val="center"/>
            <w:vMerge w:val="restart"/>
            <w:textDirection w:val="lrTb"/>
            <w:noWrap/>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10</w:t>
            </w:r>
            <w:r/>
          </w:p>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27" w:type="dxa"/>
            <w:vAlign w:val="center"/>
            <w:vMerge w:val="restart"/>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氨氮</w:t>
            </w:r>
            <w:r/>
          </w:p>
        </w:tc>
        <w:tc>
          <w:tcPr>
            <w:tcW w:w="2925" w:type="dxa"/>
            <w:vAlign w:val="center"/>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靛酚蓝分光光度法</w:t>
            </w:r>
            <w:r/>
          </w:p>
        </w:tc>
        <w:tc>
          <w:tcPr>
            <w:tcW w:w="2693" w:type="dxa"/>
            <w:vAlign w:val="center"/>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GB 17378.4-2007（36.1）</w:t>
            </w:r>
            <w:r/>
          </w:p>
        </w:tc>
        <w:tc>
          <w:tcPr>
            <w:tcW w:w="1962" w:type="dxa"/>
            <w:vAlign w:val="center"/>
            <w:vMerge w:val="restart"/>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流动分析法</w:t>
            </w:r>
            <w:r/>
          </w:p>
        </w:tc>
      </w:tr>
      <w:tr>
        <w:trPr>
          <w:trHeight w:val="351"/>
        </w:trPr>
        <w:tc>
          <w:tcPr>
            <w:tcW w:w="704" w:type="dxa"/>
            <w:vAlign w:val="center"/>
            <w:vMerge w:val="continue"/>
            <w:textDirection w:val="lrTb"/>
            <w:noWrap/>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27" w:type="dxa"/>
            <w:vAlign w:val="center"/>
            <w:vMerge w:val="continue"/>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925" w:type="dxa"/>
            <w:vAlign w:val="center"/>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流动分析法</w:t>
            </w:r>
            <w:r/>
          </w:p>
        </w:tc>
        <w:tc>
          <w:tcPr>
            <w:tcW w:w="2693" w:type="dxa"/>
            <w:vAlign w:val="center"/>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HY/T 147.1-2013（9.1）</w:t>
            </w:r>
            <w:r/>
          </w:p>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HJ 442.3-2020附录C</w:t>
            </w:r>
            <w:r/>
          </w:p>
        </w:tc>
        <w:tc>
          <w:tcPr>
            <w:tcW w:w="1962" w:type="dxa"/>
            <w:vAlign w:val="center"/>
            <w:vMerge w:val="continue"/>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351"/>
        </w:trPr>
        <w:tc>
          <w:tcPr>
            <w:tcW w:w="704" w:type="dxa"/>
            <w:vAlign w:val="center"/>
            <w:vMerge w:val="continue"/>
            <w:textDirection w:val="lrTb"/>
            <w:noWrap/>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27" w:type="dxa"/>
            <w:vAlign w:val="center"/>
            <w:vMerge w:val="continue"/>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925" w:type="dxa"/>
            <w:vAlign w:val="center"/>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次溴酸盐氧化法</w:t>
            </w:r>
            <w:r/>
          </w:p>
        </w:tc>
        <w:tc>
          <w:tcPr>
            <w:tcW w:w="2693" w:type="dxa"/>
            <w:vAlign w:val="center"/>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GB 17378.4-2007（36.2）</w:t>
            </w:r>
            <w:r/>
          </w:p>
        </w:tc>
        <w:tc>
          <w:tcPr>
            <w:tcW w:w="1962" w:type="dxa"/>
            <w:vAlign w:val="center"/>
            <w:vMerge w:val="continue"/>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351"/>
        </w:trPr>
        <w:tc>
          <w:tcPr>
            <w:tcW w:w="704" w:type="dxa"/>
            <w:vAlign w:val="center"/>
            <w:vMerge w:val="restart"/>
            <w:textDirection w:val="lrTb"/>
            <w:noWrap/>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w:t>
            </w:r>
            <w:r/>
          </w:p>
        </w:tc>
        <w:tc>
          <w:tcPr>
            <w:tcW w:w="1227" w:type="dxa"/>
            <w:vAlign w:val="center"/>
            <w:vMerge w:val="restart"/>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总氮</w:t>
            </w:r>
            <w:r/>
          </w:p>
        </w:tc>
        <w:tc>
          <w:tcPr>
            <w:tcW w:w="2925" w:type="dxa"/>
            <w:vAlign w:val="center"/>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过硫酸钾氧化法</w:t>
            </w:r>
            <w:r/>
          </w:p>
        </w:tc>
        <w:tc>
          <w:tcPr>
            <w:tcW w:w="2693" w:type="dxa"/>
            <w:vAlign w:val="center"/>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GB 17378.4-2007（41）</w:t>
            </w:r>
            <w:r/>
          </w:p>
        </w:tc>
        <w:tc>
          <w:tcPr>
            <w:tcW w:w="1962" w:type="dxa"/>
            <w:vAlign w:val="center"/>
            <w:vMerge w:val="restart"/>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流动分析法</w:t>
            </w:r>
            <w:r/>
          </w:p>
        </w:tc>
      </w:tr>
      <w:tr>
        <w:trPr>
          <w:trHeight w:val="351"/>
        </w:trPr>
        <w:tc>
          <w:tcPr>
            <w:tcW w:w="704" w:type="dxa"/>
            <w:vAlign w:val="center"/>
            <w:vMerge w:val="continue"/>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27" w:type="dxa"/>
            <w:vAlign w:val="center"/>
            <w:vMerge w:val="continue"/>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925" w:type="dxa"/>
            <w:vAlign w:val="center"/>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流动分析法</w:t>
            </w:r>
            <w:r/>
          </w:p>
        </w:tc>
        <w:tc>
          <w:tcPr>
            <w:tcW w:w="2693" w:type="dxa"/>
            <w:vAlign w:val="center"/>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HY/T 147.1-2013（12）</w:t>
            </w:r>
            <w:r/>
          </w:p>
        </w:tc>
        <w:tc>
          <w:tcPr>
            <w:tcW w:w="1962" w:type="dxa"/>
            <w:vAlign w:val="center"/>
            <w:vMerge w:val="continue"/>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351"/>
        </w:trPr>
        <w:tc>
          <w:tcPr>
            <w:tcW w:w="704" w:type="dxa"/>
            <w:vAlign w:val="center"/>
            <w:vMerge w:val="restart"/>
            <w:textDirection w:val="lrTb"/>
            <w:noWrap/>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w:t>
            </w:r>
            <w:r/>
          </w:p>
        </w:tc>
        <w:tc>
          <w:tcPr>
            <w:tcW w:w="1227" w:type="dxa"/>
            <w:vAlign w:val="center"/>
            <w:vMerge w:val="restart"/>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总磷</w:t>
            </w:r>
            <w:r/>
          </w:p>
        </w:tc>
        <w:tc>
          <w:tcPr>
            <w:tcW w:w="2925" w:type="dxa"/>
            <w:vAlign w:val="center"/>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过硫酸钾氧化法</w:t>
            </w:r>
            <w:r/>
          </w:p>
        </w:tc>
        <w:tc>
          <w:tcPr>
            <w:tcW w:w="2693" w:type="dxa"/>
            <w:vAlign w:val="center"/>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GB 17378.4-2007（40）</w:t>
            </w:r>
            <w:r/>
          </w:p>
        </w:tc>
        <w:tc>
          <w:tcPr>
            <w:tcW w:w="1962" w:type="dxa"/>
            <w:vAlign w:val="center"/>
            <w:vMerge w:val="restart"/>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流动分析法</w:t>
            </w:r>
            <w:r/>
          </w:p>
        </w:tc>
      </w:tr>
      <w:tr>
        <w:trPr>
          <w:trHeight w:val="351"/>
        </w:trPr>
        <w:tc>
          <w:tcPr>
            <w:tcW w:w="704" w:type="dxa"/>
            <w:vAlign w:val="center"/>
            <w:vMerge w:val="continue"/>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27" w:type="dxa"/>
            <w:vAlign w:val="center"/>
            <w:vMerge w:val="continue"/>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925" w:type="dxa"/>
            <w:vAlign w:val="center"/>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流动分析法</w:t>
            </w:r>
            <w:r/>
          </w:p>
        </w:tc>
        <w:tc>
          <w:tcPr>
            <w:tcW w:w="2693" w:type="dxa"/>
            <w:vAlign w:val="center"/>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HY/T 147.1-2013（13）</w:t>
            </w:r>
            <w:r/>
          </w:p>
        </w:tc>
        <w:tc>
          <w:tcPr>
            <w:tcW w:w="1962" w:type="dxa"/>
            <w:vAlign w:val="center"/>
            <w:vMerge w:val="continue"/>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351"/>
        </w:trPr>
        <w:tc>
          <w:tcPr>
            <w:tcW w:w="704" w:type="dxa"/>
            <w:vAlign w:val="center"/>
            <w:textDirection w:val="lrTb"/>
            <w:noWrap/>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w:t>
            </w:r>
            <w:r/>
          </w:p>
        </w:tc>
        <w:tc>
          <w:tcPr>
            <w:tcW w:w="1227" w:type="dxa"/>
            <w:vAlign w:val="center"/>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石油类</w:t>
            </w:r>
            <w:r/>
          </w:p>
        </w:tc>
        <w:tc>
          <w:tcPr>
            <w:tcW w:w="2925" w:type="dxa"/>
            <w:vAlign w:val="center"/>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荧光分光光度法</w:t>
            </w:r>
            <w:r/>
          </w:p>
        </w:tc>
        <w:tc>
          <w:tcPr>
            <w:tcW w:w="2693" w:type="dxa"/>
            <w:vAlign w:val="center"/>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GB 17378.4-2007（13.1）</w:t>
            </w:r>
            <w:r/>
          </w:p>
        </w:tc>
        <w:tc>
          <w:tcPr>
            <w:tcW w:w="1962" w:type="dxa"/>
            <w:vAlign w:val="center"/>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p>
        </w:tc>
      </w:tr>
      <w:tr>
        <w:trPr>
          <w:trHeight w:val="351"/>
        </w:trPr>
        <w:tc>
          <w:tcPr>
            <w:tcW w:w="704" w:type="dxa"/>
            <w:vAlign w:val="center"/>
            <w:textDirection w:val="lrTb"/>
            <w:noWrap/>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w:t>
            </w:r>
            <w:r/>
          </w:p>
        </w:tc>
        <w:tc>
          <w:tcPr>
            <w:tcW w:w="1227" w:type="dxa"/>
            <w:vAlign w:val="center"/>
            <w:textDirection w:val="lrTb"/>
            <w:noWrap/>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汞</w:t>
            </w:r>
            <w:r/>
          </w:p>
        </w:tc>
        <w:tc>
          <w:tcPr>
            <w:tcW w:w="2925" w:type="dxa"/>
            <w:vAlign w:val="center"/>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原子荧光法</w:t>
            </w:r>
            <w:r/>
          </w:p>
        </w:tc>
        <w:tc>
          <w:tcPr>
            <w:tcW w:w="2693" w:type="dxa"/>
            <w:vAlign w:val="center"/>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GB 17378.4-2007（5.1）</w:t>
            </w:r>
            <w:r/>
          </w:p>
        </w:tc>
        <w:tc>
          <w:tcPr>
            <w:tcW w:w="1962" w:type="dxa"/>
            <w:vAlign w:val="center"/>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p>
        </w:tc>
      </w:tr>
      <w:tr>
        <w:trPr>
          <w:trHeight w:val="351"/>
        </w:trPr>
        <w:tc>
          <w:tcPr>
            <w:tcW w:w="704" w:type="dxa"/>
            <w:vAlign w:val="center"/>
            <w:vMerge w:val="restart"/>
            <w:textDirection w:val="lrTb"/>
            <w:noWrap/>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15</w:t>
            </w:r>
            <w:r/>
          </w:p>
        </w:tc>
        <w:tc>
          <w:tcPr>
            <w:tcW w:w="1227" w:type="dxa"/>
            <w:vAlign w:val="center"/>
            <w:vMerge w:val="restart"/>
            <w:textDirection w:val="lrTb"/>
            <w:noWrap/>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镉</w:t>
            </w:r>
            <w:r/>
          </w:p>
        </w:tc>
        <w:tc>
          <w:tcPr>
            <w:tcW w:w="2925" w:type="dxa"/>
            <w:vAlign w:val="center"/>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电感耦合等离子体质谱法</w:t>
            </w:r>
            <w:r/>
          </w:p>
        </w:tc>
        <w:tc>
          <w:tcPr>
            <w:tcW w:w="2693" w:type="dxa"/>
            <w:vAlign w:val="center"/>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HY/T 147.1-2013（5）</w:t>
            </w:r>
            <w:r/>
          </w:p>
        </w:tc>
        <w:tc>
          <w:tcPr>
            <w:tcW w:w="1962" w:type="dxa"/>
            <w:vAlign w:val="center"/>
            <w:vMerge w:val="restart"/>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电感耦合等离子体质谱法b</w:t>
            </w:r>
            <w:r/>
          </w:p>
        </w:tc>
      </w:tr>
      <w:tr>
        <w:trPr>
          <w:trHeight w:val="351"/>
        </w:trPr>
        <w:tc>
          <w:tcPr>
            <w:tcW w:w="704" w:type="dxa"/>
            <w:vAlign w:val="center"/>
            <w:vMerge w:val="continue"/>
            <w:textDirection w:val="lrTb"/>
            <w:noWrap/>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27" w:type="dxa"/>
            <w:vAlign w:val="center"/>
            <w:vMerge w:val="continue"/>
            <w:textDirection w:val="lrTb"/>
            <w:noWrap/>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925" w:type="dxa"/>
            <w:vAlign w:val="center"/>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无火焰原子吸收分光光度法</w:t>
            </w:r>
            <w:r/>
          </w:p>
        </w:tc>
        <w:tc>
          <w:tcPr>
            <w:tcW w:w="2693" w:type="dxa"/>
            <w:vAlign w:val="center"/>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GB 17378.4-2007（8.1）</w:t>
            </w:r>
            <w:r/>
          </w:p>
        </w:tc>
        <w:tc>
          <w:tcPr>
            <w:tcW w:w="1962" w:type="dxa"/>
            <w:vAlign w:val="center"/>
            <w:vMerge w:val="continue"/>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351"/>
        </w:trPr>
        <w:tc>
          <w:tcPr>
            <w:tcW w:w="704" w:type="dxa"/>
            <w:vAlign w:val="center"/>
            <w:vMerge w:val="restart"/>
            <w:textDirection w:val="lrTb"/>
            <w:noWrap/>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w:t>
            </w:r>
            <w:r/>
          </w:p>
        </w:tc>
        <w:tc>
          <w:tcPr>
            <w:tcW w:w="1227" w:type="dxa"/>
            <w:vAlign w:val="center"/>
            <w:vMerge w:val="restart"/>
            <w:textDirection w:val="lrTb"/>
            <w:noWrap/>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铅</w:t>
            </w:r>
            <w:r/>
          </w:p>
        </w:tc>
        <w:tc>
          <w:tcPr>
            <w:tcW w:w="2925" w:type="dxa"/>
            <w:vAlign w:val="center"/>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电感耦合等离子体质谱法</w:t>
            </w:r>
            <w:r/>
          </w:p>
        </w:tc>
        <w:tc>
          <w:tcPr>
            <w:tcW w:w="2693" w:type="dxa"/>
            <w:vAlign w:val="center"/>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HY/T 147.1-2013（5）</w:t>
            </w:r>
            <w:r/>
          </w:p>
        </w:tc>
        <w:tc>
          <w:tcPr>
            <w:tcW w:w="1962" w:type="dxa"/>
            <w:vAlign w:val="center"/>
            <w:vMerge w:val="restart"/>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电感耦合等离子体质谱法b</w:t>
            </w:r>
            <w:r/>
          </w:p>
        </w:tc>
      </w:tr>
      <w:tr>
        <w:trPr>
          <w:trHeight w:val="351"/>
        </w:trPr>
        <w:tc>
          <w:tcPr>
            <w:tcW w:w="704" w:type="dxa"/>
            <w:vAlign w:val="center"/>
            <w:vMerge w:val="continue"/>
            <w:textDirection w:val="lrTb"/>
            <w:noWrap/>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27" w:type="dxa"/>
            <w:vAlign w:val="center"/>
            <w:vMerge w:val="continue"/>
            <w:textDirection w:val="lrTb"/>
            <w:noWrap/>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925" w:type="dxa"/>
            <w:vAlign w:val="center"/>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无火焰原子吸收分光光度法</w:t>
            </w:r>
            <w:r/>
          </w:p>
        </w:tc>
        <w:tc>
          <w:tcPr>
            <w:tcW w:w="2693" w:type="dxa"/>
            <w:vAlign w:val="center"/>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GB 17378.4-2007（7.1）</w:t>
            </w:r>
            <w:r/>
          </w:p>
        </w:tc>
        <w:tc>
          <w:tcPr>
            <w:tcW w:w="1962" w:type="dxa"/>
            <w:vAlign w:val="center"/>
            <w:vMerge w:val="continue"/>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351"/>
        </w:trPr>
        <w:tc>
          <w:tcPr>
            <w:tcW w:w="704" w:type="dxa"/>
            <w:vAlign w:val="center"/>
            <w:vMerge w:val="restart"/>
            <w:textDirection w:val="lrTb"/>
            <w:noWrap/>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17</w:t>
            </w:r>
            <w:r/>
          </w:p>
        </w:tc>
        <w:tc>
          <w:tcPr>
            <w:tcW w:w="1227" w:type="dxa"/>
            <w:vAlign w:val="center"/>
            <w:vMerge w:val="restart"/>
            <w:textDirection w:val="lrTb"/>
            <w:noWrap/>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总铬</w:t>
            </w:r>
            <w:r/>
          </w:p>
        </w:tc>
        <w:tc>
          <w:tcPr>
            <w:tcW w:w="2925" w:type="dxa"/>
            <w:vAlign w:val="center"/>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电感耦合等离子体质谱法</w:t>
            </w:r>
            <w:r/>
          </w:p>
        </w:tc>
        <w:tc>
          <w:tcPr>
            <w:tcW w:w="2693" w:type="dxa"/>
            <w:vAlign w:val="center"/>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HY/T 147.1-2013（5）</w:t>
            </w:r>
            <w:r/>
          </w:p>
        </w:tc>
        <w:tc>
          <w:tcPr>
            <w:tcW w:w="1962" w:type="dxa"/>
            <w:vAlign w:val="center"/>
            <w:vMerge w:val="restart"/>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电感耦合等离子体质谱法b</w:t>
            </w:r>
            <w:r/>
          </w:p>
        </w:tc>
      </w:tr>
      <w:tr>
        <w:trPr>
          <w:trHeight w:val="351"/>
        </w:trPr>
        <w:tc>
          <w:tcPr>
            <w:tcW w:w="704" w:type="dxa"/>
            <w:vAlign w:val="center"/>
            <w:vMerge w:val="continue"/>
            <w:textDirection w:val="lrTb"/>
            <w:noWrap/>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27" w:type="dxa"/>
            <w:vAlign w:val="center"/>
            <w:vMerge w:val="continue"/>
            <w:textDirection w:val="lrTb"/>
            <w:noWrap/>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925" w:type="dxa"/>
            <w:vAlign w:val="center"/>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无火焰原子吸收分光光度法</w:t>
            </w:r>
            <w:r/>
          </w:p>
        </w:tc>
        <w:tc>
          <w:tcPr>
            <w:tcW w:w="2693" w:type="dxa"/>
            <w:vAlign w:val="center"/>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GB 17378.4-2007（10.1）</w:t>
            </w:r>
            <w:r/>
          </w:p>
        </w:tc>
        <w:tc>
          <w:tcPr>
            <w:tcW w:w="1962" w:type="dxa"/>
            <w:vAlign w:val="center"/>
            <w:vMerge w:val="continue"/>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351"/>
        </w:trPr>
        <w:tc>
          <w:tcPr>
            <w:tcW w:w="704" w:type="dxa"/>
            <w:vAlign w:val="center"/>
            <w:vMerge w:val="restart"/>
            <w:textDirection w:val="lrTb"/>
            <w:noWrap/>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18</w:t>
            </w:r>
            <w:r/>
          </w:p>
        </w:tc>
        <w:tc>
          <w:tcPr>
            <w:tcW w:w="1227" w:type="dxa"/>
            <w:vAlign w:val="center"/>
            <w:vMerge w:val="restart"/>
            <w:textDirection w:val="lrTb"/>
            <w:noWrap/>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铜</w:t>
            </w:r>
            <w:r/>
          </w:p>
        </w:tc>
        <w:tc>
          <w:tcPr>
            <w:tcW w:w="2925" w:type="dxa"/>
            <w:vAlign w:val="center"/>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电感耦合等离子体质谱法</w:t>
            </w:r>
            <w:r/>
          </w:p>
        </w:tc>
        <w:tc>
          <w:tcPr>
            <w:tcW w:w="2693" w:type="dxa"/>
            <w:vAlign w:val="center"/>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HY/T 147.1-2013（5）</w:t>
            </w:r>
            <w:r/>
          </w:p>
        </w:tc>
        <w:tc>
          <w:tcPr>
            <w:tcW w:w="1962" w:type="dxa"/>
            <w:vAlign w:val="center"/>
            <w:vMerge w:val="restart"/>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电感耦合等离子体质谱法b</w:t>
            </w:r>
            <w:r/>
          </w:p>
        </w:tc>
      </w:tr>
      <w:tr>
        <w:trPr>
          <w:trHeight w:val="351"/>
        </w:trPr>
        <w:tc>
          <w:tcPr>
            <w:tcW w:w="704" w:type="dxa"/>
            <w:vAlign w:val="center"/>
            <w:vMerge w:val="continue"/>
            <w:textDirection w:val="lrTb"/>
            <w:noWrap/>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27" w:type="dxa"/>
            <w:vAlign w:val="center"/>
            <w:vMerge w:val="continue"/>
            <w:textDirection w:val="lrTb"/>
            <w:noWrap/>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925" w:type="dxa"/>
            <w:vAlign w:val="center"/>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无火焰原子吸收分光光度法</w:t>
            </w:r>
            <w:r/>
          </w:p>
        </w:tc>
        <w:tc>
          <w:tcPr>
            <w:tcW w:w="2693" w:type="dxa"/>
            <w:vAlign w:val="center"/>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GB 17378.4-2007（6.1）</w:t>
            </w:r>
            <w:r/>
          </w:p>
        </w:tc>
        <w:tc>
          <w:tcPr>
            <w:tcW w:w="1962" w:type="dxa"/>
            <w:vAlign w:val="center"/>
            <w:vMerge w:val="continue"/>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351"/>
        </w:trPr>
        <w:tc>
          <w:tcPr>
            <w:tcW w:w="704" w:type="dxa"/>
            <w:vAlign w:val="center"/>
            <w:vMerge w:val="restart"/>
            <w:textDirection w:val="lrTb"/>
            <w:noWrap/>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19</w:t>
            </w:r>
            <w:r/>
          </w:p>
        </w:tc>
        <w:tc>
          <w:tcPr>
            <w:tcW w:w="1227" w:type="dxa"/>
            <w:vAlign w:val="center"/>
            <w:vMerge w:val="restart"/>
            <w:textDirection w:val="lrTb"/>
            <w:noWrap/>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锌</w:t>
            </w:r>
            <w:r/>
          </w:p>
        </w:tc>
        <w:tc>
          <w:tcPr>
            <w:tcW w:w="2925" w:type="dxa"/>
            <w:vAlign w:val="center"/>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电感耦合等离子体质谱法</w:t>
            </w:r>
            <w:r/>
          </w:p>
        </w:tc>
        <w:tc>
          <w:tcPr>
            <w:tcW w:w="2693" w:type="dxa"/>
            <w:vAlign w:val="center"/>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HY/T 147.1-2013（5）</w:t>
            </w:r>
            <w:r/>
          </w:p>
        </w:tc>
        <w:tc>
          <w:tcPr>
            <w:tcW w:w="1962" w:type="dxa"/>
            <w:vAlign w:val="center"/>
            <w:vMerge w:val="restart"/>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电感耦合等离子体质谱法b</w:t>
            </w:r>
            <w:r/>
          </w:p>
        </w:tc>
      </w:tr>
      <w:tr>
        <w:trPr>
          <w:trHeight w:val="351"/>
        </w:trPr>
        <w:tc>
          <w:tcPr>
            <w:tcW w:w="704" w:type="dxa"/>
            <w:vAlign w:val="center"/>
            <w:vMerge w:val="continue"/>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27" w:type="dxa"/>
            <w:vAlign w:val="center"/>
            <w:vMerge w:val="continue"/>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925" w:type="dxa"/>
            <w:vAlign w:val="center"/>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火焰原子吸收分光光度法</w:t>
            </w:r>
            <w:r/>
          </w:p>
        </w:tc>
        <w:tc>
          <w:tcPr>
            <w:tcW w:w="2693" w:type="dxa"/>
            <w:vAlign w:val="center"/>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GB 17378.4-2007（9.1）</w:t>
            </w:r>
            <w:r/>
          </w:p>
        </w:tc>
        <w:tc>
          <w:tcPr>
            <w:tcW w:w="1962" w:type="dxa"/>
            <w:vAlign w:val="center"/>
            <w:vMerge w:val="continue"/>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351"/>
        </w:trPr>
        <w:tc>
          <w:tcPr>
            <w:tcW w:w="704" w:type="dxa"/>
            <w:vAlign w:val="center"/>
            <w:vMerge w:val="continue"/>
            <w:textDirection w:val="lrTb"/>
            <w:noWrap/>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27" w:type="dxa"/>
            <w:vAlign w:val="center"/>
            <w:vMerge w:val="continue"/>
            <w:textDirection w:val="lrTb"/>
            <w:noWrap/>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925" w:type="dxa"/>
            <w:vAlign w:val="center"/>
            <w:textDirection w:val="lrTb"/>
            <w:noWrap/>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测试片法</w:t>
            </w:r>
            <w:r/>
          </w:p>
        </w:tc>
        <w:tc>
          <w:tcPr>
            <w:tcW w:w="2693" w:type="dxa"/>
            <w:vAlign w:val="center"/>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HY/T 147.5-2013（8）</w:t>
            </w:r>
            <w:r/>
          </w:p>
        </w:tc>
        <w:tc>
          <w:tcPr>
            <w:tcW w:w="1962" w:type="dxa"/>
            <w:vAlign w:val="center"/>
            <w:vMerge w:val="continue"/>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351"/>
        </w:trPr>
        <w:tc>
          <w:tcPr>
            <w:tcW w:w="704" w:type="dxa"/>
            <w:vAlign w:val="center"/>
            <w:textDirection w:val="lrTb"/>
            <w:noWrap/>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20</w:t>
            </w:r>
            <w:r/>
          </w:p>
        </w:tc>
        <w:tc>
          <w:tcPr>
            <w:tcW w:w="1227" w:type="dxa"/>
            <w:vAlign w:val="center"/>
            <w:textDirection w:val="lrTb"/>
            <w:noWrap/>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砷</w:t>
            </w:r>
            <w:r/>
          </w:p>
        </w:tc>
        <w:tc>
          <w:tcPr>
            <w:tcW w:w="2925" w:type="dxa"/>
            <w:vAlign w:val="center"/>
            <w:textDirection w:val="lrTb"/>
            <w:noWrap/>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原子荧光法</w:t>
            </w:r>
            <w:r/>
          </w:p>
        </w:tc>
        <w:tc>
          <w:tcPr>
            <w:tcW w:w="2693" w:type="dxa"/>
            <w:vAlign w:val="center"/>
            <w:textDirection w:val="lrTb"/>
            <w:noWrap w:val="false"/>
          </w:tcPr>
          <w:p>
            <w:pPr>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GB 17378.4-2007（11.1）</w:t>
            </w:r>
            <w:r/>
          </w:p>
        </w:tc>
        <w:tc>
          <w:tcPr>
            <w:tcW w:w="1962" w:type="dxa"/>
            <w:vAlign w:val="center"/>
            <w:textDirection w:val="lrTb"/>
            <w:noWrap w:val="false"/>
          </w:tcPr>
          <w:p>
            <w:pPr>
              <w:ind w:firstLine="480"/>
              <w:jc w:val="left"/>
              <w:spacing w:line="5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p>
        </w:tc>
      </w:tr>
    </w:tbl>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a. GB 12763.2-2007/5.2.1、GB 17378.4-2007/29.2 和 GB/T 12763.2-2007/6.2.1 可等同使用。 </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b. 也可选择通过资质认定的在线预富集-电感耦合等离子体质谱法。</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说明：</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 具备“优先采用方法”实验室检验检测资质的，建议采用“优先采用方法”开展分析；</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 同一监测指标原则上各季监测应采用同一种方法开展分析。</w:t>
      </w:r>
      <w:r/>
    </w:p>
    <w:p>
      <w:pPr>
        <w:ind w:firstLine="560"/>
        <w:jc w:val="left"/>
        <w:spacing w:line="5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（3）采样层次</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依据《海洋监测规范》（GB 17378.3-2007）。水深≤10 m仅采表层（海面以下0.1 m-1 m）水样；10 m＜水深≤25 m，分表、底两层采样，底层为距海底2 m；25 m＜水深≤50 m，分表层、10 m、底层采样。石油类和必测项目以外的其它监测项目至少采集表层样品，其他采样层次根据实际情况确定。</w:t>
      </w:r>
      <w:r/>
    </w:p>
    <w:p>
      <w:pPr>
        <w:ind w:firstLine="560"/>
        <w:jc w:val="left"/>
        <w:spacing w:line="5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（4）监测频次和时间</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bookmarkStart w:id="90" w:name="54"/>
      <w:r>
        <w:rPr>
          <w:rFonts w:hint="eastAsia" w:ascii="仿宋" w:hAnsi="仿宋" w:eastAsia="仿宋" w:cs="仿宋"/>
          <w:color w:val="000000" w:themeColor="text1"/>
          <w:sz w:val="28"/>
          <w:szCs w:val="28"/>
          <w:highlight w:val="none"/>
          <w14:textFill>
            <w14:solidFill>
              <w14:schemeClr w14:val="tx1"/>
            </w14:solidFill>
          </w14:textFill>
        </w:rPr>
        <w:t xml:space="preserve">基础指标和化学指标（重金属类除外）监测频次为3次/年，分别于2026年6月、2026年9月和2027年3月实施；重金属类（包括铜、锌、总铬、汞、镉、铅、砷）指标监测频次为1次/年，于夏季（2026年6月）实施。</w:t>
      </w:r>
      <w:r/>
    </w:p>
    <w:p>
      <w:pPr>
        <w:ind w:firstLine="560"/>
        <w:jc w:val="left"/>
        <w:spacing w:line="5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二、数据分析测试与质量保证</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（1）数据分析测试与质量保证依据《海洋监测规范》（GB 17378-2007）、《近岸海域环境监测规范》（HJ 442-2020）、《海洋监测技术规程》（HY/T 147-2013）、年度《全国海洋生态环境监测质量保证和质量控制方案》的要求进行，海水水质评价依据《海水、海洋沉积物和海洋生物质量评价技术规范》（HJ 1300-2023）的要求进行。</w:t>
      </w:r>
      <w:r/>
    </w:p>
    <w:p>
      <w:pPr>
        <w:ind w:firstLine="560"/>
        <w:jc w:val="left"/>
        <w:spacing w:line="5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（2）拍摄监测点位、样品采集、保存剂添加、冷藏保存等重点环节视频或照片，保证采样过程可追溯。</w:t>
      </w:r>
      <w:r/>
    </w:p>
    <w:p>
      <w:pPr>
        <w:ind w:firstLine="560"/>
        <w:jc w:val="left"/>
        <w:spacing w:line="5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三、服务期限、成果提交</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1.服务期限：1年</w:t>
      </w:r>
      <w:bookmarkEnd w:id="90"/>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2.提交成果：</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（1）于夏季（2026年6月）、秋季（2026年9月）和春季（2027年3月）完成监测并提交监测数据和评价结果，发现结果异常应及时反馈并分析原因。</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（2）于2026年12月提交年度南通市近岸海域水质分析报告。</w:t>
      </w:r>
      <w:r/>
    </w:p>
    <w:p>
      <w:pPr>
        <w:ind w:firstLine="560"/>
        <w:jc w:val="left"/>
        <w:spacing w:line="5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四、价款支付方式</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技术工作经费由甲方支付乙方，具体支付方式和时间如下：</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（1）合同签订后1个月内，甲方支付合同金额的50%；</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（2）乙方完成2026年度夏季、秋季两次监测并提供相应监测数据、评价结果和2026年度南通市近岸海域水质分析报告，2026年12月甲方支付合同金额的40%；</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（3）乙方完成2027年春季监测并提供相应监测数据、评价结果后1个月内，甲方付清合同余款即合同金额的10%。</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如乙方存在违约，乙方的违约金额在本项目结束后，双方协商处理。</w:t>
      </w:r>
      <w:r/>
    </w:p>
    <w:p>
      <w:pPr>
        <w:ind w:firstLine="560"/>
        <w:jc w:val="left"/>
        <w:spacing w:line="580" w:lineRule="exact"/>
        <w:rPr>
          <w:rFonts w:hint="eastAsia" w:ascii="仿宋" w:hAnsi="仿宋" w:eastAsia="仿宋" w:cs="仿宋"/>
          <w:b/>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r>
      <w:r/>
    </w:p>
    <w:p>
      <w:pPr>
        <w:ind w:firstLine="560"/>
        <w:jc w:val="left"/>
        <w:spacing w:line="580" w:lineRule="exact"/>
        <w:rPr>
          <w:rFonts w:hint="default" w:ascii="方正大标宋_GBK" w:hAnsi="方正大标宋_GBK" w:eastAsia="方正大标宋_GBK" w:cs="方正大标宋_GBK"/>
          <w:b/>
          <w:bCs/>
          <w:color w:val="000000" w:themeColor="text1"/>
          <w:sz w:val="28"/>
          <w:szCs w:val="28"/>
          <w:highlight w:val="none"/>
          <w:lang w:val="en-US" w:eastAsia="zh-CN"/>
          <w14:textFill>
            <w14:solidFill>
              <w14:schemeClr w14:val="tx1"/>
            </w14:solidFill>
          </w14:textFill>
        </w:rPr>
      </w:pPr>
      <w:r>
        <w:rPr>
          <w:rFonts w:hint="eastAsia" w:ascii="方正大标宋_GBK" w:hAnsi="方正大标宋_GBK" w:eastAsia="方正大标宋_GBK" w:cs="方正大标宋_GBK"/>
          <w:b/>
          <w:bCs/>
          <w:color w:val="000000" w:themeColor="text1"/>
          <w:sz w:val="28"/>
          <w:szCs w:val="28"/>
          <w:highlight w:val="none"/>
          <w:lang w:val="en-US" w:eastAsia="zh-CN"/>
          <w14:textFill>
            <w14:solidFill>
              <w14:schemeClr w14:val="tx1"/>
            </w14:solidFill>
          </w14:textFill>
        </w:rPr>
        <w:t xml:space="preserve">包2-包5</w:t>
      </w:r>
      <w:r/>
    </w:p>
    <w:p>
      <w:pPr>
        <w:ind w:firstLine="560"/>
        <w:jc w:val="left"/>
        <w:spacing w:line="5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一、项目概况</w:t>
      </w:r>
      <w:r/>
    </w:p>
    <w:p>
      <w:pPr>
        <w:ind w:firstLine="560"/>
        <w:jc w:val="left"/>
        <w:spacing w:line="580" w:lineRule="exact"/>
        <w:rPr>
          <w:rFonts w:hint="eastAsia" w:ascii="仿宋" w:hAnsi="仿宋" w:eastAsia="仿宋" w:cs="仿宋"/>
          <w:b/>
          <w:bCs/>
          <w:color w:val="000000" w:themeColor="text1"/>
          <w:sz w:val="28"/>
          <w:szCs w:val="28"/>
          <w:highlight w:val="none"/>
          <w:lang w:eastAsia="zh-CN"/>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（一）包</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2</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1、采购预算：</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24</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万元人民币</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560"/>
        <w:jc w:val="left"/>
        <w:spacing w:line="58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本项目采用固定费率预选招标，最终确定1家成交供应商，供应商以《江苏省环境监测专业服务收费标准》（苏价费[2006]397号）单价为依据，在此基础上下浮让利，进行优惠率报价。</w:t>
      </w:r>
      <w:r/>
    </w:p>
    <w:p>
      <w:pPr>
        <w:ind w:firstLine="560"/>
        <w:jc w:val="left"/>
        <w:spacing w:line="58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每个监测业务交通费按600元/车/天、人工费按200元/人/天计算（其中以4小时计0.5天工作量），与监测专业服务费一并参与优惠。最终按确认的业务量结算，不再增加其他费用。</w:t>
      </w:r>
      <w:r/>
    </w:p>
    <w:p>
      <w:pPr>
        <w:ind w:firstLine="560"/>
        <w:jc w:val="left"/>
        <w:spacing w:line="580" w:lineRule="exact"/>
        <w:rPr>
          <w:rFonts w:hint="eastAsia" w:ascii="仿宋" w:hAnsi="仿宋" w:eastAsia="仿宋" w:cs="仿宋"/>
          <w:b/>
          <w:bCs/>
          <w:strike w:val="0"/>
          <w:color w:val="000000" w:themeColor="text1"/>
          <w:sz w:val="28"/>
          <w:szCs w:val="28"/>
          <w:highlight w:val="none"/>
          <w:lang w:val="zh-CN"/>
          <w14:textFill>
            <w14:solidFill>
              <w14:schemeClr w14:val="tx1"/>
            </w14:solidFill>
          </w14:textFill>
        </w:rPr>
      </w:pPr>
      <w:r>
        <w:rPr>
          <w:rFonts w:hint="eastAsia" w:ascii="仿宋" w:hAnsi="仿宋" w:eastAsia="仿宋" w:cs="仿宋"/>
          <w:b/>
          <w:bCs/>
          <w:strike w:val="0"/>
          <w:color w:val="000000" w:themeColor="text1"/>
          <w:sz w:val="28"/>
          <w:szCs w:val="28"/>
          <w:highlight w:val="none"/>
          <w14:textFill>
            <w14:solidFill>
              <w14:schemeClr w14:val="tx1"/>
            </w14:solidFill>
          </w14:textFill>
        </w:rPr>
        <w:t xml:space="preserve">注：最终报价优惠率如高于70%，需提供详细的成本核算情况说明及相关证明材料。</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2、采购内容： 主要针对集中式饮用水源地</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水质加测</w:t>
      </w:r>
      <w:r>
        <w:rPr>
          <w:rFonts w:hint="eastAsia" w:ascii="仿宋" w:hAnsi="仿宋" w:eastAsia="仿宋" w:cs="仿宋"/>
          <w:color w:val="000000" w:themeColor="text1"/>
          <w:sz w:val="28"/>
          <w:szCs w:val="28"/>
          <w:highlight w:val="none"/>
          <w14:textFill>
            <w14:solidFill>
              <w14:schemeClr w14:val="tx1"/>
            </w14:solidFill>
          </w14:textFill>
        </w:rPr>
        <w:t xml:space="preserve">、农田灌溉水和溯源监测等监测任务，具体业务量由南通市生态环境监测站根据实际情况确定，完成后按确认的业务量核算。</w:t>
      </w:r>
      <w:r/>
    </w:p>
    <w:p>
      <w:pPr>
        <w:ind w:firstLine="560"/>
        <w:jc w:val="left"/>
        <w:spacing w:line="58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3、服务期限：</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1年。</w:t>
      </w:r>
      <w:r/>
    </w:p>
    <w:p>
      <w:pPr>
        <w:ind w:firstLine="560"/>
        <w:jc w:val="left"/>
        <w:spacing w:line="580" w:lineRule="exact"/>
        <w:rPr>
          <w:rFonts w:hint="eastAsia" w:ascii="仿宋" w:hAnsi="仿宋" w:eastAsia="仿宋" w:cs="仿宋"/>
          <w:b/>
          <w:bCs/>
          <w:color w:val="000000" w:themeColor="text1"/>
          <w:sz w:val="28"/>
          <w:szCs w:val="28"/>
          <w:highlight w:val="none"/>
          <w:lang w:eastAsia="zh-CN"/>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（二）包</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3</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1、采购预算：</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22</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万元人民币</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560"/>
        <w:jc w:val="left"/>
        <w:spacing w:line="58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本项目采用固定费率预选招标，最终确定1家成交供应商，供应商以《江苏省环境监测专业服务收费标准》（苏价费[2006]397号）单价为依据，在此基础上下浮让利，进行优惠率报价。</w:t>
      </w:r>
      <w:r/>
    </w:p>
    <w:p>
      <w:pPr>
        <w:ind w:firstLine="560"/>
        <w:jc w:val="left"/>
        <w:spacing w:line="58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每个监测业务交通费按600元/车/天、人工费按200元/人/天计算（其中以4小时计0.5天工作量），与监测专业服务费一并参与优惠。最终按确认的业务量结算，不再增加其他费用。</w:t>
      </w:r>
      <w:r/>
    </w:p>
    <w:p>
      <w:pPr>
        <w:ind w:firstLine="560"/>
        <w:jc w:val="left"/>
        <w:spacing w:line="580" w:lineRule="exact"/>
        <w:rPr>
          <w:rFonts w:hint="eastAsia" w:ascii="仿宋" w:hAnsi="仿宋" w:eastAsia="仿宋" w:cs="仿宋"/>
          <w:b/>
          <w:bCs/>
          <w:strike w:val="0"/>
          <w:color w:val="000000" w:themeColor="text1"/>
          <w:sz w:val="28"/>
          <w:szCs w:val="28"/>
          <w:highlight w:val="none"/>
          <w:lang w:val="zh-CN"/>
          <w14:textFill>
            <w14:solidFill>
              <w14:schemeClr w14:val="tx1"/>
            </w14:solidFill>
          </w14:textFill>
        </w:rPr>
      </w:pPr>
      <w:r>
        <w:rPr>
          <w:rFonts w:hint="eastAsia" w:ascii="仿宋" w:hAnsi="仿宋" w:eastAsia="仿宋" w:cs="仿宋"/>
          <w:b/>
          <w:bCs/>
          <w:strike w:val="0"/>
          <w:color w:val="000000" w:themeColor="text1"/>
          <w:sz w:val="28"/>
          <w:szCs w:val="28"/>
          <w:highlight w:val="none"/>
          <w14:textFill>
            <w14:solidFill>
              <w14:schemeClr w14:val="tx1"/>
            </w14:solidFill>
          </w14:textFill>
        </w:rPr>
        <w:t xml:space="preserve">注：最终报价优惠率如高于70%，需提供详细的成本核算情况说明及相关证明材料。</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strike w:val="0"/>
          <w:color w:val="000000" w:themeColor="text1"/>
          <w:sz w:val="28"/>
          <w:szCs w:val="28"/>
          <w:highlight w:val="none"/>
          <w14:textFill>
            <w14:solidFill>
              <w14:schemeClr w14:val="tx1"/>
            </w14:solidFill>
          </w14:textFill>
        </w:rPr>
        <w:t xml:space="preserve">2、采购内容：</w:t>
      </w:r>
      <w:r>
        <w:rPr>
          <w:rFonts w:hint="eastAsia" w:ascii="仿宋" w:hAnsi="仿宋" w:eastAsia="仿宋" w:cs="仿宋"/>
          <w:color w:val="000000" w:themeColor="text1"/>
          <w:sz w:val="28"/>
          <w:szCs w:val="28"/>
          <w:highlight w:val="none"/>
          <w14:textFill>
            <w14:solidFill>
              <w14:schemeClr w14:val="tx1"/>
            </w14:solidFill>
          </w14:textFill>
        </w:rPr>
        <w:t xml:space="preserve">主要针对南通主城区地表水55个断面水质、市控地下水水质和其他等监测任务，具体业务量由南通市生态环境监测站根据实际情况确定，完成后按确认的业务量核算。</w:t>
      </w:r>
      <w:r/>
    </w:p>
    <w:p>
      <w:pPr>
        <w:ind w:firstLine="560"/>
        <w:jc w:val="left"/>
        <w:spacing w:line="58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3、服务期限：</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1年。</w:t>
      </w:r>
      <w:r/>
    </w:p>
    <w:p>
      <w:pPr>
        <w:ind w:firstLine="560"/>
        <w:jc w:val="left"/>
        <w:spacing w:line="580" w:lineRule="exact"/>
        <w:rPr>
          <w:rFonts w:hint="eastAsia" w:ascii="仿宋" w:hAnsi="仿宋" w:eastAsia="仿宋" w:cs="仿宋"/>
          <w:b/>
          <w:bCs/>
          <w:color w:val="000000" w:themeColor="text1"/>
          <w:sz w:val="28"/>
          <w:szCs w:val="28"/>
          <w:highlight w:val="none"/>
          <w:lang w:eastAsia="zh-CN"/>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（三）包</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4</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1、采购预算：2</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万元人民币</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560"/>
        <w:jc w:val="left"/>
        <w:spacing w:line="58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本项目采用固定费率预选招标，最终确定1家成交供应商，供应商以《江苏省环境监测专业服务收费标准》（苏价费[2006]397号）单价为依据，在此基础上下浮让利，进行优惠率报价。</w:t>
      </w:r>
      <w:r/>
    </w:p>
    <w:p>
      <w:pPr>
        <w:ind w:firstLine="560"/>
        <w:jc w:val="left"/>
        <w:spacing w:line="58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每个监测业务交通费按600元/车/天、人工费按200元/人/天计算（其中以4小时计0.5天工作量），与监测专业服务费一并参与优惠。最终按确认的业务量结算，不再增加其他费用。</w:t>
      </w:r>
      <w:r/>
    </w:p>
    <w:p>
      <w:pPr>
        <w:ind w:firstLine="560"/>
        <w:jc w:val="left"/>
        <w:spacing w:line="580" w:lineRule="exact"/>
        <w:rPr>
          <w:rFonts w:hint="eastAsia" w:ascii="仿宋" w:hAnsi="仿宋" w:eastAsia="仿宋" w:cs="仿宋"/>
          <w:b/>
          <w:bCs/>
          <w:strike w:val="0"/>
          <w:color w:val="000000" w:themeColor="text1"/>
          <w:sz w:val="28"/>
          <w:szCs w:val="28"/>
          <w:highlight w:val="none"/>
          <w:lang w:val="zh-CN"/>
          <w14:textFill>
            <w14:solidFill>
              <w14:schemeClr w14:val="tx1"/>
            </w14:solidFill>
          </w14:textFill>
        </w:rPr>
      </w:pPr>
      <w:r>
        <w:rPr>
          <w:rFonts w:hint="eastAsia" w:ascii="仿宋" w:hAnsi="仿宋" w:eastAsia="仿宋" w:cs="仿宋"/>
          <w:b/>
          <w:bCs/>
          <w:strike w:val="0"/>
          <w:color w:val="000000" w:themeColor="text1"/>
          <w:sz w:val="28"/>
          <w:szCs w:val="28"/>
          <w:highlight w:val="none"/>
          <w14:textFill>
            <w14:solidFill>
              <w14:schemeClr w14:val="tx1"/>
            </w14:solidFill>
          </w14:textFill>
        </w:rPr>
        <w:t xml:space="preserve">注：最终报价优惠率如高于70%，需提供详细的成本核算情况说明及相关证明材料。</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strike w:val="0"/>
          <w:color w:val="000000" w:themeColor="text1"/>
          <w:sz w:val="28"/>
          <w:szCs w:val="28"/>
          <w:highlight w:val="none"/>
          <w14:textFill>
            <w14:solidFill>
              <w14:schemeClr w14:val="tx1"/>
            </w14:solidFill>
          </w14:textFill>
        </w:rPr>
        <w:t xml:space="preserve">2、采购内</w:t>
      </w:r>
      <w:r>
        <w:rPr>
          <w:rFonts w:hint="eastAsia" w:ascii="仿宋" w:hAnsi="仿宋" w:eastAsia="仿宋" w:cs="仿宋"/>
          <w:color w:val="000000" w:themeColor="text1"/>
          <w:sz w:val="28"/>
          <w:szCs w:val="28"/>
          <w:highlight w:val="none"/>
          <w14:textFill>
            <w14:solidFill>
              <w14:schemeClr w14:val="tx1"/>
            </w14:solidFill>
          </w14:textFill>
        </w:rPr>
        <w:t xml:space="preserve">容：主要针对城市建成区水体消劣提质、市控地表水、重点断面支流等监测任务，具体业务量由南通市生态环境监测站根据实际情况确定，完成后按确认的业务量核算。</w:t>
      </w:r>
      <w:r/>
    </w:p>
    <w:p>
      <w:pPr>
        <w:ind w:firstLine="560"/>
        <w:jc w:val="left"/>
        <w:spacing w:line="580" w:lineRule="exact"/>
        <w:rPr>
          <w:rFonts w:hint="eastAsia" w:ascii="仿宋" w:hAnsi="仿宋" w:eastAsia="仿宋" w:cs="仿宋"/>
          <w:b/>
          <w:bCs/>
          <w:color w:val="000000" w:themeColor="text1"/>
          <w:sz w:val="28"/>
          <w:szCs w:val="28"/>
          <w:highlight w:val="none"/>
          <w:lang w:eastAsia="zh-CN"/>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（四）包</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5</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1、采购预算：</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22</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万元人民币</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560"/>
        <w:jc w:val="left"/>
        <w:spacing w:line="58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本项目采用固定费率预选招标，最终确定1家成交供应商，供应商以《江苏省环境监测专业服务收费标准》（苏价费[2006]397号）单价为依据，在此基础上下浮让利，进行优惠率报价。</w:t>
      </w:r>
      <w:r/>
    </w:p>
    <w:p>
      <w:pPr>
        <w:ind w:firstLine="560"/>
        <w:jc w:val="left"/>
        <w:spacing w:line="58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每个监测业务交通费按600元/车/天、人工费按200元/人/天计算（其中以4小时计0.5天工作量），与监测专业服务费一并参与优惠。最终按确认的业务量结算，不再增加其他费用。</w:t>
      </w:r>
      <w:r/>
    </w:p>
    <w:p>
      <w:pPr>
        <w:ind w:firstLine="560"/>
        <w:jc w:val="left"/>
        <w:spacing w:line="580" w:lineRule="exact"/>
        <w:rPr>
          <w:rFonts w:hint="eastAsia" w:ascii="仿宋" w:hAnsi="仿宋" w:eastAsia="仿宋" w:cs="仿宋"/>
          <w:strike w:val="0"/>
          <w:color w:val="000000" w:themeColor="text1"/>
          <w:sz w:val="28"/>
          <w:szCs w:val="28"/>
          <w:highlight w:val="none"/>
          <w14:textFill>
            <w14:solidFill>
              <w14:schemeClr w14:val="tx1"/>
            </w14:solidFill>
          </w14:textFill>
        </w:rPr>
      </w:pPr>
      <w:r>
        <w:rPr>
          <w:rFonts w:hint="eastAsia" w:ascii="仿宋" w:hAnsi="仿宋" w:eastAsia="仿宋" w:cs="仿宋"/>
          <w:strike w:val="0"/>
          <w:color w:val="000000" w:themeColor="text1"/>
          <w:sz w:val="28"/>
          <w:szCs w:val="28"/>
          <w:highlight w:val="none"/>
          <w14:textFill>
            <w14:solidFill>
              <w14:schemeClr w14:val="tx1"/>
            </w14:solidFill>
          </w14:textFill>
        </w:rPr>
        <w:t xml:space="preserve">注：</w:t>
      </w:r>
      <w:r>
        <w:rPr>
          <w:rFonts w:hint="eastAsia" w:ascii="仿宋" w:hAnsi="仿宋" w:eastAsia="仿宋" w:cs="仿宋"/>
          <w:b/>
          <w:bCs/>
          <w:strike w:val="0"/>
          <w:color w:val="000000" w:themeColor="text1"/>
          <w:sz w:val="28"/>
          <w:szCs w:val="28"/>
          <w:highlight w:val="none"/>
          <w14:textFill>
            <w14:solidFill>
              <w14:schemeClr w14:val="tx1"/>
            </w14:solidFill>
          </w14:textFill>
        </w:rPr>
        <w:t xml:space="preserve">1.最终报价优惠率如高于70%，需提供详细的成本核算情况说明及相关证明材料；</w:t>
      </w:r>
      <w:r>
        <w:rPr>
          <w:rFonts w:hint="eastAsia" w:ascii="仿宋" w:hAnsi="仿宋" w:eastAsia="仿宋" w:cs="仿宋"/>
          <w:strike w:val="0"/>
          <w:color w:val="000000" w:themeColor="text1"/>
          <w:sz w:val="28"/>
          <w:szCs w:val="28"/>
          <w:highlight w:val="none"/>
          <w:lang w:val="zh-CN"/>
          <w14:textFill>
            <w14:solidFill>
              <w14:schemeClr w14:val="tx1"/>
            </w14:solidFill>
          </w14:textFill>
        </w:rPr>
        <w:t xml:space="preserve">2.柴油车路检路查、入户抽测及非道路移动机械抽测按每辆</w:t>
      </w:r>
      <w:r>
        <w:rPr>
          <w:rFonts w:hint="eastAsia" w:ascii="仿宋" w:hAnsi="仿宋" w:eastAsia="仿宋" w:cs="仿宋"/>
          <w:strike w:val="0"/>
          <w:color w:val="000000" w:themeColor="text1"/>
          <w:sz w:val="28"/>
          <w:szCs w:val="28"/>
          <w:highlight w:val="none"/>
          <w14:textFill>
            <w14:solidFill>
              <w14:schemeClr w14:val="tx1"/>
            </w14:solidFill>
          </w14:textFill>
        </w:rPr>
        <w:t xml:space="preserve">250元计算，</w:t>
      </w:r>
      <w:r>
        <w:rPr>
          <w:rFonts w:hint="eastAsia" w:ascii="仿宋" w:hAnsi="仿宋" w:eastAsia="仿宋" w:cs="仿宋"/>
          <w:strike w:val="0"/>
          <w:color w:val="000000" w:themeColor="text1"/>
          <w:sz w:val="28"/>
          <w:szCs w:val="28"/>
          <w:highlight w:val="none"/>
          <w:lang w:val="zh-CN"/>
          <w14:textFill>
            <w14:solidFill>
              <w14:schemeClr w14:val="tx1"/>
            </w14:solidFill>
          </w14:textFill>
        </w:rPr>
        <w:t xml:space="preserve">最终按确认的业务量结算，不再增加其他费用，柴油车路检路查、入户抽测及非道路移动机械抽测总额不超过7万元。</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strike w:val="0"/>
          <w:color w:val="000000" w:themeColor="text1"/>
          <w:sz w:val="28"/>
          <w:szCs w:val="28"/>
          <w:highlight w:val="none"/>
          <w14:textFill>
            <w14:solidFill>
              <w14:schemeClr w14:val="tx1"/>
            </w14:solidFill>
          </w14:textFill>
        </w:rPr>
        <w:t xml:space="preserve">2、采购内容：</w:t>
      </w:r>
      <w:r>
        <w:rPr>
          <w:rFonts w:hint="eastAsia" w:ascii="仿宋" w:hAnsi="仿宋" w:eastAsia="仿宋" w:cs="仿宋"/>
          <w:color w:val="000000" w:themeColor="text1"/>
          <w:sz w:val="28"/>
          <w:szCs w:val="28"/>
          <w:highlight w:val="none"/>
          <w14:textFill>
            <w14:solidFill>
              <w14:schemeClr w14:val="tx1"/>
            </w14:solidFill>
          </w14:textFill>
        </w:rPr>
        <w:t xml:space="preserve">主要针对柴油车路检路查、入户抽测及非道路移动机械抽测和其他等监测任务，具体业务量由南通市生态环境监测站根据实际情况确定，完成后按确认的业务量核算。</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柴油车路检路查、入户抽测及非道路移动机械抽测服务项目，具体要求如下：</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1、检测设备必须提供相应的检定证书或校准证书（证书复印件放入响应文件中），检定证书或校准证书必须在有效期内。</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2、按照采购人规定的时间、地点、检测数量完成检测服务，在空气质量异常管控期间，能根据采购人需求每天开展检测。</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柴油货车路检路查及入户抽测范围在南通市域范围内，采用自由加速法，检出限值不得高于《柴油车污染物排放限值及测量方法》（自由加速法及加载减速法）（GB3847-2018）表2中限值a，出具的委托检测报告必须符合《柴油车污染物排放限值及测量方法》（自由加速法及加载减速法）（GB3847-2018）表F3要求。</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4、非道路移动机械检测范围在南通市域范围内，采用不透光烟度法（自由加速法），检出限值不得高于《非道路柴油移动机械排气烟度限值及测量方法》（GB36886-2018）表1中限值，出具的委托检测报告必须符合《非道路柴油移动机械排气烟度限值及测量方法》（GB36886-2018）附录A要求。</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5、所有检测服务均要求现场出具每辆柴油车或每台非道路移动机械的尾气检测报告，一式2份。每月任务完成后，5个工作日内，出具当月所有检测车辆的数据统计汇总表（格式内容由采购人确定），盖章报给采购人。如当场检测报告未能签字盖章的，需在5个工作日内将签字盖章的检测报告一同交于采购人。全部合同完成后，于7个工作日内，提交年度检测车辆数据汇总表，配合采购方完成项目验收。</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供应商须提供满足上述要求的服务，不得有负偏离，否则作无效标处理。</w:t>
      </w:r>
      <w:r/>
    </w:p>
    <w:p>
      <w:pPr>
        <w:ind w:firstLine="560"/>
        <w:jc w:val="left"/>
        <w:spacing w:line="5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二、委托监测的责任</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接受委托的成交供应商应保证必须完全按照采购人</w:t>
      </w:r>
      <w:r>
        <w:rPr>
          <w:rFonts w:hint="eastAsia" w:ascii="仿宋" w:hAnsi="仿宋" w:eastAsia="仿宋" w:cs="仿宋"/>
          <w:color w:val="000000" w:themeColor="text1"/>
          <w:sz w:val="28"/>
          <w:szCs w:val="28"/>
          <w:highlight w:val="none"/>
          <w14:textFill>
            <w14:solidFill>
              <w14:schemeClr w14:val="tx1"/>
            </w14:solidFill>
          </w14:textFill>
        </w:rPr>
        <w:t xml:space="preserve">确定的监测方案（包括质量控制措施）开展监测服务，接受业务时应具备涉及的所有监测内容的监测资质，选用正确的分析方法，采样方法按国家和江苏省相关监测技术规范执行，规范使用采样器材（采样器具和样品容器），采样体积、保存方法（保存剂、冷藏等）、保存期限按规范执行，开展现场监测调查，对样品进行封样。使用地理信息定位、照相或录音录像等辅助手段，对全过程留痕。成交供应商实验室必须接受南通市生态环境监测站标样考核、实验室比对等质控措施。实验中使用的仪器设备必须经具有相关资质部门的检定/校准并在计量检定/校准合格的有效期内。</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成交供应商应确保项目监测质量，按时完成监测工作。项目监测应当严格遵守国家的有关法律、法规、制度规定、有关行业规范及南通市生态环境局、南通市生态环境监测站的要求。成交供应商对监测结果的真实性、完整性、可靠性负责。</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包</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8"/>
          <w:szCs w:val="28"/>
          <w:highlight w:val="none"/>
          <w14:textFill>
            <w14:solidFill>
              <w14:schemeClr w14:val="tx1"/>
            </w14:solidFill>
          </w14:textFill>
        </w:rPr>
        <w:t xml:space="preserve">、包</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8"/>
          <w:szCs w:val="28"/>
          <w:highlight w:val="none"/>
          <w14:textFill>
            <w14:solidFill>
              <w14:schemeClr w14:val="tx1"/>
            </w14:solidFill>
          </w14:textFill>
        </w:rPr>
        <w:t xml:space="preserve">、包</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8"/>
          <w:szCs w:val="28"/>
          <w:highlight w:val="none"/>
          <w14:textFill>
            <w14:solidFill>
              <w14:schemeClr w14:val="tx1"/>
            </w14:solidFill>
          </w14:textFill>
        </w:rPr>
        <w:t xml:space="preserve">成交供应商的监测数据只向南通市生态环境局、南通市生态环境监测站提供，包</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14:textFill>
            <w14:solidFill>
              <w14:schemeClr w14:val="tx1"/>
            </w14:solidFill>
          </w14:textFill>
        </w:rPr>
        <w:t xml:space="preserve">成交供应商的监测数据只向南通市生态环境局、南通市生态环境监控中心、南通市生态环境监测站提供，不得自行提供给其他单位。对提供不实或内容虚假的监测结果以及自行对外提供监测报告的，除由成交供应商自行承担法律责任外，南通市生态环境监测站可采取必要措施终止委托监测，情节严重的，依法提请有关部门追究成交供应商和相关责任人的行政及法律责任。</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成交供应商除应做好服务人员的安全教育外，还应为服务人员提供必要的劳动保护条件，为服务人员办理作业时的人身安全保险和意外伤害险，一切安全责任事故均由成交供应商负责（保险种类由成交供应商自行选择）。</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采购人不保证成交供应商在合同期内承担监测业务的数量。同时有权终止由于政府环境管理要求变化或其它一些不可控原因而取消且还没开展的监测业务。</w:t>
      </w:r>
      <w:r/>
    </w:p>
    <w:p>
      <w:pPr>
        <w:ind w:firstLine="560"/>
        <w:jc w:val="left"/>
        <w:spacing w:line="5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三、工作流程</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日常监测（响应时间18小时以内）：采购人提前18小时向成交供应商发出监测需要，成交供应商应根据采购人提供的监测要求制定监测方案（预案），安排监测物资设备及车辆人员，在约定的时间内赶赴集合点或监测现场，并按照监测方案（预案）及技术规范的有关要求，开展工作。</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2、成交供应商现场监测结束后，在5个工作日内向采购人提供分析报告（监测数据汇总表）和原始记录复印件（或扫描件）以及相关材料（如果有特殊项目，可具体协商）。</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应急监测（响应时间2小时以内）：在有特殊任务或发生突发环境事件时，成交供应商应根据采购人提出的需求在2小时内响应，到达现场开展监测。成交供应商现场监测结束后及时提供分析报告（监测数据汇总表）和原始记录复印件（如果有特殊项目，可具体协商）。</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4、采购人有权对整个监测过程进行现场检查及施加质控措施，成交供应商需接受采购人的监督指导安排。采购人有权要求成交供应商提供监测相关资料（实验室资质认定证书及其附件，采样、分析、报告编制、复核和审核等人员的上岗证，样品采集、交接和分析的原始记录、分析谱图等，仪器设备检定证书及使用记录，标液、标样相关证书，样品采集、加保存剂、冷藏、封样、交接等过程的照片）。</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5、成交供应商按成交时约定报价，每月核算一次费用。</w:t>
      </w:r>
      <w:r/>
    </w:p>
    <w:p>
      <w:pPr>
        <w:ind w:firstLine="560"/>
        <w:jc w:val="left"/>
        <w:spacing w:line="5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四、价款支付方式</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技术工作经费由甲方支付乙方，具体支付方式和时间如下：</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（1）合同签订后1个月内，甲方支付计划承接业务金额的50%；</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（2）乙方按甲方提供的要求和时间节点出具监测数据汇总表、监测报告，根据每月实际完成业务量按中标优惠率计算并提交《</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监测技术支撑</w:t>
      </w:r>
      <w:r>
        <w:rPr>
          <w:rFonts w:hint="eastAsia" w:ascii="仿宋" w:hAnsi="仿宋" w:eastAsia="仿宋" w:cs="仿宋"/>
          <w:color w:val="000000" w:themeColor="text1"/>
          <w:sz w:val="28"/>
          <w:szCs w:val="28"/>
          <w:highlight w:val="none"/>
          <w14:textFill>
            <w14:solidFill>
              <w14:schemeClr w14:val="tx1"/>
            </w14:solidFill>
          </w14:textFill>
        </w:rPr>
        <w:t xml:space="preserve">业务核算表》（电子版和纸质盖章版），202</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8"/>
          <w:szCs w:val="28"/>
          <w:highlight w:val="none"/>
          <w14:textFill>
            <w14:solidFill>
              <w14:schemeClr w14:val="tx1"/>
            </w14:solidFill>
          </w14:textFill>
        </w:rPr>
        <w:t xml:space="preserve">年12月甲方支付计划承接业务金额的20%；</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（3）合同期满后1个月内，经甲乙双方确认后，甲方根据乙方已提交的《</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监测技术支撑</w:t>
      </w:r>
      <w:r>
        <w:rPr>
          <w:rFonts w:hint="eastAsia" w:ascii="仿宋" w:hAnsi="仿宋" w:eastAsia="仿宋" w:cs="仿宋"/>
          <w:color w:val="000000" w:themeColor="text1"/>
          <w:sz w:val="28"/>
          <w:szCs w:val="28"/>
          <w:highlight w:val="none"/>
          <w14:textFill>
            <w14:solidFill>
              <w14:schemeClr w14:val="tx1"/>
            </w14:solidFill>
          </w14:textFill>
        </w:rPr>
        <w:t xml:space="preserve">业务核算表》，向乙方付清结算表上的合同价款。</w:t>
      </w:r>
      <w:r/>
    </w:p>
    <w:p>
      <w:pPr>
        <w:ind w:firstLine="560"/>
        <w:jc w:val="left"/>
        <w:spacing w:line="5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五、违约责任 </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1、供应商在服务过程中，存在违法违规或重大数据偏离情况的，采购人有权终止合同，并报相关职能部门依法查处违法行为。</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供应商在服务过程中，因自身原因无法完成监测任务或出具的监测报告经采购人审查不规范、不合法，采购人不支付当次的服务费用，并从应付给供应商的监测费用中扣500元；如造成相关工作不能继续并造成较大影响的，采购人有权终止合同；如造成复议、诉讼失败的，复议、诉讼费由供应商承担，并赔偿损失，在其后两年内不接受供应商报名参与采购人相关招投标。</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3、供应商未能在监测协议书要求的时间内提交监测报告及相关材料，每次从应付给供应商的监测费用中扣500元；发生两次及以上的，采购人有权终止合同。</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4、供应商未在规定时间内响应监测任务，每次从应付给供应商的监测费用中扣200元，发生四次及以上的，采购人有权终止合同。</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5、采购人和供应商双方任何一方违反合同，造成对方经济损失的，应给予对方经济赔偿。</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6、如在履约期间被市场监督管理部门取消资质或暂停资质的，合同将自动终止，并根据相关部门核查的情况按实结算服务费用。</w:t>
      </w:r>
      <w:r/>
    </w:p>
    <w:p>
      <w:pPr>
        <w:ind w:firstLine="560"/>
        <w:jc w:val="left"/>
        <w:spacing w:line="5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六、其它保证措施</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为了确保项目监测质量，南通市生态环境监测站将对成交供应商的监测质量等进行综合考核，考核结果将作为下一轮选择供应商的重要依据。考核结果不及格的供应商，有权终止合同，在其后两年内不接受其报名参与相关招投标。</w:t>
      </w:r>
      <w:r/>
    </w:p>
    <w:p>
      <w:pPr>
        <w:numPr>
          <w:ilvl w:val="0"/>
          <w:numId w:val="4"/>
        </w:numPr>
        <w:ind w:firstLine="560"/>
        <w:jc w:val="left"/>
        <w:spacing w:line="580" w:lineRule="exact"/>
        <w:rPr>
          <w:rFonts w:hint="eastAsia" w:ascii="仿宋" w:hAnsi="仿宋" w:eastAsia="仿宋" w:cs="仿宋"/>
          <w:b/>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其他补充说明</w:t>
      </w:r>
      <w:r/>
    </w:p>
    <w:p>
      <w:pPr>
        <w:numPr>
          <w:ilvl w:val="0"/>
          <w:numId w:val="0"/>
        </w:numPr>
        <w:ind w:firstLine="560"/>
        <w:jc w:val="left"/>
        <w:spacing w:line="58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包1-包5所有采购包产生的所有监测数据、监测报告及相关成果的知识产权归采购人所有，成交供应商仅享有署名权，未经采购人书面同意，不得擅自使用或向第三方提供。</w:t>
      </w:r>
      <w:r/>
    </w:p>
    <w:p>
      <w:pPr>
        <w:ind w:firstLine="560"/>
        <w:jc w:val="center"/>
        <w:spacing w:line="580" w:lineRule="exact"/>
        <w:rPr>
          <w:rFonts w:hint="eastAsia" w:ascii="仿宋" w:hAnsi="仿宋" w:eastAsia="仿宋" w:cs="仿宋"/>
          <w:sz w:val="32"/>
          <w:szCs w:val="32"/>
          <w:highlight w:val="none"/>
        </w:rPr>
      </w:pPr>
      <w:r>
        <w:rPr>
          <w:rFonts w:hint="eastAsia" w:ascii="仿宋" w:hAnsi="仿宋" w:eastAsia="仿宋" w:cs="仿宋"/>
          <w:color w:val="000000" w:themeColor="text1"/>
          <w:sz w:val="28"/>
          <w:szCs w:val="28"/>
          <w:highlight w:val="none"/>
          <w14:textFill>
            <w14:solidFill>
              <w14:schemeClr w14:val="tx1"/>
            </w14:solidFill>
          </w14:textFill>
        </w:rPr>
        <w:br w:type="page" w:clear="all"/>
      </w:r>
      <w:r>
        <w:rPr>
          <w:rFonts w:hint="eastAsia" w:ascii="仿宋" w:hAnsi="仿宋" w:eastAsia="仿宋" w:cs="仿宋"/>
          <w:b/>
          <w:sz w:val="32"/>
          <w:szCs w:val="32"/>
          <w:highlight w:val="none"/>
        </w:rPr>
        <w:t xml:space="preserve">第四章  </w:t>
      </w:r>
      <w:bookmarkStart w:id="91" w:name="_Toc38121794"/>
      <w:r/>
      <w:bookmarkStart w:id="92" w:name="_Toc37322565"/>
      <w:r/>
      <w:bookmarkStart w:id="93" w:name="_Toc85627670"/>
      <w:r/>
      <w:bookmarkStart w:id="94" w:name="_Toc182848996"/>
      <w:r/>
      <w:bookmarkStart w:id="95" w:name="_Toc43217893"/>
      <w:r>
        <w:rPr>
          <w:rFonts w:hint="eastAsia" w:ascii="仿宋" w:hAnsi="仿宋" w:eastAsia="仿宋" w:cs="仿宋"/>
          <w:b/>
          <w:sz w:val="32"/>
          <w:szCs w:val="32"/>
          <w:highlight w:val="none"/>
        </w:rPr>
        <w:t xml:space="preserve">评审方法和程序</w:t>
      </w:r>
      <w:bookmarkEnd w:id="91"/>
      <w:r/>
      <w:bookmarkEnd w:id="92"/>
      <w:r/>
      <w:bookmarkEnd w:id="93"/>
      <w:r/>
      <w:bookmarkEnd w:id="94"/>
      <w:r/>
      <w:bookmarkEnd w:id="95"/>
      <w:r/>
      <w:r/>
    </w:p>
    <w:p>
      <w:pPr>
        <w:ind w:firstLine="560"/>
        <w:jc w:val="left"/>
        <w:spacing w:line="360" w:lineRule="auto"/>
        <w:rPr>
          <w:rFonts w:hint="eastAsia" w:ascii="仿宋" w:hAnsi="仿宋" w:eastAsia="仿宋" w:cs="仿宋"/>
          <w:b/>
          <w:sz w:val="28"/>
          <w:szCs w:val="28"/>
          <w:highlight w:val="none"/>
        </w:rPr>
        <w:outlineLvl w:val="1"/>
      </w:pPr>
      <w:r/>
      <w:bookmarkStart w:id="96" w:name="_Toc363573857"/>
      <w:r/>
      <w:bookmarkEnd w:id="96"/>
      <w:r>
        <w:rPr>
          <w:rFonts w:hint="eastAsia" w:ascii="仿宋" w:hAnsi="仿宋" w:eastAsia="仿宋" w:cs="仿宋"/>
          <w:b/>
          <w:sz w:val="28"/>
          <w:szCs w:val="28"/>
          <w:highlight w:val="none"/>
        </w:rPr>
        <w:t xml:space="preserve">一、磋商模式</w:t>
      </w:r>
      <w:r/>
    </w:p>
    <w:p>
      <w:pPr>
        <w:ind w:firstLine="560"/>
        <w:jc w:val="left"/>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不见面远程磋商模式：开标当天各供应商在各自地点通过苏采云系统及时登录不见面开标大厅，参加磋商活动。</w:t>
      </w:r>
      <w:r/>
    </w:p>
    <w:p>
      <w:pPr>
        <w:ind w:firstLine="560"/>
        <w:jc w:val="left"/>
        <w:spacing w:line="360" w:lineRule="auto"/>
        <w:rPr>
          <w:rFonts w:hint="eastAsia" w:ascii="仿宋" w:hAnsi="仿宋" w:eastAsia="仿宋" w:cs="仿宋"/>
          <w:b/>
          <w:sz w:val="28"/>
          <w:szCs w:val="28"/>
          <w:highlight w:val="none"/>
        </w:rPr>
        <w:outlineLvl w:val="1"/>
      </w:pPr>
      <w:r>
        <w:rPr>
          <w:rFonts w:hint="eastAsia" w:ascii="仿宋" w:hAnsi="仿宋" w:eastAsia="仿宋" w:cs="仿宋"/>
          <w:b/>
          <w:sz w:val="28"/>
          <w:szCs w:val="28"/>
          <w:highlight w:val="none"/>
        </w:rPr>
        <w:t xml:space="preserve">二、磋商组织及磋商小组职责</w:t>
      </w:r>
      <w:r/>
    </w:p>
    <w:p>
      <w:pPr>
        <w:ind w:firstLine="560"/>
        <w:jc w:val="left"/>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1.本次竞争性磋商依据《中华人民共和国政府采购法》《政府采购竞争性磋商采购方式管理暂行办法》及有关法规成立磋商小组。磋商小组由采购人代表和评审专家共3人及以上单数组成。</w:t>
      </w:r>
      <w:r/>
    </w:p>
    <w:p>
      <w:pPr>
        <w:ind w:firstLine="560"/>
        <w:jc w:val="left"/>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2.磋商小组的职责：</w:t>
      </w:r>
      <w:r/>
    </w:p>
    <w:p>
      <w:pPr>
        <w:ind w:firstLine="560"/>
        <w:jc w:val="left"/>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60"/>
        <w:jc w:val="left"/>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（2）磋商文件内容违反国家有关强制性规定的，磋商小组应当停止评审并向采购人或者采购代理机构说明情况</w:t>
      </w:r>
      <w:r/>
    </w:p>
    <w:p>
      <w:pPr>
        <w:ind w:firstLine="560"/>
        <w:jc w:val="left"/>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（3）磋商小组成员应当遵守评审工作纪律，不得泄露评审情况和评审中获悉的商业秘密，对个人的评审意见承担法律责任；</w:t>
      </w:r>
      <w:r/>
    </w:p>
    <w:p>
      <w:pPr>
        <w:ind w:firstLine="560"/>
        <w:jc w:val="left"/>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（4）磋商小组成员在评审过程中发现供应商有行贿、提供虚假材料或者串通等违法行为的，应当及时向财政部门报告。</w:t>
      </w:r>
      <w:r/>
    </w:p>
    <w:p>
      <w:pPr>
        <w:ind w:firstLine="560"/>
        <w:jc w:val="left"/>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（5）磋商小组成员在评审过程中受到非法干涉的，应当及时向财政、监察等部门举报。</w:t>
      </w:r>
      <w:r/>
    </w:p>
    <w:p>
      <w:pPr>
        <w:ind w:firstLine="560"/>
        <w:jc w:val="left"/>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（6）配合采购单位答复供应商提出的质疑；配合财政部门的投诉处理和监督检查工作。</w:t>
      </w:r>
      <w:r/>
    </w:p>
    <w:p>
      <w:pPr>
        <w:ind w:firstLine="560"/>
        <w:jc w:val="left"/>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3.评审有关记录由磋商小组成员签名，存档备查。</w:t>
      </w:r>
      <w:r/>
    </w:p>
    <w:p>
      <w:pPr>
        <w:ind w:firstLine="560"/>
        <w:spacing w:line="360" w:lineRule="auto"/>
        <w:rPr>
          <w:rFonts w:hint="eastAsia" w:ascii="仿宋" w:hAnsi="仿宋" w:eastAsia="仿宋" w:cs="仿宋"/>
          <w:b/>
          <w:sz w:val="28"/>
          <w:szCs w:val="28"/>
          <w:highlight w:val="none"/>
        </w:rPr>
        <w:outlineLvl w:val="1"/>
      </w:pPr>
      <w:r>
        <w:rPr>
          <w:rFonts w:hint="eastAsia" w:ascii="仿宋" w:hAnsi="仿宋" w:eastAsia="仿宋" w:cs="仿宋"/>
          <w:b/>
          <w:sz w:val="28"/>
          <w:szCs w:val="28"/>
          <w:highlight w:val="none"/>
        </w:rPr>
        <w:t xml:space="preserve">三、评审步骤</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 xml:space="preserve">第一阶段：</w:t>
      </w:r>
      <w:r>
        <w:rPr>
          <w:rFonts w:hint="eastAsia" w:ascii="仿宋" w:hAnsi="仿宋" w:eastAsia="仿宋" w:cs="仿宋"/>
          <w:sz w:val="28"/>
          <w:szCs w:val="28"/>
          <w:highlight w:val="none"/>
        </w:rPr>
        <w:t xml:space="preserve">磋商小组</w:t>
      </w:r>
      <w:r>
        <w:rPr>
          <w:rFonts w:hint="eastAsia" w:ascii="仿宋" w:hAnsi="仿宋" w:eastAsia="仿宋" w:cs="仿宋"/>
          <w:sz w:val="28"/>
          <w:szCs w:val="28"/>
          <w:highlight w:val="none"/>
          <w:lang w:val="zh-CN"/>
        </w:rPr>
        <w:t xml:space="preserve">对每个供应商的资格进行审查。</w:t>
      </w:r>
      <w:r>
        <w:rPr>
          <w:rFonts w:hint="eastAsia" w:ascii="仿宋" w:hAnsi="仿宋" w:eastAsia="仿宋" w:cs="仿宋"/>
          <w:sz w:val="28"/>
          <w:szCs w:val="28"/>
          <w:highlight w:val="none"/>
        </w:rPr>
        <w:t xml:space="preserve">供应商资格不合格的，其响应文件判定为无效响应文件。</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 xml:space="preserve">第二阶段：</w:t>
      </w:r>
      <w:r>
        <w:rPr>
          <w:rFonts w:hint="eastAsia" w:ascii="仿宋" w:hAnsi="仿宋" w:eastAsia="仿宋" w:cs="仿宋"/>
          <w:sz w:val="28"/>
          <w:szCs w:val="28"/>
          <w:highlight w:val="none"/>
        </w:rPr>
        <w:t xml:space="preserve">依据磋商文件的规定，由磋商小组</w:t>
      </w:r>
      <w:r>
        <w:rPr>
          <w:rFonts w:hint="eastAsia" w:ascii="仿宋" w:hAnsi="仿宋" w:eastAsia="仿宋" w:cs="仿宋"/>
          <w:sz w:val="28"/>
          <w:szCs w:val="28"/>
          <w:highlight w:val="none"/>
          <w:lang w:val="zh-CN"/>
        </w:rPr>
        <w:t xml:space="preserve">对每个符合资格要求的供应商</w:t>
      </w:r>
      <w:r>
        <w:rPr>
          <w:rFonts w:hint="eastAsia" w:ascii="仿宋" w:hAnsi="仿宋" w:eastAsia="仿宋" w:cs="仿宋"/>
          <w:sz w:val="28"/>
          <w:szCs w:val="28"/>
          <w:highlight w:val="none"/>
        </w:rPr>
        <w:t xml:space="preserve">从响应文件的有效性、完整性和对磋商文件的响应程度进行审查，以确定是否对磋商文件的实质性要求作出响应。未通过符合性审查的响应文件，将被判为不满足磋商文件实质性要求。 </w:t>
      </w:r>
      <w:r/>
    </w:p>
    <w:p>
      <w:pPr>
        <w:ind w:firstLine="560"/>
        <w:spacing w:line="360" w:lineRule="auto"/>
        <w:tabs>
          <w:tab w:val="left" w:pos="90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 xml:space="preserve">第三阶段：以供应商价格标文件内的竞争性磋商报价（即首次报价）为基础，磋商小组与供应商单一分别进行磋商。单一分别</w:t>
      </w:r>
      <w:r>
        <w:rPr>
          <w:rFonts w:hint="eastAsia" w:ascii="仿宋" w:hAnsi="仿宋" w:eastAsia="仿宋" w:cs="仿宋"/>
          <w:sz w:val="28"/>
          <w:szCs w:val="28"/>
          <w:highlight w:val="none"/>
        </w:rPr>
        <w:t xml:space="preserve">磋商</w:t>
      </w:r>
      <w:r>
        <w:rPr>
          <w:rFonts w:hint="eastAsia" w:ascii="仿宋" w:hAnsi="仿宋" w:eastAsia="仿宋" w:cs="仿宋"/>
          <w:sz w:val="28"/>
          <w:szCs w:val="28"/>
          <w:highlight w:val="none"/>
          <w:lang w:val="zh-CN"/>
        </w:rPr>
        <w:t xml:space="preserve">结束后，</w:t>
      </w:r>
      <w:r>
        <w:rPr>
          <w:rFonts w:hint="eastAsia" w:ascii="仿宋" w:hAnsi="仿宋" w:eastAsia="仿宋" w:cs="仿宋"/>
          <w:bCs/>
          <w:sz w:val="28"/>
          <w:szCs w:val="28"/>
          <w:highlight w:val="none"/>
        </w:rPr>
        <w:t xml:space="preserve">系统进入报价环节。</w:t>
      </w: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rPr>
        <w:t xml:space="preserve">磋商程序见本章第四条</w:t>
      </w:r>
      <w:r>
        <w:rPr>
          <w:rFonts w:hint="eastAsia" w:ascii="仿宋" w:hAnsi="仿宋" w:eastAsia="仿宋" w:cs="仿宋"/>
          <w:sz w:val="28"/>
          <w:szCs w:val="28"/>
          <w:highlight w:val="none"/>
          <w:lang w:val="zh-CN"/>
        </w:rPr>
        <w:t xml:space="preserve">）。</w:t>
      </w:r>
      <w:r/>
    </w:p>
    <w:p>
      <w:pPr>
        <w:ind w:firstLine="560"/>
        <w:spacing w:line="360" w:lineRule="auto"/>
        <w:rPr>
          <w:rFonts w:hint="eastAsia" w:ascii="仿宋" w:hAnsi="仿宋" w:eastAsia="仿宋" w:cs="仿宋"/>
          <w:bCs/>
          <w:sz w:val="28"/>
          <w:szCs w:val="28"/>
          <w:highlight w:val="none"/>
        </w:rPr>
      </w:pPr>
      <w:r>
        <w:rPr>
          <w:rFonts w:hint="eastAsia" w:ascii="仿宋" w:hAnsi="仿宋" w:eastAsia="仿宋" w:cs="仿宋"/>
          <w:sz w:val="28"/>
          <w:szCs w:val="28"/>
          <w:highlight w:val="none"/>
          <w:lang w:val="zh-CN"/>
        </w:rPr>
        <w:t xml:space="preserve">第</w:t>
      </w:r>
      <w:r>
        <w:rPr>
          <w:rFonts w:hint="eastAsia" w:ascii="仿宋" w:hAnsi="仿宋" w:eastAsia="仿宋" w:cs="仿宋"/>
          <w:sz w:val="28"/>
          <w:szCs w:val="28"/>
          <w:highlight w:val="none"/>
        </w:rPr>
        <w:t xml:space="preserve">四</w:t>
      </w:r>
      <w:r>
        <w:rPr>
          <w:rFonts w:hint="eastAsia" w:ascii="仿宋" w:hAnsi="仿宋" w:eastAsia="仿宋" w:cs="仿宋"/>
          <w:sz w:val="28"/>
          <w:szCs w:val="28"/>
          <w:highlight w:val="none"/>
          <w:lang w:val="zh-CN"/>
        </w:rPr>
        <w:t xml:space="preserve">阶段：</w:t>
      </w:r>
      <w:r>
        <w:rPr>
          <w:rFonts w:hint="eastAsia" w:ascii="仿宋" w:hAnsi="仿宋" w:eastAsia="仿宋" w:cs="仿宋"/>
          <w:bCs/>
          <w:sz w:val="28"/>
          <w:szCs w:val="28"/>
          <w:highlight w:val="none"/>
        </w:rPr>
        <w:t xml:space="preserve">系统最后报价环节结束后，磋商小组对响应报价的供应商进行商务技术部分评审。</w:t>
      </w:r>
      <w:r/>
    </w:p>
    <w:p>
      <w:pPr>
        <w:ind w:firstLine="560"/>
        <w:jc w:val="left"/>
        <w:spacing w:line="360" w:lineRule="auto"/>
        <w:rPr>
          <w:rFonts w:hint="eastAsia" w:ascii="仿宋" w:hAnsi="仿宋" w:eastAsia="仿宋" w:cs="仿宋"/>
          <w:b/>
          <w:sz w:val="28"/>
          <w:szCs w:val="28"/>
          <w:highlight w:val="none"/>
        </w:rPr>
        <w:outlineLvl w:val="1"/>
      </w:pPr>
      <w:r>
        <w:rPr>
          <w:rFonts w:hint="eastAsia" w:ascii="仿宋" w:hAnsi="仿宋" w:eastAsia="仿宋" w:cs="仿宋"/>
          <w:b/>
          <w:sz w:val="28"/>
          <w:szCs w:val="28"/>
          <w:highlight w:val="none"/>
        </w:rPr>
        <w:t xml:space="preserve">四、磋商程序</w:t>
      </w:r>
      <w:r/>
    </w:p>
    <w:p>
      <w:pPr>
        <w:ind w:firstLine="560"/>
        <w:spacing w:line="360" w:lineRule="auto"/>
        <w:tabs>
          <w:tab w:val="left" w:pos="90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360" w:lineRule="auto"/>
        <w:tabs>
          <w:tab w:val="left" w:pos="90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在磋商过程中，磋商小组可能根据磋商文件和磋商情况实质性变动的内容有：</w:t>
      </w:r>
      <w:r>
        <w:rPr>
          <w:rFonts w:hint="eastAsia" w:ascii="仿宋" w:hAnsi="仿宋" w:eastAsia="仿宋" w:cs="仿宋"/>
          <w:b/>
          <w:bCs/>
          <w:sz w:val="28"/>
          <w:szCs w:val="28"/>
          <w:highlight w:val="none"/>
          <w:u w:val="single"/>
        </w:rPr>
        <w:t xml:space="preserve">采购需求中的技术、服务要求以及合同草案条款。</w:t>
      </w:r>
      <w:r>
        <w:rPr>
          <w:rFonts w:hint="eastAsia" w:ascii="仿宋" w:hAnsi="仿宋" w:eastAsia="仿宋" w:cs="仿宋"/>
          <w:sz w:val="28"/>
          <w:szCs w:val="28"/>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360" w:lineRule="auto"/>
        <w:tabs>
          <w:tab w:val="left" w:pos="90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360" w:lineRule="auto"/>
        <w:tabs>
          <w:tab w:val="left" w:pos="90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w:t>
      </w:r>
      <w:r>
        <w:rPr>
          <w:rFonts w:hint="eastAsia" w:ascii="仿宋" w:hAnsi="仿宋" w:eastAsia="仿宋" w:cs="仿宋"/>
          <w:bCs/>
          <w:sz w:val="28"/>
          <w:szCs w:val="28"/>
          <w:highlight w:val="none"/>
        </w:rPr>
        <w:t xml:space="preserve">在</w:t>
      </w:r>
      <w:r>
        <w:rPr>
          <w:rFonts w:hint="eastAsia" w:ascii="仿宋" w:hAnsi="仿宋" w:eastAsia="仿宋" w:cs="仿宋"/>
          <w:b/>
          <w:sz w:val="28"/>
          <w:szCs w:val="28"/>
          <w:highlight w:val="none"/>
        </w:rPr>
        <w:t xml:space="preserve">15分钟内</w:t>
      </w:r>
      <w:r>
        <w:rPr>
          <w:rFonts w:hint="eastAsia" w:ascii="仿宋" w:hAnsi="仿宋" w:eastAsia="仿宋" w:cs="仿宋"/>
          <w:sz w:val="28"/>
          <w:szCs w:val="28"/>
          <w:highlight w:val="none"/>
        </w:rPr>
        <w:t xml:space="preserve">提交最后报价，未在规定时间内提交最后报价的</w:t>
      </w:r>
      <w:r>
        <w:rPr>
          <w:rFonts w:hint="eastAsia" w:ascii="仿宋" w:hAnsi="仿宋" w:eastAsia="仿宋" w:cs="仿宋"/>
          <w:bCs/>
          <w:sz w:val="28"/>
          <w:szCs w:val="28"/>
          <w:highlight w:val="none"/>
        </w:rPr>
        <w:t xml:space="preserve">，</w:t>
      </w:r>
      <w:r>
        <w:rPr>
          <w:rFonts w:hint="eastAsia" w:ascii="仿宋" w:hAnsi="仿宋" w:eastAsia="仿宋" w:cs="仿宋"/>
          <w:sz w:val="28"/>
          <w:szCs w:val="28"/>
          <w:highlight w:val="none"/>
        </w:rPr>
        <w:t xml:space="preserve">视作无效响应处理。</w:t>
      </w:r>
      <w:r/>
    </w:p>
    <w:p>
      <w:pPr>
        <w:ind w:firstLine="560"/>
        <w:spacing w:line="360" w:lineRule="auto"/>
        <w:tabs>
          <w:tab w:val="left" w:pos="90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4.除非在磋商中磋商小组对采购需求中的技术、服务要求以及合同草案条款作了实质性变更，否则</w:t>
      </w:r>
      <w:r>
        <w:rPr>
          <w:rFonts w:hint="eastAsia" w:ascii="仿宋" w:hAnsi="仿宋" w:eastAsia="仿宋" w:cs="仿宋"/>
          <w:b/>
          <w:sz w:val="28"/>
          <w:szCs w:val="28"/>
          <w:highlight w:val="none"/>
        </w:rPr>
        <w:t xml:space="preserve">采购单位不接受供应商高于自己前一轮的磋商报价，否则作无效标处理。</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5.在磋商中，磋商的任何一方不得透露与磋商有关的其他响应磋商的供应商的技术资料、价格及其他信息。</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标。对被认定为低于成本报价磋商竞标的报价做无效报价，按无效标处理。</w:t>
      </w:r>
      <w:r/>
    </w:p>
    <w:p>
      <w:pPr>
        <w:ind w:firstLine="560"/>
        <w:jc w:val="left"/>
        <w:spacing w:line="360" w:lineRule="auto"/>
        <w:rPr>
          <w:rFonts w:hint="eastAsia" w:ascii="仿宋" w:hAnsi="仿宋" w:eastAsia="仿宋" w:cs="仿宋"/>
          <w:b/>
          <w:sz w:val="28"/>
          <w:szCs w:val="28"/>
          <w:highlight w:val="none"/>
        </w:rPr>
        <w:outlineLvl w:val="1"/>
      </w:pPr>
      <w:r>
        <w:rPr>
          <w:rFonts w:hint="eastAsia" w:ascii="仿宋" w:hAnsi="仿宋" w:eastAsia="仿宋" w:cs="仿宋"/>
          <w:b/>
          <w:sz w:val="28"/>
          <w:szCs w:val="28"/>
          <w:highlight w:val="none"/>
        </w:rPr>
        <w:t xml:space="preserve">五、评审方法</w:t>
      </w:r>
      <w:r/>
    </w:p>
    <w:p>
      <w:pPr>
        <w:ind w:firstLine="560"/>
        <w:spacing w:line="360" w:lineRule="auto"/>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bCs/>
          <w:sz w:val="28"/>
          <w:szCs w:val="28"/>
          <w:highlight w:val="none"/>
        </w:rPr>
        <w:t xml:space="preserve">评审方法：综合评分法。经磋商确定最终采购需求和提交最后报价的供应商后，由磋商小组采用综合评分法对系统提交最后报价的供应商的响应文件和最后报价进行综合评分。</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cs="仿宋"/>
          <w:sz w:val="28"/>
          <w:szCs w:val="28"/>
          <w:highlight w:val="none"/>
        </w:rPr>
        <w:t xml:space="preserve">（计算结果均四舍五入保留两位小数）。</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3.本次项目磋商的商务技术和报价评审总分值为100分。两部分评审因素比重如下： </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商务技术分值占总分值的比重为</w:t>
      </w:r>
      <w:r>
        <w:rPr>
          <w:rFonts w:hint="eastAsia" w:ascii="仿宋" w:hAnsi="仿宋" w:eastAsia="仿宋" w:cs="仿宋"/>
          <w:b/>
          <w:sz w:val="28"/>
          <w:szCs w:val="28"/>
          <w:highlight w:val="none"/>
          <w:u w:val="single"/>
          <w:lang w:val="en-US" w:eastAsia="zh-CN"/>
        </w:rPr>
        <w:t xml:space="preserve">70</w:t>
      </w:r>
      <w:r>
        <w:rPr>
          <w:rFonts w:hint="eastAsia" w:ascii="仿宋" w:hAnsi="仿宋" w:eastAsia="仿宋" w:cs="仿宋"/>
          <w:b/>
          <w:sz w:val="28"/>
          <w:szCs w:val="28"/>
          <w:highlight w:val="none"/>
          <w:u w:val="single"/>
        </w:rPr>
        <w:t xml:space="preserve">%（权重）</w:t>
      </w:r>
      <w:r>
        <w:rPr>
          <w:rFonts w:hint="eastAsia" w:ascii="仿宋" w:hAnsi="仿宋" w:eastAsia="仿宋" w:cs="仿宋"/>
          <w:sz w:val="28"/>
          <w:szCs w:val="28"/>
          <w:highlight w:val="none"/>
        </w:rPr>
        <w:t xml:space="preserve">（四舍五入保留两位小数）；</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报价分值占总分值的比重为</w:t>
      </w:r>
      <w:r>
        <w:rPr>
          <w:rFonts w:hint="eastAsia" w:ascii="仿宋" w:hAnsi="仿宋" w:eastAsia="仿宋" w:cs="仿宋"/>
          <w:b/>
          <w:sz w:val="28"/>
          <w:szCs w:val="28"/>
          <w:highlight w:val="none"/>
          <w:u w:val="single"/>
          <w:lang w:val="en-US" w:eastAsia="zh-CN"/>
        </w:rPr>
        <w:t xml:space="preserve">30</w:t>
      </w:r>
      <w:r>
        <w:rPr>
          <w:rFonts w:hint="eastAsia" w:ascii="仿宋" w:hAnsi="仿宋" w:eastAsia="仿宋" w:cs="仿宋"/>
          <w:b/>
          <w:sz w:val="28"/>
          <w:szCs w:val="28"/>
          <w:highlight w:val="none"/>
          <w:u w:val="single"/>
        </w:rPr>
        <w:t xml:space="preserve">%（权重）</w:t>
      </w:r>
      <w:r>
        <w:rPr>
          <w:rFonts w:hint="eastAsia" w:ascii="仿宋" w:hAnsi="仿宋" w:eastAsia="仿宋" w:cs="仿宋"/>
          <w:sz w:val="28"/>
          <w:szCs w:val="28"/>
          <w:highlight w:val="none"/>
        </w:rPr>
        <w:t xml:space="preserve">（四舍五入保留两位小数）。</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4.商务技术分按算术平均值计算，分值四舍五入保留两位小数。</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w:t>
      </w:r>
      <w:r>
        <w:rPr>
          <w:rFonts w:hint="eastAsia" w:ascii="仿宋" w:hAnsi="仿宋" w:eastAsia="仿宋" w:cs="仿宋"/>
          <w:bCs/>
          <w:sz w:val="28"/>
          <w:szCs w:val="28"/>
          <w:highlight w:val="none"/>
        </w:rPr>
        <w:t xml:space="preserve">供应商价格部分和商务技术部分的合计分值，为该供应商的评审总得分</w:t>
      </w:r>
      <w:r>
        <w:rPr>
          <w:rFonts w:hint="eastAsia" w:ascii="仿宋" w:hAnsi="仿宋" w:eastAsia="仿宋" w:cs="仿宋"/>
          <w:sz w:val="28"/>
          <w:szCs w:val="28"/>
          <w:highlight w:val="none"/>
        </w:rPr>
        <w:t xml:space="preserve">（四舍五入保留两位小数）。</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6.评委在认真审阅响应文件的基础上，根据各响应文件的响应程度独立评判，不得统一打分</w:t>
      </w:r>
      <w:r>
        <w:rPr>
          <w:rFonts w:hint="eastAsia" w:ascii="仿宋" w:hAnsi="仿宋" w:eastAsia="仿宋" w:cs="仿宋"/>
          <w:sz w:val="28"/>
          <w:szCs w:val="28"/>
          <w:highlight w:val="none"/>
        </w:rPr>
        <w:t xml:space="preserve">。</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投标人可以参加本项目所有分包的投标，但最多只能中1个包。</w:t>
      </w:r>
      <w:r>
        <w:rPr>
          <w:rFonts w:hint="eastAsia" w:ascii="仿宋" w:hAnsi="仿宋" w:eastAsia="仿宋" w:cs="仿宋"/>
          <w:sz w:val="28"/>
          <w:szCs w:val="28"/>
          <w:highlight w:val="none"/>
          <w:lang w:val="en-US" w:eastAsia="zh-CN"/>
        </w:rPr>
        <w:t xml:space="preserve">开标、</w:t>
      </w:r>
      <w:r>
        <w:rPr>
          <w:rFonts w:hint="eastAsia" w:ascii="仿宋" w:hAnsi="仿宋" w:eastAsia="仿宋" w:cs="仿宋"/>
          <w:sz w:val="28"/>
          <w:szCs w:val="28"/>
          <w:highlight w:val="none"/>
        </w:rPr>
        <w:t xml:space="preserve">定标顺序按照分包1、分包2、分包3......分包</w:t>
      </w: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的顺序分别确定中标候选人。</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7.1、</w:t>
      </w:r>
      <w:r>
        <w:rPr>
          <w:rFonts w:hint="eastAsia" w:ascii="仿宋" w:hAnsi="仿宋" w:eastAsia="仿宋" w:cs="仿宋"/>
          <w:sz w:val="28"/>
          <w:szCs w:val="28"/>
          <w:highlight w:val="none"/>
        </w:rPr>
        <w:t xml:space="preserve">投标人一旦中标，不再参与后续分包的评审活动，</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rPr>
        <w:t xml:space="preserve">按照无效投标处理</w:t>
      </w:r>
      <w:r>
        <w:rPr>
          <w:rFonts w:hint="eastAsia" w:ascii="仿宋" w:hAnsi="仿宋" w:eastAsia="仿宋" w:cs="仿宋"/>
          <w:sz w:val="28"/>
          <w:szCs w:val="28"/>
          <w:highlight w:val="none"/>
          <w:lang w:eastAsia="zh-CN"/>
        </w:rPr>
        <w:t xml:space="preserve">；</w:t>
      </w:r>
      <w:r/>
    </w:p>
    <w:p>
      <w:pPr>
        <w:ind w:firstLine="560"/>
        <w:spacing w:line="360" w:lineRule="auto"/>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7.2</w:t>
      </w:r>
      <w:r>
        <w:rPr>
          <w:rFonts w:hint="eastAsia" w:ascii="仿宋" w:hAnsi="仿宋" w:eastAsia="仿宋" w:cs="仿宋"/>
          <w:sz w:val="28"/>
          <w:szCs w:val="28"/>
          <w:highlight w:val="none"/>
        </w:rPr>
        <w:t xml:space="preserve">某</w:t>
      </w:r>
      <w:r>
        <w:rPr>
          <w:rFonts w:hint="eastAsia" w:ascii="仿宋" w:hAnsi="仿宋" w:eastAsia="仿宋" w:cs="仿宋"/>
          <w:sz w:val="28"/>
          <w:szCs w:val="28"/>
          <w:highlight w:val="none"/>
          <w:lang w:val="en-US" w:eastAsia="zh-CN"/>
        </w:rPr>
        <w:t xml:space="preserve">包</w:t>
      </w:r>
      <w:r>
        <w:rPr>
          <w:rFonts w:hint="eastAsia" w:ascii="仿宋" w:hAnsi="仿宋" w:eastAsia="仿宋" w:cs="仿宋"/>
          <w:sz w:val="28"/>
          <w:szCs w:val="28"/>
          <w:highlight w:val="none"/>
        </w:rPr>
        <w:t xml:space="preserve">因质疑投诉</w:t>
      </w:r>
      <w:r>
        <w:rPr>
          <w:rFonts w:hint="eastAsia" w:ascii="仿宋" w:hAnsi="仿宋" w:eastAsia="仿宋" w:cs="仿宋"/>
          <w:sz w:val="28"/>
          <w:szCs w:val="28"/>
          <w:highlight w:val="none"/>
          <w:lang w:val="en-US" w:eastAsia="zh-CN"/>
        </w:rPr>
        <w:t xml:space="preserve">成立或</w:t>
      </w:r>
      <w:r>
        <w:rPr>
          <w:rFonts w:hint="eastAsia" w:ascii="仿宋" w:hAnsi="仿宋" w:eastAsia="仿宋" w:cs="仿宋"/>
          <w:sz w:val="28"/>
          <w:szCs w:val="28"/>
          <w:highlight w:val="none"/>
        </w:rPr>
        <w:t xml:space="preserve">出现本招标文件</w:t>
      </w:r>
      <w:r>
        <w:rPr>
          <w:rFonts w:hint="eastAsia" w:ascii="仿宋" w:hAnsi="仿宋" w:eastAsia="仿宋" w:cs="仿宋"/>
          <w:sz w:val="28"/>
          <w:szCs w:val="28"/>
          <w:highlight w:val="none"/>
          <w:lang w:val="en-US" w:eastAsia="zh-CN"/>
        </w:rPr>
        <w:t xml:space="preserve">第二章（六）14.1</w:t>
      </w:r>
      <w:r>
        <w:rPr>
          <w:rFonts w:hint="eastAsia" w:ascii="仿宋" w:hAnsi="仿宋" w:eastAsia="仿宋" w:cs="仿宋"/>
          <w:sz w:val="28"/>
          <w:szCs w:val="28"/>
          <w:highlight w:val="none"/>
        </w:rPr>
        <w:t xml:space="preserve">所述情况</w:t>
      </w:r>
      <w:r>
        <w:rPr>
          <w:rFonts w:hint="eastAsia" w:ascii="仿宋" w:hAnsi="仿宋" w:eastAsia="仿宋" w:cs="仿宋"/>
          <w:sz w:val="28"/>
          <w:szCs w:val="28"/>
          <w:highlight w:val="none"/>
          <w:lang w:eastAsia="zh-CN"/>
        </w:rPr>
        <w:t xml:space="preserve">的，</w:t>
      </w:r>
      <w:r>
        <w:rPr>
          <w:rFonts w:hint="eastAsia" w:ascii="仿宋" w:hAnsi="仿宋" w:eastAsia="仿宋" w:cs="仿宋"/>
          <w:sz w:val="28"/>
          <w:szCs w:val="28"/>
          <w:highlight w:val="none"/>
        </w:rPr>
        <w:t xml:space="preserve">取消中标资格，不影响其他</w:t>
      </w:r>
      <w:r>
        <w:rPr>
          <w:rFonts w:hint="eastAsia" w:ascii="仿宋" w:hAnsi="仿宋" w:eastAsia="仿宋" w:cs="仿宋"/>
          <w:sz w:val="28"/>
          <w:szCs w:val="28"/>
          <w:highlight w:val="none"/>
          <w:lang w:val="en-US" w:eastAsia="zh-CN"/>
        </w:rPr>
        <w:t xml:space="preserve">包评审</w:t>
      </w:r>
      <w:r>
        <w:rPr>
          <w:rFonts w:hint="eastAsia" w:ascii="仿宋" w:hAnsi="仿宋" w:eastAsia="仿宋" w:cs="仿宋"/>
          <w:sz w:val="28"/>
          <w:szCs w:val="28"/>
          <w:highlight w:val="none"/>
        </w:rPr>
        <w:t xml:space="preserve">结果</w:t>
      </w:r>
      <w:r>
        <w:rPr>
          <w:rFonts w:hint="eastAsia" w:ascii="仿宋" w:hAnsi="仿宋" w:eastAsia="仿宋" w:cs="仿宋"/>
          <w:sz w:val="28"/>
          <w:szCs w:val="28"/>
          <w:highlight w:val="none"/>
          <w:lang w:val="en-US" w:eastAsia="zh-CN"/>
        </w:rPr>
        <w:t xml:space="preserve">。采购人</w:t>
      </w:r>
      <w:r>
        <w:rPr>
          <w:rFonts w:hint="eastAsia" w:ascii="仿宋" w:hAnsi="仿宋" w:eastAsia="仿宋" w:cs="仿宋"/>
          <w:sz w:val="28"/>
          <w:szCs w:val="28"/>
          <w:highlight w:val="none"/>
        </w:rPr>
        <w:t xml:space="preserve">对相应包重新招标，</w:t>
      </w:r>
      <w:r>
        <w:rPr>
          <w:rFonts w:hint="eastAsia" w:ascii="仿宋" w:hAnsi="仿宋" w:eastAsia="仿宋" w:cs="仿宋"/>
          <w:sz w:val="28"/>
          <w:szCs w:val="28"/>
          <w:highlight w:val="none"/>
          <w:lang w:val="en-US" w:eastAsia="zh-CN"/>
        </w:rPr>
        <w:t xml:space="preserve">被取消中标资格的投标人及</w:t>
      </w:r>
      <w:r>
        <w:rPr>
          <w:rFonts w:hint="eastAsia" w:ascii="仿宋" w:hAnsi="仿宋" w:eastAsia="仿宋" w:cs="仿宋"/>
          <w:sz w:val="28"/>
          <w:szCs w:val="28"/>
          <w:highlight w:val="none"/>
        </w:rPr>
        <w:t xml:space="preserve">其他分包中标候选人</w:t>
      </w:r>
      <w:r>
        <w:rPr>
          <w:rFonts w:hint="eastAsia" w:ascii="仿宋" w:hAnsi="仿宋" w:eastAsia="仿宋" w:cs="仿宋"/>
          <w:sz w:val="28"/>
          <w:szCs w:val="28"/>
          <w:highlight w:val="none"/>
          <w:lang w:val="en-US" w:eastAsia="zh-CN"/>
        </w:rPr>
        <w:t xml:space="preserve">不得参与后续招投标活动</w:t>
      </w:r>
      <w:r>
        <w:rPr>
          <w:rFonts w:hint="eastAsia" w:ascii="仿宋" w:hAnsi="仿宋" w:eastAsia="仿宋" w:cs="仿宋"/>
          <w:sz w:val="28"/>
          <w:szCs w:val="28"/>
          <w:highlight w:val="none"/>
        </w:rPr>
        <w:t xml:space="preserve">；</w:t>
      </w:r>
      <w:r/>
    </w:p>
    <w:p>
      <w:pPr>
        <w:ind w:firstLine="560"/>
        <w:jc w:val="left"/>
        <w:spacing w:line="360" w:lineRule="auto"/>
        <w:rPr>
          <w:rFonts w:hint="eastAsia" w:ascii="仿宋" w:hAnsi="仿宋" w:eastAsia="仿宋" w:cs="仿宋"/>
          <w:b/>
          <w:sz w:val="28"/>
          <w:szCs w:val="28"/>
          <w:highlight w:val="none"/>
        </w:rPr>
        <w:outlineLvl w:val="1"/>
      </w:pPr>
      <w:r>
        <w:rPr>
          <w:rFonts w:hint="eastAsia" w:ascii="仿宋" w:hAnsi="仿宋" w:eastAsia="仿宋" w:cs="仿宋"/>
          <w:b/>
          <w:sz w:val="28"/>
          <w:szCs w:val="28"/>
          <w:highlight w:val="none"/>
        </w:rPr>
        <w:t xml:space="preserve">六、综合评分评审标准</w:t>
      </w:r>
      <w:r/>
    </w:p>
    <w:p>
      <w:pPr>
        <w:ind w:firstLine="482"/>
        <w:jc w:val="left"/>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（一）商务技术分（</w:t>
      </w:r>
      <w:r>
        <w:rPr>
          <w:rFonts w:hint="eastAsia" w:ascii="仿宋" w:hAnsi="仿宋" w:eastAsia="仿宋" w:cs="仿宋"/>
          <w:b/>
          <w:sz w:val="28"/>
          <w:szCs w:val="28"/>
          <w:highlight w:val="none"/>
          <w:lang w:val="en-US" w:eastAsia="zh-CN"/>
        </w:rPr>
        <w:t xml:space="preserve">70</w:t>
      </w:r>
      <w:r>
        <w:rPr>
          <w:rFonts w:hint="eastAsia" w:ascii="仿宋" w:hAnsi="仿宋" w:eastAsia="仿宋" w:cs="仿宋"/>
          <w:b/>
          <w:sz w:val="28"/>
          <w:szCs w:val="28"/>
          <w:highlight w:val="none"/>
        </w:rPr>
        <w:t xml:space="preserve">分）</w:t>
      </w:r>
      <w:r/>
    </w:p>
    <w:p>
      <w:pPr>
        <w:ind w:firstLine="482"/>
        <w:jc w:val="left"/>
        <w:spacing w:line="360" w:lineRule="auto"/>
        <w:rPr>
          <w:rFonts w:hint="default" w:ascii="仿宋" w:hAnsi="仿宋" w:eastAsia="仿宋" w:cs="仿宋"/>
          <w:b/>
          <w:sz w:val="28"/>
          <w:szCs w:val="28"/>
          <w:highlight w:val="none"/>
          <w:lang w:val="en-US" w:eastAsia="zh-CN"/>
        </w:rPr>
      </w:pPr>
      <w:r>
        <w:rPr>
          <w:rFonts w:hint="eastAsia" w:ascii="仿宋" w:hAnsi="仿宋" w:eastAsia="仿宋" w:cs="仿宋"/>
          <w:b/>
          <w:sz w:val="28"/>
          <w:szCs w:val="28"/>
          <w:highlight w:val="none"/>
          <w:lang w:val="en-US" w:eastAsia="zh-CN"/>
        </w:rPr>
        <w:t xml:space="preserve">包1：</w:t>
      </w:r>
      <w:r/>
    </w:p>
    <w:tbl>
      <w:tblPr>
        <w:tblStyle w:val="873"/>
        <w:tblW w:w="5242" w:type="pct"/>
        <w:tblInd w:w="-176" w:type="dxa"/>
        <w:tblLayout w:type="fixed"/>
        <w:tblCellMar>
          <w:left w:w="108" w:type="dxa"/>
          <w:top w:w="0" w:type="dxa"/>
          <w:right w:w="108" w:type="dxa"/>
          <w:bottom w:w="0" w:type="dxa"/>
        </w:tblCellMar>
        <w:tblLook w:val="04A0" w:firstRow="1" w:lastRow="0" w:firstColumn="1" w:lastColumn="0" w:noHBand="0" w:noVBand="1"/>
      </w:tblPr>
      <w:tblGrid>
        <w:gridCol w:w="1288"/>
        <w:gridCol w:w="710"/>
        <w:gridCol w:w="7941"/>
      </w:tblGrid>
      <w:tr>
        <w:trPr>
          <w:trHeight w:val="285"/>
        </w:trPr>
        <w:tc>
          <w:tcPr>
            <w:tcBorders>
              <w:top w:val="single" w:color="auto" w:sz="4" w:space="0"/>
              <w:left w:val="single" w:color="auto" w:sz="4" w:space="0"/>
              <w:bottom w:val="single" w:color="auto" w:sz="4" w:space="0"/>
              <w:right w:val="none" w:color="000000" w:sz="4" w:space="0"/>
            </w:tcBorders>
            <w:tcW w:w="648" w:type="pct"/>
            <w:vAlign w:val="center"/>
            <w:textDirection w:val="lrTb"/>
            <w:noWrap/>
          </w:tcPr>
          <w:p>
            <w:pPr>
              <w:jc w:val="center"/>
              <w:widowControl/>
              <w:rPr>
                <w:rFonts w:ascii="Times New Roman" w:hAnsi="Times New Roman"/>
                <w:b/>
                <w:bCs/>
                <w:sz w:val="22"/>
                <w:szCs w:val="22"/>
                <w:highlight w:val="none"/>
              </w:rPr>
            </w:pPr>
            <w:r/>
            <w:bookmarkStart w:id="97" w:name="_Hlk226748253"/>
            <w:r>
              <w:rPr>
                <w:rFonts w:ascii="Times New Roman" w:hAnsi="Times New Roman"/>
                <w:b/>
                <w:bCs/>
                <w:sz w:val="22"/>
                <w:szCs w:val="22"/>
                <w:highlight w:val="none"/>
              </w:rPr>
              <w:t xml:space="preserve">评标项目</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tcPr>
          <w:p>
            <w:pPr>
              <w:jc w:val="center"/>
              <w:widowControl/>
              <w:rPr>
                <w:rFonts w:ascii="Times New Roman" w:hAnsi="Times New Roman"/>
                <w:b/>
                <w:bCs/>
                <w:sz w:val="22"/>
                <w:szCs w:val="22"/>
                <w:highlight w:val="none"/>
              </w:rPr>
            </w:pPr>
            <w:r>
              <w:rPr>
                <w:rFonts w:ascii="Times New Roman" w:hAnsi="Times New Roman"/>
                <w:b/>
                <w:bCs/>
                <w:sz w:val="22"/>
                <w:szCs w:val="22"/>
                <w:highlight w:val="none"/>
              </w:rPr>
              <w:t xml:space="preserve">分值</w:t>
            </w:r>
            <w:r/>
          </w:p>
        </w:tc>
        <w:tc>
          <w:tcPr>
            <w:tcBorders>
              <w:top w:val="single" w:color="auto" w:sz="4" w:space="0"/>
              <w:left w:val="none" w:color="000000" w:sz="4" w:space="0"/>
              <w:bottom w:val="single" w:color="auto" w:sz="4" w:space="0"/>
              <w:right w:val="single" w:color="auto" w:sz="4" w:space="0"/>
            </w:tcBorders>
            <w:tcW w:w="3995" w:type="pct"/>
            <w:vAlign w:val="center"/>
            <w:textDirection w:val="lrTb"/>
            <w:noWrap/>
          </w:tcPr>
          <w:p>
            <w:pPr>
              <w:jc w:val="center"/>
              <w:widowControl/>
              <w:rPr>
                <w:rFonts w:ascii="Times New Roman" w:hAnsi="Times New Roman"/>
                <w:b/>
                <w:bCs/>
                <w:sz w:val="22"/>
                <w:szCs w:val="22"/>
                <w:highlight w:val="none"/>
              </w:rPr>
            </w:pPr>
            <w:r>
              <w:rPr>
                <w:rFonts w:ascii="Times New Roman" w:hAnsi="Times New Roman"/>
                <w:b/>
                <w:bCs/>
                <w:sz w:val="22"/>
                <w:szCs w:val="22"/>
                <w:highlight w:val="none"/>
              </w:rPr>
              <w:t xml:space="preserve">评分标准</w:t>
            </w:r>
            <w:r/>
          </w:p>
        </w:tc>
      </w:tr>
      <w:tr>
        <w:trPr>
          <w:trHeight w:val="299"/>
        </w:trPr>
        <w:tc>
          <w:tcPr>
            <w:tcBorders>
              <w:top w:val="none" w:color="000000" w:sz="4" w:space="0"/>
              <w:left w:val="single" w:color="auto" w:sz="8" w:space="0"/>
              <w:bottom w:val="single" w:color="000000" w:sz="8" w:space="0"/>
              <w:right w:val="single" w:color="auto" w:sz="8" w:space="0"/>
            </w:tcBorders>
            <w:tcW w:w="648" w:type="pct"/>
            <w:vAlign w:val="center"/>
            <w:textDirection w:val="lrTb"/>
            <w:noWrap/>
          </w:tcPr>
          <w:p>
            <w:pPr>
              <w:jc w:val="center"/>
              <w:widowControl/>
              <w:rPr>
                <w:rFonts w:ascii="Times New Roman" w:hAnsi="Times New Roman"/>
                <w:sz w:val="22"/>
                <w:szCs w:val="22"/>
                <w:highlight w:val="none"/>
              </w:rPr>
            </w:pPr>
            <w:r>
              <w:rPr>
                <w:rFonts w:ascii="Times New Roman" w:hAnsi="Times New Roman"/>
                <w:sz w:val="22"/>
                <w:szCs w:val="22"/>
                <w:highlight w:val="none"/>
              </w:rPr>
              <w:t xml:space="preserve">监测方案评审</w:t>
            </w:r>
            <w:r/>
          </w:p>
        </w:tc>
        <w:tc>
          <w:tcPr>
            <w:tcBorders>
              <w:top w:val="none" w:color="000000" w:sz="4" w:space="0"/>
              <w:left w:val="single" w:color="auto" w:sz="8" w:space="0"/>
              <w:bottom w:val="single" w:color="000000" w:sz="8" w:space="0"/>
              <w:right w:val="single" w:color="auto" w:sz="4" w:space="0"/>
            </w:tcBorders>
            <w:tcW w:w="357" w:type="pct"/>
            <w:vAlign w:val="center"/>
            <w:textDirection w:val="lrTb"/>
            <w:noWrap/>
          </w:tcPr>
          <w:p>
            <w:pPr>
              <w:jc w:val="center"/>
              <w:widowControl/>
              <w:rPr>
                <w:rFonts w:ascii="Times New Roman" w:hAnsi="Times New Roman"/>
                <w:sz w:val="22"/>
                <w:szCs w:val="22"/>
                <w:highlight w:val="none"/>
              </w:rPr>
            </w:pPr>
            <w:r>
              <w:rPr>
                <w:rFonts w:ascii="Times New Roman" w:hAnsi="Times New Roman"/>
                <w:sz w:val="22"/>
                <w:szCs w:val="22"/>
                <w:highlight w:val="none"/>
              </w:rPr>
              <w:t xml:space="preserve">20</w:t>
            </w:r>
            <w:r/>
          </w:p>
        </w:tc>
        <w:tc>
          <w:tcPr>
            <w:tcBorders>
              <w:top w:val="single" w:color="auto" w:sz="4" w:space="0"/>
              <w:left w:val="single" w:color="auto" w:sz="4" w:space="0"/>
              <w:bottom w:val="single" w:color="auto" w:sz="4" w:space="0"/>
              <w:right w:val="single" w:color="auto" w:sz="4" w:space="0"/>
            </w:tcBorders>
            <w:tcW w:w="3995" w:type="pct"/>
            <w:vAlign w:val="center"/>
            <w:textDirection w:val="lrTb"/>
            <w:noWrap/>
          </w:tcPr>
          <w:p>
            <w:pPr>
              <w:ind w:firstLine="440"/>
              <w:jc w:val="left"/>
              <w:spacing w:line="300" w:lineRule="exact"/>
              <w:widowControl/>
              <w:rPr>
                <w:rFonts w:ascii="Times New Roman" w:hAnsi="Times New Roman"/>
                <w:sz w:val="22"/>
                <w:szCs w:val="22"/>
                <w:highlight w:val="none"/>
              </w:rPr>
            </w:pPr>
            <w:r>
              <w:rPr>
                <w:rFonts w:ascii="Times New Roman" w:hAnsi="Times New Roman"/>
                <w:sz w:val="22"/>
                <w:szCs w:val="22"/>
                <w:highlight w:val="none"/>
              </w:rPr>
              <w:t xml:space="preserve">根据该项目的要求，对投标单位提供的实施方案、质控方案进行评审，主要包括监测采样方式、监测方法确定、质控措施、安全措施等方面进行审查。本项最高得20分。</w:t>
            </w:r>
            <w:r/>
          </w:p>
          <w:p>
            <w:pPr>
              <w:numPr>
                <w:ilvl w:val="0"/>
                <w:numId w:val="5"/>
              </w:numPr>
              <w:ind w:firstLine="440"/>
              <w:spacing w:line="300" w:lineRule="exact"/>
              <w:widowControl/>
              <w:rPr>
                <w:rFonts w:ascii="Times New Roman" w:hAnsi="Times New Roman"/>
                <w:bCs/>
                <w:sz w:val="22"/>
                <w:szCs w:val="22"/>
                <w:highlight w:val="none"/>
              </w:rPr>
            </w:pPr>
            <w:r>
              <w:rPr>
                <w:rFonts w:ascii="Times New Roman" w:hAnsi="Times New Roman"/>
                <w:bCs/>
                <w:sz w:val="22"/>
                <w:szCs w:val="22"/>
                <w:highlight w:val="none"/>
              </w:rPr>
              <w:t xml:space="preserve">实施方案制定的科学、可行（14分）：</w:t>
            </w:r>
            <w:r/>
          </w:p>
          <w:p>
            <w:pPr>
              <w:ind w:firstLine="440"/>
              <w:spacing w:line="300" w:lineRule="exact"/>
              <w:widowControl/>
              <w:rPr>
                <w:rFonts w:ascii="Times New Roman" w:hAnsi="Times New Roman"/>
                <w:sz w:val="22"/>
                <w:szCs w:val="22"/>
                <w:highlight w:val="none"/>
              </w:rPr>
            </w:pPr>
            <w:r>
              <w:rPr>
                <w:rFonts w:ascii="Times New Roman" w:hAnsi="Times New Roman"/>
                <w:sz w:val="22"/>
                <w:szCs w:val="22"/>
                <w:highlight w:val="none"/>
              </w:rPr>
              <w:t xml:space="preserve">（1）方案的完整性、合理性、科学性（6分）：</w:t>
            </w:r>
            <w:r/>
          </w:p>
          <w:p>
            <w:pPr>
              <w:ind w:firstLine="440"/>
              <w:spacing w:line="300" w:lineRule="exact"/>
              <w:widowControl/>
              <w:rPr>
                <w:rFonts w:ascii="Times New Roman" w:hAnsi="Times New Roman"/>
                <w:sz w:val="22"/>
                <w:szCs w:val="22"/>
                <w:highlight w:val="none"/>
              </w:rPr>
            </w:pPr>
            <w:r>
              <w:rPr>
                <w:rFonts w:ascii="Times New Roman" w:hAnsi="Times New Roman"/>
                <w:sz w:val="22"/>
                <w:szCs w:val="22"/>
                <w:highlight w:val="none"/>
              </w:rPr>
              <w:t xml:space="preserve">方案的完整性、合理性、科学性较好得6分；方案的完整性、合理性、科学性一般得3分；方案的完整性、合理性、科学性较差得1分。 </w:t>
            </w:r>
            <w:r/>
          </w:p>
          <w:p>
            <w:pPr>
              <w:ind w:firstLine="440"/>
              <w:spacing w:line="300" w:lineRule="exact"/>
              <w:widowControl/>
              <w:rPr>
                <w:rFonts w:ascii="Times New Roman" w:hAnsi="Times New Roman"/>
                <w:sz w:val="22"/>
                <w:szCs w:val="22"/>
                <w:highlight w:val="none"/>
              </w:rPr>
            </w:pPr>
            <w:r>
              <w:rPr>
                <w:rFonts w:ascii="Times New Roman" w:hAnsi="Times New Roman"/>
                <w:sz w:val="22"/>
                <w:szCs w:val="22"/>
                <w:highlight w:val="none"/>
              </w:rPr>
              <w:t xml:space="preserve">（</w:t>
            </w:r>
            <w:r>
              <w:rPr>
                <w:rFonts w:hint="eastAsia" w:ascii="Times New Roman" w:hAnsi="Times New Roman"/>
                <w:sz w:val="22"/>
                <w:szCs w:val="22"/>
                <w:highlight w:val="none"/>
              </w:rPr>
              <w:t xml:space="preserve">2</w:t>
            </w:r>
            <w:r>
              <w:rPr>
                <w:rFonts w:ascii="Times New Roman" w:hAnsi="Times New Roman"/>
                <w:sz w:val="22"/>
                <w:szCs w:val="22"/>
                <w:highlight w:val="none"/>
              </w:rPr>
              <w:t xml:space="preserve">）整体方案和具体实施方案的可行性（8分）：</w:t>
            </w:r>
            <w:r/>
          </w:p>
          <w:p>
            <w:pPr>
              <w:ind w:firstLine="440"/>
              <w:spacing w:line="300" w:lineRule="exact"/>
              <w:widowControl/>
              <w:rPr>
                <w:rFonts w:ascii="Times New Roman" w:hAnsi="Times New Roman"/>
                <w:sz w:val="22"/>
                <w:szCs w:val="22"/>
                <w:highlight w:val="none"/>
              </w:rPr>
            </w:pPr>
            <w:r>
              <w:rPr>
                <w:rFonts w:ascii="Times New Roman" w:hAnsi="Times New Roman"/>
                <w:sz w:val="22"/>
                <w:szCs w:val="22"/>
                <w:highlight w:val="none"/>
              </w:rPr>
              <w:t xml:space="preserve">整体方案和具体实施方案可行得8分；整体方案和具体实施方案一般得4分；整体方案和具体实施方案较差得1分。</w:t>
            </w:r>
            <w:r/>
          </w:p>
          <w:p>
            <w:pPr>
              <w:numPr>
                <w:ilvl w:val="0"/>
                <w:numId w:val="5"/>
              </w:numPr>
              <w:ind w:firstLine="440"/>
              <w:spacing w:line="300" w:lineRule="exact"/>
              <w:widowControl/>
              <w:rPr>
                <w:rFonts w:ascii="Times New Roman" w:hAnsi="Times New Roman"/>
                <w:sz w:val="22"/>
                <w:szCs w:val="22"/>
                <w:highlight w:val="none"/>
              </w:rPr>
            </w:pPr>
            <w:r>
              <w:rPr>
                <w:rFonts w:ascii="Times New Roman" w:hAnsi="Times New Roman"/>
                <w:bCs/>
                <w:sz w:val="22"/>
                <w:szCs w:val="22"/>
                <w:highlight w:val="none"/>
              </w:rPr>
              <w:t xml:space="preserve">质控方案的有效性（6分）</w:t>
            </w:r>
            <w:r>
              <w:rPr>
                <w:rFonts w:ascii="Times New Roman" w:hAnsi="Times New Roman"/>
                <w:sz w:val="22"/>
                <w:szCs w:val="22"/>
                <w:highlight w:val="none"/>
              </w:rPr>
              <w:t xml:space="preserve">：</w:t>
            </w:r>
            <w:r/>
          </w:p>
          <w:p>
            <w:pPr>
              <w:ind w:firstLine="440"/>
              <w:spacing w:line="300" w:lineRule="exact"/>
              <w:widowControl/>
              <w:rPr>
                <w:rFonts w:ascii="Times New Roman" w:hAnsi="Times New Roman"/>
                <w:sz w:val="22"/>
                <w:szCs w:val="22"/>
                <w:highlight w:val="none"/>
              </w:rPr>
            </w:pPr>
            <w:r>
              <w:rPr>
                <w:rFonts w:ascii="Times New Roman" w:hAnsi="Times New Roman"/>
                <w:sz w:val="22"/>
                <w:szCs w:val="22"/>
                <w:highlight w:val="none"/>
              </w:rPr>
              <w:t xml:space="preserve">质控措施的有效性较好得6分；质控措施的有效性一般得2分；质控措施的有效性较差不得分。</w:t>
            </w:r>
            <w:r/>
          </w:p>
        </w:tc>
      </w:tr>
      <w:tr>
        <w:trPr>
          <w:trHeight w:val="299"/>
        </w:trPr>
        <w:tc>
          <w:tcPr>
            <w:tcBorders>
              <w:top w:val="none" w:color="000000" w:sz="4" w:space="0"/>
              <w:left w:val="single" w:color="auto" w:sz="8" w:space="0"/>
              <w:bottom w:val="single" w:color="auto" w:sz="8" w:space="0"/>
              <w:right w:val="single" w:color="auto" w:sz="8" w:space="0"/>
            </w:tcBorders>
            <w:tcW w:w="648" w:type="pct"/>
            <w:vAlign w:val="center"/>
            <w:textDirection w:val="lrTb"/>
            <w:noWrap/>
          </w:tcPr>
          <w:p>
            <w:pPr>
              <w:jc w:val="center"/>
              <w:widowControl/>
              <w:rPr>
                <w:rFonts w:ascii="Times New Roman" w:hAnsi="Times New Roman"/>
                <w:sz w:val="22"/>
                <w:szCs w:val="22"/>
                <w:highlight w:val="none"/>
              </w:rPr>
            </w:pPr>
            <w:r>
              <w:rPr>
                <w:rFonts w:ascii="Times New Roman" w:hAnsi="Times New Roman"/>
                <w:sz w:val="22"/>
                <w:szCs w:val="22"/>
                <w:highlight w:val="none"/>
              </w:rPr>
              <w:t xml:space="preserve">质量管理体系运行情况</w:t>
            </w:r>
            <w:r/>
          </w:p>
        </w:tc>
        <w:tc>
          <w:tcPr>
            <w:tcBorders>
              <w:top w:val="none" w:color="000000" w:sz="4" w:space="0"/>
              <w:left w:val="none" w:color="000000" w:sz="4" w:space="0"/>
              <w:bottom w:val="single" w:color="000000" w:sz="8" w:space="0"/>
              <w:right w:val="single" w:color="auto" w:sz="4" w:space="0"/>
            </w:tcBorders>
            <w:tcW w:w="357" w:type="pct"/>
            <w:vAlign w:val="center"/>
            <w:textDirection w:val="lrTb"/>
            <w:noWrap/>
          </w:tcPr>
          <w:p>
            <w:pPr>
              <w:jc w:val="center"/>
              <w:widowControl/>
              <w:rPr>
                <w:rFonts w:ascii="Times New Roman" w:hAnsi="Times New Roman"/>
                <w:sz w:val="22"/>
                <w:szCs w:val="22"/>
                <w:highlight w:val="none"/>
              </w:rPr>
            </w:pPr>
            <w:r>
              <w:rPr>
                <w:rFonts w:ascii="Times New Roman" w:hAnsi="Times New Roman"/>
                <w:sz w:val="22"/>
                <w:szCs w:val="22"/>
                <w:highlight w:val="none"/>
              </w:rPr>
              <w:t xml:space="preserve">8</w:t>
            </w:r>
            <w:r/>
          </w:p>
        </w:tc>
        <w:tc>
          <w:tcPr>
            <w:tcBorders>
              <w:top w:val="single" w:color="auto" w:sz="4" w:space="0"/>
              <w:left w:val="single" w:color="auto" w:sz="4" w:space="0"/>
              <w:bottom w:val="single" w:color="auto" w:sz="4" w:space="0"/>
              <w:right w:val="single" w:color="auto" w:sz="4" w:space="0"/>
            </w:tcBorders>
            <w:tcW w:w="3995" w:type="pct"/>
            <w:vAlign w:val="center"/>
            <w:textDirection w:val="lrTb"/>
            <w:noWrap/>
          </w:tcPr>
          <w:p>
            <w:pPr>
              <w:ind w:firstLine="440"/>
              <w:spacing w:line="300" w:lineRule="exact"/>
              <w:widowControl/>
              <w:rPr>
                <w:rFonts w:ascii="Times New Roman" w:hAnsi="Times New Roman"/>
                <w:sz w:val="22"/>
                <w:szCs w:val="22"/>
                <w:highlight w:val="none"/>
              </w:rPr>
            </w:pPr>
            <w:r>
              <w:rPr>
                <w:rFonts w:ascii="Times New Roman" w:hAnsi="Times New Roman"/>
                <w:sz w:val="22"/>
                <w:szCs w:val="22"/>
                <w:highlight w:val="none"/>
              </w:rPr>
              <w:t xml:space="preserve">投标方须提供现行有效的</w:t>
            </w:r>
            <w:r>
              <w:rPr>
                <w:rFonts w:hint="eastAsia" w:ascii="Times New Roman" w:hAnsi="Times New Roman"/>
                <w:sz w:val="22"/>
                <w:szCs w:val="22"/>
                <w:highlight w:val="none"/>
              </w:rPr>
              <w:t xml:space="preserve">质量手册</w:t>
            </w:r>
            <w:r>
              <w:rPr>
                <w:rFonts w:hint="eastAsia" w:ascii="Times New Roman" w:hAnsi="Times New Roman"/>
                <w:sz w:val="22"/>
                <w:szCs w:val="22"/>
                <w:highlight w:val="none"/>
                <w:lang w:eastAsia="zh-CN"/>
              </w:rPr>
              <w:t xml:space="preserve">目录</w:t>
            </w:r>
            <w:r>
              <w:rPr>
                <w:rFonts w:hint="eastAsia" w:ascii="Times New Roman" w:hAnsi="Times New Roman"/>
                <w:sz w:val="22"/>
                <w:szCs w:val="22"/>
                <w:highlight w:val="none"/>
              </w:rPr>
              <w:t xml:space="preserve">、程序文件</w:t>
            </w:r>
            <w:r>
              <w:rPr>
                <w:rFonts w:hint="eastAsia" w:ascii="Times New Roman" w:hAnsi="Times New Roman"/>
                <w:sz w:val="22"/>
                <w:szCs w:val="22"/>
                <w:highlight w:val="none"/>
                <w:lang w:eastAsia="zh-CN"/>
              </w:rPr>
              <w:t xml:space="preserve">目录</w:t>
            </w:r>
            <w:r>
              <w:rPr>
                <w:rFonts w:ascii="Times New Roman" w:hAnsi="Times New Roman"/>
                <w:sz w:val="22"/>
                <w:szCs w:val="22"/>
                <w:highlight w:val="none"/>
              </w:rPr>
              <w:t xml:space="preserve">以及最近1次的内审、管理评审记录等进行综合评定，评委将对提供材料的完整程度（2分），适用性（2分），有效性（2分），持续改进情况（2分）进行打分；未提供不得分。</w:t>
            </w:r>
            <w:r/>
          </w:p>
        </w:tc>
      </w:tr>
      <w:tr>
        <w:trPr>
          <w:trHeight w:val="1732"/>
        </w:trPr>
        <w:tc>
          <w:tcPr>
            <w:tcBorders>
              <w:top w:val="none" w:color="000000" w:sz="4" w:space="0"/>
              <w:left w:val="single" w:color="auto" w:sz="8" w:space="0"/>
              <w:bottom w:val="single" w:color="000000" w:sz="8" w:space="0"/>
              <w:right w:val="single" w:color="auto" w:sz="8" w:space="0"/>
            </w:tcBorders>
            <w:tcW w:w="648" w:type="pct"/>
            <w:vAlign w:val="center"/>
            <w:textDirection w:val="lrTb"/>
            <w:noWrap/>
          </w:tcPr>
          <w:p>
            <w:pPr>
              <w:jc w:val="center"/>
              <w:widowControl/>
              <w:rPr>
                <w:rFonts w:ascii="Times New Roman" w:hAnsi="Times New Roman"/>
                <w:sz w:val="22"/>
                <w:szCs w:val="22"/>
                <w:highlight w:val="none"/>
              </w:rPr>
            </w:pPr>
            <w:r>
              <w:rPr>
                <w:rFonts w:ascii="Times New Roman" w:hAnsi="Times New Roman"/>
                <w:sz w:val="22"/>
                <w:szCs w:val="22"/>
                <w:highlight w:val="none"/>
              </w:rPr>
              <w:t xml:space="preserve">人员配备</w:t>
            </w:r>
            <w:r/>
          </w:p>
        </w:tc>
        <w:tc>
          <w:tcPr>
            <w:tcBorders>
              <w:top w:val="none" w:color="000000" w:sz="4" w:space="0"/>
              <w:left w:val="single" w:color="auto" w:sz="8" w:space="0"/>
              <w:bottom w:val="single" w:color="000000" w:sz="8" w:space="0"/>
              <w:right w:val="single" w:color="auto" w:sz="4" w:space="0"/>
            </w:tcBorders>
            <w:tcW w:w="357" w:type="pct"/>
            <w:vAlign w:val="center"/>
            <w:textDirection w:val="lrTb"/>
            <w:noWrap/>
          </w:tcPr>
          <w:p>
            <w:pPr>
              <w:jc w:val="center"/>
              <w:widowControl/>
              <w:rPr>
                <w:rFonts w:ascii="Times New Roman" w:hAnsi="Times New Roman"/>
                <w:sz w:val="22"/>
                <w:szCs w:val="22"/>
                <w:highlight w:val="none"/>
              </w:rPr>
            </w:pPr>
            <w:r>
              <w:rPr>
                <w:rFonts w:ascii="Times New Roman" w:hAnsi="Times New Roman"/>
                <w:sz w:val="22"/>
                <w:szCs w:val="22"/>
                <w:highlight w:val="none"/>
              </w:rPr>
              <w:t xml:space="preserve">10</w:t>
            </w:r>
            <w:r/>
          </w:p>
        </w:tc>
        <w:tc>
          <w:tcPr>
            <w:tcBorders>
              <w:top w:val="single" w:color="auto" w:sz="4" w:space="0"/>
              <w:left w:val="single" w:color="auto" w:sz="4" w:space="0"/>
              <w:bottom w:val="single" w:color="auto" w:sz="4" w:space="0"/>
              <w:right w:val="single" w:color="auto" w:sz="4" w:space="0"/>
            </w:tcBorders>
            <w:tcW w:w="3995" w:type="pct"/>
            <w:vAlign w:val="center"/>
            <w:textDirection w:val="lrTb"/>
            <w:noWrap/>
          </w:tcPr>
          <w:p>
            <w:pPr>
              <w:ind w:firstLine="440"/>
              <w:spacing w:line="300" w:lineRule="exact"/>
              <w:widowControl/>
              <w:rPr>
                <w:rFonts w:ascii="Times New Roman" w:hAnsi="Times New Roman"/>
                <w:sz w:val="22"/>
                <w:szCs w:val="22"/>
                <w:highlight w:val="none"/>
              </w:rPr>
            </w:pPr>
            <w:r>
              <w:rPr>
                <w:rFonts w:ascii="Times New Roman" w:hAnsi="Times New Roman"/>
                <w:sz w:val="22"/>
                <w:szCs w:val="22"/>
                <w:highlight w:val="none"/>
              </w:rPr>
              <w:t xml:space="preserve">拟派的项目负责人具备环境类或海洋工程类，副高职称的得2分，具备工程师职称的得1分，其他不得分，本项最多得2分。</w:t>
            </w:r>
            <w:r/>
          </w:p>
          <w:p>
            <w:pPr>
              <w:ind w:firstLine="440"/>
              <w:spacing w:line="300" w:lineRule="exact"/>
              <w:widowControl/>
              <w:rPr>
                <w:rFonts w:ascii="Times New Roman" w:hAnsi="Times New Roman"/>
                <w:sz w:val="22"/>
                <w:szCs w:val="22"/>
                <w:highlight w:val="none"/>
              </w:rPr>
            </w:pPr>
            <w:r>
              <w:rPr>
                <w:rFonts w:ascii="Times New Roman" w:hAnsi="Times New Roman"/>
                <w:sz w:val="22"/>
                <w:szCs w:val="22"/>
                <w:highlight w:val="none"/>
              </w:rPr>
              <w:t xml:space="preserve">拟派的项目技术人员（不含项目负责人）具备环境类或海洋工程类，副高级工程师每1个得2分，工程师2个得1分，本项最多得8分。</w:t>
            </w:r>
            <w:r/>
          </w:p>
          <w:p>
            <w:pPr>
              <w:ind w:firstLine="440"/>
              <w:spacing w:line="300" w:lineRule="exact"/>
              <w:rPr>
                <w:rFonts w:ascii="Times New Roman" w:hAnsi="Times New Roman"/>
                <w:sz w:val="22"/>
                <w:szCs w:val="22"/>
                <w:highlight w:val="none"/>
              </w:rPr>
            </w:pPr>
            <w:r>
              <w:rPr>
                <w:rFonts w:ascii="Times New Roman" w:hAnsi="Times New Roman"/>
                <w:sz w:val="22"/>
                <w:szCs w:val="22"/>
                <w:highlight w:val="none"/>
              </w:rPr>
              <w:t xml:space="preserve">注：以上项目负责人和技术人员需提供劳动合同、社保缴纳证明（近半年任意一个月）以及职称证书（必须体现个人姓名及缴纳单位信息）；提供相关证书复印件并加盖供应商公章，原件备查，否则不得分；未提供证明材料或材料提供不全不得分。</w:t>
            </w:r>
            <w:r/>
          </w:p>
        </w:tc>
      </w:tr>
      <w:tr>
        <w:trPr>
          <w:trHeight w:val="880"/>
        </w:trPr>
        <w:tc>
          <w:tcPr>
            <w:tcBorders>
              <w:top w:val="none" w:color="000000" w:sz="4" w:space="0"/>
              <w:left w:val="single" w:color="auto" w:sz="8" w:space="0"/>
              <w:bottom w:val="single" w:color="000000" w:sz="8" w:space="0"/>
              <w:right w:val="single" w:color="auto" w:sz="8" w:space="0"/>
            </w:tcBorders>
            <w:tcW w:w="648" w:type="pct"/>
            <w:vAlign w:val="center"/>
            <w:textDirection w:val="lrTb"/>
            <w:noWrap/>
          </w:tcPr>
          <w:p>
            <w:pPr>
              <w:jc w:val="center"/>
              <w:widowControl/>
              <w:rPr>
                <w:rFonts w:ascii="Times New Roman" w:hAnsi="Times New Roman"/>
                <w:sz w:val="22"/>
                <w:szCs w:val="22"/>
                <w:highlight w:val="none"/>
              </w:rPr>
            </w:pPr>
            <w:r>
              <w:rPr>
                <w:rFonts w:ascii="Times New Roman" w:hAnsi="Times New Roman"/>
                <w:sz w:val="22"/>
                <w:szCs w:val="22"/>
                <w:highlight w:val="none"/>
              </w:rPr>
              <w:t xml:space="preserve">业绩</w:t>
            </w:r>
            <w:r/>
          </w:p>
        </w:tc>
        <w:tc>
          <w:tcPr>
            <w:tcBorders>
              <w:top w:val="none" w:color="000000" w:sz="4" w:space="0"/>
              <w:left w:val="single" w:color="auto" w:sz="8" w:space="0"/>
              <w:bottom w:val="single" w:color="000000" w:sz="8" w:space="0"/>
              <w:right w:val="none" w:color="000000" w:sz="4" w:space="0"/>
            </w:tcBorders>
            <w:tcW w:w="357" w:type="pct"/>
            <w:vAlign w:val="center"/>
            <w:textDirection w:val="lrTb"/>
            <w:noWrap/>
          </w:tcPr>
          <w:p>
            <w:pPr>
              <w:jc w:val="center"/>
              <w:widowControl/>
              <w:rPr>
                <w:rFonts w:ascii="Times New Roman" w:hAnsi="Times New Roman"/>
                <w:sz w:val="22"/>
                <w:szCs w:val="22"/>
                <w:highlight w:val="none"/>
              </w:rPr>
            </w:pPr>
            <w:r>
              <w:rPr>
                <w:rFonts w:ascii="Times New Roman" w:hAnsi="Times New Roman"/>
                <w:sz w:val="22"/>
                <w:szCs w:val="22"/>
                <w:highlight w:val="none"/>
              </w:rPr>
              <w:t xml:space="preserve">10</w:t>
            </w:r>
            <w:r/>
          </w:p>
        </w:tc>
        <w:tc>
          <w:tcPr>
            <w:tcBorders>
              <w:top w:val="single" w:color="auto" w:sz="4" w:space="0"/>
              <w:left w:val="single" w:color="auto" w:sz="4" w:space="0"/>
              <w:bottom w:val="single" w:color="auto" w:sz="4" w:space="0"/>
              <w:right w:val="single" w:color="auto" w:sz="4" w:space="0"/>
            </w:tcBorders>
            <w:tcW w:w="3995" w:type="pct"/>
            <w:vAlign w:val="center"/>
            <w:textDirection w:val="lrTb"/>
            <w:noWrap/>
          </w:tcPr>
          <w:p>
            <w:pPr>
              <w:ind w:firstLine="440"/>
              <w:jc w:val="left"/>
              <w:spacing w:line="300" w:lineRule="exact"/>
              <w:widowControl/>
              <w:rPr>
                <w:rFonts w:ascii="Times New Roman" w:hAnsi="Times New Roman"/>
                <w:sz w:val="22"/>
                <w:szCs w:val="22"/>
                <w:highlight w:val="none"/>
              </w:rPr>
            </w:pPr>
            <w:r>
              <w:rPr>
                <w:rFonts w:ascii="Times New Roman" w:hAnsi="Times New Roman"/>
                <w:sz w:val="22"/>
                <w:szCs w:val="22"/>
                <w:highlight w:val="none"/>
              </w:rPr>
              <w:t xml:space="preserve">自 2023年1月1日以来（以合同签订时间为准），供应商承接的与本项目</w:t>
            </w:r>
            <w:r>
              <w:rPr>
                <w:rFonts w:ascii="Times New Roman" w:hAnsi="Times New Roman"/>
                <w:bCs/>
                <w:sz w:val="22"/>
                <w:szCs w:val="22"/>
                <w:highlight w:val="none"/>
              </w:rPr>
              <w:t xml:space="preserve">服务内容、监测类型相匹配的监测业务业绩</w:t>
            </w:r>
            <w:r>
              <w:rPr>
                <w:rFonts w:ascii="Times New Roman" w:hAnsi="Times New Roman"/>
                <w:sz w:val="22"/>
                <w:szCs w:val="22"/>
                <w:highlight w:val="none"/>
              </w:rPr>
              <w:t xml:space="preserve">，每提供1个有效业绩得2 分，本项最高得10 分。</w:t>
            </w:r>
            <w:r/>
          </w:p>
          <w:p>
            <w:pPr>
              <w:ind w:firstLine="440"/>
              <w:jc w:val="left"/>
              <w:spacing w:line="300" w:lineRule="exact"/>
              <w:rPr>
                <w:rFonts w:ascii="Times New Roman" w:hAnsi="Times New Roman"/>
                <w:sz w:val="22"/>
                <w:szCs w:val="22"/>
                <w:highlight w:val="none"/>
              </w:rPr>
            </w:pPr>
            <w:r>
              <w:rPr>
                <w:rFonts w:ascii="Times New Roman" w:hAnsi="Times New Roman"/>
                <w:sz w:val="22"/>
                <w:szCs w:val="22"/>
                <w:highlight w:val="none"/>
              </w:rPr>
              <w:t xml:space="preserve">注：1.需提供业绩合同首页、盖章页及表明工作范围内容有效页证明文件的复印件并加盖公章，否则不得分。</w:t>
            </w:r>
            <w:r/>
          </w:p>
          <w:p>
            <w:pPr>
              <w:ind w:firstLine="440"/>
              <w:jc w:val="left"/>
              <w:spacing w:line="300" w:lineRule="exact"/>
              <w:rPr>
                <w:rFonts w:ascii="Times New Roman" w:hAnsi="Times New Roman"/>
                <w:sz w:val="22"/>
                <w:szCs w:val="22"/>
                <w:highlight w:val="none"/>
              </w:rPr>
            </w:pPr>
            <w:r>
              <w:rPr>
                <w:rFonts w:ascii="Times New Roman" w:hAnsi="Times New Roman"/>
                <w:sz w:val="22"/>
                <w:szCs w:val="22"/>
                <w:highlight w:val="none"/>
              </w:rPr>
              <w:t xml:space="preserve">2.</w:t>
            </w:r>
            <w:r>
              <w:rPr>
                <w:rFonts w:ascii="Times New Roman" w:hAnsi="Times New Roman"/>
                <w:sz w:val="22"/>
                <w:szCs w:val="22"/>
                <w:highlight w:val="none"/>
              </w:rPr>
              <w:t xml:space="preserve">合同签订时间在 2023年1月1日至投标截止日之间，项目内容与本项目采购的监测服务内容、技术要求相匹配</w:t>
            </w:r>
            <w:r>
              <w:rPr>
                <w:rFonts w:hint="eastAsia" w:ascii="Times New Roman" w:hAnsi="Times New Roman"/>
                <w:sz w:val="22"/>
                <w:szCs w:val="22"/>
                <w:highlight w:val="none"/>
                <w:lang w:eastAsia="zh-CN"/>
              </w:rPr>
              <w:t xml:space="preserve">，</w:t>
            </w:r>
            <w:r>
              <w:rPr>
                <w:rFonts w:ascii="Times New Roman" w:hAnsi="Times New Roman"/>
                <w:sz w:val="22"/>
                <w:szCs w:val="22"/>
                <w:highlight w:val="none"/>
              </w:rPr>
              <w:t xml:space="preserve">供应商已完成合同履约。</w:t>
            </w:r>
            <w:r/>
          </w:p>
        </w:tc>
      </w:tr>
      <w:tr>
        <w:trPr>
          <w:trHeight w:val="697"/>
        </w:trPr>
        <w:tc>
          <w:tcPr>
            <w:tcBorders>
              <w:top w:val="none" w:color="000000" w:sz="4" w:space="0"/>
              <w:left w:val="single" w:color="auto" w:sz="8" w:space="0"/>
              <w:bottom w:val="single" w:color="000000" w:sz="8" w:space="0"/>
              <w:right w:val="single" w:color="auto" w:sz="8" w:space="0"/>
            </w:tcBorders>
            <w:tcW w:w="648" w:type="pct"/>
            <w:vAlign w:val="center"/>
            <w:textDirection w:val="lrTb"/>
            <w:noWrap/>
          </w:tcPr>
          <w:p>
            <w:pPr>
              <w:jc w:val="center"/>
              <w:widowControl/>
              <w:rPr>
                <w:rFonts w:ascii="Times New Roman" w:hAnsi="Times New Roman"/>
                <w:sz w:val="22"/>
                <w:szCs w:val="22"/>
                <w:highlight w:val="none"/>
              </w:rPr>
            </w:pPr>
            <w:r>
              <w:rPr>
                <w:rFonts w:ascii="Times New Roman" w:hAnsi="Times New Roman"/>
                <w:sz w:val="22"/>
                <w:szCs w:val="22"/>
                <w:highlight w:val="none"/>
              </w:rPr>
              <w:t xml:space="preserve">资信和样品及时性条件</w:t>
            </w:r>
            <w:r/>
          </w:p>
        </w:tc>
        <w:tc>
          <w:tcPr>
            <w:tcBorders>
              <w:top w:val="none" w:color="000000" w:sz="4" w:space="0"/>
              <w:left w:val="single" w:color="auto" w:sz="8" w:space="0"/>
              <w:bottom w:val="single" w:color="000000" w:sz="8" w:space="0"/>
              <w:right w:val="single" w:color="auto" w:sz="4" w:space="0"/>
            </w:tcBorders>
            <w:tcW w:w="357" w:type="pct"/>
            <w:vAlign w:val="center"/>
            <w:textDirection w:val="lrTb"/>
            <w:noWrap/>
          </w:tcPr>
          <w:p>
            <w:pPr>
              <w:jc w:val="center"/>
              <w:widowControl/>
              <w:rPr>
                <w:rFonts w:ascii="Times New Roman" w:hAnsi="Times New Roman"/>
                <w:sz w:val="22"/>
                <w:szCs w:val="22"/>
                <w:highlight w:val="none"/>
              </w:rPr>
            </w:pPr>
            <w:r>
              <w:rPr>
                <w:rFonts w:ascii="Times New Roman" w:hAnsi="Times New Roman"/>
                <w:sz w:val="22"/>
                <w:szCs w:val="22"/>
                <w:highlight w:val="none"/>
              </w:rPr>
              <w:t xml:space="preserve">10</w:t>
            </w:r>
            <w:r/>
          </w:p>
        </w:tc>
        <w:tc>
          <w:tcPr>
            <w:tcBorders>
              <w:top w:val="single" w:color="auto" w:sz="4" w:space="0"/>
              <w:left w:val="single" w:color="auto" w:sz="4" w:space="0"/>
              <w:bottom w:val="single" w:color="auto" w:sz="4" w:space="0"/>
              <w:right w:val="single" w:color="auto" w:sz="4" w:space="0"/>
            </w:tcBorders>
            <w:tcW w:w="3995" w:type="pct"/>
            <w:vAlign w:val="center"/>
            <w:textDirection w:val="lrTb"/>
            <w:noWrap/>
          </w:tcPr>
          <w:p>
            <w:pPr>
              <w:ind w:firstLine="440"/>
              <w:spacing w:line="300" w:lineRule="exact"/>
              <w:widowControl/>
              <w:rPr>
                <w:rFonts w:ascii="Times New Roman" w:hAnsi="Times New Roman"/>
                <w:sz w:val="22"/>
                <w:szCs w:val="22"/>
                <w:highlight w:val="none"/>
              </w:rPr>
            </w:pPr>
            <w:r>
              <w:rPr>
                <w:rFonts w:ascii="Times New Roman" w:hAnsi="Times New Roman"/>
                <w:sz w:val="22"/>
                <w:szCs w:val="22"/>
                <w:highlight w:val="none"/>
              </w:rPr>
              <w:t xml:space="preserve">1、响应供应商具备海洋预报相关能力的，具备安全出海作业能力（含禁捕期），得2分；（提供相关证明材料）</w:t>
            </w:r>
            <w:r/>
          </w:p>
          <w:p>
            <w:pPr>
              <w:ind w:firstLine="440"/>
              <w:spacing w:line="300" w:lineRule="exact"/>
              <w:widowControl/>
              <w:rPr>
                <w:rFonts w:ascii="Times New Roman" w:hAnsi="Times New Roman"/>
                <w:sz w:val="22"/>
                <w:szCs w:val="22"/>
                <w:highlight w:val="none"/>
              </w:rPr>
            </w:pPr>
            <w:r>
              <w:rPr>
                <w:rFonts w:ascii="Times New Roman" w:hAnsi="Times New Roman"/>
                <w:sz w:val="22"/>
                <w:szCs w:val="22"/>
                <w:highlight w:val="none"/>
              </w:rPr>
              <w:t xml:space="preserve">2、响应供应商具备本项目需求的海水检测资质且满足海水分析时效性要求的自有实验室的得8分，否则不得分。</w:t>
            </w:r>
            <w:r/>
          </w:p>
          <w:p>
            <w:pPr>
              <w:ind w:firstLine="440"/>
              <w:spacing w:line="300" w:lineRule="exact"/>
              <w:rPr>
                <w:rFonts w:ascii="Times New Roman" w:hAnsi="Times New Roman"/>
                <w:sz w:val="22"/>
                <w:szCs w:val="22"/>
                <w:highlight w:val="none"/>
              </w:rPr>
            </w:pPr>
            <w:r>
              <w:rPr>
                <w:rFonts w:ascii="Times New Roman" w:hAnsi="Times New Roman"/>
                <w:sz w:val="22"/>
                <w:szCs w:val="22"/>
                <w:highlight w:val="none"/>
              </w:rPr>
              <w:t xml:space="preserve">注：实验室需提供本项目需求的海水资质能力表、房产证明或房屋租赁合同、实验室平面图等相关材料。</w:t>
            </w:r>
            <w:r/>
          </w:p>
        </w:tc>
      </w:tr>
      <w:tr>
        <w:trPr>
          <w:trHeight w:val="410"/>
        </w:trPr>
        <w:tc>
          <w:tcPr>
            <w:tcBorders>
              <w:top w:val="none" w:color="000000" w:sz="4" w:space="0"/>
              <w:left w:val="single" w:color="auto" w:sz="8" w:space="0"/>
              <w:bottom w:val="single" w:color="auto" w:sz="8" w:space="0"/>
              <w:right w:val="single" w:color="auto" w:sz="8" w:space="0"/>
            </w:tcBorders>
            <w:tcW w:w="648" w:type="pct"/>
            <w:vAlign w:val="center"/>
            <w:textDirection w:val="lrTb"/>
            <w:noWrap/>
          </w:tcPr>
          <w:p>
            <w:pPr>
              <w:jc w:val="center"/>
              <w:widowControl/>
              <w:rPr>
                <w:rFonts w:ascii="Times New Roman" w:hAnsi="Times New Roman"/>
                <w:sz w:val="22"/>
                <w:szCs w:val="22"/>
                <w:highlight w:val="none"/>
              </w:rPr>
            </w:pPr>
            <w:r>
              <w:rPr>
                <w:rFonts w:ascii="Times New Roman" w:hAnsi="Times New Roman"/>
                <w:sz w:val="22"/>
                <w:szCs w:val="22"/>
                <w:highlight w:val="none"/>
              </w:rPr>
              <w:t xml:space="preserve">综合实力</w:t>
            </w:r>
            <w:r/>
          </w:p>
        </w:tc>
        <w:tc>
          <w:tcPr>
            <w:tcBorders>
              <w:top w:val="none" w:color="000000" w:sz="4" w:space="0"/>
              <w:left w:val="none" w:color="000000" w:sz="4" w:space="0"/>
              <w:bottom w:val="single" w:color="auto" w:sz="8" w:space="0"/>
              <w:right w:val="single" w:color="auto" w:sz="8" w:space="0"/>
            </w:tcBorders>
            <w:tcW w:w="357" w:type="pct"/>
            <w:vAlign w:val="center"/>
            <w:textDirection w:val="lrTb"/>
            <w:noWrap/>
          </w:tcPr>
          <w:p>
            <w:pPr>
              <w:jc w:val="center"/>
              <w:widowControl/>
              <w:rPr>
                <w:rFonts w:ascii="Times New Roman" w:hAnsi="Times New Roman"/>
                <w:sz w:val="22"/>
                <w:szCs w:val="22"/>
                <w:highlight w:val="none"/>
              </w:rPr>
            </w:pPr>
            <w:r>
              <w:rPr>
                <w:rFonts w:ascii="Times New Roman" w:hAnsi="Times New Roman"/>
                <w:sz w:val="22"/>
                <w:szCs w:val="22"/>
                <w:highlight w:val="none"/>
              </w:rPr>
              <w:t xml:space="preserve">12</w:t>
            </w:r>
            <w:r/>
          </w:p>
        </w:tc>
        <w:tc>
          <w:tcPr>
            <w:tcBorders>
              <w:top w:val="single" w:color="auto" w:sz="4" w:space="0"/>
              <w:left w:val="none" w:color="000000" w:sz="4" w:space="0"/>
              <w:bottom w:val="single" w:color="auto" w:sz="8" w:space="0"/>
              <w:right w:val="single" w:color="auto" w:sz="8" w:space="0"/>
            </w:tcBorders>
            <w:tcW w:w="3995" w:type="pct"/>
            <w:vAlign w:val="center"/>
            <w:textDirection w:val="lrTb"/>
            <w:noWrap/>
          </w:tcPr>
          <w:p>
            <w:pPr>
              <w:ind w:firstLine="440"/>
              <w:spacing w:line="300" w:lineRule="exact"/>
              <w:widowControl/>
              <w:rPr>
                <w:rFonts w:ascii="Times New Roman" w:hAnsi="Times New Roman"/>
                <w:sz w:val="22"/>
                <w:szCs w:val="22"/>
                <w:highlight w:val="none"/>
              </w:rPr>
            </w:pPr>
            <w:r>
              <w:rPr>
                <w:rFonts w:ascii="Times New Roman" w:hAnsi="Times New Roman"/>
                <w:sz w:val="22"/>
                <w:szCs w:val="22"/>
                <w:highlight w:val="none"/>
              </w:rPr>
              <w:t xml:space="preserve">投标人2023年1月1日以来，在水质、沉积物、生物生态、生物质量方面获得国家级（如国家认监委、国家海洋标准计量中心、国家海洋环境监测中心等部门）检测能力验证结果为优秀（或满意）的，每提供1个文件或证书得1分；获得省级（如东海标准计量中心、省级计量监督局等部门）检测能力验证优秀（或满意）的，每提供1个文件或证书得0.5分。本项最多得12分。</w:t>
            </w:r>
            <w:r/>
          </w:p>
          <w:p>
            <w:pPr>
              <w:ind w:firstLine="440"/>
              <w:spacing w:line="300" w:lineRule="exact"/>
              <w:widowControl/>
              <w:rPr>
                <w:rFonts w:ascii="Times New Roman" w:hAnsi="Times New Roman"/>
                <w:sz w:val="22"/>
                <w:szCs w:val="22"/>
                <w:highlight w:val="none"/>
              </w:rPr>
            </w:pPr>
            <w:r>
              <w:rPr>
                <w:rFonts w:ascii="Times New Roman" w:hAnsi="Times New Roman"/>
                <w:sz w:val="22"/>
                <w:szCs w:val="22"/>
                <w:highlight w:val="none"/>
              </w:rPr>
              <w:t xml:space="preserve">注：提供相关证书复印件并加盖投标人公章，否则不得分。</w:t>
            </w:r>
            <w:bookmarkEnd w:id="97"/>
            <w:r/>
          </w:p>
        </w:tc>
      </w:tr>
    </w:tbl>
    <w:p>
      <w:pPr>
        <w:jc w:val="left"/>
        <w:shd w:val="clear" w:color="auto" w:fill="ffffff"/>
        <w:widowControl/>
        <w:rPr>
          <w:rFonts w:ascii="Times New Roman" w:hAnsi="Times New Roman"/>
          <w:b/>
          <w:szCs w:val="24"/>
          <w:highlight w:val="none"/>
        </w:rPr>
      </w:pPr>
      <w:r>
        <w:rPr>
          <w:rFonts w:ascii="Times New Roman" w:hAnsi="Times New Roman"/>
          <w:b/>
          <w:szCs w:val="24"/>
          <w:highlight w:val="none"/>
        </w:rPr>
      </w:r>
      <w:r/>
    </w:p>
    <w:p>
      <w:pPr>
        <w:ind w:firstLine="482"/>
        <w:jc w:val="left"/>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ind w:firstLine="560"/>
        <w:jc w:val="left"/>
        <w:spacing w:line="520" w:lineRule="exact"/>
        <w:rPr>
          <w:rFonts w:hint="eastAsia" w:ascii="Times New Roman" w:hAnsi="Times New Roman" w:eastAsia="仿宋_GB2312"/>
          <w:b/>
          <w:bCs/>
          <w:sz w:val="28"/>
          <w:szCs w:val="36"/>
          <w:highlight w:val="none"/>
        </w:rPr>
      </w:pPr>
      <w:r/>
      <w:bookmarkStart w:id="98" w:name="_Hlk226482800"/>
      <w:r>
        <w:rPr>
          <w:rFonts w:hint="eastAsia" w:ascii="Times New Roman" w:hAnsi="Times New Roman" w:eastAsia="仿宋_GB2312"/>
          <w:b/>
          <w:bCs/>
          <w:sz w:val="28"/>
          <w:szCs w:val="36"/>
          <w:highlight w:val="none"/>
        </w:rPr>
        <w:t xml:space="preserve">包</w:t>
      </w:r>
      <w:r>
        <w:rPr>
          <w:rFonts w:hint="eastAsia" w:eastAsia="仿宋_GB2312"/>
          <w:b/>
          <w:bCs/>
          <w:sz w:val="28"/>
          <w:szCs w:val="36"/>
          <w:highlight w:val="none"/>
          <w:lang w:val="en-US" w:eastAsia="zh-CN"/>
        </w:rPr>
        <w:t xml:space="preserve">2</w:t>
      </w:r>
      <w:r>
        <w:rPr>
          <w:rFonts w:hint="eastAsia" w:ascii="Times New Roman" w:hAnsi="Times New Roman" w:eastAsia="仿宋_GB2312"/>
          <w:b/>
          <w:bCs/>
          <w:sz w:val="28"/>
          <w:szCs w:val="36"/>
          <w:highlight w:val="none"/>
        </w:rPr>
        <w:t xml:space="preserve">：</w:t>
      </w:r>
      <w:bookmarkEnd w:id="98"/>
      <w:r/>
      <w:r/>
    </w:p>
    <w:tbl>
      <w:tblPr>
        <w:tblStyle w:val="873"/>
        <w:tblW w:w="96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3"/>
        <w:gridCol w:w="709"/>
        <w:gridCol w:w="8125"/>
      </w:tblGrid>
      <w:tr>
        <w:trPr>
          <w:jc w:val="center"/>
          <w:trHeight w:val="463"/>
        </w:trPr>
        <w:tc>
          <w:tcPr>
            <w:tcW w:w="853" w:type="dxa"/>
            <w:vAlign w:val="center"/>
            <w:textDirection w:val="lrTb"/>
            <w:noWrap/>
          </w:tcPr>
          <w:p>
            <w:pPr>
              <w:jc w:val="center"/>
              <w:rPr>
                <w:rFonts w:ascii="Times New Roman" w:hAnsi="Times New Roman"/>
                <w:b/>
                <w:highlight w:val="none"/>
                <w:lang w:val="zh-CN"/>
              </w:rPr>
            </w:pPr>
            <w:r>
              <w:rPr>
                <w:rFonts w:ascii="Times New Roman" w:hAnsi="Times New Roman"/>
                <w:b/>
                <w:highlight w:val="none"/>
                <w:lang w:val="zh-CN"/>
              </w:rPr>
              <w:t xml:space="preserve">评标</w:t>
            </w:r>
            <w:r/>
          </w:p>
          <w:p>
            <w:pPr>
              <w:jc w:val="center"/>
              <w:rPr>
                <w:rFonts w:ascii="Times New Roman" w:hAnsi="Times New Roman"/>
                <w:b/>
                <w:highlight w:val="none"/>
              </w:rPr>
            </w:pPr>
            <w:r>
              <w:rPr>
                <w:rFonts w:ascii="Times New Roman" w:hAnsi="Times New Roman"/>
                <w:b/>
                <w:highlight w:val="none"/>
                <w:lang w:val="zh-CN"/>
              </w:rPr>
              <w:t xml:space="preserve">项目</w:t>
            </w:r>
            <w:r/>
          </w:p>
        </w:tc>
        <w:tc>
          <w:tcPr>
            <w:tcW w:w="709" w:type="dxa"/>
            <w:vAlign w:val="center"/>
            <w:textDirection w:val="lrTb"/>
            <w:noWrap/>
          </w:tcPr>
          <w:p>
            <w:pPr>
              <w:jc w:val="center"/>
              <w:rPr>
                <w:rFonts w:ascii="Times New Roman" w:hAnsi="Times New Roman"/>
                <w:b/>
                <w:highlight w:val="none"/>
              </w:rPr>
            </w:pPr>
            <w:r>
              <w:rPr>
                <w:rFonts w:ascii="Times New Roman" w:hAnsi="Times New Roman"/>
                <w:b/>
                <w:highlight w:val="none"/>
              </w:rPr>
              <w:t xml:space="preserve">分值</w:t>
            </w:r>
            <w:r/>
          </w:p>
        </w:tc>
        <w:tc>
          <w:tcPr>
            <w:tcW w:w="8125" w:type="dxa"/>
            <w:vAlign w:val="center"/>
            <w:textDirection w:val="lrTb"/>
            <w:noWrap/>
          </w:tcPr>
          <w:p>
            <w:pPr>
              <w:jc w:val="center"/>
              <w:rPr>
                <w:rFonts w:ascii="Times New Roman" w:hAnsi="Times New Roman"/>
                <w:b/>
                <w:highlight w:val="none"/>
              </w:rPr>
            </w:pPr>
            <w:r>
              <w:rPr>
                <w:rFonts w:ascii="Times New Roman" w:hAnsi="Times New Roman"/>
                <w:b/>
                <w:highlight w:val="none"/>
              </w:rPr>
              <w:t xml:space="preserve">评分标准</w:t>
            </w:r>
            <w:r/>
          </w:p>
        </w:tc>
      </w:tr>
      <w:tr>
        <w:trPr>
          <w:jc w:val="center"/>
          <w:trHeight w:val="2577"/>
        </w:trPr>
        <w:tc>
          <w:tcPr>
            <w:tcW w:w="853" w:type="dxa"/>
            <w:vAlign w:val="center"/>
            <w:textDirection w:val="lrTb"/>
            <w:noWrap/>
          </w:tcPr>
          <w:p>
            <w:pPr>
              <w:rPr>
                <w:rFonts w:ascii="Times New Roman" w:hAnsi="Times New Roman"/>
                <w:highlight w:val="none"/>
              </w:rPr>
            </w:pPr>
            <w:r>
              <w:rPr>
                <w:rFonts w:ascii="Times New Roman" w:hAnsi="Times New Roman"/>
                <w:highlight w:val="none"/>
              </w:rPr>
              <w:t xml:space="preserve">团队实力及业绩</w:t>
            </w:r>
            <w:r/>
          </w:p>
        </w:tc>
        <w:tc>
          <w:tcPr>
            <w:tcW w:w="709" w:type="dxa"/>
            <w:vAlign w:val="center"/>
            <w:textDirection w:val="lrTb"/>
            <w:noWrap/>
          </w:tcPr>
          <w:p>
            <w:pPr>
              <w:rPr>
                <w:rFonts w:ascii="Times New Roman" w:hAnsi="Times New Roman"/>
                <w:highlight w:val="none"/>
              </w:rPr>
            </w:pPr>
            <w:r>
              <w:rPr>
                <w:rFonts w:ascii="Times New Roman" w:hAnsi="Times New Roman"/>
                <w:highlight w:val="none"/>
              </w:rPr>
              <w:t xml:space="preserve">10分</w:t>
            </w:r>
            <w:r/>
          </w:p>
        </w:tc>
        <w:tc>
          <w:tcPr>
            <w:tcW w:w="8125" w:type="dxa"/>
            <w:vAlign w:val="center"/>
            <w:textDirection w:val="lrTb"/>
            <w:noWrap/>
          </w:tcPr>
          <w:p>
            <w:pPr>
              <w:spacing w:line="320" w:lineRule="exact"/>
              <w:rPr>
                <w:rFonts w:ascii="Times New Roman" w:hAnsi="Times New Roman"/>
                <w:szCs w:val="21"/>
                <w:highlight w:val="none"/>
              </w:rPr>
            </w:pPr>
            <w:r>
              <w:rPr>
                <w:rFonts w:hint="eastAsia" w:ascii="Times New Roman" w:hAnsi="Times New Roman"/>
                <w:b/>
                <w:bCs/>
                <w:szCs w:val="21"/>
                <w:highlight w:val="none"/>
              </w:rPr>
              <w:t xml:space="preserve">1、团队实力（4分）</w:t>
            </w:r>
            <w:r>
              <w:rPr>
                <w:rFonts w:hint="eastAsia" w:ascii="Times New Roman" w:hAnsi="Times New Roman"/>
                <w:szCs w:val="21"/>
                <w:highlight w:val="none"/>
              </w:rPr>
              <w:t xml:space="preserve">：服务本项目团队中拥有环境类或化工类高级工程师职数，副高级工程师每2个得1分，最高3分；团队中拥有环境类或化工类工程师职数，每4个得1分，最高得1分。</w:t>
            </w:r>
            <w:r/>
          </w:p>
          <w:p>
            <w:pPr>
              <w:spacing w:line="320" w:lineRule="exact"/>
              <w:rPr>
                <w:rFonts w:ascii="Times New Roman" w:hAnsi="Times New Roman"/>
                <w:szCs w:val="21"/>
                <w:highlight w:val="none"/>
              </w:rPr>
            </w:pPr>
            <w:r>
              <w:rPr>
                <w:rFonts w:hint="eastAsia" w:ascii="Times New Roman" w:hAnsi="Times New Roman"/>
                <w:b/>
                <w:bCs/>
                <w:szCs w:val="21"/>
                <w:highlight w:val="none"/>
              </w:rPr>
              <w:t xml:space="preserve">2、专业范围（2分）</w:t>
            </w:r>
            <w:r>
              <w:rPr>
                <w:rFonts w:hint="eastAsia" w:ascii="Times New Roman" w:hAnsi="Times New Roman"/>
                <w:szCs w:val="21"/>
                <w:highlight w:val="none"/>
              </w:rPr>
              <w:t xml:space="preserve">：项目团队参与人员专业同时覆盖环境类、生物类、化学类等专业本科及以上学历的得2分，缺1类专业该项不得分。</w:t>
            </w:r>
            <w:r/>
          </w:p>
          <w:p>
            <w:pPr>
              <w:spacing w:line="320" w:lineRule="exact"/>
              <w:rPr>
                <w:rFonts w:ascii="Times New Roman" w:hAnsi="Times New Roman"/>
                <w:szCs w:val="21"/>
                <w:highlight w:val="none"/>
              </w:rPr>
            </w:pPr>
            <w:r>
              <w:rPr>
                <w:rFonts w:hint="eastAsia" w:ascii="Times New Roman" w:hAnsi="Times New Roman"/>
                <w:szCs w:val="21"/>
                <w:highlight w:val="none"/>
              </w:rPr>
              <w:t xml:space="preserve">注：以上项目团队需提供技术人员的劳动合同和社保缴纳证明（必须体现个人姓名及缴纳单位信息，近半年任意一个月））；提供相关证书复印件并加盖供应商公章，原件备查；</w:t>
            </w:r>
            <w:r>
              <w:rPr>
                <w:rFonts w:hint="default" w:ascii="Times New Roman" w:hAnsi="Times New Roman" w:cs="Times New Roman"/>
                <w:b/>
                <w:bCs/>
                <w:sz w:val="21"/>
                <w:szCs w:val="21"/>
                <w:highlight w:val="none"/>
              </w:rPr>
              <w:t xml:space="preserve">请按照附件</w:t>
            </w:r>
            <w:r>
              <w:rPr>
                <w:rFonts w:hint="default" w:ascii="Times New Roman" w:hAnsi="Times New Roman" w:cs="Times New Roman"/>
                <w:b/>
                <w:bCs/>
                <w:sz w:val="21"/>
                <w:szCs w:val="21"/>
                <w:highlight w:val="none"/>
                <w:lang w:val="en-US" w:eastAsia="zh-CN"/>
              </w:rPr>
              <w:t xml:space="preserve">1</w:t>
            </w:r>
            <w:r>
              <w:rPr>
                <w:rFonts w:hint="eastAsia" w:cs="Times New Roman"/>
                <w:b/>
                <w:bCs/>
                <w:sz w:val="21"/>
                <w:szCs w:val="21"/>
                <w:highlight w:val="none"/>
                <w:lang w:val="en-US" w:eastAsia="zh-CN"/>
              </w:rPr>
              <w:t xml:space="preserve">3</w:t>
            </w:r>
            <w:r>
              <w:rPr>
                <w:rFonts w:hint="default" w:ascii="Times New Roman" w:hAnsi="Times New Roman" w:cs="Times New Roman"/>
                <w:b/>
                <w:bCs/>
                <w:sz w:val="21"/>
                <w:szCs w:val="21"/>
                <w:highlight w:val="none"/>
              </w:rPr>
              <w:t xml:space="preserve">格式列表汇总，</w:t>
            </w:r>
            <w:r>
              <w:rPr>
                <w:rFonts w:hint="eastAsia" w:ascii="Times New Roman" w:hAnsi="Times New Roman"/>
                <w:szCs w:val="21"/>
                <w:highlight w:val="none"/>
              </w:rPr>
              <w:t xml:space="preserve">未提供证明材料或材料提供不全不得分。</w:t>
            </w:r>
            <w:r/>
          </w:p>
          <w:p>
            <w:pPr>
              <w:spacing w:line="320" w:lineRule="exact"/>
              <w:rPr>
                <w:rFonts w:ascii="Times New Roman" w:hAnsi="Times New Roman"/>
                <w:szCs w:val="21"/>
                <w:highlight w:val="none"/>
              </w:rPr>
            </w:pPr>
            <w:r>
              <w:rPr>
                <w:rFonts w:hint="eastAsia" w:ascii="Times New Roman" w:hAnsi="Times New Roman"/>
                <w:b/>
                <w:bCs/>
                <w:szCs w:val="21"/>
                <w:highlight w:val="none"/>
              </w:rPr>
              <w:t xml:space="preserve">3、主要业绩（4分）</w:t>
            </w:r>
            <w:r>
              <w:rPr>
                <w:rFonts w:hint="eastAsia" w:ascii="Times New Roman" w:hAnsi="Times New Roman"/>
                <w:szCs w:val="21"/>
                <w:highlight w:val="none"/>
              </w:rPr>
              <w:t xml:space="preserve">： 针对项目需求，提供202</w:t>
            </w:r>
            <w:r>
              <w:rPr>
                <w:rFonts w:ascii="Times New Roman" w:hAnsi="Times New Roman"/>
                <w:szCs w:val="21"/>
                <w:highlight w:val="none"/>
              </w:rPr>
              <w:t xml:space="preserve">4</w:t>
            </w:r>
            <w:r>
              <w:rPr>
                <w:rFonts w:hint="eastAsia" w:ascii="Times New Roman" w:hAnsi="Times New Roman"/>
                <w:szCs w:val="21"/>
                <w:highlight w:val="none"/>
              </w:rPr>
              <w:t xml:space="preserve">年以来承担过类似的监测业务（以合同签订时间为准），每提供一份得1分，最高得4分。</w:t>
            </w:r>
            <w:r>
              <w:rPr>
                <w:rFonts w:hint="default" w:ascii="Times New Roman" w:hAnsi="Times New Roman" w:cs="Times New Roman"/>
                <w:b/>
                <w:bCs/>
                <w:sz w:val="21"/>
                <w:szCs w:val="21"/>
                <w:highlight w:val="none"/>
              </w:rPr>
              <w:t xml:space="preserve">请按照附件</w:t>
            </w:r>
            <w:r>
              <w:rPr>
                <w:rFonts w:hint="default" w:ascii="Times New Roman" w:hAnsi="Times New Roman" w:cs="Times New Roman"/>
                <w:b/>
                <w:bCs/>
                <w:sz w:val="21"/>
                <w:szCs w:val="21"/>
                <w:highlight w:val="none"/>
                <w:lang w:val="en-US" w:eastAsia="zh-CN"/>
              </w:rPr>
              <w:t xml:space="preserve">1</w:t>
            </w:r>
            <w:r>
              <w:rPr>
                <w:rFonts w:hint="eastAsia" w:cs="Times New Roman"/>
                <w:b/>
                <w:bCs/>
                <w:sz w:val="21"/>
                <w:szCs w:val="21"/>
                <w:highlight w:val="none"/>
                <w:lang w:val="en-US" w:eastAsia="zh-CN"/>
              </w:rPr>
              <w:t xml:space="preserve">4</w:t>
            </w:r>
            <w:r>
              <w:rPr>
                <w:rFonts w:hint="default" w:ascii="Times New Roman" w:hAnsi="Times New Roman" w:cs="Times New Roman"/>
                <w:b/>
                <w:bCs/>
                <w:sz w:val="21"/>
                <w:szCs w:val="21"/>
                <w:highlight w:val="none"/>
              </w:rPr>
              <w:t xml:space="preserve">格式列表汇总</w:t>
            </w:r>
            <w:r>
              <w:rPr>
                <w:rFonts w:hint="default" w:ascii="Times New Roman" w:hAnsi="Times New Roman" w:cs="Times New Roman"/>
                <w:b/>
                <w:bCs/>
                <w:sz w:val="21"/>
                <w:szCs w:val="21"/>
                <w:highlight w:val="none"/>
                <w:lang w:eastAsia="zh-CN"/>
              </w:rPr>
              <w:t xml:space="preserve">。</w:t>
            </w:r>
            <w:r/>
          </w:p>
          <w:p>
            <w:pPr>
              <w:spacing w:line="320" w:lineRule="exact"/>
              <w:rPr>
                <w:rFonts w:ascii="Times New Roman" w:hAnsi="Times New Roman"/>
                <w:szCs w:val="21"/>
                <w:highlight w:val="none"/>
              </w:rPr>
            </w:pPr>
            <w:r>
              <w:rPr>
                <w:rFonts w:hint="eastAsia" w:ascii="Times New Roman" w:hAnsi="Times New Roman"/>
                <w:szCs w:val="21"/>
                <w:highlight w:val="none"/>
              </w:rPr>
              <w:t xml:space="preserve">注：1.需提供业绩合同首页、盖章页及表明工作范围内容有效页证明文件的复印件并加盖公章，否则不得分。</w:t>
            </w:r>
            <w:r/>
          </w:p>
          <w:p>
            <w:pPr>
              <w:spacing w:line="320" w:lineRule="exact"/>
              <w:rPr>
                <w:rFonts w:ascii="Times New Roman" w:hAnsi="Times New Roman"/>
                <w:highlight w:val="none"/>
                <w:u w:val="single"/>
              </w:rPr>
            </w:pPr>
            <w:r>
              <w:rPr>
                <w:rFonts w:hint="eastAsia" w:ascii="Times New Roman" w:hAnsi="Times New Roman"/>
                <w:szCs w:val="21"/>
                <w:highlight w:val="none"/>
              </w:rPr>
              <w:t xml:space="preserve">2.合同签订时间在 202</w:t>
            </w:r>
            <w:r>
              <w:rPr>
                <w:rFonts w:ascii="Times New Roman" w:hAnsi="Times New Roman"/>
                <w:szCs w:val="21"/>
                <w:highlight w:val="none"/>
              </w:rPr>
              <w:t xml:space="preserve">4</w:t>
            </w:r>
            <w:r>
              <w:rPr>
                <w:rFonts w:hint="eastAsia" w:ascii="Times New Roman" w:hAnsi="Times New Roman"/>
                <w:szCs w:val="21"/>
                <w:highlight w:val="none"/>
              </w:rPr>
              <w:t xml:space="preserve">年1月1日至投标截止日之间，项目内容与本项目采购的监测服务内容、技术要求相匹配，供应商已完成合同履约。</w:t>
            </w:r>
            <w:r/>
          </w:p>
        </w:tc>
      </w:tr>
      <w:tr>
        <w:trPr>
          <w:jc w:val="center"/>
          <w:trHeight w:val="832"/>
        </w:trPr>
        <w:tc>
          <w:tcPr>
            <w:tcW w:w="853" w:type="dxa"/>
            <w:vAlign w:val="center"/>
            <w:textDirection w:val="lrTb"/>
            <w:noWrap/>
          </w:tcPr>
          <w:p>
            <w:pPr>
              <w:rPr>
                <w:rFonts w:ascii="Times New Roman" w:hAnsi="Times New Roman"/>
                <w:highlight w:val="none"/>
              </w:rPr>
            </w:pPr>
            <w:r>
              <w:rPr>
                <w:rFonts w:ascii="Times New Roman" w:hAnsi="Times New Roman"/>
                <w:highlight w:val="none"/>
              </w:rPr>
              <w:t xml:space="preserve">实验室能力</w:t>
            </w:r>
            <w:r/>
          </w:p>
        </w:tc>
        <w:tc>
          <w:tcPr>
            <w:tcW w:w="709" w:type="dxa"/>
            <w:vAlign w:val="center"/>
            <w:textDirection w:val="lrTb"/>
            <w:noWrap/>
          </w:tcPr>
          <w:p>
            <w:pPr>
              <w:rPr>
                <w:rFonts w:ascii="Times New Roman" w:hAnsi="Times New Roman"/>
                <w:highlight w:val="none"/>
              </w:rPr>
            </w:pPr>
            <w:r>
              <w:rPr>
                <w:rFonts w:hint="eastAsia" w:ascii="Times New Roman" w:hAnsi="Times New Roman"/>
                <w:highlight w:val="none"/>
              </w:rPr>
              <w:t xml:space="preserve">28</w:t>
            </w:r>
            <w:r>
              <w:rPr>
                <w:rFonts w:ascii="Times New Roman" w:hAnsi="Times New Roman"/>
                <w:highlight w:val="none"/>
              </w:rPr>
              <w:t xml:space="preserve">分</w:t>
            </w:r>
            <w:r/>
          </w:p>
        </w:tc>
        <w:tc>
          <w:tcPr>
            <w:tcW w:w="8125" w:type="dxa"/>
            <w:vAlign w:val="center"/>
            <w:textDirection w:val="lrTb"/>
            <w:noWrap/>
          </w:tcPr>
          <w:p>
            <w:pPr>
              <w:spacing w:line="320" w:lineRule="exact"/>
              <w:rPr>
                <w:rFonts w:ascii="Times New Roman" w:hAnsi="Times New Roman"/>
                <w:szCs w:val="21"/>
                <w:highlight w:val="none"/>
              </w:rPr>
            </w:pPr>
            <w:r>
              <w:rPr>
                <w:rFonts w:hint="eastAsia" w:ascii="Times New Roman" w:hAnsi="Times New Roman"/>
                <w:b/>
                <w:bCs/>
                <w:szCs w:val="21"/>
                <w:highlight w:val="none"/>
              </w:rPr>
              <w:t xml:space="preserve">1、实验室面积（4分）：</w:t>
            </w:r>
            <w:r>
              <w:rPr>
                <w:rFonts w:hint="eastAsia" w:ascii="Times New Roman" w:hAnsi="Times New Roman"/>
                <w:szCs w:val="21"/>
                <w:highlight w:val="none"/>
              </w:rPr>
              <w:t xml:space="preserve">拥有独立的实验室，根据实验室面积大小综合比较打分。须提供房产证明或房屋租赁合同、实验室平面图等相关材料。</w:t>
            </w:r>
            <w:r/>
          </w:p>
          <w:p>
            <w:pPr>
              <w:spacing w:line="320" w:lineRule="exact"/>
              <w:rPr>
                <w:rFonts w:ascii="Times New Roman" w:hAnsi="Times New Roman"/>
                <w:szCs w:val="21"/>
                <w:highlight w:val="none"/>
              </w:rPr>
            </w:pPr>
            <w:r>
              <w:rPr>
                <w:rFonts w:hint="eastAsia" w:ascii="Times New Roman" w:hAnsi="Times New Roman"/>
                <w:szCs w:val="21"/>
                <w:highlight w:val="none"/>
              </w:rPr>
              <w:t xml:space="preserve">1500平米≤实验室面积＜3000平米得1分；3000平米≤实验室面积＜5000平米得2分；5000平米≤实验室面积＜10000平米得3分；10000平米≤实验室面积得4分；未提供相关材料不得分。</w:t>
            </w:r>
            <w:r/>
          </w:p>
          <w:p>
            <w:pPr>
              <w:spacing w:line="320" w:lineRule="exact"/>
              <w:rPr>
                <w:rFonts w:ascii="Times New Roman" w:hAnsi="Times New Roman"/>
                <w:szCs w:val="21"/>
                <w:highlight w:val="none"/>
              </w:rPr>
            </w:pPr>
            <w:r>
              <w:rPr>
                <w:rFonts w:hint="eastAsia" w:ascii="Times New Roman" w:hAnsi="Times New Roman"/>
                <w:szCs w:val="21"/>
                <w:highlight w:val="none"/>
              </w:rPr>
              <w:t xml:space="preserve">注：按投标单位申报生态环境监测资质认定评审时的实验室面积计算，提供最近一次资质认定评审申报材料。</w:t>
            </w:r>
            <w:r/>
          </w:p>
          <w:p>
            <w:pPr>
              <w:spacing w:line="320" w:lineRule="exact"/>
              <w:rPr>
                <w:rFonts w:ascii="Times New Roman" w:hAnsi="Times New Roman"/>
                <w:szCs w:val="21"/>
                <w:highlight w:val="none"/>
              </w:rPr>
            </w:pPr>
            <w:r>
              <w:rPr>
                <w:rFonts w:hint="eastAsia" w:ascii="Times New Roman" w:hAnsi="Times New Roman"/>
                <w:b/>
                <w:bCs/>
                <w:szCs w:val="21"/>
                <w:highlight w:val="none"/>
              </w:rPr>
              <w:t xml:space="preserve">2、实验室仪器装备（4分）：</w:t>
            </w:r>
            <w:r>
              <w:rPr>
                <w:rFonts w:hint="eastAsia" w:ascii="Times New Roman" w:hAnsi="Times New Roman"/>
                <w:szCs w:val="21"/>
                <w:highlight w:val="none"/>
              </w:rPr>
              <w:t xml:space="preserve">具有以下实验室仪器设备（</w:t>
            </w:r>
            <w:bookmarkStart w:id="99" w:name="OLE_LINK36"/>
            <w:r>
              <w:rPr>
                <w:rFonts w:hint="eastAsia" w:ascii="Times New Roman" w:hAnsi="Times New Roman"/>
                <w:szCs w:val="21"/>
                <w:highlight w:val="none"/>
              </w:rPr>
              <w:t xml:space="preserve">高分辨磁质谱仪、气</w:t>
            </w:r>
            <w:bookmarkStart w:id="100" w:name="OLE_LINK8"/>
            <w:r/>
            <w:bookmarkStart w:id="101" w:name="OLE_LINK15"/>
            <w:r>
              <w:rPr>
                <w:rFonts w:hint="eastAsia" w:ascii="Times New Roman" w:hAnsi="Times New Roman"/>
                <w:szCs w:val="21"/>
                <w:highlight w:val="none"/>
              </w:rPr>
              <w:t xml:space="preserve">相色谱质谱联用仪、全自动有机样品提取装置、液相色谱质谱联用仪、</w:t>
            </w:r>
            <w:bookmarkStart w:id="102" w:name="OLE_LINK7"/>
            <w:r>
              <w:rPr>
                <w:rFonts w:hint="eastAsia" w:ascii="Times New Roman" w:hAnsi="Times New Roman"/>
                <w:szCs w:val="21"/>
                <w:highlight w:val="none"/>
              </w:rPr>
              <w:t xml:space="preserve">电感耦合等离子体质谱仪</w:t>
            </w:r>
            <w:bookmarkEnd w:id="102"/>
            <w:r>
              <w:rPr>
                <w:rFonts w:hint="eastAsia" w:ascii="Times New Roman" w:hAnsi="Times New Roman"/>
                <w:szCs w:val="21"/>
                <w:highlight w:val="none"/>
              </w:rPr>
              <w:t xml:space="preserve">、液相色谱仪、气相色谱仪、离子色谱仪、电感耦合等离子体光谱仪</w:t>
            </w:r>
            <w:bookmarkEnd w:id="99"/>
            <w:r/>
            <w:bookmarkEnd w:id="100"/>
            <w:r/>
            <w:bookmarkEnd w:id="101"/>
            <w:r>
              <w:rPr>
                <w:rFonts w:hint="eastAsia" w:ascii="Times New Roman" w:hAnsi="Times New Roman"/>
                <w:szCs w:val="21"/>
                <w:highlight w:val="none"/>
              </w:rPr>
              <w:t xml:space="preserve">）中的9项得4分，7-8项得2分，5-6项得1分，其他不得分。须提供设备发票或设备使用权、照片等证明文件，未提供相应资料的仪器设备不得分。</w:t>
            </w:r>
            <w:r>
              <w:rPr>
                <w:rFonts w:hint="default" w:ascii="Times New Roman" w:hAnsi="Times New Roman" w:cs="Times New Roman"/>
                <w:b/>
                <w:bCs/>
                <w:sz w:val="21"/>
                <w:szCs w:val="21"/>
                <w:highlight w:val="none"/>
              </w:rPr>
              <w:t xml:space="preserve">请按照附件</w:t>
            </w:r>
            <w:r>
              <w:rPr>
                <w:rFonts w:hint="default" w:ascii="Times New Roman" w:hAnsi="Times New Roman" w:cs="Times New Roman"/>
                <w:b/>
                <w:bCs/>
                <w:sz w:val="21"/>
                <w:szCs w:val="21"/>
                <w:highlight w:val="none"/>
                <w:lang w:val="en-US" w:eastAsia="zh-CN"/>
              </w:rPr>
              <w:t xml:space="preserve">1</w:t>
            </w:r>
            <w:r>
              <w:rPr>
                <w:rFonts w:hint="eastAsia" w:cs="Times New Roman"/>
                <w:b/>
                <w:bCs/>
                <w:sz w:val="21"/>
                <w:szCs w:val="21"/>
                <w:highlight w:val="none"/>
                <w:lang w:val="en-US" w:eastAsia="zh-CN"/>
              </w:rPr>
              <w:t xml:space="preserve">5</w:t>
            </w:r>
            <w:r>
              <w:rPr>
                <w:rFonts w:hint="default" w:ascii="Times New Roman" w:hAnsi="Times New Roman" w:cs="Times New Roman"/>
                <w:b/>
                <w:bCs/>
                <w:sz w:val="21"/>
                <w:szCs w:val="21"/>
                <w:highlight w:val="none"/>
              </w:rPr>
              <w:t xml:space="preserve">格式列表汇总</w:t>
            </w:r>
            <w:r>
              <w:rPr>
                <w:rFonts w:hint="default" w:ascii="Times New Roman" w:hAnsi="Times New Roman" w:cs="Times New Roman"/>
                <w:b/>
                <w:bCs/>
                <w:sz w:val="21"/>
                <w:szCs w:val="21"/>
                <w:highlight w:val="none"/>
                <w:lang w:eastAsia="zh-CN"/>
              </w:rPr>
              <w:t xml:space="preserve">。</w:t>
            </w:r>
            <w:r/>
          </w:p>
          <w:p>
            <w:pPr>
              <w:spacing w:line="320" w:lineRule="exact"/>
              <w:rPr>
                <w:rFonts w:ascii="Times New Roman" w:hAnsi="Times New Roman"/>
                <w:szCs w:val="21"/>
                <w:highlight w:val="none"/>
              </w:rPr>
            </w:pPr>
            <w:r>
              <w:rPr>
                <w:rFonts w:hint="eastAsia" w:ascii="Times New Roman" w:hAnsi="Times New Roman"/>
                <w:b/>
                <w:bCs/>
                <w:szCs w:val="21"/>
                <w:highlight w:val="none"/>
              </w:rPr>
              <w:t xml:space="preserve">3、能力项目（20分）：</w:t>
            </w:r>
            <w:bookmarkStart w:id="103" w:name="OLE_LINK39"/>
            <w:r>
              <w:rPr>
                <w:rFonts w:hint="eastAsia" w:ascii="Times New Roman" w:hAnsi="Times New Roman"/>
                <w:szCs w:val="21"/>
                <w:highlight w:val="none"/>
              </w:rPr>
              <w:t xml:space="preserve">资质认定附表中同时包含水、气、声、土壤、固废、电磁辐射、电离辐射、生活饮用水8小类检测能力的得2分</w:t>
            </w:r>
            <w:bookmarkEnd w:id="103"/>
            <w:r>
              <w:rPr>
                <w:rFonts w:hint="eastAsia" w:ascii="Times New Roman" w:hAnsi="Times New Roman"/>
                <w:szCs w:val="21"/>
                <w:highlight w:val="none"/>
              </w:rPr>
              <w:t xml:space="preserve">；具备集中式饮用水源水《地表水环境质量标准》中的109项检测能力（且检出限不高于表1，I类标准，表2、表3标准）和《农田灌溉水质标准》中36项检测能力（且检出限不高于表1，表2标准）和二噁英检测能力的，得14分，缺1项不得分；通过省市场监督管理局资质认定环境、水质领域检测能力项目数（以方法计），300项以下不得分，以300为基准得2分，每增加100项加1分，最高加2分；</w:t>
            </w:r>
            <w:bookmarkStart w:id="104" w:name="OLE_LINK40"/>
            <w:r/>
            <w:bookmarkStart w:id="105" w:name="OLE_LINK41"/>
            <w:r>
              <w:rPr>
                <w:rFonts w:hint="eastAsia" w:ascii="Times New Roman" w:hAnsi="Times New Roman"/>
                <w:szCs w:val="21"/>
                <w:highlight w:val="none"/>
              </w:rPr>
              <w:t xml:space="preserve">以省市场监督管理局批准的能力表为准，未提供或非省市场监督管理批准的能力表不得分。</w:t>
            </w:r>
            <w:bookmarkEnd w:id="104"/>
            <w:r/>
            <w:bookmarkEnd w:id="105"/>
            <w:r>
              <w:rPr>
                <w:rFonts w:hint="default" w:ascii="Times New Roman" w:hAnsi="Times New Roman" w:cs="Times New Roman"/>
                <w:b/>
                <w:bCs/>
                <w:sz w:val="21"/>
                <w:szCs w:val="21"/>
                <w:highlight w:val="none"/>
              </w:rPr>
              <w:t xml:space="preserve">请按照附件</w:t>
            </w:r>
            <w:r>
              <w:rPr>
                <w:rFonts w:hint="eastAsia" w:cs="Times New Roman"/>
                <w:b/>
                <w:bCs/>
                <w:sz w:val="21"/>
                <w:szCs w:val="21"/>
                <w:highlight w:val="none"/>
                <w:lang w:val="en-US" w:eastAsia="zh-CN"/>
              </w:rPr>
              <w:t xml:space="preserve">16</w:t>
            </w:r>
            <w:r>
              <w:rPr>
                <w:rFonts w:hint="default" w:ascii="Times New Roman" w:hAnsi="Times New Roman" w:cs="Times New Roman"/>
                <w:b/>
                <w:bCs/>
                <w:sz w:val="21"/>
                <w:szCs w:val="21"/>
                <w:highlight w:val="none"/>
              </w:rPr>
              <w:t xml:space="preserve">格式列表汇总</w:t>
            </w:r>
            <w:r>
              <w:rPr>
                <w:rFonts w:hint="default" w:ascii="Times New Roman" w:hAnsi="Times New Roman" w:cs="Times New Roman"/>
                <w:b/>
                <w:bCs/>
                <w:sz w:val="21"/>
                <w:szCs w:val="21"/>
                <w:highlight w:val="none"/>
                <w:lang w:eastAsia="zh-CN"/>
              </w:rPr>
              <w:t xml:space="preserve">。</w:t>
            </w:r>
            <w:r/>
          </w:p>
          <w:p>
            <w:pPr>
              <w:spacing w:line="320" w:lineRule="exact"/>
              <w:rPr>
                <w:rFonts w:ascii="Times New Roman" w:hAnsi="Times New Roman"/>
                <w:highlight w:val="none"/>
              </w:rPr>
            </w:pPr>
            <w:r>
              <w:rPr>
                <w:rFonts w:hint="eastAsia" w:ascii="Times New Roman" w:hAnsi="Times New Roman"/>
                <w:szCs w:val="21"/>
                <w:highlight w:val="none"/>
              </w:rPr>
              <w:t xml:space="preserve">注：相关检测能力表述以最新的检验检测机构资质认定评审要求为准。</w:t>
            </w:r>
            <w:r/>
          </w:p>
        </w:tc>
      </w:tr>
      <w:tr>
        <w:trPr>
          <w:jc w:val="center"/>
          <w:trHeight w:val="416"/>
        </w:trPr>
        <w:tc>
          <w:tcPr>
            <w:tcW w:w="853" w:type="dxa"/>
            <w:vAlign w:val="center"/>
            <w:textDirection w:val="lrTb"/>
            <w:noWrap/>
          </w:tcPr>
          <w:p>
            <w:pPr>
              <w:rPr>
                <w:rFonts w:ascii="Times New Roman" w:hAnsi="Times New Roman"/>
                <w:highlight w:val="none"/>
              </w:rPr>
            </w:pPr>
            <w:r>
              <w:rPr>
                <w:rFonts w:ascii="Times New Roman" w:hAnsi="Times New Roman"/>
                <w:highlight w:val="none"/>
              </w:rPr>
              <w:t xml:space="preserve">方案与报告编制</w:t>
            </w:r>
            <w:r/>
          </w:p>
        </w:tc>
        <w:tc>
          <w:tcPr>
            <w:tcW w:w="709" w:type="dxa"/>
            <w:vAlign w:val="center"/>
            <w:textDirection w:val="lrTb"/>
            <w:noWrap/>
          </w:tcPr>
          <w:p>
            <w:pPr>
              <w:rPr>
                <w:rFonts w:ascii="Times New Roman" w:hAnsi="Times New Roman"/>
                <w:highlight w:val="none"/>
              </w:rPr>
            </w:pPr>
            <w:r>
              <w:rPr>
                <w:rFonts w:ascii="Times New Roman" w:hAnsi="Times New Roman"/>
                <w:highlight w:val="none"/>
              </w:rPr>
              <w:t xml:space="preserve">10分</w:t>
            </w:r>
            <w:r/>
          </w:p>
        </w:tc>
        <w:tc>
          <w:tcPr>
            <w:tcW w:w="8125" w:type="dxa"/>
            <w:vAlign w:val="center"/>
            <w:textDirection w:val="lrTb"/>
            <w:noWrap/>
          </w:tcPr>
          <w:p>
            <w:pPr>
              <w:spacing w:line="320" w:lineRule="exact"/>
              <w:rPr>
                <w:rFonts w:ascii="Times New Roman" w:hAnsi="Times New Roman"/>
                <w:szCs w:val="21"/>
                <w:highlight w:val="none"/>
              </w:rPr>
            </w:pPr>
            <w:r>
              <w:rPr>
                <w:rFonts w:hint="eastAsia" w:ascii="Times New Roman" w:hAnsi="Times New Roman"/>
                <w:b/>
                <w:bCs/>
                <w:szCs w:val="21"/>
                <w:highlight w:val="none"/>
              </w:rPr>
              <w:t xml:space="preserve">1、工作方案评审（4分）：</w:t>
            </w:r>
            <w:r>
              <w:rPr>
                <w:rFonts w:hint="eastAsia" w:ascii="Times New Roman" w:hAnsi="Times New Roman"/>
                <w:szCs w:val="21"/>
                <w:highlight w:val="none"/>
              </w:rPr>
              <w:t xml:space="preserve">针对包</w:t>
            </w:r>
            <w:r>
              <w:rPr>
                <w:rFonts w:hint="eastAsia"/>
                <w:szCs w:val="21"/>
                <w:highlight w:val="none"/>
                <w:lang w:val="en-US" w:eastAsia="zh-CN"/>
              </w:rPr>
              <w:t xml:space="preserve">2</w:t>
            </w:r>
            <w:r>
              <w:rPr>
                <w:rFonts w:hint="eastAsia" w:ascii="Times New Roman" w:hAnsi="Times New Roman"/>
                <w:szCs w:val="21"/>
                <w:highlight w:val="none"/>
              </w:rPr>
              <w:t xml:space="preserve">项目需求，提供202</w:t>
            </w:r>
            <w:r>
              <w:rPr>
                <w:rFonts w:ascii="Times New Roman" w:hAnsi="Times New Roman"/>
                <w:szCs w:val="21"/>
                <w:highlight w:val="none"/>
              </w:rPr>
              <w:t xml:space="preserve">4</w:t>
            </w:r>
            <w:r>
              <w:rPr>
                <w:rFonts w:hint="eastAsia" w:ascii="Times New Roman" w:hAnsi="Times New Roman"/>
                <w:szCs w:val="21"/>
                <w:highlight w:val="none"/>
              </w:rPr>
              <w:t xml:space="preserve">年度以来，投标方认为最能代表单位业务水平的常规监测工作方案1份，由评委根据工作方案的编制质量进行综合评定，结合方案的复杂程度（1分），方案的完整性（1分），方案的可操作性（1分），要素覆盖的全面性（1分）四个方面进行打分。未提供不得分。</w:t>
            </w:r>
            <w:r/>
          </w:p>
          <w:p>
            <w:pPr>
              <w:spacing w:line="320" w:lineRule="exact"/>
              <w:rPr>
                <w:rFonts w:ascii="Times New Roman" w:hAnsi="Times New Roman"/>
                <w:szCs w:val="21"/>
                <w:highlight w:val="none"/>
              </w:rPr>
            </w:pPr>
            <w:r>
              <w:rPr>
                <w:rFonts w:hint="eastAsia" w:ascii="Times New Roman" w:hAnsi="Times New Roman"/>
                <w:b/>
                <w:bCs/>
                <w:szCs w:val="21"/>
                <w:highlight w:val="none"/>
              </w:rPr>
              <w:t xml:space="preserve">2、应急监测方案评审（2分）：</w:t>
            </w:r>
            <w:r>
              <w:rPr>
                <w:rFonts w:hint="eastAsia" w:ascii="Times New Roman" w:hAnsi="Times New Roman"/>
                <w:szCs w:val="21"/>
                <w:highlight w:val="none"/>
              </w:rPr>
              <w:t xml:space="preserve">提供202</w:t>
            </w:r>
            <w:r>
              <w:rPr>
                <w:rFonts w:ascii="Times New Roman" w:hAnsi="Times New Roman"/>
                <w:szCs w:val="21"/>
                <w:highlight w:val="none"/>
              </w:rPr>
              <w:t xml:space="preserve">4</w:t>
            </w:r>
            <w:r>
              <w:rPr>
                <w:rFonts w:hint="eastAsia" w:ascii="Times New Roman" w:hAnsi="Times New Roman"/>
                <w:szCs w:val="21"/>
                <w:highlight w:val="none"/>
              </w:rPr>
              <w:t xml:space="preserve">年度以来，投标方认为最能代表单位业务水平的突发事件应急监测方案1份：由评委根据方案的编制质量，从方案的完整性、合理性、规范性等方面进行综合评定，较好得2分；一般得1分；</w:t>
            </w:r>
            <w:bookmarkStart w:id="106" w:name="OLE_LINK6"/>
            <w:r/>
            <w:bookmarkStart w:id="107" w:name="OLE_LINK5"/>
            <w:r>
              <w:rPr>
                <w:rFonts w:hint="eastAsia" w:ascii="Times New Roman" w:hAnsi="Times New Roman"/>
                <w:szCs w:val="21"/>
                <w:highlight w:val="none"/>
              </w:rPr>
              <w:t xml:space="preserve">较差或</w:t>
            </w:r>
            <w:bookmarkEnd w:id="106"/>
            <w:r/>
            <w:bookmarkEnd w:id="107"/>
            <w:r>
              <w:rPr>
                <w:rFonts w:hint="eastAsia" w:ascii="Times New Roman" w:hAnsi="Times New Roman"/>
                <w:szCs w:val="21"/>
                <w:highlight w:val="none"/>
              </w:rPr>
              <w:t xml:space="preserve">未提供不得分。</w:t>
            </w:r>
            <w:r/>
          </w:p>
          <w:p>
            <w:pPr>
              <w:spacing w:line="320" w:lineRule="exact"/>
              <w:rPr>
                <w:rFonts w:ascii="Times New Roman" w:hAnsi="Times New Roman"/>
                <w:highlight w:val="none"/>
              </w:rPr>
            </w:pPr>
            <w:r>
              <w:rPr>
                <w:rFonts w:hint="eastAsia" w:ascii="Times New Roman" w:hAnsi="Times New Roman"/>
                <w:b/>
                <w:bCs/>
                <w:szCs w:val="21"/>
                <w:highlight w:val="none"/>
              </w:rPr>
              <w:t xml:space="preserve">3、监测报告评审（4分）：</w:t>
            </w:r>
            <w:r>
              <w:rPr>
                <w:rFonts w:hint="eastAsia" w:ascii="Times New Roman" w:hAnsi="Times New Roman"/>
                <w:szCs w:val="21"/>
                <w:highlight w:val="none"/>
              </w:rPr>
              <w:t xml:space="preserve">提供202</w:t>
            </w:r>
            <w:r>
              <w:rPr>
                <w:rFonts w:ascii="Times New Roman" w:hAnsi="Times New Roman"/>
                <w:szCs w:val="21"/>
                <w:highlight w:val="none"/>
              </w:rPr>
              <w:t xml:space="preserve">4</w:t>
            </w:r>
            <w:r>
              <w:rPr>
                <w:rFonts w:hint="eastAsia" w:ascii="Times New Roman" w:hAnsi="Times New Roman"/>
                <w:szCs w:val="21"/>
                <w:highlight w:val="none"/>
              </w:rPr>
              <w:t xml:space="preserve">年度以来，最能代表投标方业务水平的监测成果报告5份</w:t>
            </w:r>
            <w:r>
              <w:rPr>
                <w:rFonts w:hint="eastAsia" w:ascii="Times New Roman" w:hAnsi="Times New Roman"/>
                <w:szCs w:val="21"/>
                <w:highlight w:val="none"/>
              </w:rPr>
              <w:t xml:space="preserve">（其中监测成果报告集中式饮用水源水、气、声、土、应急监测各1份，包括监测方案、现场监测原始记录、分析原始记录以及成果报告等相关的资料，必须为实际开展的检测工作），由评委根据报告的编制质量进行综合评定，结合报告的难易程度（较难的得1分，一般得0.5分，较差不得分），报告的规范性（较好的得1分，一般得0.5分，较差不得分），报告引用标准和结论评价的准确性（较好的得1分，一般得0.5分，较差不得分），原始记录及附件支撑材料的规范性（较好的得1分，一般得0.5分，较差不得分）四个方面进行打分；缺1份报告该项不得分。</w:t>
            </w:r>
            <w:r/>
          </w:p>
        </w:tc>
      </w:tr>
      <w:tr>
        <w:trPr>
          <w:jc w:val="center"/>
          <w:trHeight w:val="1550"/>
        </w:trPr>
        <w:tc>
          <w:tcPr>
            <w:tcW w:w="853" w:type="dxa"/>
            <w:vAlign w:val="center"/>
            <w:textDirection w:val="lrTb"/>
            <w:noWrap/>
          </w:tcPr>
          <w:p>
            <w:pPr>
              <w:rPr>
                <w:rFonts w:ascii="Times New Roman" w:hAnsi="Times New Roman"/>
                <w:highlight w:val="none"/>
              </w:rPr>
            </w:pPr>
            <w:r>
              <w:rPr>
                <w:rFonts w:ascii="Times New Roman" w:hAnsi="Times New Roman"/>
                <w:highlight w:val="none"/>
              </w:rPr>
              <w:t xml:space="preserve">质量管理体系运行情况</w:t>
            </w:r>
            <w:r/>
          </w:p>
        </w:tc>
        <w:tc>
          <w:tcPr>
            <w:tcW w:w="709" w:type="dxa"/>
            <w:vAlign w:val="center"/>
            <w:textDirection w:val="lrTb"/>
            <w:noWrap/>
          </w:tcPr>
          <w:p>
            <w:pPr>
              <w:rPr>
                <w:rFonts w:ascii="Times New Roman" w:hAnsi="Times New Roman"/>
                <w:highlight w:val="none"/>
              </w:rPr>
            </w:pPr>
            <w:r>
              <w:rPr>
                <w:rFonts w:ascii="Times New Roman" w:hAnsi="Times New Roman"/>
                <w:highlight w:val="none"/>
              </w:rPr>
              <w:t xml:space="preserve">1</w:t>
            </w:r>
            <w:r>
              <w:rPr>
                <w:rFonts w:hint="eastAsia" w:ascii="Times New Roman" w:hAnsi="Times New Roman"/>
                <w:highlight w:val="none"/>
              </w:rPr>
              <w:t xml:space="preserve">2</w:t>
            </w:r>
            <w:r>
              <w:rPr>
                <w:rFonts w:ascii="Times New Roman" w:hAnsi="Times New Roman"/>
                <w:highlight w:val="none"/>
              </w:rPr>
              <w:t xml:space="preserve">分</w:t>
            </w:r>
            <w:r/>
          </w:p>
        </w:tc>
        <w:tc>
          <w:tcPr>
            <w:tcW w:w="8125" w:type="dxa"/>
            <w:vAlign w:val="center"/>
            <w:textDirection w:val="lrTb"/>
            <w:noWrap/>
          </w:tcPr>
          <w:p>
            <w:pPr>
              <w:spacing w:line="320" w:lineRule="exact"/>
              <w:rPr>
                <w:rFonts w:ascii="Times New Roman" w:hAnsi="Times New Roman"/>
                <w:highlight w:val="none"/>
              </w:rPr>
            </w:pPr>
            <w:r>
              <w:rPr>
                <w:rFonts w:hint="eastAsia" w:ascii="Times New Roman" w:hAnsi="Times New Roman"/>
                <w:szCs w:val="21"/>
                <w:highlight w:val="none"/>
              </w:rPr>
              <w:t xml:space="preserve">投标方须提供现行有效的质量手册</w:t>
            </w:r>
            <w:r>
              <w:rPr>
                <w:rFonts w:hint="eastAsia" w:ascii="Times New Roman" w:hAnsi="Times New Roman"/>
                <w:szCs w:val="21"/>
                <w:highlight w:val="none"/>
                <w:lang w:eastAsia="zh-CN"/>
              </w:rPr>
              <w:t xml:space="preserve">目录</w:t>
            </w:r>
            <w:r>
              <w:rPr>
                <w:rFonts w:hint="eastAsia" w:ascii="Times New Roman" w:hAnsi="Times New Roman"/>
                <w:szCs w:val="21"/>
                <w:highlight w:val="none"/>
              </w:rPr>
              <w:t xml:space="preserve">、程序文件</w:t>
            </w:r>
            <w:r>
              <w:rPr>
                <w:rFonts w:hint="eastAsia" w:ascii="Times New Roman" w:hAnsi="Times New Roman"/>
                <w:szCs w:val="21"/>
                <w:highlight w:val="none"/>
                <w:lang w:eastAsia="zh-CN"/>
              </w:rPr>
              <w:t xml:space="preserve">目录</w:t>
            </w:r>
            <w:r>
              <w:rPr>
                <w:rFonts w:hint="eastAsia" w:ascii="Times New Roman" w:hAnsi="Times New Roman"/>
                <w:szCs w:val="21"/>
                <w:highlight w:val="none"/>
              </w:rPr>
              <w:t xml:space="preserve">、表格表单目录、2026年度质量控制措施、2026年度业务培训计划，2026年度参加能力验证、测量审核计划，2026年度检测能力扩项计划，2026年度监测仪器周期检定/校准计划，2026年度量值溯源和期间核查计划以及最近1次的内审、管理评审记录等进行综合评定，评委将根据《检验检测机构资质认定评审准则》《检验检测机构资质认定生态环境监测机构评审补充要求（2025 年）》等相关要求，对提供材料的完整程度（较好的得3分，一般得1分，较差不得分），适用性（</w:t>
            </w:r>
            <w:bookmarkStart w:id="108" w:name="OLE_LINK10"/>
            <w:r/>
            <w:bookmarkStart w:id="109" w:name="OLE_LINK11"/>
            <w:r>
              <w:rPr>
                <w:rFonts w:hint="eastAsia" w:ascii="Times New Roman" w:hAnsi="Times New Roman"/>
                <w:szCs w:val="21"/>
                <w:highlight w:val="none"/>
              </w:rPr>
              <w:t xml:space="preserve">较好的得3分，一般得1分，较差不得分</w:t>
            </w:r>
            <w:bookmarkEnd w:id="108"/>
            <w:r/>
            <w:bookmarkEnd w:id="109"/>
            <w:r>
              <w:rPr>
                <w:rFonts w:hint="eastAsia" w:ascii="Times New Roman" w:hAnsi="Times New Roman"/>
                <w:szCs w:val="21"/>
                <w:highlight w:val="none"/>
              </w:rPr>
              <w:t xml:space="preserve">），有效性（较好的得3分，一般得1分，较差不得分），持续改进情况（较好的得3分，一般得1分，较差不得分）进行打分；未提供不得分。</w:t>
            </w:r>
            <w:r/>
          </w:p>
        </w:tc>
      </w:tr>
      <w:tr>
        <w:trPr>
          <w:jc w:val="center"/>
          <w:trHeight w:val="866"/>
        </w:trPr>
        <w:tc>
          <w:tcPr>
            <w:tcW w:w="853" w:type="dxa"/>
            <w:vAlign w:val="center"/>
            <w:textDirection w:val="lrTb"/>
            <w:noWrap/>
          </w:tcPr>
          <w:p>
            <w:pPr>
              <w:rPr>
                <w:rFonts w:ascii="Times New Roman" w:hAnsi="Times New Roman"/>
                <w:highlight w:val="none"/>
              </w:rPr>
            </w:pPr>
            <w:r>
              <w:rPr>
                <w:rFonts w:ascii="Times New Roman" w:hAnsi="Times New Roman"/>
                <w:highlight w:val="none"/>
              </w:rPr>
              <w:t xml:space="preserve">服务响应与其他</w:t>
            </w:r>
            <w:r/>
          </w:p>
        </w:tc>
        <w:tc>
          <w:tcPr>
            <w:tcW w:w="709" w:type="dxa"/>
            <w:vAlign w:val="center"/>
            <w:textDirection w:val="lrTb"/>
            <w:noWrap/>
          </w:tcPr>
          <w:p>
            <w:pPr>
              <w:rPr>
                <w:rFonts w:ascii="Times New Roman" w:hAnsi="Times New Roman"/>
                <w:highlight w:val="none"/>
              </w:rPr>
            </w:pPr>
            <w:r>
              <w:rPr>
                <w:rFonts w:ascii="Times New Roman" w:hAnsi="Times New Roman"/>
                <w:highlight w:val="none"/>
              </w:rPr>
              <w:t xml:space="preserve">10分</w:t>
            </w:r>
            <w:r/>
          </w:p>
        </w:tc>
        <w:tc>
          <w:tcPr>
            <w:tcW w:w="8125" w:type="dxa"/>
            <w:vAlign w:val="center"/>
            <w:textDirection w:val="lrTb"/>
            <w:noWrap/>
          </w:tcPr>
          <w:p>
            <w:pPr>
              <w:spacing w:line="320" w:lineRule="exact"/>
              <w:rPr>
                <w:rFonts w:ascii="Times New Roman" w:hAnsi="Times New Roman"/>
                <w:b/>
                <w:bCs/>
                <w:szCs w:val="21"/>
                <w:highlight w:val="none"/>
              </w:rPr>
            </w:pPr>
            <w:r>
              <w:rPr>
                <w:rFonts w:hint="eastAsia" w:ascii="Times New Roman" w:hAnsi="Times New Roman"/>
                <w:b/>
                <w:bCs/>
                <w:szCs w:val="21"/>
                <w:highlight w:val="none"/>
              </w:rPr>
              <w:t xml:space="preserve">1、能保证做出的服务优先级（3分）：</w:t>
            </w:r>
            <w:r/>
          </w:p>
          <w:p>
            <w:pPr>
              <w:spacing w:line="320" w:lineRule="exact"/>
              <w:rPr>
                <w:rFonts w:ascii="Times New Roman" w:hAnsi="Times New Roman"/>
                <w:szCs w:val="21"/>
                <w:highlight w:val="none"/>
              </w:rPr>
            </w:pPr>
            <w:r>
              <w:rPr>
                <w:rFonts w:hint="eastAsia" w:ascii="Times New Roman" w:hAnsi="Times New Roman"/>
                <w:szCs w:val="21"/>
                <w:highlight w:val="none"/>
              </w:rPr>
              <w:t xml:space="preserve">投标人需对以下事项作出承诺或声明：</w:t>
            </w:r>
            <w:r/>
          </w:p>
          <w:p>
            <w:pPr>
              <w:spacing w:line="320" w:lineRule="exact"/>
              <w:rPr>
                <w:rFonts w:ascii="Times New Roman" w:hAnsi="Times New Roman"/>
                <w:szCs w:val="21"/>
                <w:highlight w:val="none"/>
              </w:rPr>
            </w:pPr>
            <w:r>
              <w:rPr>
                <w:rFonts w:hint="eastAsia" w:ascii="Times New Roman" w:hAnsi="Times New Roman"/>
                <w:szCs w:val="21"/>
                <w:highlight w:val="none"/>
              </w:rPr>
              <w:t xml:space="preserve">（1）保证检测工作真实有效，不弄虚作假。</w:t>
            </w:r>
            <w:r/>
          </w:p>
          <w:p>
            <w:pPr>
              <w:spacing w:line="320" w:lineRule="exact"/>
              <w:rPr>
                <w:rFonts w:ascii="Times New Roman" w:hAnsi="Times New Roman"/>
                <w:szCs w:val="21"/>
                <w:highlight w:val="none"/>
              </w:rPr>
            </w:pPr>
            <w:r>
              <w:rPr>
                <w:rFonts w:hint="eastAsia" w:ascii="Times New Roman" w:hAnsi="Times New Roman"/>
                <w:szCs w:val="21"/>
                <w:highlight w:val="none"/>
              </w:rPr>
              <w:t xml:space="preserve">（2）保证检测工作符合相关技术规范、标准，发现瑕疵妥善处理。</w:t>
            </w:r>
            <w:r/>
          </w:p>
          <w:p>
            <w:pPr>
              <w:spacing w:line="320" w:lineRule="exact"/>
              <w:rPr>
                <w:rFonts w:ascii="Times New Roman" w:hAnsi="Times New Roman"/>
                <w:szCs w:val="21"/>
                <w:highlight w:val="none"/>
              </w:rPr>
            </w:pPr>
            <w:r>
              <w:rPr>
                <w:rFonts w:hint="eastAsia" w:ascii="Times New Roman" w:hAnsi="Times New Roman"/>
                <w:szCs w:val="21"/>
                <w:highlight w:val="none"/>
              </w:rPr>
              <w:t xml:space="preserve">（3）接受南通市生态环境局、南通市生态环境监测站的质量监督、检查，就服务内容及时提交报告、原始记录、合同等相关材料。</w:t>
            </w:r>
            <w:r/>
          </w:p>
          <w:p>
            <w:pPr>
              <w:spacing w:line="320" w:lineRule="exact"/>
              <w:rPr>
                <w:rFonts w:ascii="Times New Roman" w:hAnsi="Times New Roman"/>
                <w:szCs w:val="21"/>
                <w:highlight w:val="none"/>
              </w:rPr>
            </w:pPr>
            <w:r>
              <w:rPr>
                <w:rFonts w:hint="eastAsia" w:ascii="Times New Roman" w:hAnsi="Times New Roman"/>
                <w:szCs w:val="21"/>
                <w:highlight w:val="none"/>
              </w:rPr>
              <w:t xml:space="preserve">（</w:t>
            </w:r>
            <w:r>
              <w:rPr>
                <w:rFonts w:ascii="Times New Roman" w:hAnsi="Times New Roman"/>
                <w:szCs w:val="21"/>
                <w:highlight w:val="none"/>
              </w:rPr>
              <w:t xml:space="preserve">4</w:t>
            </w:r>
            <w:r>
              <w:rPr>
                <w:rFonts w:hint="eastAsia" w:ascii="Times New Roman" w:hAnsi="Times New Roman"/>
                <w:szCs w:val="21"/>
                <w:highlight w:val="none"/>
              </w:rPr>
              <w:t xml:space="preserve">）当出现异常时，保证第一时间能开展加密监测等工作，并快速出具报告。</w:t>
            </w:r>
            <w:r/>
          </w:p>
          <w:p>
            <w:pPr>
              <w:spacing w:line="320" w:lineRule="exact"/>
              <w:rPr>
                <w:rFonts w:ascii="Times New Roman" w:hAnsi="Times New Roman"/>
                <w:szCs w:val="21"/>
                <w:highlight w:val="none"/>
              </w:rPr>
            </w:pPr>
            <w:r>
              <w:rPr>
                <w:rFonts w:hint="eastAsia" w:ascii="Times New Roman" w:hAnsi="Times New Roman"/>
                <w:szCs w:val="21"/>
                <w:highlight w:val="none"/>
              </w:rPr>
              <w:t xml:space="preserve">（</w:t>
            </w:r>
            <w:r>
              <w:rPr>
                <w:rFonts w:ascii="Times New Roman" w:hAnsi="Times New Roman"/>
                <w:szCs w:val="21"/>
                <w:highlight w:val="none"/>
              </w:rPr>
              <w:t xml:space="preserve">5</w:t>
            </w:r>
            <w:r>
              <w:rPr>
                <w:rFonts w:hint="eastAsia" w:ascii="Times New Roman" w:hAnsi="Times New Roman"/>
                <w:szCs w:val="21"/>
                <w:highlight w:val="none"/>
              </w:rPr>
              <w:t xml:space="preserve">）</w:t>
            </w:r>
            <w:r>
              <w:rPr>
                <w:rFonts w:ascii="Times New Roman" w:hAnsi="Times New Roman"/>
                <w:szCs w:val="21"/>
                <w:highlight w:val="none"/>
              </w:rPr>
              <w:t xml:space="preserve">将严格按照招标</w:t>
            </w:r>
            <w:r>
              <w:rPr>
                <w:rFonts w:hint="eastAsia" w:ascii="Times New Roman" w:hAnsi="Times New Roman"/>
                <w:szCs w:val="21"/>
                <w:highlight w:val="none"/>
              </w:rPr>
              <w:t xml:space="preserve">人</w:t>
            </w:r>
            <w:r>
              <w:rPr>
                <w:rFonts w:ascii="Times New Roman" w:hAnsi="Times New Roman"/>
                <w:szCs w:val="21"/>
                <w:highlight w:val="none"/>
              </w:rPr>
              <w:t xml:space="preserve">及项目实际需求，保质、保量、按时完成全部服务工作，确保项目顺利实施。</w:t>
            </w:r>
            <w:r/>
          </w:p>
          <w:p>
            <w:pPr>
              <w:spacing w:line="320" w:lineRule="exact"/>
              <w:rPr>
                <w:rFonts w:ascii="Times New Roman" w:hAnsi="Times New Roman"/>
                <w:szCs w:val="21"/>
                <w:highlight w:val="none"/>
              </w:rPr>
            </w:pPr>
            <w:r>
              <w:rPr>
                <w:rFonts w:hint="eastAsia" w:ascii="Times New Roman" w:hAnsi="Times New Roman"/>
                <w:szCs w:val="21"/>
                <w:highlight w:val="none"/>
              </w:rPr>
              <w:t xml:space="preserve">注：以上内容未提供不得分，有任一项缺失不得分。</w:t>
            </w:r>
            <w:r/>
          </w:p>
          <w:p>
            <w:pPr>
              <w:spacing w:line="320" w:lineRule="exact"/>
              <w:rPr>
                <w:rFonts w:ascii="Times New Roman" w:hAnsi="Times New Roman"/>
                <w:szCs w:val="21"/>
                <w:highlight w:val="none"/>
              </w:rPr>
            </w:pPr>
            <w:r>
              <w:rPr>
                <w:rFonts w:hint="eastAsia" w:ascii="Times New Roman" w:hAnsi="Times New Roman"/>
                <w:b/>
                <w:bCs/>
                <w:szCs w:val="21"/>
                <w:highlight w:val="none"/>
              </w:rPr>
              <w:t xml:space="preserve">2、保证服务响应快速（2分）：</w:t>
            </w:r>
            <w:r>
              <w:rPr>
                <w:rFonts w:hint="eastAsia" w:ascii="Times New Roman" w:hAnsi="Times New Roman"/>
                <w:szCs w:val="21"/>
                <w:highlight w:val="none"/>
              </w:rPr>
              <w:t xml:space="preserve">提供服务内容满足时限要求，必要时能在节假日和夜间加班。由评委根据投标方提供接收到指令后各环节流程图（1分），节假日、夜间值班机制（含车辆）（1分）两个方面进行打分。未提供不得分。</w:t>
            </w:r>
            <w:r/>
          </w:p>
          <w:p>
            <w:pPr>
              <w:spacing w:line="300" w:lineRule="exact"/>
              <w:rPr>
                <w:rFonts w:ascii="Times New Roman" w:hAnsi="Times New Roman"/>
                <w:szCs w:val="21"/>
                <w:highlight w:val="none"/>
              </w:rPr>
            </w:pPr>
            <w:r>
              <w:rPr>
                <w:rFonts w:hint="eastAsia" w:ascii="Times New Roman" w:hAnsi="Times New Roman"/>
                <w:b/>
                <w:szCs w:val="21"/>
                <w:highlight w:val="none"/>
              </w:rPr>
              <w:t xml:space="preserve">3、应急监测保障（</w:t>
            </w:r>
            <w:r>
              <w:rPr>
                <w:rFonts w:ascii="Times New Roman" w:hAnsi="Times New Roman"/>
                <w:b/>
                <w:szCs w:val="21"/>
                <w:highlight w:val="none"/>
              </w:rPr>
              <w:t xml:space="preserve">2</w:t>
            </w:r>
            <w:r>
              <w:rPr>
                <w:rFonts w:hint="eastAsia" w:ascii="Times New Roman" w:hAnsi="Times New Roman"/>
                <w:b/>
                <w:szCs w:val="21"/>
                <w:highlight w:val="none"/>
              </w:rPr>
              <w:t xml:space="preserve">分）</w:t>
            </w:r>
            <w:r>
              <w:rPr>
                <w:rFonts w:hint="eastAsia" w:ascii="Times New Roman" w:hAnsi="Times New Roman"/>
                <w:szCs w:val="21"/>
                <w:highlight w:val="none"/>
              </w:rPr>
              <w:t xml:space="preserve">：提供202</w:t>
            </w:r>
            <w:r>
              <w:rPr>
                <w:rFonts w:ascii="Times New Roman" w:hAnsi="Times New Roman"/>
                <w:szCs w:val="21"/>
                <w:highlight w:val="none"/>
              </w:rPr>
              <w:t xml:space="preserve">4</w:t>
            </w:r>
            <w:r>
              <w:rPr>
                <w:rFonts w:hint="eastAsia" w:ascii="Times New Roman" w:hAnsi="Times New Roman"/>
                <w:szCs w:val="21"/>
                <w:highlight w:val="none"/>
              </w:rPr>
              <w:t xml:space="preserve">年以来，参与的突发事件应急监测实例，1次得0.5分，最高得</w:t>
            </w:r>
            <w:r>
              <w:rPr>
                <w:rFonts w:ascii="Times New Roman" w:hAnsi="Times New Roman"/>
                <w:szCs w:val="21"/>
                <w:highlight w:val="none"/>
              </w:rPr>
              <w:t xml:space="preserve">2</w:t>
            </w:r>
            <w:r>
              <w:rPr>
                <w:rFonts w:hint="eastAsia" w:ascii="Times New Roman" w:hAnsi="Times New Roman"/>
                <w:szCs w:val="21"/>
                <w:highlight w:val="none"/>
              </w:rPr>
              <w:t xml:space="preserve">分。需提供实例的应急监测报告、事发地生态环境局证明材料等，未提供不得分。</w:t>
            </w:r>
            <w:r/>
          </w:p>
          <w:p>
            <w:pPr>
              <w:spacing w:line="320" w:lineRule="exact"/>
              <w:rPr>
                <w:rFonts w:ascii="Times New Roman" w:hAnsi="Times New Roman"/>
                <w:highlight w:val="none"/>
              </w:rPr>
            </w:pPr>
            <w:r>
              <w:rPr>
                <w:rFonts w:hint="eastAsia" w:ascii="Times New Roman" w:hAnsi="Times New Roman"/>
                <w:b/>
                <w:bCs/>
                <w:szCs w:val="21"/>
                <w:highlight w:val="none"/>
              </w:rPr>
              <w:t xml:space="preserve">4、能力扩项情况（3分）：</w:t>
            </w:r>
            <w:r>
              <w:rPr>
                <w:rFonts w:hint="eastAsia" w:ascii="Times New Roman" w:hAnsi="Times New Roman"/>
                <w:szCs w:val="21"/>
                <w:highlight w:val="none"/>
              </w:rPr>
              <w:t xml:space="preserve">202</w:t>
            </w:r>
            <w:r>
              <w:rPr>
                <w:rFonts w:ascii="Times New Roman" w:hAnsi="Times New Roman"/>
                <w:szCs w:val="21"/>
                <w:highlight w:val="none"/>
              </w:rPr>
              <w:t xml:space="preserve">4</w:t>
            </w:r>
            <w:r>
              <w:rPr>
                <w:rFonts w:hint="eastAsia" w:ascii="Times New Roman" w:hAnsi="Times New Roman"/>
                <w:szCs w:val="21"/>
                <w:highlight w:val="none"/>
              </w:rPr>
              <w:t xml:space="preserve">年以来组织开展检测能力扩项并取得资质的（每次取得资质不得少于50项），每1次得1分，最高</w:t>
            </w:r>
            <w:r>
              <w:rPr>
                <w:rFonts w:ascii="Times New Roman" w:hAnsi="Times New Roman"/>
                <w:szCs w:val="21"/>
                <w:highlight w:val="none"/>
              </w:rPr>
              <w:t xml:space="preserve">3</w:t>
            </w:r>
            <w:r>
              <w:rPr>
                <w:rFonts w:hint="eastAsia" w:ascii="Times New Roman" w:hAnsi="Times New Roman"/>
                <w:szCs w:val="21"/>
                <w:highlight w:val="none"/>
              </w:rPr>
              <w:t xml:space="preserve">分（需提供每次不符合项整改报告以及批准的能力附表等相关资料，未提供或缺项不得分）。</w:t>
            </w:r>
            <w:r/>
          </w:p>
        </w:tc>
      </w:tr>
    </w:tbl>
    <w:p>
      <w:pPr>
        <w:ind w:firstLine="420"/>
        <w:jc w:val="left"/>
        <w:spacing w:line="520" w:lineRule="exact"/>
        <w:rPr>
          <w:rFonts w:hint="eastAsia" w:ascii="Times New Roman" w:hAnsi="Times New Roman" w:eastAsia="仿宋_GB2312"/>
          <w:b/>
          <w:bCs/>
          <w:szCs w:val="24"/>
          <w:highlight w:val="none"/>
        </w:rPr>
      </w:pPr>
      <w:r>
        <w:rPr>
          <w:rFonts w:hint="eastAsia" w:ascii="Times New Roman" w:hAnsi="Times New Roman" w:eastAsia="仿宋_GB2312"/>
          <w:b/>
          <w:bCs/>
          <w:szCs w:val="24"/>
          <w:highlight w:val="none"/>
        </w:rPr>
      </w:r>
      <w:r/>
    </w:p>
    <w:p>
      <w:pPr>
        <w:ind w:firstLine="560"/>
        <w:jc w:val="left"/>
        <w:spacing w:line="520" w:lineRule="exact"/>
        <w:rPr>
          <w:rFonts w:hint="eastAsia" w:ascii="Times New Roman" w:hAnsi="Times New Roman" w:eastAsia="仿宋_GB2312"/>
          <w:b/>
          <w:bCs/>
          <w:sz w:val="28"/>
          <w:szCs w:val="36"/>
          <w:highlight w:val="none"/>
        </w:rPr>
      </w:pPr>
      <w:r>
        <w:rPr>
          <w:rFonts w:hint="eastAsia" w:ascii="Times New Roman" w:hAnsi="Times New Roman" w:eastAsia="仿宋_GB2312"/>
          <w:b/>
          <w:bCs/>
          <w:sz w:val="28"/>
          <w:szCs w:val="36"/>
          <w:highlight w:val="none"/>
        </w:rPr>
        <w:t xml:space="preserve">包</w:t>
      </w:r>
      <w:r>
        <w:rPr>
          <w:rFonts w:hint="eastAsia" w:eastAsia="仿宋_GB2312"/>
          <w:b/>
          <w:bCs/>
          <w:sz w:val="28"/>
          <w:szCs w:val="36"/>
          <w:highlight w:val="none"/>
          <w:lang w:val="en-US" w:eastAsia="zh-CN"/>
        </w:rPr>
        <w:t xml:space="preserve">3</w:t>
      </w:r>
      <w:r>
        <w:rPr>
          <w:rFonts w:hint="eastAsia" w:ascii="Times New Roman" w:hAnsi="Times New Roman" w:eastAsia="仿宋_GB2312"/>
          <w:b/>
          <w:bCs/>
          <w:sz w:val="28"/>
          <w:szCs w:val="36"/>
          <w:highlight w:val="none"/>
          <w:lang w:val="en-US" w:eastAsia="zh-CN"/>
        </w:rPr>
        <w:t xml:space="preserve">、</w:t>
      </w:r>
      <w:r>
        <w:rPr>
          <w:rFonts w:hint="eastAsia" w:eastAsia="仿宋_GB2312"/>
          <w:b/>
          <w:bCs/>
          <w:sz w:val="28"/>
          <w:szCs w:val="36"/>
          <w:highlight w:val="none"/>
          <w:lang w:val="en-US" w:eastAsia="zh-CN"/>
        </w:rPr>
        <w:t xml:space="preserve">4</w:t>
      </w:r>
      <w:r>
        <w:rPr>
          <w:rFonts w:hint="eastAsia" w:ascii="Times New Roman" w:hAnsi="Times New Roman" w:eastAsia="仿宋_GB2312"/>
          <w:b/>
          <w:bCs/>
          <w:sz w:val="28"/>
          <w:szCs w:val="36"/>
          <w:highlight w:val="none"/>
        </w:rPr>
        <w:t xml:space="preserve">：</w:t>
      </w:r>
      <w:r/>
    </w:p>
    <w:tbl>
      <w:tblPr>
        <w:tblStyle w:val="873"/>
        <w:tblW w:w="97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4"/>
        <w:gridCol w:w="701"/>
        <w:gridCol w:w="7827"/>
      </w:tblGrid>
      <w:tr>
        <w:trPr>
          <w:jc w:val="center"/>
          <w:trHeight w:val="374"/>
        </w:trPr>
        <w:tc>
          <w:tcPr>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jc w:val="center"/>
              <w:spacing w:line="300" w:lineRule="exact"/>
              <w:rPr>
                <w:rFonts w:ascii="Times New Roman" w:hAnsi="Times New Roman"/>
                <w:b/>
                <w:highlight w:val="none"/>
              </w:rPr>
            </w:pPr>
            <w:r>
              <w:rPr>
                <w:rFonts w:ascii="Times New Roman" w:hAnsi="Times New Roman"/>
                <w:b/>
                <w:highlight w:val="none"/>
              </w:rPr>
              <w:t xml:space="preserve">评审</w:t>
            </w:r>
            <w:r/>
          </w:p>
          <w:p>
            <w:pPr>
              <w:jc w:val="center"/>
              <w:spacing w:line="300" w:lineRule="exact"/>
              <w:rPr>
                <w:rFonts w:ascii="Times New Roman" w:hAnsi="Times New Roman"/>
                <w:b/>
                <w:highlight w:val="none"/>
              </w:rPr>
            </w:pPr>
            <w:r>
              <w:rPr>
                <w:rFonts w:ascii="Times New Roman" w:hAnsi="Times New Roman"/>
                <w:b/>
                <w:highlight w:val="none"/>
              </w:rPr>
              <w:t xml:space="preserve">因素</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jc w:val="center"/>
              <w:rPr>
                <w:rFonts w:ascii="Times New Roman" w:hAnsi="Times New Roman"/>
                <w:b/>
                <w:highlight w:val="none"/>
              </w:rPr>
            </w:pPr>
            <w:r>
              <w:rPr>
                <w:rFonts w:ascii="Times New Roman" w:hAnsi="Times New Roman"/>
                <w:b/>
                <w:highlight w:val="none"/>
              </w:rPr>
              <w:t xml:space="preserve">分值</w:t>
            </w:r>
            <w:r/>
          </w:p>
        </w:tc>
        <w:tc>
          <w:tcPr>
            <w:tcBorders>
              <w:top w:val="single" w:color="auto" w:sz="4" w:space="0"/>
              <w:left w:val="single" w:color="auto" w:sz="4" w:space="0"/>
              <w:bottom w:val="single" w:color="auto" w:sz="4" w:space="0"/>
              <w:right w:val="single" w:color="auto" w:sz="4" w:space="0"/>
            </w:tcBorders>
            <w:tcW w:w="7827" w:type="dxa"/>
            <w:vAlign w:val="center"/>
            <w:textDirection w:val="lrTb"/>
            <w:noWrap w:val="false"/>
          </w:tcPr>
          <w:p>
            <w:pPr>
              <w:jc w:val="center"/>
              <w:rPr>
                <w:rFonts w:ascii="Times New Roman" w:hAnsi="Times New Roman"/>
                <w:b/>
                <w:highlight w:val="none"/>
              </w:rPr>
            </w:pPr>
            <w:r>
              <w:rPr>
                <w:rFonts w:ascii="Times New Roman" w:hAnsi="Times New Roman"/>
                <w:b/>
                <w:highlight w:val="none"/>
              </w:rPr>
              <w:t xml:space="preserve">评分标准</w:t>
            </w:r>
            <w:r/>
          </w:p>
        </w:tc>
      </w:tr>
      <w:tr>
        <w:trPr>
          <w:jc w:val="center"/>
          <w:trHeight w:val="836"/>
        </w:trPr>
        <w:tc>
          <w:tcPr>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jc w:val="center"/>
              <w:rPr>
                <w:rFonts w:ascii="Times New Roman" w:hAnsi="Times New Roman"/>
                <w:highlight w:val="none"/>
              </w:rPr>
            </w:pPr>
            <w:r>
              <w:rPr>
                <w:rFonts w:ascii="Times New Roman" w:hAnsi="Times New Roman"/>
                <w:highlight w:val="none"/>
              </w:rPr>
              <w:t xml:space="preserve">团队实力及业绩</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jc w:val="center"/>
              <w:rPr>
                <w:rFonts w:ascii="Times New Roman" w:hAnsi="Times New Roman"/>
                <w:highlight w:val="none"/>
              </w:rPr>
            </w:pPr>
            <w:r>
              <w:rPr>
                <w:rFonts w:ascii="Times New Roman" w:hAnsi="Times New Roman"/>
                <w:highlight w:val="none"/>
              </w:rPr>
              <w:t xml:space="preserve">10分</w:t>
            </w:r>
            <w:r/>
          </w:p>
        </w:tc>
        <w:tc>
          <w:tcPr>
            <w:tcBorders>
              <w:top w:val="single" w:color="auto" w:sz="4" w:space="0"/>
              <w:left w:val="single" w:color="auto" w:sz="4" w:space="0"/>
              <w:bottom w:val="single" w:color="auto" w:sz="4" w:space="0"/>
              <w:right w:val="single" w:color="auto" w:sz="4" w:space="0"/>
            </w:tcBorders>
            <w:tcW w:w="7827" w:type="dxa"/>
            <w:vAlign w:val="center"/>
            <w:textDirection w:val="lrTb"/>
            <w:noWrap w:val="false"/>
          </w:tcPr>
          <w:p>
            <w:pPr>
              <w:spacing w:line="320" w:lineRule="exact"/>
              <w:rPr>
                <w:rFonts w:ascii="Times New Roman" w:hAnsi="Times New Roman"/>
                <w:szCs w:val="21"/>
                <w:highlight w:val="none"/>
              </w:rPr>
            </w:pPr>
            <w:r>
              <w:rPr>
                <w:rFonts w:hint="eastAsia" w:ascii="Times New Roman" w:hAnsi="Times New Roman"/>
                <w:b/>
                <w:bCs/>
                <w:szCs w:val="21"/>
                <w:highlight w:val="none"/>
              </w:rPr>
              <w:t xml:space="preserve">1、团队实力（4分）：</w:t>
            </w:r>
            <w:r>
              <w:rPr>
                <w:rFonts w:hint="eastAsia" w:ascii="Times New Roman" w:hAnsi="Times New Roman"/>
                <w:szCs w:val="21"/>
                <w:highlight w:val="none"/>
              </w:rPr>
              <w:t xml:space="preserve">服务本项目团队中拥有环境类或化工类高级工程师得1分；团队中拥有环境类或化工类工程师职数，每2个得1分，最高得3分。</w:t>
            </w:r>
            <w:r/>
          </w:p>
          <w:p>
            <w:pPr>
              <w:spacing w:line="320" w:lineRule="exact"/>
              <w:rPr>
                <w:rFonts w:ascii="Times New Roman" w:hAnsi="Times New Roman"/>
                <w:szCs w:val="21"/>
                <w:highlight w:val="none"/>
              </w:rPr>
            </w:pPr>
            <w:r>
              <w:rPr>
                <w:rFonts w:hint="eastAsia" w:ascii="Times New Roman" w:hAnsi="Times New Roman"/>
                <w:b/>
                <w:bCs/>
                <w:szCs w:val="21"/>
                <w:highlight w:val="none"/>
              </w:rPr>
              <w:t xml:space="preserve">2、专业范围（2分）：</w:t>
            </w:r>
            <w:r>
              <w:rPr>
                <w:rFonts w:hint="eastAsia" w:ascii="Times New Roman" w:hAnsi="Times New Roman"/>
                <w:szCs w:val="21"/>
                <w:highlight w:val="none"/>
              </w:rPr>
              <w:t xml:space="preserve">项目团队参与人员专业同时覆盖环境类、生物类、化学类等专业本科及以上学历的得2分，缺1类专业该项不得分。</w:t>
            </w:r>
            <w:r/>
          </w:p>
          <w:p>
            <w:pPr>
              <w:spacing w:line="320" w:lineRule="exact"/>
              <w:rPr>
                <w:rFonts w:ascii="Times New Roman" w:hAnsi="Times New Roman"/>
                <w:szCs w:val="21"/>
                <w:highlight w:val="none"/>
              </w:rPr>
            </w:pPr>
            <w:r>
              <w:rPr>
                <w:rFonts w:hint="eastAsia" w:ascii="Times New Roman" w:hAnsi="Times New Roman"/>
                <w:szCs w:val="21"/>
                <w:highlight w:val="none"/>
              </w:rPr>
              <w:t xml:space="preserve">注：以上项目团队需提供技术人员的劳动合同和社保缴纳证明（必须体现个人姓名及缴纳单位信息，近半年任意一个月）；提供相关证书复印件并加盖供应商公章，原件备查；</w:t>
            </w:r>
            <w:r>
              <w:rPr>
                <w:rFonts w:hint="default" w:ascii="Times New Roman" w:hAnsi="Times New Roman" w:cs="Times New Roman"/>
                <w:b/>
                <w:bCs/>
                <w:sz w:val="21"/>
                <w:szCs w:val="21"/>
                <w:highlight w:val="none"/>
              </w:rPr>
              <w:t xml:space="preserve">请按照附件</w:t>
            </w:r>
            <w:r>
              <w:rPr>
                <w:rFonts w:hint="default" w:ascii="Times New Roman" w:hAnsi="Times New Roman" w:cs="Times New Roman"/>
                <w:b/>
                <w:bCs/>
                <w:sz w:val="21"/>
                <w:szCs w:val="21"/>
                <w:highlight w:val="none"/>
                <w:lang w:val="en-US" w:eastAsia="zh-CN"/>
              </w:rPr>
              <w:t xml:space="preserve">1</w:t>
            </w:r>
            <w:r>
              <w:rPr>
                <w:rFonts w:hint="eastAsia" w:cs="Times New Roman"/>
                <w:b/>
                <w:bCs/>
                <w:sz w:val="21"/>
                <w:szCs w:val="21"/>
                <w:highlight w:val="none"/>
                <w:lang w:val="en-US" w:eastAsia="zh-CN"/>
              </w:rPr>
              <w:t xml:space="preserve">3</w:t>
            </w:r>
            <w:r>
              <w:rPr>
                <w:rFonts w:hint="default" w:ascii="Times New Roman" w:hAnsi="Times New Roman" w:cs="Times New Roman"/>
                <w:b/>
                <w:bCs/>
                <w:sz w:val="21"/>
                <w:szCs w:val="21"/>
                <w:highlight w:val="none"/>
              </w:rPr>
              <w:t xml:space="preserve">格式列表汇总</w:t>
            </w:r>
            <w:r>
              <w:rPr>
                <w:rFonts w:hint="default" w:ascii="Times New Roman" w:hAnsi="Times New Roman" w:cs="Times New Roman"/>
                <w:b/>
                <w:bCs/>
                <w:sz w:val="21"/>
                <w:szCs w:val="21"/>
                <w:highlight w:val="none"/>
                <w:lang w:eastAsia="zh-CN"/>
              </w:rPr>
              <w:t xml:space="preserve">，</w:t>
            </w:r>
            <w:r>
              <w:rPr>
                <w:rFonts w:hint="eastAsia" w:ascii="Times New Roman" w:hAnsi="Times New Roman"/>
                <w:szCs w:val="21"/>
                <w:highlight w:val="none"/>
              </w:rPr>
              <w:t xml:space="preserve">未提供证明材料或材料提供不全不得分。</w:t>
            </w:r>
            <w:r/>
          </w:p>
          <w:p>
            <w:pPr>
              <w:spacing w:line="320" w:lineRule="exact"/>
              <w:rPr>
                <w:rFonts w:ascii="Times New Roman" w:hAnsi="Times New Roman"/>
                <w:szCs w:val="21"/>
                <w:highlight w:val="none"/>
              </w:rPr>
            </w:pPr>
            <w:r>
              <w:rPr>
                <w:rFonts w:hint="eastAsia" w:ascii="Times New Roman" w:hAnsi="Times New Roman"/>
                <w:b/>
                <w:bCs/>
                <w:szCs w:val="21"/>
                <w:highlight w:val="none"/>
              </w:rPr>
              <w:t xml:space="preserve">3、主要业绩（4分）：</w:t>
            </w:r>
            <w:r>
              <w:rPr>
                <w:rFonts w:hint="eastAsia" w:ascii="Times New Roman" w:hAnsi="Times New Roman"/>
                <w:szCs w:val="21"/>
                <w:highlight w:val="none"/>
              </w:rPr>
              <w:t xml:space="preserve"> 针对项目需求，提供202</w:t>
            </w:r>
            <w:r>
              <w:rPr>
                <w:rFonts w:ascii="Times New Roman" w:hAnsi="Times New Roman"/>
                <w:szCs w:val="21"/>
                <w:highlight w:val="none"/>
              </w:rPr>
              <w:t xml:space="preserve">4</w:t>
            </w:r>
            <w:r>
              <w:rPr>
                <w:rFonts w:hint="eastAsia" w:ascii="Times New Roman" w:hAnsi="Times New Roman"/>
                <w:szCs w:val="21"/>
                <w:highlight w:val="none"/>
              </w:rPr>
              <w:t xml:space="preserve">年以来承担过类似的监测业务（以合同签订时间为准），每提供一份得1分，最高得4分。</w:t>
            </w:r>
            <w:r/>
          </w:p>
          <w:p>
            <w:pPr>
              <w:spacing w:line="300" w:lineRule="exact"/>
              <w:rPr>
                <w:rFonts w:ascii="Times New Roman" w:hAnsi="Times New Roman"/>
                <w:szCs w:val="21"/>
                <w:highlight w:val="none"/>
              </w:rPr>
            </w:pPr>
            <w:r>
              <w:rPr>
                <w:rFonts w:hint="eastAsia" w:ascii="Times New Roman" w:hAnsi="Times New Roman"/>
                <w:szCs w:val="21"/>
                <w:highlight w:val="none"/>
              </w:rPr>
              <w:t xml:space="preserve">注：1.需提供业绩合同首页、盖章页及表明工作范围内容有效页证明文件的复印件并加盖公章，否则不得分。</w:t>
            </w:r>
            <w:r>
              <w:rPr>
                <w:rFonts w:hint="default" w:ascii="Times New Roman" w:hAnsi="Times New Roman" w:cs="Times New Roman"/>
                <w:b/>
                <w:bCs/>
                <w:sz w:val="21"/>
                <w:szCs w:val="21"/>
                <w:highlight w:val="none"/>
              </w:rPr>
              <w:t xml:space="preserve">请按照附件</w:t>
            </w:r>
            <w:r>
              <w:rPr>
                <w:rFonts w:hint="default" w:ascii="Times New Roman" w:hAnsi="Times New Roman" w:cs="Times New Roman"/>
                <w:b/>
                <w:bCs/>
                <w:sz w:val="21"/>
                <w:szCs w:val="21"/>
                <w:highlight w:val="none"/>
                <w:lang w:val="en-US" w:eastAsia="zh-CN"/>
              </w:rPr>
              <w:t xml:space="preserve">1</w:t>
            </w:r>
            <w:r>
              <w:rPr>
                <w:rFonts w:hint="eastAsia" w:cs="Times New Roman"/>
                <w:b/>
                <w:bCs/>
                <w:sz w:val="21"/>
                <w:szCs w:val="21"/>
                <w:highlight w:val="none"/>
                <w:lang w:val="en-US" w:eastAsia="zh-CN"/>
              </w:rPr>
              <w:t xml:space="preserve">4</w:t>
            </w:r>
            <w:r>
              <w:rPr>
                <w:rFonts w:hint="default" w:ascii="Times New Roman" w:hAnsi="Times New Roman" w:cs="Times New Roman"/>
                <w:b/>
                <w:bCs/>
                <w:sz w:val="21"/>
                <w:szCs w:val="21"/>
                <w:highlight w:val="none"/>
              </w:rPr>
              <w:t xml:space="preserve">格式列表汇总</w:t>
            </w:r>
            <w:r>
              <w:rPr>
                <w:rFonts w:hint="default" w:ascii="Times New Roman" w:hAnsi="Times New Roman" w:cs="Times New Roman"/>
                <w:b/>
                <w:bCs/>
                <w:sz w:val="21"/>
                <w:szCs w:val="21"/>
                <w:highlight w:val="none"/>
                <w:lang w:eastAsia="zh-CN"/>
              </w:rPr>
              <w:t xml:space="preserve">。</w:t>
            </w:r>
            <w:r/>
          </w:p>
          <w:p>
            <w:pPr>
              <w:spacing w:line="320" w:lineRule="exact"/>
              <w:rPr>
                <w:rFonts w:ascii="Times New Roman" w:hAnsi="Times New Roman"/>
                <w:szCs w:val="21"/>
                <w:highlight w:val="none"/>
              </w:rPr>
            </w:pPr>
            <w:r>
              <w:rPr>
                <w:rFonts w:hint="eastAsia" w:ascii="Times New Roman" w:hAnsi="Times New Roman"/>
                <w:szCs w:val="21"/>
                <w:highlight w:val="none"/>
              </w:rPr>
              <w:t xml:space="preserve">2.合同签订时间在 202</w:t>
            </w:r>
            <w:r>
              <w:rPr>
                <w:rFonts w:ascii="Times New Roman" w:hAnsi="Times New Roman"/>
                <w:szCs w:val="21"/>
                <w:highlight w:val="none"/>
              </w:rPr>
              <w:t xml:space="preserve">4</w:t>
            </w:r>
            <w:r>
              <w:rPr>
                <w:rFonts w:hint="eastAsia" w:ascii="Times New Roman" w:hAnsi="Times New Roman"/>
                <w:szCs w:val="21"/>
                <w:highlight w:val="none"/>
              </w:rPr>
              <w:t xml:space="preserve">年1 月1日至投标截止日之间，项目内容与本项目采购的监测服务内容、技术要求相匹配，供应商已完成合同履约。</w:t>
            </w:r>
            <w:r/>
          </w:p>
        </w:tc>
      </w:tr>
      <w:tr>
        <w:trPr>
          <w:jc w:val="center"/>
          <w:trHeight w:val="1338"/>
        </w:trPr>
        <w:tc>
          <w:tcPr>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jc w:val="center"/>
              <w:rPr>
                <w:rFonts w:ascii="Times New Roman" w:hAnsi="Times New Roman"/>
                <w:highlight w:val="none"/>
              </w:rPr>
            </w:pPr>
            <w:r>
              <w:rPr>
                <w:rFonts w:ascii="Times New Roman" w:hAnsi="Times New Roman"/>
                <w:highlight w:val="none"/>
              </w:rPr>
              <w:t xml:space="preserve">实验室能力</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jc w:val="center"/>
              <w:rPr>
                <w:rFonts w:ascii="Times New Roman" w:hAnsi="Times New Roman"/>
                <w:highlight w:val="none"/>
              </w:rPr>
            </w:pPr>
            <w:r>
              <w:rPr>
                <w:rFonts w:ascii="Times New Roman" w:hAnsi="Times New Roman"/>
                <w:highlight w:val="none"/>
              </w:rPr>
              <w:t xml:space="preserve">25分</w:t>
            </w:r>
            <w:r/>
          </w:p>
        </w:tc>
        <w:tc>
          <w:tcPr>
            <w:tcBorders>
              <w:top w:val="single" w:color="auto" w:sz="4" w:space="0"/>
              <w:left w:val="single" w:color="auto" w:sz="4" w:space="0"/>
              <w:bottom w:val="single" w:color="auto" w:sz="4" w:space="0"/>
              <w:right w:val="single" w:color="auto" w:sz="4" w:space="0"/>
            </w:tcBorders>
            <w:tcW w:w="7827" w:type="dxa"/>
            <w:vAlign w:val="center"/>
            <w:textDirection w:val="lrTb"/>
            <w:noWrap w:val="false"/>
          </w:tcPr>
          <w:p>
            <w:pPr>
              <w:spacing w:line="320" w:lineRule="exact"/>
              <w:rPr>
                <w:rFonts w:ascii="Times New Roman" w:hAnsi="Times New Roman"/>
                <w:szCs w:val="21"/>
                <w:highlight w:val="none"/>
              </w:rPr>
            </w:pPr>
            <w:r>
              <w:rPr>
                <w:rFonts w:hint="eastAsia" w:ascii="Times New Roman" w:hAnsi="Times New Roman"/>
                <w:b/>
                <w:bCs/>
                <w:szCs w:val="21"/>
                <w:highlight w:val="none"/>
              </w:rPr>
              <w:t xml:space="preserve">1、实验室面积（4分）：</w:t>
            </w:r>
            <w:r>
              <w:rPr>
                <w:rFonts w:hint="eastAsia" w:ascii="Times New Roman" w:hAnsi="Times New Roman"/>
                <w:szCs w:val="21"/>
                <w:highlight w:val="none"/>
              </w:rPr>
              <w:t xml:space="preserve">拥有独立的实验室，根据实验室面积大小综合比较打分。须提供房产证明或房屋租赁合同、实验室平面图等相关材料。</w:t>
            </w:r>
            <w:r/>
          </w:p>
          <w:p>
            <w:pPr>
              <w:spacing w:line="320" w:lineRule="exact"/>
              <w:rPr>
                <w:rFonts w:ascii="Times New Roman" w:hAnsi="Times New Roman"/>
                <w:szCs w:val="21"/>
                <w:highlight w:val="none"/>
              </w:rPr>
            </w:pPr>
            <w:r>
              <w:rPr>
                <w:rFonts w:hint="eastAsia" w:ascii="Times New Roman" w:hAnsi="Times New Roman"/>
                <w:szCs w:val="21"/>
                <w:highlight w:val="none"/>
              </w:rPr>
              <w:t xml:space="preserve">1500平米≤实验室面积＜2000平米得1分；2000平米≤实验室面积＜4000平米得2分；4000平米≤实验室面积得4分；未提供相关材料不得分。</w:t>
            </w:r>
            <w:r/>
          </w:p>
          <w:p>
            <w:pPr>
              <w:spacing w:line="320" w:lineRule="exact"/>
              <w:rPr>
                <w:rFonts w:ascii="Times New Roman" w:hAnsi="Times New Roman"/>
                <w:szCs w:val="21"/>
                <w:highlight w:val="none"/>
              </w:rPr>
            </w:pPr>
            <w:r>
              <w:rPr>
                <w:rFonts w:hint="eastAsia" w:ascii="Times New Roman" w:hAnsi="Times New Roman"/>
                <w:b/>
                <w:bCs/>
                <w:szCs w:val="21"/>
                <w:highlight w:val="none"/>
              </w:rPr>
              <w:t xml:space="preserve">2、实验室仪器装备（6分）：</w:t>
            </w:r>
            <w:r>
              <w:rPr>
                <w:rFonts w:hint="eastAsia" w:ascii="Times New Roman" w:hAnsi="Times New Roman"/>
                <w:szCs w:val="21"/>
                <w:highlight w:val="none"/>
              </w:rPr>
              <w:t xml:space="preserve">具有以下实验室仪器设备（气相色谱质谱联用仪、全自动有机样品提取装置、电感耦合等离子体质谱仪、液相色谱仪、气相色谱仪、离子色谱仪、电感耦合等离子体光谱仪、石墨炉原子吸收光谱仪）中的8项得6分，7-6项得3分，5-4项得1分，其他不得分。须提供设备发票或设备使用权、照片等证明文件，未提供相应资料的仪器设备不得分。</w:t>
            </w:r>
            <w:r>
              <w:rPr>
                <w:rFonts w:hint="default" w:ascii="Times New Roman" w:hAnsi="Times New Roman" w:cs="Times New Roman"/>
                <w:b/>
                <w:bCs/>
                <w:sz w:val="21"/>
                <w:szCs w:val="21"/>
                <w:highlight w:val="none"/>
              </w:rPr>
              <w:t xml:space="preserve">请按照附件</w:t>
            </w:r>
            <w:r>
              <w:rPr>
                <w:rFonts w:hint="default" w:ascii="Times New Roman" w:hAnsi="Times New Roman" w:cs="Times New Roman"/>
                <w:b/>
                <w:bCs/>
                <w:sz w:val="21"/>
                <w:szCs w:val="21"/>
                <w:highlight w:val="none"/>
                <w:lang w:val="en-US" w:eastAsia="zh-CN"/>
              </w:rPr>
              <w:t xml:space="preserve">1</w:t>
            </w:r>
            <w:r>
              <w:rPr>
                <w:rFonts w:hint="eastAsia" w:cs="Times New Roman"/>
                <w:b/>
                <w:bCs/>
                <w:sz w:val="21"/>
                <w:szCs w:val="21"/>
                <w:highlight w:val="none"/>
                <w:lang w:val="en-US" w:eastAsia="zh-CN"/>
              </w:rPr>
              <w:t xml:space="preserve">5</w:t>
            </w:r>
            <w:r>
              <w:rPr>
                <w:rFonts w:hint="default" w:ascii="Times New Roman" w:hAnsi="Times New Roman" w:cs="Times New Roman"/>
                <w:b/>
                <w:bCs/>
                <w:sz w:val="21"/>
                <w:szCs w:val="21"/>
                <w:highlight w:val="none"/>
              </w:rPr>
              <w:t xml:space="preserve">格式列表汇总</w:t>
            </w:r>
            <w:r>
              <w:rPr>
                <w:rFonts w:hint="default" w:ascii="Times New Roman" w:hAnsi="Times New Roman" w:cs="Times New Roman"/>
                <w:b/>
                <w:bCs/>
                <w:sz w:val="21"/>
                <w:szCs w:val="21"/>
                <w:highlight w:val="none"/>
                <w:lang w:eastAsia="zh-CN"/>
              </w:rPr>
              <w:t xml:space="preserve">。</w:t>
            </w:r>
            <w:r/>
          </w:p>
          <w:p>
            <w:pPr>
              <w:spacing w:line="300" w:lineRule="exact"/>
              <w:rPr>
                <w:rFonts w:ascii="Times New Roman" w:hAnsi="Times New Roman"/>
                <w:szCs w:val="21"/>
                <w:highlight w:val="none"/>
              </w:rPr>
            </w:pPr>
            <w:r>
              <w:rPr>
                <w:rFonts w:hint="eastAsia" w:ascii="Times New Roman" w:hAnsi="Times New Roman"/>
                <w:b/>
                <w:bCs/>
                <w:szCs w:val="21"/>
                <w:highlight w:val="none"/>
              </w:rPr>
              <w:t xml:space="preserve">3、能力项目（15分）：</w:t>
            </w:r>
            <w:r>
              <w:rPr>
                <w:rFonts w:hint="eastAsia" w:ascii="Times New Roman" w:hAnsi="Times New Roman"/>
                <w:szCs w:val="21"/>
                <w:highlight w:val="none"/>
              </w:rPr>
              <w:t xml:space="preserve">资质认定附表中同时包含水、气、声、土壤和沉积物4小类能力的得3分，缺1项不得分；具备海水、固废、生物、加油站/储油库大气污染物排放、非道路移动柴油机械和机动车排放能力，有1类得1分，最高4分。通过省市场监督管理局资质认定的环境、水质领域检测能力项目数（以方法计），200项以下不得分，以200为基准得2分，每增加50项加1分，最高加6分；以省市场监督管理局批准的能力表为准，未提供或非省市场监督管理批准的能力表不得分。</w:t>
            </w:r>
            <w:r>
              <w:rPr>
                <w:rFonts w:hint="default" w:ascii="Times New Roman" w:hAnsi="Times New Roman" w:cs="Times New Roman"/>
                <w:b/>
                <w:bCs/>
                <w:sz w:val="21"/>
                <w:szCs w:val="21"/>
                <w:highlight w:val="none"/>
              </w:rPr>
              <w:t xml:space="preserve">请按照附件</w:t>
            </w:r>
            <w:r>
              <w:rPr>
                <w:rFonts w:hint="default" w:ascii="Times New Roman" w:hAnsi="Times New Roman" w:cs="Times New Roman"/>
                <w:b/>
                <w:bCs/>
                <w:sz w:val="21"/>
                <w:szCs w:val="21"/>
                <w:highlight w:val="none"/>
                <w:lang w:val="en-US" w:eastAsia="zh-CN"/>
              </w:rPr>
              <w:t xml:space="preserve">1</w:t>
            </w:r>
            <w:r>
              <w:rPr>
                <w:rFonts w:hint="eastAsia" w:cs="Times New Roman"/>
                <w:b/>
                <w:bCs/>
                <w:sz w:val="21"/>
                <w:szCs w:val="21"/>
                <w:highlight w:val="none"/>
                <w:lang w:val="en-US" w:eastAsia="zh-CN"/>
              </w:rPr>
              <w:t xml:space="preserve">6</w:t>
            </w:r>
            <w:r>
              <w:rPr>
                <w:rFonts w:hint="default" w:ascii="Times New Roman" w:hAnsi="Times New Roman" w:cs="Times New Roman"/>
                <w:b/>
                <w:bCs/>
                <w:sz w:val="21"/>
                <w:szCs w:val="21"/>
                <w:highlight w:val="none"/>
              </w:rPr>
              <w:t xml:space="preserve">格式列表汇总</w:t>
            </w:r>
            <w:r>
              <w:rPr>
                <w:rFonts w:hint="default" w:ascii="Times New Roman" w:hAnsi="Times New Roman" w:cs="Times New Roman"/>
                <w:b/>
                <w:bCs/>
                <w:sz w:val="21"/>
                <w:szCs w:val="21"/>
                <w:highlight w:val="none"/>
                <w:lang w:eastAsia="zh-CN"/>
              </w:rPr>
              <w:t xml:space="preserve">。</w:t>
            </w:r>
            <w:r/>
          </w:p>
          <w:p>
            <w:pPr>
              <w:spacing w:line="320" w:lineRule="exact"/>
              <w:rPr>
                <w:rFonts w:ascii="Times New Roman" w:hAnsi="Times New Roman"/>
                <w:szCs w:val="21"/>
                <w:highlight w:val="none"/>
              </w:rPr>
            </w:pPr>
            <w:r/>
            <w:bookmarkStart w:id="110" w:name="OLE_LINK4"/>
            <w:r>
              <w:rPr>
                <w:rFonts w:hint="eastAsia" w:ascii="Times New Roman" w:hAnsi="Times New Roman"/>
                <w:szCs w:val="21"/>
                <w:highlight w:val="none"/>
              </w:rPr>
              <w:t xml:space="preserve">注：相关检测能力表述以最新的检验检测机构资质认定评审要求为准。</w:t>
            </w:r>
            <w:bookmarkEnd w:id="110"/>
            <w:r/>
            <w:r/>
          </w:p>
        </w:tc>
      </w:tr>
      <w:tr>
        <w:trPr>
          <w:jc w:val="center"/>
          <w:trHeight w:val="913"/>
        </w:trPr>
        <w:tc>
          <w:tcPr>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jc w:val="center"/>
              <w:rPr>
                <w:rFonts w:ascii="Times New Roman" w:hAnsi="Times New Roman"/>
                <w:highlight w:val="none"/>
              </w:rPr>
            </w:pPr>
            <w:r/>
            <w:bookmarkStart w:id="111" w:name="_Hlk226482353"/>
            <w:r/>
            <w:bookmarkStart w:id="112" w:name="OLE_LINK16"/>
            <w:r/>
            <w:bookmarkStart w:id="113" w:name="OLE_LINK12"/>
            <w:r>
              <w:rPr>
                <w:rFonts w:ascii="Times New Roman" w:hAnsi="Times New Roman"/>
                <w:highlight w:val="none"/>
              </w:rPr>
              <w:t xml:space="preserve">方案与报告编制</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jc w:val="center"/>
              <w:rPr>
                <w:rFonts w:ascii="Times New Roman" w:hAnsi="Times New Roman"/>
                <w:highlight w:val="none"/>
              </w:rPr>
            </w:pPr>
            <w:r>
              <w:rPr>
                <w:rFonts w:ascii="Times New Roman" w:hAnsi="Times New Roman"/>
                <w:highlight w:val="none"/>
              </w:rPr>
              <w:t xml:space="preserve">11分</w:t>
            </w:r>
            <w:r/>
          </w:p>
        </w:tc>
        <w:tc>
          <w:tcPr>
            <w:tcBorders>
              <w:top w:val="single" w:color="auto" w:sz="4" w:space="0"/>
              <w:left w:val="single" w:color="auto" w:sz="4" w:space="0"/>
              <w:bottom w:val="single" w:color="auto" w:sz="4" w:space="0"/>
              <w:right w:val="single" w:color="auto" w:sz="4" w:space="0"/>
            </w:tcBorders>
            <w:tcW w:w="7827" w:type="dxa"/>
            <w:vAlign w:val="center"/>
            <w:textDirection w:val="lrTb"/>
            <w:noWrap w:val="false"/>
          </w:tcPr>
          <w:p>
            <w:pPr>
              <w:spacing w:line="320" w:lineRule="exact"/>
              <w:rPr>
                <w:rFonts w:ascii="Times New Roman" w:hAnsi="Times New Roman"/>
                <w:szCs w:val="21"/>
                <w:highlight w:val="none"/>
              </w:rPr>
            </w:pPr>
            <w:r>
              <w:rPr>
                <w:rFonts w:hint="eastAsia" w:ascii="Times New Roman" w:hAnsi="Times New Roman"/>
                <w:b/>
                <w:bCs/>
                <w:szCs w:val="21"/>
                <w:highlight w:val="none"/>
              </w:rPr>
              <w:t xml:space="preserve">1、工作方案评审（4分）：</w:t>
            </w:r>
            <w:r>
              <w:rPr>
                <w:rFonts w:hint="eastAsia" w:ascii="Times New Roman" w:hAnsi="Times New Roman"/>
                <w:szCs w:val="21"/>
                <w:highlight w:val="none"/>
              </w:rPr>
              <w:t xml:space="preserve">针对包</w:t>
            </w:r>
            <w:r>
              <w:rPr>
                <w:rFonts w:hint="eastAsia"/>
                <w:szCs w:val="21"/>
                <w:highlight w:val="none"/>
                <w:lang w:val="en-US" w:eastAsia="zh-CN"/>
              </w:rPr>
              <w:t xml:space="preserve">3、4</w:t>
            </w:r>
            <w:r>
              <w:rPr>
                <w:rFonts w:hint="eastAsia" w:ascii="Times New Roman" w:hAnsi="Times New Roman"/>
                <w:szCs w:val="21"/>
                <w:highlight w:val="none"/>
              </w:rPr>
              <w:t xml:space="preserve">项目需求，提供202</w:t>
            </w:r>
            <w:r>
              <w:rPr>
                <w:rFonts w:ascii="Times New Roman" w:hAnsi="Times New Roman"/>
                <w:szCs w:val="21"/>
                <w:highlight w:val="none"/>
              </w:rPr>
              <w:t xml:space="preserve">4</w:t>
            </w:r>
            <w:r>
              <w:rPr>
                <w:rFonts w:hint="eastAsia" w:ascii="Times New Roman" w:hAnsi="Times New Roman"/>
                <w:szCs w:val="21"/>
                <w:highlight w:val="none"/>
              </w:rPr>
              <w:t xml:space="preserve">年度以来，投标方认为最能代表单位业务水平的常规监测工作方案1份，由评委根据工作方案的编制质量进行综合评定，结合方案的复杂程度（1分），方案的完整性（1分），方案的可操作性（1分），要素覆盖的全面性（1分）四个方面进行打分。未提供不得分。</w:t>
            </w:r>
            <w:r/>
          </w:p>
          <w:p>
            <w:pPr>
              <w:spacing w:line="320" w:lineRule="exact"/>
              <w:rPr>
                <w:rFonts w:ascii="Times New Roman" w:hAnsi="Times New Roman"/>
                <w:szCs w:val="21"/>
                <w:highlight w:val="none"/>
              </w:rPr>
            </w:pPr>
            <w:r>
              <w:rPr>
                <w:rFonts w:hint="eastAsia" w:ascii="Times New Roman" w:hAnsi="Times New Roman"/>
                <w:b/>
                <w:bCs/>
                <w:szCs w:val="21"/>
                <w:highlight w:val="none"/>
              </w:rPr>
              <w:t xml:space="preserve">2、应急监测方案评审（2分）：</w:t>
            </w:r>
            <w:r>
              <w:rPr>
                <w:rFonts w:hint="eastAsia" w:ascii="Times New Roman" w:hAnsi="Times New Roman"/>
                <w:szCs w:val="21"/>
                <w:highlight w:val="none"/>
              </w:rPr>
              <w:t xml:space="preserve">提供202</w:t>
            </w:r>
            <w:r>
              <w:rPr>
                <w:rFonts w:ascii="Times New Roman" w:hAnsi="Times New Roman"/>
                <w:szCs w:val="21"/>
                <w:highlight w:val="none"/>
              </w:rPr>
              <w:t xml:space="preserve">4</w:t>
            </w:r>
            <w:r>
              <w:rPr>
                <w:rFonts w:hint="eastAsia" w:ascii="Times New Roman" w:hAnsi="Times New Roman"/>
                <w:szCs w:val="21"/>
                <w:highlight w:val="none"/>
              </w:rPr>
              <w:t xml:space="preserve">年度以来，投标方认为最能代表单位业务水平的突发事件应急监测方案1份：由评委根据方案的编制质量，从方案的完整性、合理性、规范性等方面进行综合评定，较好得2分；一般得1分；较差或未提供不得分。</w:t>
            </w:r>
            <w:r/>
          </w:p>
          <w:p>
            <w:pPr>
              <w:spacing w:line="320" w:lineRule="exact"/>
              <w:rPr>
                <w:rFonts w:ascii="Times New Roman" w:hAnsi="Times New Roman"/>
                <w:szCs w:val="21"/>
                <w:highlight w:val="none"/>
              </w:rPr>
            </w:pPr>
            <w:r>
              <w:rPr>
                <w:rFonts w:hint="eastAsia" w:ascii="Times New Roman" w:hAnsi="Times New Roman"/>
                <w:b/>
                <w:bCs/>
                <w:szCs w:val="21"/>
                <w:highlight w:val="none"/>
              </w:rPr>
              <w:t xml:space="preserve">3、监测报告评审（5分）：</w:t>
            </w:r>
            <w:r>
              <w:rPr>
                <w:rFonts w:hint="eastAsia" w:ascii="Times New Roman" w:hAnsi="Times New Roman"/>
                <w:szCs w:val="21"/>
                <w:highlight w:val="none"/>
              </w:rPr>
              <w:t xml:space="preserve">提供202</w:t>
            </w:r>
            <w:r>
              <w:rPr>
                <w:rFonts w:ascii="Times New Roman" w:hAnsi="Times New Roman"/>
                <w:szCs w:val="21"/>
                <w:highlight w:val="none"/>
              </w:rPr>
              <w:t xml:space="preserve">4</w:t>
            </w:r>
            <w:r>
              <w:rPr>
                <w:rFonts w:hint="eastAsia" w:ascii="Times New Roman" w:hAnsi="Times New Roman"/>
                <w:szCs w:val="21"/>
                <w:highlight w:val="none"/>
              </w:rPr>
              <w:t xml:space="preserve">年度以来，最能代表投标方业务水平的监测成果报告5份（其中监测成果报告水、气、声、土、应急监测各1份，包括监测方案、现场监测原始记录、分析原始记录以及成果报告等相关的资料</w:t>
            </w:r>
            <w:bookmarkStart w:id="114" w:name="OLE_LINK42"/>
            <w:r/>
            <w:bookmarkStart w:id="115" w:name="OLE_LINK43"/>
            <w:r>
              <w:rPr>
                <w:rFonts w:hint="eastAsia" w:ascii="Times New Roman" w:hAnsi="Times New Roman"/>
                <w:szCs w:val="21"/>
                <w:highlight w:val="none"/>
              </w:rPr>
              <w:t xml:space="preserve">；必须为实际开展的检测工作</w:t>
            </w:r>
            <w:bookmarkEnd w:id="114"/>
            <w:r/>
            <w:bookmarkEnd w:id="115"/>
            <w:r>
              <w:rPr>
                <w:rFonts w:hint="eastAsia" w:ascii="Times New Roman" w:hAnsi="Times New Roman"/>
                <w:szCs w:val="21"/>
                <w:highlight w:val="none"/>
              </w:rPr>
              <w:t xml:space="preserve">），由评委根据报告的编制质量进行综合评定，结合报告的难易程度（较难的得1分，一般得0.5分，较差不得分），报告的规范性（较好的得1分，一般得0.5分，较差不得分），报告引用标准和结论评价的准确性（较好的得1分，一般得0.5分，较差不得分），原始记录及附件支撑材料的规范性（较好的得2分，一般得0.5分，较差不得分）进行打分；缺1份报告该项不得分。</w:t>
            </w:r>
            <w:bookmarkEnd w:id="111"/>
            <w:bookmarkEnd w:id="112"/>
            <w:bookmarkEnd w:id="113"/>
            <w:r/>
          </w:p>
        </w:tc>
      </w:tr>
      <w:tr>
        <w:trPr>
          <w:jc w:val="center"/>
          <w:trHeight w:val="913"/>
        </w:trPr>
        <w:tc>
          <w:tcPr>
            <w:tcW w:w="1174" w:type="dxa"/>
            <w:vAlign w:val="center"/>
            <w:textDirection w:val="lrTb"/>
            <w:noWrap w:val="false"/>
          </w:tcPr>
          <w:p>
            <w:pPr>
              <w:rPr>
                <w:rFonts w:ascii="Times New Roman" w:hAnsi="Times New Roman"/>
                <w:highlight w:val="none"/>
              </w:rPr>
            </w:pPr>
            <w:r/>
            <w:bookmarkStart w:id="116" w:name="_Hlk198924565"/>
            <w:r>
              <w:rPr>
                <w:rFonts w:ascii="Times New Roman" w:hAnsi="Times New Roman"/>
                <w:highlight w:val="none"/>
              </w:rPr>
              <w:t xml:space="preserve">质量管理体系运行情况</w:t>
            </w:r>
            <w:r/>
          </w:p>
        </w:tc>
        <w:tc>
          <w:tcPr>
            <w:tcW w:w="701" w:type="dxa"/>
            <w:vAlign w:val="center"/>
            <w:textDirection w:val="lrTb"/>
            <w:noWrap w:val="false"/>
          </w:tcPr>
          <w:p>
            <w:pPr>
              <w:rPr>
                <w:rFonts w:ascii="Times New Roman" w:hAnsi="Times New Roman"/>
                <w:highlight w:val="none"/>
              </w:rPr>
            </w:pPr>
            <w:r>
              <w:rPr>
                <w:rFonts w:ascii="Times New Roman" w:hAnsi="Times New Roman"/>
                <w:highlight w:val="none"/>
              </w:rPr>
              <w:t xml:space="preserve">14分</w:t>
            </w:r>
            <w:r/>
          </w:p>
        </w:tc>
        <w:tc>
          <w:tcPr>
            <w:tcW w:w="7827" w:type="dxa"/>
            <w:vAlign w:val="center"/>
            <w:textDirection w:val="lrTb"/>
            <w:noWrap w:val="false"/>
          </w:tcPr>
          <w:p>
            <w:pPr>
              <w:spacing w:line="320" w:lineRule="exact"/>
              <w:rPr>
                <w:rFonts w:ascii="Times New Roman" w:hAnsi="Times New Roman"/>
                <w:szCs w:val="21"/>
                <w:highlight w:val="none"/>
              </w:rPr>
            </w:pPr>
            <w:r>
              <w:rPr>
                <w:rFonts w:hint="eastAsia" w:ascii="Times New Roman" w:hAnsi="Times New Roman"/>
                <w:szCs w:val="21"/>
                <w:highlight w:val="none"/>
              </w:rPr>
              <w:t xml:space="preserve">投标方须提供现行有效的质量手册</w:t>
            </w:r>
            <w:r>
              <w:rPr>
                <w:rFonts w:hint="eastAsia" w:ascii="Times New Roman" w:hAnsi="Times New Roman"/>
                <w:szCs w:val="21"/>
                <w:highlight w:val="none"/>
                <w:lang w:eastAsia="zh-CN"/>
              </w:rPr>
              <w:t xml:space="preserve">目录</w:t>
            </w:r>
            <w:r>
              <w:rPr>
                <w:rFonts w:hint="eastAsia" w:ascii="Times New Roman" w:hAnsi="Times New Roman"/>
                <w:szCs w:val="21"/>
                <w:highlight w:val="none"/>
              </w:rPr>
              <w:t xml:space="preserve">、程序文件</w:t>
            </w:r>
            <w:r>
              <w:rPr>
                <w:rFonts w:hint="eastAsia" w:ascii="Times New Roman" w:hAnsi="Times New Roman"/>
                <w:szCs w:val="21"/>
                <w:highlight w:val="none"/>
                <w:lang w:eastAsia="zh-CN"/>
              </w:rPr>
              <w:t xml:space="preserve">目录</w:t>
            </w:r>
            <w:r>
              <w:rPr>
                <w:rFonts w:hint="eastAsia" w:ascii="Times New Roman" w:hAnsi="Times New Roman"/>
                <w:szCs w:val="21"/>
                <w:highlight w:val="none"/>
              </w:rPr>
              <w:t xml:space="preserve">、表格表单目录、2026年度质量控制措施、2026年度业务培训计划，2026年度参加能力验证、测量审核计划，2026年度检测能力扩项计划，2026年度监测仪器周期检定/校准计划，2026年度量值溯源和期间核查计划以及最近1次的内审、管理评审记录等进行综合评定，评委将根据《检验检测机构资质认定评审准则》《检验检测机构资质认定生态环境监测机构评审补充要求（2025 年）》等相关要求，对提供材料的</w:t>
            </w:r>
            <w:bookmarkStart w:id="117" w:name="OLE_LINK18"/>
            <w:r/>
            <w:bookmarkStart w:id="118" w:name="OLE_LINK17"/>
            <w:r>
              <w:rPr>
                <w:rFonts w:hint="eastAsia" w:ascii="Times New Roman" w:hAnsi="Times New Roman"/>
                <w:szCs w:val="21"/>
                <w:highlight w:val="none"/>
              </w:rPr>
              <w:t xml:space="preserve">完整程度（较完整的得4分，一般得1.5分，较差不得分），适用性（</w:t>
            </w:r>
            <w:bookmarkStart w:id="119" w:name="OLE_LINK9"/>
            <w:r>
              <w:rPr>
                <w:rFonts w:hint="eastAsia" w:ascii="Times New Roman" w:hAnsi="Times New Roman"/>
                <w:szCs w:val="21"/>
                <w:highlight w:val="none"/>
              </w:rPr>
              <w:t xml:space="preserve">较好的得</w:t>
            </w:r>
            <w:r>
              <w:rPr>
                <w:rFonts w:ascii="Times New Roman" w:hAnsi="Times New Roman"/>
                <w:szCs w:val="21"/>
                <w:highlight w:val="none"/>
              </w:rPr>
              <w:t xml:space="preserve">2</w:t>
            </w:r>
            <w:r>
              <w:rPr>
                <w:rFonts w:hint="eastAsia" w:ascii="Times New Roman" w:hAnsi="Times New Roman"/>
                <w:szCs w:val="21"/>
                <w:highlight w:val="none"/>
              </w:rPr>
              <w:t xml:space="preserve">分，一般得1.5分，较差不得分</w:t>
            </w:r>
            <w:bookmarkEnd w:id="119"/>
            <w:r>
              <w:rPr>
                <w:rFonts w:hint="eastAsia" w:ascii="Times New Roman" w:hAnsi="Times New Roman"/>
                <w:szCs w:val="21"/>
                <w:highlight w:val="none"/>
              </w:rPr>
              <w:t xml:space="preserve">），有效性（较好的得4分，一般得1.5分，较差不得分），持续改进情况（较好的得4分，一般得1.5分，较差不得分）进行打分</w:t>
            </w:r>
            <w:bookmarkEnd w:id="117"/>
            <w:r/>
            <w:bookmarkEnd w:id="118"/>
            <w:r>
              <w:rPr>
                <w:rFonts w:hint="eastAsia" w:ascii="Times New Roman" w:hAnsi="Times New Roman"/>
                <w:szCs w:val="21"/>
                <w:highlight w:val="none"/>
              </w:rPr>
              <w:t xml:space="preserve">；未提供不得分。</w:t>
            </w:r>
            <w:bookmarkEnd w:id="116"/>
            <w:r/>
          </w:p>
        </w:tc>
      </w:tr>
      <w:tr>
        <w:trPr>
          <w:jc w:val="center"/>
          <w:trHeight w:val="274"/>
        </w:trPr>
        <w:tc>
          <w:tcPr>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rPr>
                <w:rFonts w:ascii="Times New Roman" w:hAnsi="Times New Roman"/>
                <w:highlight w:val="none"/>
              </w:rPr>
            </w:pPr>
            <w:r>
              <w:rPr>
                <w:rFonts w:ascii="Times New Roman" w:hAnsi="Times New Roman"/>
                <w:highlight w:val="none"/>
              </w:rPr>
              <w:t xml:space="preserve">服务响应与其他</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rPr>
                <w:rFonts w:ascii="Times New Roman" w:hAnsi="Times New Roman"/>
                <w:highlight w:val="none"/>
              </w:rPr>
            </w:pPr>
            <w:r>
              <w:rPr>
                <w:rFonts w:ascii="Times New Roman" w:hAnsi="Times New Roman"/>
                <w:highlight w:val="none"/>
              </w:rPr>
              <w:t xml:space="preserve">10分</w:t>
            </w:r>
            <w:r/>
          </w:p>
        </w:tc>
        <w:tc>
          <w:tcPr>
            <w:tcBorders>
              <w:top w:val="single" w:color="auto" w:sz="4" w:space="0"/>
              <w:left w:val="single" w:color="auto" w:sz="4" w:space="0"/>
              <w:bottom w:val="single" w:color="auto" w:sz="4" w:space="0"/>
              <w:right w:val="single" w:color="auto" w:sz="4" w:space="0"/>
            </w:tcBorders>
            <w:tcW w:w="7827" w:type="dxa"/>
            <w:vAlign w:val="center"/>
            <w:textDirection w:val="lrTb"/>
            <w:noWrap w:val="false"/>
          </w:tcPr>
          <w:p>
            <w:pPr>
              <w:spacing w:line="320" w:lineRule="exact"/>
              <w:rPr>
                <w:rFonts w:ascii="Times New Roman" w:hAnsi="Times New Roman"/>
                <w:b/>
                <w:bCs/>
                <w:szCs w:val="21"/>
                <w:highlight w:val="none"/>
              </w:rPr>
            </w:pPr>
            <w:r/>
            <w:bookmarkStart w:id="120" w:name="OLE_LINK46"/>
            <w:r/>
            <w:bookmarkStart w:id="121" w:name="OLE_LINK47"/>
            <w:r>
              <w:rPr>
                <w:rFonts w:hint="eastAsia" w:ascii="Times New Roman" w:hAnsi="Times New Roman"/>
                <w:b/>
                <w:bCs/>
                <w:szCs w:val="21"/>
                <w:highlight w:val="none"/>
              </w:rPr>
              <w:t xml:space="preserve">1、能保证做出的服务优先级（3分）：</w:t>
            </w:r>
            <w:r/>
          </w:p>
          <w:p>
            <w:pPr>
              <w:spacing w:line="320" w:lineRule="exact"/>
              <w:rPr>
                <w:rFonts w:ascii="Times New Roman" w:hAnsi="Times New Roman"/>
                <w:szCs w:val="21"/>
                <w:highlight w:val="none"/>
              </w:rPr>
            </w:pPr>
            <w:r>
              <w:rPr>
                <w:rFonts w:hint="eastAsia" w:ascii="Times New Roman" w:hAnsi="Times New Roman"/>
                <w:szCs w:val="21"/>
                <w:highlight w:val="none"/>
              </w:rPr>
              <w:t xml:space="preserve">投标人需对以下事项作出承诺或声明：</w:t>
            </w:r>
            <w:r/>
          </w:p>
          <w:p>
            <w:pPr>
              <w:spacing w:line="320" w:lineRule="exact"/>
              <w:rPr>
                <w:rFonts w:ascii="Times New Roman" w:hAnsi="Times New Roman"/>
                <w:szCs w:val="21"/>
                <w:highlight w:val="none"/>
              </w:rPr>
            </w:pPr>
            <w:r>
              <w:rPr>
                <w:rFonts w:hint="eastAsia" w:ascii="Times New Roman" w:hAnsi="Times New Roman"/>
                <w:szCs w:val="21"/>
                <w:highlight w:val="none"/>
              </w:rPr>
              <w:t xml:space="preserve">（1）保证检测工作真实有效，不弄虚作假。</w:t>
            </w:r>
            <w:r/>
          </w:p>
          <w:p>
            <w:pPr>
              <w:spacing w:line="320" w:lineRule="exact"/>
              <w:rPr>
                <w:rFonts w:ascii="Times New Roman" w:hAnsi="Times New Roman"/>
                <w:szCs w:val="21"/>
                <w:highlight w:val="none"/>
              </w:rPr>
            </w:pPr>
            <w:r>
              <w:rPr>
                <w:rFonts w:hint="eastAsia" w:ascii="Times New Roman" w:hAnsi="Times New Roman"/>
                <w:szCs w:val="21"/>
                <w:highlight w:val="none"/>
              </w:rPr>
              <w:t xml:space="preserve">（2）保证检测工作符合相关技术规范、标准，发现瑕疵妥善处理。</w:t>
            </w:r>
            <w:r/>
          </w:p>
          <w:p>
            <w:pPr>
              <w:spacing w:line="320" w:lineRule="exact"/>
              <w:rPr>
                <w:rFonts w:ascii="Times New Roman" w:hAnsi="Times New Roman"/>
                <w:szCs w:val="21"/>
                <w:highlight w:val="none"/>
              </w:rPr>
            </w:pPr>
            <w:r>
              <w:rPr>
                <w:rFonts w:hint="eastAsia" w:ascii="Times New Roman" w:hAnsi="Times New Roman"/>
                <w:szCs w:val="21"/>
                <w:highlight w:val="none"/>
              </w:rPr>
              <w:t xml:space="preserve">（</w:t>
            </w:r>
            <w:r>
              <w:rPr>
                <w:rFonts w:ascii="Times New Roman" w:hAnsi="Times New Roman"/>
                <w:szCs w:val="21"/>
                <w:highlight w:val="none"/>
              </w:rPr>
              <w:t xml:space="preserve">3</w:t>
            </w:r>
            <w:r>
              <w:rPr>
                <w:rFonts w:hint="eastAsia" w:ascii="Times New Roman" w:hAnsi="Times New Roman"/>
                <w:szCs w:val="21"/>
                <w:highlight w:val="none"/>
              </w:rPr>
              <w:t xml:space="preserve">）接受南通市生态环境局、南通市生态环境监测站的质量监督、检查，就服务内容及时提交报告、原始记录、合同等相关材料。</w:t>
            </w:r>
            <w:r/>
          </w:p>
          <w:p>
            <w:pPr>
              <w:spacing w:line="320" w:lineRule="exact"/>
              <w:rPr>
                <w:rFonts w:ascii="Times New Roman" w:hAnsi="Times New Roman"/>
                <w:szCs w:val="21"/>
                <w:highlight w:val="none"/>
              </w:rPr>
            </w:pPr>
            <w:r>
              <w:rPr>
                <w:rFonts w:hint="eastAsia" w:ascii="Times New Roman" w:hAnsi="Times New Roman"/>
                <w:szCs w:val="21"/>
                <w:highlight w:val="none"/>
              </w:rPr>
              <w:t xml:space="preserve">（</w:t>
            </w:r>
            <w:r>
              <w:rPr>
                <w:rFonts w:ascii="Times New Roman" w:hAnsi="Times New Roman"/>
                <w:szCs w:val="21"/>
                <w:highlight w:val="none"/>
              </w:rPr>
              <w:t xml:space="preserve">4</w:t>
            </w:r>
            <w:r>
              <w:rPr>
                <w:rFonts w:hint="eastAsia" w:ascii="Times New Roman" w:hAnsi="Times New Roman"/>
                <w:szCs w:val="21"/>
                <w:highlight w:val="none"/>
              </w:rPr>
              <w:t xml:space="preserve">）当出现异常时，保证第一时间能开展加密监测等工作，并快速出具报告。</w:t>
            </w:r>
            <w:r/>
          </w:p>
          <w:p>
            <w:pPr>
              <w:spacing w:line="320" w:lineRule="exact"/>
              <w:rPr>
                <w:rFonts w:ascii="Times New Roman" w:hAnsi="Times New Roman"/>
                <w:szCs w:val="21"/>
                <w:highlight w:val="none"/>
              </w:rPr>
            </w:pPr>
            <w:r>
              <w:rPr>
                <w:rFonts w:hint="eastAsia" w:ascii="Times New Roman" w:hAnsi="Times New Roman"/>
                <w:szCs w:val="21"/>
                <w:highlight w:val="none"/>
              </w:rPr>
              <w:t xml:space="preserve">（</w:t>
            </w:r>
            <w:r>
              <w:rPr>
                <w:rFonts w:ascii="Times New Roman" w:hAnsi="Times New Roman"/>
                <w:szCs w:val="21"/>
                <w:highlight w:val="none"/>
              </w:rPr>
              <w:t xml:space="preserve">5</w:t>
            </w:r>
            <w:r>
              <w:rPr>
                <w:rFonts w:hint="eastAsia" w:ascii="Times New Roman" w:hAnsi="Times New Roman"/>
                <w:szCs w:val="21"/>
                <w:highlight w:val="none"/>
              </w:rPr>
              <w:t xml:space="preserve">）</w:t>
            </w:r>
            <w:r>
              <w:rPr>
                <w:rFonts w:ascii="Times New Roman" w:hAnsi="Times New Roman"/>
                <w:szCs w:val="21"/>
                <w:highlight w:val="none"/>
              </w:rPr>
              <w:t xml:space="preserve">将严格按照招标</w:t>
            </w:r>
            <w:r>
              <w:rPr>
                <w:rFonts w:hint="eastAsia" w:ascii="Times New Roman" w:hAnsi="Times New Roman"/>
                <w:szCs w:val="21"/>
                <w:highlight w:val="none"/>
              </w:rPr>
              <w:t xml:space="preserve">人</w:t>
            </w:r>
            <w:r>
              <w:rPr>
                <w:rFonts w:ascii="Times New Roman" w:hAnsi="Times New Roman"/>
                <w:szCs w:val="21"/>
                <w:highlight w:val="none"/>
              </w:rPr>
              <w:t xml:space="preserve">及项目实际需求，保质、保量、按时完成全部服务工作，确保项目顺利实施。</w:t>
            </w:r>
            <w:r/>
          </w:p>
          <w:p>
            <w:pPr>
              <w:spacing w:line="320" w:lineRule="exact"/>
              <w:rPr>
                <w:rFonts w:ascii="Times New Roman" w:hAnsi="Times New Roman"/>
                <w:szCs w:val="21"/>
                <w:highlight w:val="none"/>
              </w:rPr>
            </w:pPr>
            <w:r>
              <w:rPr>
                <w:rFonts w:hint="eastAsia" w:ascii="Times New Roman" w:hAnsi="Times New Roman"/>
                <w:szCs w:val="21"/>
                <w:highlight w:val="none"/>
              </w:rPr>
              <w:t xml:space="preserve">注：以上内容未提供不得分，有任一项缺失不得分。</w:t>
            </w:r>
            <w:r/>
          </w:p>
          <w:p>
            <w:pPr>
              <w:spacing w:line="320" w:lineRule="exact"/>
              <w:rPr>
                <w:rFonts w:ascii="Times New Roman" w:hAnsi="Times New Roman"/>
                <w:szCs w:val="21"/>
                <w:highlight w:val="none"/>
              </w:rPr>
            </w:pPr>
            <w:r/>
            <w:bookmarkStart w:id="122" w:name="OLE_LINK14"/>
            <w:r/>
            <w:bookmarkStart w:id="123" w:name="OLE_LINK13"/>
            <w:r>
              <w:rPr>
                <w:rFonts w:hint="eastAsia" w:ascii="Times New Roman" w:hAnsi="Times New Roman"/>
                <w:b/>
                <w:bCs/>
                <w:szCs w:val="21"/>
                <w:highlight w:val="none"/>
              </w:rPr>
              <w:t xml:space="preserve">2、保证服务响应快速（2分）：</w:t>
            </w:r>
            <w:r>
              <w:rPr>
                <w:rFonts w:hint="eastAsia" w:ascii="Times New Roman" w:hAnsi="Times New Roman"/>
                <w:szCs w:val="21"/>
                <w:highlight w:val="none"/>
              </w:rPr>
              <w:t xml:space="preserve">提供服务内容满足时限要求，必要时能在节假日和夜间加班。由评委根据投标方提供接收到指令后各环节流程图（1分）、节假日、夜间值班机制（含车辆）（1分）两个方面进行打分。未提供不得分。</w:t>
            </w:r>
            <w:r/>
          </w:p>
          <w:p>
            <w:pPr>
              <w:spacing w:line="300" w:lineRule="exact"/>
              <w:rPr>
                <w:rFonts w:ascii="Times New Roman" w:hAnsi="Times New Roman"/>
                <w:szCs w:val="21"/>
                <w:highlight w:val="none"/>
              </w:rPr>
            </w:pPr>
            <w:r>
              <w:rPr>
                <w:rFonts w:hint="eastAsia" w:ascii="Times New Roman" w:hAnsi="Times New Roman"/>
                <w:b/>
                <w:szCs w:val="21"/>
                <w:highlight w:val="none"/>
              </w:rPr>
              <w:t xml:space="preserve">3、应急监测保障（</w:t>
            </w:r>
            <w:r>
              <w:rPr>
                <w:rFonts w:ascii="Times New Roman" w:hAnsi="Times New Roman"/>
                <w:b/>
                <w:szCs w:val="21"/>
                <w:highlight w:val="none"/>
              </w:rPr>
              <w:t xml:space="preserve">2</w:t>
            </w:r>
            <w:r>
              <w:rPr>
                <w:rFonts w:hint="eastAsia" w:ascii="Times New Roman" w:hAnsi="Times New Roman"/>
                <w:b/>
                <w:szCs w:val="21"/>
                <w:highlight w:val="none"/>
              </w:rPr>
              <w:t xml:space="preserve">分）</w:t>
            </w:r>
            <w:r>
              <w:rPr>
                <w:rFonts w:hint="eastAsia" w:ascii="Times New Roman" w:hAnsi="Times New Roman"/>
                <w:szCs w:val="21"/>
                <w:highlight w:val="none"/>
              </w:rPr>
              <w:t xml:space="preserve">：提供202</w:t>
            </w:r>
            <w:r>
              <w:rPr>
                <w:rFonts w:ascii="Times New Roman" w:hAnsi="Times New Roman"/>
                <w:szCs w:val="21"/>
                <w:highlight w:val="none"/>
              </w:rPr>
              <w:t xml:space="preserve">4</w:t>
            </w:r>
            <w:r>
              <w:rPr>
                <w:rFonts w:hint="eastAsia" w:ascii="Times New Roman" w:hAnsi="Times New Roman"/>
                <w:szCs w:val="21"/>
                <w:highlight w:val="none"/>
              </w:rPr>
              <w:t xml:space="preserve">年以来，参与的突发事件应急监测实例，1次得0.5分，最高得</w:t>
            </w:r>
            <w:r>
              <w:rPr>
                <w:rFonts w:ascii="Times New Roman" w:hAnsi="Times New Roman"/>
                <w:szCs w:val="21"/>
                <w:highlight w:val="none"/>
              </w:rPr>
              <w:t xml:space="preserve">2</w:t>
            </w:r>
            <w:r>
              <w:rPr>
                <w:rFonts w:hint="eastAsia" w:ascii="Times New Roman" w:hAnsi="Times New Roman"/>
                <w:szCs w:val="21"/>
                <w:highlight w:val="none"/>
              </w:rPr>
              <w:t xml:space="preserve">分。需提供实例的应急监测报告、事发地生态环境局证明材料等，未提供不得分。</w:t>
            </w:r>
            <w:bookmarkEnd w:id="122"/>
            <w:bookmarkEnd w:id="123"/>
            <w:r/>
          </w:p>
          <w:p>
            <w:pPr>
              <w:spacing w:line="320" w:lineRule="exact"/>
              <w:rPr>
                <w:rFonts w:ascii="Times New Roman" w:hAnsi="Times New Roman"/>
                <w:szCs w:val="21"/>
                <w:highlight w:val="none"/>
              </w:rPr>
            </w:pPr>
            <w:r>
              <w:rPr>
                <w:rFonts w:hint="eastAsia" w:ascii="Times New Roman" w:hAnsi="Times New Roman"/>
                <w:b/>
                <w:bCs/>
                <w:szCs w:val="21"/>
                <w:highlight w:val="none"/>
              </w:rPr>
              <w:t xml:space="preserve">4、能力扩项情况（</w:t>
            </w:r>
            <w:r>
              <w:rPr>
                <w:rFonts w:ascii="Times New Roman" w:hAnsi="Times New Roman"/>
                <w:b/>
                <w:bCs/>
                <w:szCs w:val="21"/>
                <w:highlight w:val="none"/>
              </w:rPr>
              <w:t xml:space="preserve">3</w:t>
            </w:r>
            <w:r>
              <w:rPr>
                <w:rFonts w:hint="eastAsia" w:ascii="Times New Roman" w:hAnsi="Times New Roman"/>
                <w:b/>
                <w:bCs/>
                <w:szCs w:val="21"/>
                <w:highlight w:val="none"/>
              </w:rPr>
              <w:t xml:space="preserve">分）：</w:t>
            </w:r>
            <w:r>
              <w:rPr>
                <w:rFonts w:hint="eastAsia" w:ascii="Times New Roman" w:hAnsi="Times New Roman"/>
                <w:szCs w:val="21"/>
                <w:highlight w:val="none"/>
              </w:rPr>
              <w:t xml:space="preserve">202</w:t>
            </w:r>
            <w:r>
              <w:rPr>
                <w:rFonts w:ascii="Times New Roman" w:hAnsi="Times New Roman"/>
                <w:szCs w:val="21"/>
                <w:highlight w:val="none"/>
              </w:rPr>
              <w:t xml:space="preserve">4</w:t>
            </w:r>
            <w:r>
              <w:rPr>
                <w:rFonts w:hint="eastAsia" w:ascii="Times New Roman" w:hAnsi="Times New Roman"/>
                <w:szCs w:val="21"/>
                <w:highlight w:val="none"/>
              </w:rPr>
              <w:t xml:space="preserve">年以来组织开展检测能力扩项并取得资质的（每次取得资质不得少于50项），每1次得1分，最高</w:t>
            </w:r>
            <w:r>
              <w:rPr>
                <w:rFonts w:ascii="Times New Roman" w:hAnsi="Times New Roman"/>
                <w:szCs w:val="21"/>
                <w:highlight w:val="none"/>
              </w:rPr>
              <w:t xml:space="preserve">3</w:t>
            </w:r>
            <w:r>
              <w:rPr>
                <w:rFonts w:hint="eastAsia" w:ascii="Times New Roman" w:hAnsi="Times New Roman"/>
                <w:szCs w:val="21"/>
                <w:highlight w:val="none"/>
              </w:rPr>
              <w:t xml:space="preserve">分（需提供每次不符合项整改报告以及批准的能力附表等相关资料，未提供或缺项不得分）。</w:t>
            </w:r>
            <w:bookmarkEnd w:id="120"/>
            <w:r/>
            <w:bookmarkEnd w:id="121"/>
            <w:r/>
            <w:r/>
          </w:p>
        </w:tc>
      </w:tr>
    </w:tbl>
    <w:p>
      <w:pPr>
        <w:ind w:firstLine="420"/>
        <w:jc w:val="left"/>
        <w:spacing w:line="520" w:lineRule="exact"/>
        <w:rPr>
          <w:rFonts w:hint="eastAsia" w:ascii="Times New Roman" w:hAnsi="Times New Roman" w:eastAsia="仿宋_GB2312"/>
          <w:b/>
          <w:bCs/>
          <w:szCs w:val="24"/>
          <w:highlight w:val="none"/>
        </w:rPr>
      </w:pPr>
      <w:r>
        <w:rPr>
          <w:rFonts w:hint="eastAsia" w:ascii="Times New Roman" w:hAnsi="Times New Roman" w:eastAsia="仿宋_GB2312"/>
          <w:b/>
          <w:bCs/>
          <w:szCs w:val="24"/>
          <w:highlight w:val="none"/>
        </w:rPr>
      </w:r>
      <w:r/>
    </w:p>
    <w:p>
      <w:pPr>
        <w:ind w:firstLine="480"/>
        <w:jc w:val="left"/>
        <w:spacing w:line="520" w:lineRule="exact"/>
        <w:rPr>
          <w:rFonts w:hint="eastAsia" w:ascii="Times New Roman" w:hAnsi="Times New Roman" w:eastAsia="仿宋_GB2312"/>
          <w:b/>
          <w:bCs/>
          <w:sz w:val="24"/>
          <w:szCs w:val="32"/>
          <w:highlight w:val="none"/>
        </w:rPr>
      </w:pPr>
      <w:r>
        <w:rPr>
          <w:rFonts w:hint="eastAsia" w:ascii="Times New Roman" w:hAnsi="Times New Roman" w:eastAsia="仿宋_GB2312"/>
          <w:b/>
          <w:bCs/>
          <w:sz w:val="24"/>
          <w:szCs w:val="32"/>
          <w:highlight w:val="none"/>
        </w:rPr>
        <w:t xml:space="preserve">包</w:t>
      </w:r>
      <w:r>
        <w:rPr>
          <w:rFonts w:hint="eastAsia" w:eastAsia="仿宋_GB2312"/>
          <w:b/>
          <w:bCs/>
          <w:sz w:val="24"/>
          <w:szCs w:val="32"/>
          <w:highlight w:val="none"/>
          <w:lang w:val="en-US" w:eastAsia="zh-CN"/>
        </w:rPr>
        <w:t xml:space="preserve">5</w:t>
      </w:r>
      <w:r>
        <w:rPr>
          <w:rFonts w:hint="eastAsia" w:ascii="Times New Roman" w:hAnsi="Times New Roman" w:eastAsia="仿宋_GB2312"/>
          <w:b/>
          <w:bCs/>
          <w:sz w:val="24"/>
          <w:szCs w:val="32"/>
          <w:highlight w:val="none"/>
        </w:rPr>
        <w:t xml:space="preserve">：</w:t>
      </w:r>
      <w:r/>
    </w:p>
    <w:tbl>
      <w:tblPr>
        <w:tblStyle w:val="873"/>
        <w:tblpPr w:horzAnchor="page" w:tblpXSpec="center" w:vertAnchor="text" w:tblpY="493" w:leftFromText="180" w:topFromText="0" w:rightFromText="180" w:bottomFromText="0"/>
        <w:tblW w:w="97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2"/>
        <w:gridCol w:w="713"/>
        <w:gridCol w:w="7827"/>
      </w:tblGrid>
      <w:tr>
        <w:trPr>
          <w:jc w:val="center"/>
          <w:trHeight w:val="374"/>
        </w:trPr>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jc w:val="center"/>
              <w:spacing w:line="300" w:lineRule="exact"/>
              <w:rPr>
                <w:rFonts w:ascii="Times New Roman" w:hAnsi="Times New Roman"/>
                <w:b/>
                <w:highlight w:val="none"/>
              </w:rPr>
            </w:pPr>
            <w:r>
              <w:rPr>
                <w:rFonts w:ascii="Times New Roman" w:hAnsi="Times New Roman"/>
                <w:b/>
                <w:highlight w:val="none"/>
              </w:rPr>
              <w:t xml:space="preserve">评审</w:t>
            </w:r>
            <w:r/>
          </w:p>
          <w:p>
            <w:pPr>
              <w:jc w:val="center"/>
              <w:spacing w:line="300" w:lineRule="exact"/>
              <w:rPr>
                <w:rFonts w:ascii="Times New Roman" w:hAnsi="Times New Roman"/>
                <w:b/>
                <w:highlight w:val="none"/>
              </w:rPr>
            </w:pPr>
            <w:r>
              <w:rPr>
                <w:rFonts w:ascii="Times New Roman" w:hAnsi="Times New Roman"/>
                <w:b/>
                <w:highlight w:val="none"/>
              </w:rPr>
              <w:t xml:space="preserve">因素</w:t>
            </w:r>
            <w:r/>
          </w:p>
        </w:tc>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rPr>
                <w:rFonts w:ascii="Times New Roman" w:hAnsi="Times New Roman"/>
                <w:b/>
                <w:highlight w:val="none"/>
              </w:rPr>
            </w:pPr>
            <w:r>
              <w:rPr>
                <w:rFonts w:ascii="Times New Roman" w:hAnsi="Times New Roman"/>
                <w:b/>
                <w:highlight w:val="none"/>
              </w:rPr>
              <w:t xml:space="preserve">分值</w:t>
            </w:r>
            <w:r/>
          </w:p>
        </w:tc>
        <w:tc>
          <w:tcPr>
            <w:tcBorders>
              <w:top w:val="single" w:color="auto" w:sz="4" w:space="0"/>
              <w:left w:val="single" w:color="auto" w:sz="4" w:space="0"/>
              <w:bottom w:val="single" w:color="auto" w:sz="4" w:space="0"/>
              <w:right w:val="single" w:color="auto" w:sz="4" w:space="0"/>
            </w:tcBorders>
            <w:tcW w:w="7827" w:type="dxa"/>
            <w:vAlign w:val="center"/>
            <w:textDirection w:val="lrTb"/>
            <w:noWrap w:val="false"/>
          </w:tcPr>
          <w:p>
            <w:pPr>
              <w:jc w:val="center"/>
              <w:rPr>
                <w:rFonts w:ascii="Times New Roman" w:hAnsi="Times New Roman"/>
                <w:b/>
                <w:highlight w:val="none"/>
              </w:rPr>
            </w:pPr>
            <w:r>
              <w:rPr>
                <w:rFonts w:ascii="Times New Roman" w:hAnsi="Times New Roman"/>
                <w:b/>
                <w:highlight w:val="none"/>
              </w:rPr>
              <w:t xml:space="preserve">评分标准</w:t>
            </w:r>
            <w:r/>
          </w:p>
        </w:tc>
      </w:tr>
      <w:tr>
        <w:trPr>
          <w:jc w:val="center"/>
          <w:trHeight w:val="1240"/>
        </w:trPr>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jc w:val="center"/>
              <w:rPr>
                <w:rFonts w:ascii="Times New Roman" w:hAnsi="Times New Roman"/>
                <w:highlight w:val="none"/>
              </w:rPr>
            </w:pPr>
            <w:r>
              <w:rPr>
                <w:rFonts w:ascii="Times New Roman" w:hAnsi="Times New Roman"/>
                <w:highlight w:val="none"/>
              </w:rPr>
              <w:t xml:space="preserve">团队实力及业绩</w:t>
            </w:r>
            <w:r/>
          </w:p>
        </w:tc>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rPr>
                <w:rFonts w:ascii="Times New Roman" w:hAnsi="Times New Roman"/>
                <w:highlight w:val="none"/>
              </w:rPr>
            </w:pPr>
            <w:r>
              <w:rPr>
                <w:rFonts w:ascii="Times New Roman" w:hAnsi="Times New Roman"/>
                <w:highlight w:val="none"/>
              </w:rPr>
              <w:t xml:space="preserve">13分</w:t>
            </w:r>
            <w:r/>
          </w:p>
        </w:tc>
        <w:tc>
          <w:tcPr>
            <w:tcBorders>
              <w:top w:val="single" w:color="auto" w:sz="4" w:space="0"/>
              <w:left w:val="single" w:color="auto" w:sz="4" w:space="0"/>
              <w:bottom w:val="single" w:color="auto" w:sz="4" w:space="0"/>
              <w:right w:val="single" w:color="auto" w:sz="4" w:space="0"/>
            </w:tcBorders>
            <w:tcW w:w="7827" w:type="dxa"/>
            <w:vAlign w:val="center"/>
            <w:textDirection w:val="lrTb"/>
            <w:noWrap w:val="false"/>
          </w:tcPr>
          <w:p>
            <w:pPr>
              <w:spacing w:line="300" w:lineRule="exact"/>
              <w:rPr>
                <w:rFonts w:ascii="Times New Roman" w:hAnsi="Times New Roman"/>
                <w:szCs w:val="21"/>
                <w:highlight w:val="none"/>
              </w:rPr>
            </w:pPr>
            <w:r>
              <w:rPr>
                <w:rFonts w:hint="eastAsia" w:ascii="Times New Roman" w:hAnsi="Times New Roman"/>
                <w:b/>
                <w:bCs/>
                <w:szCs w:val="21"/>
                <w:highlight w:val="none"/>
              </w:rPr>
              <w:t xml:space="preserve">1、团队实力（4分）：</w:t>
            </w:r>
            <w:r>
              <w:rPr>
                <w:rFonts w:hint="eastAsia" w:ascii="Times New Roman" w:hAnsi="Times New Roman"/>
                <w:szCs w:val="21"/>
                <w:highlight w:val="none"/>
              </w:rPr>
              <w:t xml:space="preserve">服务本项目团队中拥有环境类或化工类高级工程师得1分；团队中拥有环境类或化工类工程师职数，每2个得1分，最高得3分。</w:t>
            </w:r>
            <w:r/>
          </w:p>
          <w:p>
            <w:pPr>
              <w:spacing w:line="300" w:lineRule="exact"/>
              <w:rPr>
                <w:rFonts w:ascii="Times New Roman" w:hAnsi="Times New Roman"/>
                <w:szCs w:val="21"/>
                <w:highlight w:val="none"/>
              </w:rPr>
            </w:pPr>
            <w:r>
              <w:rPr>
                <w:rFonts w:hint="eastAsia" w:ascii="Times New Roman" w:hAnsi="Times New Roman"/>
                <w:b/>
                <w:bCs/>
                <w:szCs w:val="21"/>
                <w:highlight w:val="none"/>
              </w:rPr>
              <w:t xml:space="preserve">2、人员要求（6分）：</w:t>
            </w:r>
            <w:r>
              <w:rPr>
                <w:rFonts w:hint="eastAsia" w:ascii="Times New Roman" w:hAnsi="Times New Roman"/>
                <w:szCs w:val="21"/>
                <w:highlight w:val="none"/>
              </w:rPr>
              <w:t xml:space="preserve">项目团队参与人员专业同时覆盖环境类、生物类、化学类等专业本科及以上学历的得2分，缺1类专业该项不得分；</w:t>
            </w:r>
            <w:r/>
          </w:p>
          <w:p>
            <w:pPr>
              <w:spacing w:line="300" w:lineRule="exact"/>
              <w:rPr>
                <w:rFonts w:ascii="Times New Roman" w:hAnsi="Times New Roman"/>
                <w:szCs w:val="21"/>
                <w:highlight w:val="none"/>
              </w:rPr>
            </w:pPr>
            <w:r>
              <w:rPr>
                <w:rFonts w:hint="eastAsia" w:ascii="Times New Roman" w:hAnsi="Times New Roman"/>
                <w:szCs w:val="21"/>
                <w:highlight w:val="none"/>
              </w:rPr>
              <w:t xml:space="preserve">项目组成员应能熟练操作尾气检测设备，具有柴油车和非道路移动机械尾气检测的上岗证或培训合格证，每个得 1分，最高2分（提供上岗证或培训合格证复印件加盖供应商公章）；</w:t>
            </w:r>
            <w:r/>
          </w:p>
          <w:p>
            <w:pPr>
              <w:spacing w:line="300" w:lineRule="exact"/>
              <w:rPr>
                <w:rFonts w:ascii="Times New Roman" w:hAnsi="Times New Roman"/>
                <w:szCs w:val="21"/>
                <w:highlight w:val="none"/>
              </w:rPr>
            </w:pPr>
            <w:r>
              <w:rPr>
                <w:rFonts w:hint="eastAsia" w:ascii="Times New Roman" w:hAnsi="Times New Roman"/>
                <w:szCs w:val="21"/>
                <w:highlight w:val="none"/>
              </w:rPr>
              <w:t xml:space="preserve">项目组成员中每具备一个A2驾照人员的得1分，每具备一个具有A1驾照人员的得2分，本项最高得2分。</w:t>
            </w:r>
            <w:r/>
          </w:p>
          <w:p>
            <w:pPr>
              <w:spacing w:line="300" w:lineRule="exact"/>
              <w:rPr>
                <w:rFonts w:ascii="Times New Roman" w:hAnsi="Times New Roman"/>
                <w:szCs w:val="21"/>
                <w:highlight w:val="none"/>
              </w:rPr>
            </w:pPr>
            <w:r>
              <w:rPr>
                <w:rFonts w:hint="eastAsia" w:ascii="Times New Roman" w:hAnsi="Times New Roman"/>
                <w:szCs w:val="21"/>
                <w:highlight w:val="none"/>
              </w:rPr>
              <w:t xml:space="preserve">注：以上项目团队需提供技术人员的劳动合同和社保缴纳证明（必须体现个人姓名及缴纳单位信息，近半年任意一个月））；提供相关证书复印件并加盖供应商公章，原件备查；</w:t>
            </w:r>
            <w:r>
              <w:rPr>
                <w:rFonts w:hint="default" w:ascii="Times New Roman" w:hAnsi="Times New Roman" w:cs="Times New Roman"/>
                <w:b/>
                <w:bCs/>
                <w:sz w:val="21"/>
                <w:szCs w:val="21"/>
                <w:highlight w:val="none"/>
              </w:rPr>
              <w:t xml:space="preserve">请按照附件</w:t>
            </w:r>
            <w:r>
              <w:rPr>
                <w:rFonts w:hint="default" w:ascii="Times New Roman" w:hAnsi="Times New Roman" w:cs="Times New Roman"/>
                <w:b/>
                <w:bCs/>
                <w:sz w:val="21"/>
                <w:szCs w:val="21"/>
                <w:highlight w:val="none"/>
                <w:lang w:val="en-US" w:eastAsia="zh-CN"/>
              </w:rPr>
              <w:t xml:space="preserve">1</w:t>
            </w:r>
            <w:r>
              <w:rPr>
                <w:rFonts w:hint="eastAsia" w:cs="Times New Roman"/>
                <w:b/>
                <w:bCs/>
                <w:sz w:val="21"/>
                <w:szCs w:val="21"/>
                <w:highlight w:val="none"/>
                <w:lang w:val="en-US" w:eastAsia="zh-CN"/>
              </w:rPr>
              <w:t xml:space="preserve">3</w:t>
            </w:r>
            <w:r>
              <w:rPr>
                <w:rFonts w:hint="default" w:ascii="Times New Roman" w:hAnsi="Times New Roman" w:cs="Times New Roman"/>
                <w:b/>
                <w:bCs/>
                <w:sz w:val="21"/>
                <w:szCs w:val="21"/>
                <w:highlight w:val="none"/>
              </w:rPr>
              <w:t xml:space="preserve">格式列表汇总</w:t>
            </w:r>
            <w:r>
              <w:rPr>
                <w:rFonts w:hint="default" w:ascii="Times New Roman" w:hAnsi="Times New Roman" w:cs="Times New Roman"/>
                <w:b/>
                <w:bCs/>
                <w:sz w:val="21"/>
                <w:szCs w:val="21"/>
                <w:highlight w:val="none"/>
                <w:lang w:eastAsia="zh-CN"/>
              </w:rPr>
              <w:t xml:space="preserve">，</w:t>
            </w:r>
            <w:r>
              <w:rPr>
                <w:rFonts w:hint="eastAsia" w:ascii="Times New Roman" w:hAnsi="Times New Roman"/>
                <w:szCs w:val="21"/>
                <w:highlight w:val="none"/>
              </w:rPr>
              <w:t xml:space="preserve">未提供证明材料或材料提供不全不得分。</w:t>
            </w:r>
            <w:r/>
          </w:p>
          <w:p>
            <w:pPr>
              <w:spacing w:line="300" w:lineRule="exact"/>
              <w:rPr>
                <w:rFonts w:ascii="Times New Roman" w:hAnsi="Times New Roman"/>
                <w:szCs w:val="21"/>
                <w:highlight w:val="none"/>
              </w:rPr>
            </w:pPr>
            <w:r>
              <w:rPr>
                <w:rFonts w:hint="eastAsia" w:ascii="Times New Roman" w:hAnsi="Times New Roman"/>
                <w:b/>
                <w:bCs/>
                <w:szCs w:val="21"/>
                <w:highlight w:val="none"/>
              </w:rPr>
              <w:t xml:space="preserve">3、主要业绩（3分）：</w:t>
            </w:r>
            <w:r>
              <w:rPr>
                <w:rFonts w:hint="eastAsia" w:ascii="Times New Roman" w:hAnsi="Times New Roman"/>
                <w:szCs w:val="21"/>
                <w:highlight w:val="none"/>
              </w:rPr>
              <w:t xml:space="preserve"> 供应商自2024年以来（以合同签订日期为准）承担过机动车或非道路移动机械尾气检测项目，每个得1分，本项最高得3分。</w:t>
            </w:r>
            <w:r>
              <w:rPr>
                <w:rFonts w:hint="default" w:ascii="Times New Roman" w:hAnsi="Times New Roman" w:cs="Times New Roman"/>
                <w:b/>
                <w:bCs/>
                <w:sz w:val="21"/>
                <w:szCs w:val="21"/>
                <w:highlight w:val="none"/>
              </w:rPr>
              <w:t xml:space="preserve">请按照附件</w:t>
            </w:r>
            <w:r>
              <w:rPr>
                <w:rFonts w:hint="default" w:ascii="Times New Roman" w:hAnsi="Times New Roman" w:cs="Times New Roman"/>
                <w:b/>
                <w:bCs/>
                <w:sz w:val="21"/>
                <w:szCs w:val="21"/>
                <w:highlight w:val="none"/>
                <w:lang w:val="en-US" w:eastAsia="zh-CN"/>
              </w:rPr>
              <w:t xml:space="preserve">1</w:t>
            </w:r>
            <w:r>
              <w:rPr>
                <w:rFonts w:hint="eastAsia" w:cs="Times New Roman"/>
                <w:b/>
                <w:bCs/>
                <w:sz w:val="21"/>
                <w:szCs w:val="21"/>
                <w:highlight w:val="none"/>
                <w:lang w:val="en-US" w:eastAsia="zh-CN"/>
              </w:rPr>
              <w:t xml:space="preserve">4</w:t>
            </w:r>
            <w:r>
              <w:rPr>
                <w:rFonts w:hint="default" w:ascii="Times New Roman" w:hAnsi="Times New Roman" w:cs="Times New Roman"/>
                <w:b/>
                <w:bCs/>
                <w:sz w:val="21"/>
                <w:szCs w:val="21"/>
                <w:highlight w:val="none"/>
              </w:rPr>
              <w:t xml:space="preserve">格式列表汇总</w:t>
            </w:r>
            <w:r>
              <w:rPr>
                <w:rFonts w:hint="default" w:ascii="Times New Roman" w:hAnsi="Times New Roman" w:cs="Times New Roman"/>
                <w:b/>
                <w:bCs/>
                <w:sz w:val="21"/>
                <w:szCs w:val="21"/>
                <w:highlight w:val="none"/>
                <w:lang w:eastAsia="zh-CN"/>
              </w:rPr>
              <w:t xml:space="preserve">。</w:t>
            </w:r>
            <w:r/>
          </w:p>
          <w:p>
            <w:pPr>
              <w:spacing w:line="300" w:lineRule="exact"/>
              <w:rPr>
                <w:rFonts w:ascii="Times New Roman" w:hAnsi="Times New Roman"/>
                <w:szCs w:val="21"/>
                <w:highlight w:val="none"/>
              </w:rPr>
            </w:pPr>
            <w:r>
              <w:rPr>
                <w:rFonts w:hint="eastAsia" w:ascii="Times New Roman" w:hAnsi="Times New Roman"/>
                <w:szCs w:val="21"/>
                <w:highlight w:val="none"/>
              </w:rPr>
              <w:t xml:space="preserve">注：1.需提供业绩合同首页、盖章页及表明工作范围内容有效页证明文件的复印件并加盖公章，否则不得分。</w:t>
            </w:r>
            <w:r/>
          </w:p>
          <w:p>
            <w:pPr>
              <w:spacing w:line="300" w:lineRule="exact"/>
              <w:rPr>
                <w:rFonts w:ascii="Times New Roman" w:hAnsi="Times New Roman"/>
                <w:szCs w:val="21"/>
                <w:highlight w:val="none"/>
              </w:rPr>
            </w:pPr>
            <w:r>
              <w:rPr>
                <w:rFonts w:hint="eastAsia" w:ascii="Times New Roman" w:hAnsi="Times New Roman"/>
                <w:szCs w:val="21"/>
                <w:highlight w:val="none"/>
              </w:rPr>
              <w:t xml:space="preserve">2.合同签订时间在 202</w:t>
            </w:r>
            <w:r>
              <w:rPr>
                <w:rFonts w:ascii="Times New Roman" w:hAnsi="Times New Roman"/>
                <w:szCs w:val="21"/>
                <w:highlight w:val="none"/>
              </w:rPr>
              <w:t xml:space="preserve">4</w:t>
            </w:r>
            <w:r>
              <w:rPr>
                <w:rFonts w:hint="eastAsia" w:ascii="Times New Roman" w:hAnsi="Times New Roman"/>
                <w:szCs w:val="21"/>
                <w:highlight w:val="none"/>
              </w:rPr>
              <w:t xml:space="preserve">年1 月1 日至投标截止日之间，项目内容与本项目采购的监测服务内容、技术要求相匹配，供应商已完成合同履约。</w:t>
            </w:r>
            <w:r/>
          </w:p>
        </w:tc>
      </w:tr>
      <w:tr>
        <w:trPr>
          <w:jc w:val="center"/>
          <w:trHeight w:val="5705"/>
        </w:trPr>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jc w:val="center"/>
              <w:rPr>
                <w:rFonts w:ascii="Times New Roman" w:hAnsi="Times New Roman"/>
                <w:highlight w:val="none"/>
              </w:rPr>
            </w:pPr>
            <w:r>
              <w:rPr>
                <w:rFonts w:ascii="Times New Roman" w:hAnsi="Times New Roman"/>
                <w:highlight w:val="none"/>
              </w:rPr>
              <w:t xml:space="preserve">实验室能力</w:t>
            </w:r>
            <w:r/>
          </w:p>
        </w:tc>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rPr>
                <w:rFonts w:ascii="Times New Roman" w:hAnsi="Times New Roman"/>
                <w:highlight w:val="none"/>
              </w:rPr>
            </w:pPr>
            <w:r>
              <w:rPr>
                <w:rFonts w:ascii="Times New Roman" w:hAnsi="Times New Roman"/>
                <w:highlight w:val="none"/>
              </w:rPr>
              <w:t xml:space="preserve">27分</w:t>
            </w:r>
            <w:r/>
          </w:p>
        </w:tc>
        <w:tc>
          <w:tcPr>
            <w:tcBorders>
              <w:top w:val="single" w:color="auto" w:sz="4" w:space="0"/>
              <w:left w:val="single" w:color="auto" w:sz="4" w:space="0"/>
              <w:bottom w:val="single" w:color="auto" w:sz="4" w:space="0"/>
              <w:right w:val="single" w:color="auto" w:sz="4" w:space="0"/>
            </w:tcBorders>
            <w:tcW w:w="7827" w:type="dxa"/>
            <w:vAlign w:val="center"/>
            <w:textDirection w:val="lrTb"/>
            <w:noWrap w:val="false"/>
          </w:tcPr>
          <w:p>
            <w:pPr>
              <w:spacing w:line="300" w:lineRule="exact"/>
              <w:rPr>
                <w:rFonts w:ascii="Times New Roman" w:hAnsi="Times New Roman"/>
                <w:szCs w:val="21"/>
                <w:highlight w:val="none"/>
              </w:rPr>
            </w:pPr>
            <w:r>
              <w:rPr>
                <w:rFonts w:hint="eastAsia" w:ascii="Times New Roman" w:hAnsi="Times New Roman"/>
                <w:b/>
                <w:bCs/>
                <w:szCs w:val="21"/>
                <w:highlight w:val="none"/>
              </w:rPr>
              <w:t xml:space="preserve">1、实验室面积（4分）：</w:t>
            </w:r>
            <w:r>
              <w:rPr>
                <w:rFonts w:hint="eastAsia" w:ascii="Times New Roman" w:hAnsi="Times New Roman"/>
                <w:szCs w:val="21"/>
                <w:highlight w:val="none"/>
              </w:rPr>
              <w:t xml:space="preserve">拥有独立的实验室，根据实验室面积大小综合比较打分。须提供房产证明或房屋租赁合同、实验室平面图等相关材料。</w:t>
            </w:r>
            <w:r/>
          </w:p>
          <w:p>
            <w:pPr>
              <w:spacing w:line="300" w:lineRule="exact"/>
              <w:rPr>
                <w:rFonts w:ascii="Times New Roman" w:hAnsi="Times New Roman"/>
                <w:szCs w:val="21"/>
                <w:highlight w:val="none"/>
              </w:rPr>
            </w:pPr>
            <w:r>
              <w:rPr>
                <w:rFonts w:hint="eastAsia" w:ascii="Times New Roman" w:hAnsi="Times New Roman"/>
                <w:szCs w:val="21"/>
                <w:highlight w:val="none"/>
              </w:rPr>
              <w:t xml:space="preserve">1500平米≤实验室面积＜2000平米得2分；2000平米≤实验室面积＜4000平米得3分；4000平米≤实验室面积得4分；未提供相关材料不得分。</w:t>
            </w:r>
            <w:r/>
          </w:p>
          <w:p>
            <w:pPr>
              <w:spacing w:line="300" w:lineRule="exact"/>
              <w:rPr>
                <w:rFonts w:ascii="Times New Roman" w:hAnsi="Times New Roman"/>
                <w:szCs w:val="21"/>
                <w:highlight w:val="none"/>
              </w:rPr>
            </w:pPr>
            <w:r>
              <w:rPr>
                <w:rFonts w:hint="eastAsia" w:ascii="Times New Roman" w:hAnsi="Times New Roman"/>
                <w:b/>
                <w:bCs/>
                <w:szCs w:val="21"/>
                <w:highlight w:val="none"/>
              </w:rPr>
              <w:t xml:space="preserve">2、实验室仪器装备（8分）：</w:t>
            </w:r>
            <w:r>
              <w:rPr>
                <w:rFonts w:hint="eastAsia" w:ascii="Times New Roman" w:hAnsi="Times New Roman"/>
                <w:szCs w:val="21"/>
                <w:highlight w:val="none"/>
              </w:rPr>
              <w:t xml:space="preserve">具有以下实验室仪器设备（气相色谱质谱联用仪、全自动有机样品提取装置、液相色谱仪、气相色谱仪、离子色谱仪、电感耦合等离子体光谱仪、石墨炉原子吸收光谱仪、红外烟气测试仪）中的8项得6分，7-6项得3分，5-4项得1分，其他不得分。具有尾气检测设备，包括不透光烟度计、滤光片、环境参数仪、振动转速器，同时具有的得2分，缺一项不得分。须提供设备发票或设备使用权证明文件，未提供相应资料的仪器设备不得分。</w:t>
            </w:r>
            <w:r>
              <w:rPr>
                <w:rFonts w:hint="default" w:ascii="Times New Roman" w:hAnsi="Times New Roman" w:cs="Times New Roman"/>
                <w:b/>
                <w:bCs/>
                <w:sz w:val="21"/>
                <w:szCs w:val="21"/>
                <w:highlight w:val="none"/>
              </w:rPr>
              <w:t xml:space="preserve">请按照附件</w:t>
            </w:r>
            <w:r>
              <w:rPr>
                <w:rFonts w:hint="default" w:ascii="Times New Roman" w:hAnsi="Times New Roman" w:cs="Times New Roman"/>
                <w:b/>
                <w:bCs/>
                <w:sz w:val="21"/>
                <w:szCs w:val="21"/>
                <w:highlight w:val="none"/>
                <w:lang w:val="en-US" w:eastAsia="zh-CN"/>
              </w:rPr>
              <w:t xml:space="preserve">1</w:t>
            </w:r>
            <w:r>
              <w:rPr>
                <w:rFonts w:hint="eastAsia" w:cs="Times New Roman"/>
                <w:b/>
                <w:bCs/>
                <w:sz w:val="21"/>
                <w:szCs w:val="21"/>
                <w:highlight w:val="none"/>
                <w:lang w:val="en-US" w:eastAsia="zh-CN"/>
              </w:rPr>
              <w:t xml:space="preserve">5</w:t>
            </w:r>
            <w:r>
              <w:rPr>
                <w:rFonts w:hint="default" w:ascii="Times New Roman" w:hAnsi="Times New Roman" w:cs="Times New Roman"/>
                <w:b/>
                <w:bCs/>
                <w:sz w:val="21"/>
                <w:szCs w:val="21"/>
                <w:highlight w:val="none"/>
              </w:rPr>
              <w:t xml:space="preserve">格式列表汇总</w:t>
            </w:r>
            <w:r>
              <w:rPr>
                <w:rFonts w:hint="default" w:ascii="Times New Roman" w:hAnsi="Times New Roman" w:cs="Times New Roman"/>
                <w:b/>
                <w:bCs/>
                <w:sz w:val="21"/>
                <w:szCs w:val="21"/>
                <w:highlight w:val="none"/>
                <w:lang w:eastAsia="zh-CN"/>
              </w:rPr>
              <w:t xml:space="preserve">。</w:t>
            </w:r>
            <w:r/>
          </w:p>
          <w:p>
            <w:pPr>
              <w:spacing w:line="300" w:lineRule="exact"/>
              <w:rPr>
                <w:rFonts w:ascii="Times New Roman" w:hAnsi="Times New Roman"/>
                <w:szCs w:val="21"/>
                <w:highlight w:val="none"/>
              </w:rPr>
            </w:pPr>
            <w:r>
              <w:rPr>
                <w:rFonts w:hint="eastAsia" w:ascii="Times New Roman" w:hAnsi="Times New Roman"/>
                <w:b/>
                <w:bCs/>
                <w:szCs w:val="21"/>
                <w:highlight w:val="none"/>
              </w:rPr>
              <w:t xml:space="preserve">3、能力项目（15分）：</w:t>
            </w:r>
            <w:r>
              <w:rPr>
                <w:rFonts w:hint="eastAsia" w:ascii="Times New Roman" w:hAnsi="Times New Roman"/>
                <w:szCs w:val="21"/>
                <w:highlight w:val="none"/>
              </w:rPr>
              <w:t xml:space="preserve">资质认定附表中同时包含水、气、土壤和沉积物、非道路移动机械和机动车排放4小类能力的得3分，缺1项不得分；具备海水、固废、水生生物、加油站/储油库大气污染物排放、煤质能力，有1类得1分，最高4分。通过省市场监督管理局资质认定的环境、水质领域检测能力项目数（以方法计），200项以下不得分，以200为基准得2分，每增加50项加1分，最高加6分；以省市场监督管理局批准的能力表为准，未提供或非省市场监督管理批准的能力表不得分。</w:t>
            </w:r>
            <w:r>
              <w:rPr>
                <w:rFonts w:hint="default" w:ascii="Times New Roman" w:hAnsi="Times New Roman" w:cs="Times New Roman"/>
                <w:b/>
                <w:bCs/>
                <w:sz w:val="21"/>
                <w:szCs w:val="21"/>
                <w:highlight w:val="none"/>
              </w:rPr>
              <w:t xml:space="preserve">请按照附件</w:t>
            </w:r>
            <w:r>
              <w:rPr>
                <w:rFonts w:hint="default" w:ascii="Times New Roman" w:hAnsi="Times New Roman" w:cs="Times New Roman"/>
                <w:b/>
                <w:bCs/>
                <w:sz w:val="21"/>
                <w:szCs w:val="21"/>
                <w:highlight w:val="none"/>
                <w:lang w:val="en-US" w:eastAsia="zh-CN"/>
              </w:rPr>
              <w:t xml:space="preserve">1</w:t>
            </w:r>
            <w:r>
              <w:rPr>
                <w:rFonts w:hint="eastAsia" w:cs="Times New Roman"/>
                <w:b/>
                <w:bCs/>
                <w:sz w:val="21"/>
                <w:szCs w:val="21"/>
                <w:highlight w:val="none"/>
                <w:lang w:val="en-US" w:eastAsia="zh-CN"/>
              </w:rPr>
              <w:t xml:space="preserve">6</w:t>
            </w:r>
            <w:r>
              <w:rPr>
                <w:rFonts w:hint="default" w:ascii="Times New Roman" w:hAnsi="Times New Roman" w:cs="Times New Roman"/>
                <w:b/>
                <w:bCs/>
                <w:sz w:val="21"/>
                <w:szCs w:val="21"/>
                <w:highlight w:val="none"/>
              </w:rPr>
              <w:t xml:space="preserve">格式列表汇总</w:t>
            </w:r>
            <w:r>
              <w:rPr>
                <w:rFonts w:hint="default" w:ascii="Times New Roman" w:hAnsi="Times New Roman" w:cs="Times New Roman"/>
                <w:b/>
                <w:bCs/>
                <w:sz w:val="21"/>
                <w:szCs w:val="21"/>
                <w:highlight w:val="none"/>
                <w:lang w:eastAsia="zh-CN"/>
              </w:rPr>
              <w:t xml:space="preserve">。</w:t>
            </w:r>
            <w:r/>
          </w:p>
          <w:p>
            <w:pPr>
              <w:spacing w:line="300" w:lineRule="exact"/>
              <w:rPr>
                <w:rFonts w:ascii="Times New Roman" w:hAnsi="Times New Roman"/>
                <w:szCs w:val="21"/>
                <w:highlight w:val="none"/>
              </w:rPr>
            </w:pPr>
            <w:r>
              <w:rPr>
                <w:rFonts w:hint="eastAsia" w:ascii="Times New Roman" w:hAnsi="Times New Roman"/>
                <w:szCs w:val="21"/>
                <w:highlight w:val="none"/>
              </w:rPr>
              <w:t xml:space="preserve">注：相关检测能力表述以最新的检验检测机构资质认定评审要求为准。</w:t>
            </w:r>
            <w:r/>
          </w:p>
        </w:tc>
      </w:tr>
      <w:tr>
        <w:trPr>
          <w:jc w:val="center"/>
          <w:trHeight w:val="913"/>
        </w:trPr>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jc w:val="center"/>
              <w:rPr>
                <w:rFonts w:ascii="Times New Roman" w:hAnsi="Times New Roman"/>
                <w:highlight w:val="none"/>
              </w:rPr>
            </w:pPr>
            <w:r>
              <w:rPr>
                <w:rFonts w:ascii="Times New Roman" w:hAnsi="Times New Roman"/>
                <w:highlight w:val="none"/>
              </w:rPr>
              <w:t xml:space="preserve">方案与报告编制</w:t>
            </w:r>
            <w:r/>
          </w:p>
        </w:tc>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rPr>
                <w:rFonts w:ascii="Times New Roman" w:hAnsi="Times New Roman"/>
                <w:highlight w:val="none"/>
              </w:rPr>
            </w:pPr>
            <w:r>
              <w:rPr>
                <w:rFonts w:ascii="Times New Roman" w:hAnsi="Times New Roman"/>
                <w:highlight w:val="none"/>
              </w:rPr>
              <w:t xml:space="preserve">9分</w:t>
            </w:r>
            <w:r/>
          </w:p>
        </w:tc>
        <w:tc>
          <w:tcPr>
            <w:tcBorders>
              <w:top w:val="single" w:color="auto" w:sz="4" w:space="0"/>
              <w:left w:val="single" w:color="auto" w:sz="4" w:space="0"/>
              <w:bottom w:val="single" w:color="auto" w:sz="4" w:space="0"/>
              <w:right w:val="single" w:color="auto" w:sz="4" w:space="0"/>
            </w:tcBorders>
            <w:tcW w:w="7827" w:type="dxa"/>
            <w:vAlign w:val="center"/>
            <w:textDirection w:val="lrTb"/>
            <w:noWrap w:val="false"/>
          </w:tcPr>
          <w:p>
            <w:pPr>
              <w:spacing w:line="300" w:lineRule="exact"/>
              <w:rPr>
                <w:rFonts w:ascii="Times New Roman" w:hAnsi="Times New Roman"/>
                <w:szCs w:val="21"/>
                <w:highlight w:val="none"/>
              </w:rPr>
            </w:pPr>
            <w:r>
              <w:rPr>
                <w:rFonts w:hint="eastAsia" w:ascii="Times New Roman" w:hAnsi="Times New Roman"/>
                <w:b/>
                <w:bCs/>
                <w:szCs w:val="21"/>
                <w:highlight w:val="none"/>
              </w:rPr>
              <w:t xml:space="preserve">1、工作方案评审（2分）：</w:t>
            </w:r>
            <w:r>
              <w:rPr>
                <w:rFonts w:hint="eastAsia" w:ascii="Times New Roman" w:hAnsi="Times New Roman"/>
                <w:szCs w:val="21"/>
                <w:highlight w:val="none"/>
              </w:rPr>
              <w:t xml:space="preserve">针对</w:t>
            </w:r>
            <w:r>
              <w:rPr>
                <w:rFonts w:hint="eastAsia"/>
                <w:szCs w:val="21"/>
                <w:highlight w:val="none"/>
                <w:lang w:eastAsia="zh-CN"/>
              </w:rPr>
              <w:t xml:space="preserve">包</w:t>
            </w:r>
            <w:r>
              <w:rPr>
                <w:rFonts w:hint="eastAsia"/>
                <w:szCs w:val="21"/>
                <w:highlight w:val="none"/>
                <w:lang w:val="en-US" w:eastAsia="zh-CN"/>
              </w:rPr>
              <w:t xml:space="preserve">5</w:t>
            </w:r>
            <w:r>
              <w:rPr>
                <w:rFonts w:hint="eastAsia" w:ascii="Times New Roman" w:hAnsi="Times New Roman"/>
                <w:szCs w:val="21"/>
                <w:highlight w:val="none"/>
              </w:rPr>
              <w:t xml:space="preserve">项目需求，提供202</w:t>
            </w:r>
            <w:r>
              <w:rPr>
                <w:rFonts w:ascii="Times New Roman" w:hAnsi="Times New Roman"/>
                <w:szCs w:val="21"/>
                <w:highlight w:val="none"/>
              </w:rPr>
              <w:t xml:space="preserve">4</w:t>
            </w:r>
            <w:r>
              <w:rPr>
                <w:rFonts w:hint="eastAsia" w:ascii="Times New Roman" w:hAnsi="Times New Roman"/>
                <w:szCs w:val="21"/>
                <w:highlight w:val="none"/>
              </w:rPr>
              <w:t xml:space="preserve">年度以来，投标方认为最能代表单位业务水平的常规监测工作方案1份，由评委根据工作方案的编制质量进行综合评定，结合方案的复杂程度（0.5分），方案的完整性（0.5分），方案的可操作性（0.5分），要素覆盖的全面性（0.5分）四个方面进行打分。未提供不得分。</w:t>
            </w:r>
            <w:r/>
          </w:p>
          <w:p>
            <w:pPr>
              <w:spacing w:line="300" w:lineRule="exact"/>
              <w:rPr>
                <w:rFonts w:ascii="Times New Roman" w:hAnsi="Times New Roman"/>
                <w:szCs w:val="21"/>
                <w:highlight w:val="none"/>
              </w:rPr>
            </w:pPr>
            <w:r>
              <w:rPr>
                <w:rFonts w:hint="eastAsia" w:ascii="Times New Roman" w:hAnsi="Times New Roman"/>
                <w:b/>
                <w:bCs/>
                <w:szCs w:val="21"/>
                <w:highlight w:val="none"/>
              </w:rPr>
              <w:t xml:space="preserve">2、应急监测方案评审（2分）：</w:t>
            </w:r>
            <w:r>
              <w:rPr>
                <w:rFonts w:hint="eastAsia" w:ascii="Times New Roman" w:hAnsi="Times New Roman"/>
                <w:szCs w:val="21"/>
                <w:highlight w:val="none"/>
              </w:rPr>
              <w:t xml:space="preserve">提供202</w:t>
            </w:r>
            <w:r>
              <w:rPr>
                <w:rFonts w:ascii="Times New Roman" w:hAnsi="Times New Roman"/>
                <w:szCs w:val="21"/>
                <w:highlight w:val="none"/>
              </w:rPr>
              <w:t xml:space="preserve">4</w:t>
            </w:r>
            <w:r>
              <w:rPr>
                <w:rFonts w:hint="eastAsia" w:ascii="Times New Roman" w:hAnsi="Times New Roman"/>
                <w:szCs w:val="21"/>
                <w:highlight w:val="none"/>
              </w:rPr>
              <w:t xml:space="preserve">年度以来，投标方认为最能代表单位业务水平的突发事件应急监测方案1份：由评委根据方案的编制质量，从方案的完整性、合理性、规范性等方面进行综合评定，较好得2分；一般得1分；较差或未提供不得分。</w:t>
            </w:r>
            <w:r/>
          </w:p>
          <w:p>
            <w:pPr>
              <w:spacing w:line="300" w:lineRule="exact"/>
              <w:rPr>
                <w:rFonts w:ascii="Times New Roman" w:hAnsi="Times New Roman"/>
                <w:szCs w:val="21"/>
                <w:highlight w:val="none"/>
              </w:rPr>
            </w:pPr>
            <w:r>
              <w:rPr>
                <w:rFonts w:hint="eastAsia" w:ascii="Times New Roman" w:hAnsi="Times New Roman"/>
                <w:b/>
                <w:bCs/>
                <w:szCs w:val="21"/>
                <w:highlight w:val="none"/>
              </w:rPr>
              <w:t xml:space="preserve">3、监测报告评审（5分）：</w:t>
            </w:r>
            <w:r>
              <w:rPr>
                <w:rFonts w:hint="eastAsia" w:ascii="Times New Roman" w:hAnsi="Times New Roman"/>
                <w:szCs w:val="21"/>
                <w:highlight w:val="none"/>
              </w:rPr>
              <w:t xml:space="preserve">提供202</w:t>
            </w:r>
            <w:r>
              <w:rPr>
                <w:rFonts w:ascii="Times New Roman" w:hAnsi="Times New Roman"/>
                <w:szCs w:val="21"/>
                <w:highlight w:val="none"/>
              </w:rPr>
              <w:t xml:space="preserve">4</w:t>
            </w:r>
            <w:r>
              <w:rPr>
                <w:rFonts w:hint="eastAsia" w:ascii="Times New Roman" w:hAnsi="Times New Roman"/>
                <w:szCs w:val="21"/>
                <w:highlight w:val="none"/>
              </w:rPr>
              <w:t xml:space="preserve">年度以来，最能代表投标方业务</w:t>
            </w:r>
            <w:r>
              <w:rPr>
                <w:rFonts w:hint="eastAsia" w:ascii="Times New Roman" w:hAnsi="Times New Roman"/>
                <w:szCs w:val="21"/>
                <w:highlight w:val="none"/>
              </w:rPr>
              <w:t xml:space="preserve">水平的监测成果报告5份（其中监测成果报告水、气、声、土、应急监测各1份，包括监测方案、现场监测原始记录、分析原始记录以及成果报告等相关的资料；必须为实际开展的检测工作），由评委根据报告的编制质量进行综合评定，结合报告的难易程度（较难的得1分，一般得0.5分，较差不得分），报告的规范性（较好的得1分，一般得0.5分，较差不得分），报告引用标准和结论评价的准确性（较好的得1分，一般得0.5分，较差不得分），原始记录及附件支撑材料的规范性（较好的得2分，一般得0.5分，较差不得分）进行打分；缺1份报告该项不得分。</w:t>
            </w:r>
            <w:r/>
          </w:p>
        </w:tc>
      </w:tr>
      <w:tr>
        <w:trPr>
          <w:jc w:val="center"/>
          <w:trHeight w:val="487"/>
        </w:trPr>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jc w:val="center"/>
              <w:rPr>
                <w:rFonts w:ascii="Times New Roman" w:hAnsi="Times New Roman"/>
                <w:highlight w:val="none"/>
              </w:rPr>
            </w:pPr>
            <w:r>
              <w:rPr>
                <w:rFonts w:ascii="Times New Roman" w:hAnsi="Times New Roman"/>
                <w:highlight w:val="none"/>
              </w:rPr>
              <w:t xml:space="preserve">质量管理体系运行情况</w:t>
            </w:r>
            <w:r/>
          </w:p>
        </w:tc>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rPr>
                <w:rFonts w:ascii="Times New Roman" w:hAnsi="Times New Roman"/>
                <w:highlight w:val="none"/>
              </w:rPr>
            </w:pPr>
            <w:r>
              <w:rPr>
                <w:rFonts w:ascii="Times New Roman" w:hAnsi="Times New Roman"/>
                <w:highlight w:val="none"/>
              </w:rPr>
              <w:t xml:space="preserve">11分</w:t>
            </w:r>
            <w:r/>
          </w:p>
        </w:tc>
        <w:tc>
          <w:tcPr>
            <w:tcBorders>
              <w:top w:val="single" w:color="auto" w:sz="4" w:space="0"/>
              <w:left w:val="single" w:color="auto" w:sz="4" w:space="0"/>
              <w:bottom w:val="single" w:color="auto" w:sz="4" w:space="0"/>
              <w:right w:val="single" w:color="auto" w:sz="4" w:space="0"/>
            </w:tcBorders>
            <w:tcW w:w="7827" w:type="dxa"/>
            <w:vAlign w:val="center"/>
            <w:textDirection w:val="lrTb"/>
            <w:noWrap w:val="false"/>
          </w:tcPr>
          <w:p>
            <w:pPr>
              <w:spacing w:line="300" w:lineRule="exact"/>
              <w:rPr>
                <w:rFonts w:ascii="Times New Roman" w:hAnsi="Times New Roman"/>
                <w:szCs w:val="21"/>
                <w:highlight w:val="none"/>
              </w:rPr>
            </w:pPr>
            <w:r>
              <w:rPr>
                <w:rFonts w:hint="eastAsia" w:ascii="Times New Roman" w:hAnsi="Times New Roman"/>
                <w:szCs w:val="21"/>
                <w:highlight w:val="none"/>
              </w:rPr>
              <w:t xml:space="preserve">投标方须提供现行有效的质量手册</w:t>
            </w:r>
            <w:r>
              <w:rPr>
                <w:rFonts w:hint="eastAsia" w:ascii="Times New Roman" w:hAnsi="Times New Roman"/>
                <w:szCs w:val="21"/>
                <w:highlight w:val="none"/>
                <w:lang w:eastAsia="zh-CN"/>
              </w:rPr>
              <w:t xml:space="preserve">目录</w:t>
            </w:r>
            <w:r>
              <w:rPr>
                <w:rFonts w:hint="eastAsia" w:ascii="Times New Roman" w:hAnsi="Times New Roman"/>
                <w:szCs w:val="21"/>
                <w:highlight w:val="none"/>
              </w:rPr>
              <w:t xml:space="preserve">、程序文件</w:t>
            </w:r>
            <w:r>
              <w:rPr>
                <w:rFonts w:hint="eastAsia" w:ascii="Times New Roman" w:hAnsi="Times New Roman"/>
                <w:szCs w:val="21"/>
                <w:highlight w:val="none"/>
                <w:lang w:eastAsia="zh-CN"/>
              </w:rPr>
              <w:t xml:space="preserve">目录</w:t>
            </w:r>
            <w:r>
              <w:rPr>
                <w:rFonts w:hint="eastAsia" w:ascii="Times New Roman" w:hAnsi="Times New Roman"/>
                <w:szCs w:val="21"/>
                <w:highlight w:val="none"/>
              </w:rPr>
              <w:t xml:space="preserve">、表格表单目录、2026年度质量控制措施、2026年度业务培训计划，2026年度参加能力验证、测量审核计划，2026年</w:t>
            </w:r>
            <w:r>
              <w:rPr>
                <w:rFonts w:hint="eastAsia" w:ascii="Times New Roman" w:hAnsi="Times New Roman"/>
                <w:szCs w:val="21"/>
                <w:highlight w:val="none"/>
              </w:rPr>
              <w:t xml:space="preserve">度检测能力扩项计划，2026年度监测仪器周期检定/校准计划，2026年度量值溯源和期间核查计划以及最近1次的内审、管理评审记录等进行综合评定，评委将根据《检验检测机构资质认定评审准则》《检验检测机构资质认定生态环境监测机构评审补充要求（2025 年）》等相关要求，对提供材料的完整程度（较完整的得2分，一般得0.5分，较差不得分），适用性（较好的得3分，一般得1.5分，较差不得分），有效性（较好的得3分，一般得1.5分，较差不得分），持续改进情况（较好的得3分，一般得1分，较差不得分）进行打分；未提供不得分。</w:t>
            </w:r>
            <w:r/>
          </w:p>
        </w:tc>
      </w:tr>
      <w:tr>
        <w:trPr>
          <w:jc w:val="center"/>
          <w:trHeight w:val="882"/>
        </w:trPr>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jc w:val="center"/>
              <w:rPr>
                <w:rFonts w:ascii="Times New Roman" w:hAnsi="Times New Roman"/>
                <w:highlight w:val="none"/>
              </w:rPr>
            </w:pPr>
            <w:r>
              <w:rPr>
                <w:rFonts w:ascii="Times New Roman" w:hAnsi="Times New Roman"/>
                <w:highlight w:val="none"/>
              </w:rPr>
              <w:t xml:space="preserve">服务响应与其他</w:t>
            </w:r>
            <w:r/>
          </w:p>
        </w:tc>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rPr>
                <w:rFonts w:ascii="Times New Roman" w:hAnsi="Times New Roman"/>
                <w:highlight w:val="none"/>
              </w:rPr>
            </w:pPr>
            <w:r>
              <w:rPr>
                <w:rFonts w:ascii="Times New Roman" w:hAnsi="Times New Roman"/>
                <w:highlight w:val="none"/>
              </w:rPr>
              <w:t xml:space="preserve">10分</w:t>
            </w:r>
            <w:r/>
          </w:p>
        </w:tc>
        <w:tc>
          <w:tcPr>
            <w:tcBorders>
              <w:top w:val="single" w:color="auto" w:sz="4" w:space="0"/>
              <w:left w:val="single" w:color="auto" w:sz="4" w:space="0"/>
              <w:bottom w:val="single" w:color="auto" w:sz="4" w:space="0"/>
              <w:right w:val="single" w:color="auto" w:sz="4" w:space="0"/>
            </w:tcBorders>
            <w:tcW w:w="7827" w:type="dxa"/>
            <w:vAlign w:val="center"/>
            <w:textDirection w:val="lrTb"/>
            <w:noWrap w:val="false"/>
          </w:tcPr>
          <w:p>
            <w:pPr>
              <w:spacing w:line="300" w:lineRule="exact"/>
              <w:rPr>
                <w:rFonts w:ascii="Times New Roman" w:hAnsi="Times New Roman"/>
                <w:b/>
                <w:bCs/>
                <w:szCs w:val="21"/>
                <w:highlight w:val="none"/>
              </w:rPr>
            </w:pPr>
            <w:r>
              <w:rPr>
                <w:rFonts w:hint="eastAsia" w:ascii="Times New Roman" w:hAnsi="Times New Roman"/>
                <w:b/>
                <w:bCs/>
                <w:szCs w:val="21"/>
                <w:highlight w:val="none"/>
              </w:rPr>
              <w:t xml:space="preserve">1、能保证做出的服务优先级（3分）：</w:t>
            </w:r>
            <w:r/>
          </w:p>
          <w:p>
            <w:pPr>
              <w:spacing w:line="300" w:lineRule="exact"/>
              <w:rPr>
                <w:rFonts w:ascii="Times New Roman" w:hAnsi="Times New Roman"/>
                <w:szCs w:val="21"/>
                <w:highlight w:val="none"/>
              </w:rPr>
            </w:pPr>
            <w:r>
              <w:rPr>
                <w:rFonts w:hint="eastAsia" w:ascii="Times New Roman" w:hAnsi="Times New Roman"/>
                <w:szCs w:val="21"/>
                <w:highlight w:val="none"/>
              </w:rPr>
              <w:t xml:space="preserve">投标人需对以下事项作出承诺或声明：</w:t>
            </w:r>
            <w:r/>
          </w:p>
          <w:p>
            <w:pPr>
              <w:spacing w:line="300" w:lineRule="exact"/>
              <w:rPr>
                <w:rFonts w:ascii="Times New Roman" w:hAnsi="Times New Roman"/>
                <w:szCs w:val="21"/>
                <w:highlight w:val="none"/>
              </w:rPr>
            </w:pPr>
            <w:r>
              <w:rPr>
                <w:rFonts w:hint="eastAsia" w:ascii="Times New Roman" w:hAnsi="Times New Roman"/>
                <w:szCs w:val="21"/>
                <w:highlight w:val="none"/>
              </w:rPr>
              <w:t xml:space="preserve">（1）保证检测工作真实有效，不弄虚作假。</w:t>
            </w:r>
            <w:r/>
          </w:p>
          <w:p>
            <w:pPr>
              <w:spacing w:line="300" w:lineRule="exact"/>
              <w:rPr>
                <w:rFonts w:ascii="Times New Roman" w:hAnsi="Times New Roman"/>
                <w:szCs w:val="21"/>
                <w:highlight w:val="none"/>
              </w:rPr>
            </w:pPr>
            <w:r>
              <w:rPr>
                <w:rFonts w:hint="eastAsia" w:ascii="Times New Roman" w:hAnsi="Times New Roman"/>
                <w:szCs w:val="21"/>
                <w:highlight w:val="none"/>
              </w:rPr>
              <w:t xml:space="preserve">（2）保证检测工作符合相关技术规范、标准，发现瑕疵妥善处理。</w:t>
            </w:r>
            <w:r/>
          </w:p>
          <w:p>
            <w:pPr>
              <w:spacing w:line="300" w:lineRule="exact"/>
              <w:rPr>
                <w:rFonts w:ascii="Times New Roman" w:hAnsi="Times New Roman"/>
                <w:szCs w:val="21"/>
                <w:highlight w:val="none"/>
              </w:rPr>
            </w:pPr>
            <w:r>
              <w:rPr>
                <w:rFonts w:hint="eastAsia" w:ascii="Times New Roman" w:hAnsi="Times New Roman"/>
                <w:szCs w:val="21"/>
                <w:highlight w:val="none"/>
              </w:rPr>
              <w:t xml:space="preserve">（</w:t>
            </w:r>
            <w:r>
              <w:rPr>
                <w:rFonts w:ascii="Times New Roman" w:hAnsi="Times New Roman"/>
                <w:szCs w:val="21"/>
                <w:highlight w:val="none"/>
              </w:rPr>
              <w:t xml:space="preserve">3</w:t>
            </w:r>
            <w:r>
              <w:rPr>
                <w:rFonts w:hint="eastAsia" w:ascii="Times New Roman" w:hAnsi="Times New Roman"/>
                <w:szCs w:val="21"/>
                <w:highlight w:val="none"/>
              </w:rPr>
              <w:t xml:space="preserve">）接受南通市生态环境局、南通市生态环境监测站的质量监督、检查，就服务内容及时提交报告、原始记录、合同等相关材料。</w:t>
            </w:r>
            <w:r/>
          </w:p>
          <w:p>
            <w:pPr>
              <w:spacing w:line="300" w:lineRule="exact"/>
              <w:rPr>
                <w:rFonts w:ascii="Times New Roman" w:hAnsi="Times New Roman"/>
                <w:szCs w:val="21"/>
                <w:highlight w:val="none"/>
              </w:rPr>
            </w:pPr>
            <w:r>
              <w:rPr>
                <w:rFonts w:hint="eastAsia" w:ascii="Times New Roman" w:hAnsi="Times New Roman"/>
                <w:szCs w:val="21"/>
                <w:highlight w:val="none"/>
              </w:rPr>
              <w:t xml:space="preserve">（</w:t>
            </w:r>
            <w:r>
              <w:rPr>
                <w:rFonts w:ascii="Times New Roman" w:hAnsi="Times New Roman"/>
                <w:szCs w:val="21"/>
                <w:highlight w:val="none"/>
              </w:rPr>
              <w:t xml:space="preserve">4</w:t>
            </w:r>
            <w:r>
              <w:rPr>
                <w:rFonts w:hint="eastAsia" w:ascii="Times New Roman" w:hAnsi="Times New Roman"/>
                <w:szCs w:val="21"/>
                <w:highlight w:val="none"/>
              </w:rPr>
              <w:t xml:space="preserve">）当出现异常时，保证第一时间能开展加密监测等工作，并快速出具报告。</w:t>
            </w:r>
            <w:r/>
          </w:p>
          <w:p>
            <w:pPr>
              <w:spacing w:line="300" w:lineRule="exact"/>
              <w:rPr>
                <w:rFonts w:ascii="Times New Roman" w:hAnsi="Times New Roman"/>
                <w:szCs w:val="21"/>
                <w:highlight w:val="none"/>
              </w:rPr>
            </w:pPr>
            <w:r>
              <w:rPr>
                <w:rFonts w:hint="eastAsia" w:ascii="Times New Roman" w:hAnsi="Times New Roman"/>
                <w:szCs w:val="21"/>
                <w:highlight w:val="none"/>
              </w:rPr>
              <w:t xml:space="preserve">（</w:t>
            </w:r>
            <w:r>
              <w:rPr>
                <w:rFonts w:ascii="Times New Roman" w:hAnsi="Times New Roman"/>
                <w:szCs w:val="21"/>
                <w:highlight w:val="none"/>
              </w:rPr>
              <w:t xml:space="preserve">5</w:t>
            </w:r>
            <w:r>
              <w:rPr>
                <w:rFonts w:hint="eastAsia" w:ascii="Times New Roman" w:hAnsi="Times New Roman"/>
                <w:szCs w:val="21"/>
                <w:highlight w:val="none"/>
              </w:rPr>
              <w:t xml:space="preserve">）</w:t>
            </w:r>
            <w:r>
              <w:rPr>
                <w:rFonts w:ascii="Times New Roman" w:hAnsi="Times New Roman"/>
                <w:szCs w:val="21"/>
                <w:highlight w:val="none"/>
              </w:rPr>
              <w:t xml:space="preserve">将严格按照招标</w:t>
            </w:r>
            <w:r>
              <w:rPr>
                <w:rFonts w:hint="eastAsia" w:ascii="Times New Roman" w:hAnsi="Times New Roman"/>
                <w:szCs w:val="21"/>
                <w:highlight w:val="none"/>
              </w:rPr>
              <w:t xml:space="preserve">人</w:t>
            </w:r>
            <w:r>
              <w:rPr>
                <w:rFonts w:ascii="Times New Roman" w:hAnsi="Times New Roman"/>
                <w:szCs w:val="21"/>
                <w:highlight w:val="none"/>
              </w:rPr>
              <w:t xml:space="preserve">及项目实际需求，保质、保量、按时完成全部服务工作，确保项目顺利实施。</w:t>
            </w:r>
            <w:r/>
          </w:p>
          <w:p>
            <w:pPr>
              <w:spacing w:line="300" w:lineRule="exact"/>
              <w:rPr>
                <w:rFonts w:ascii="Times New Roman" w:hAnsi="Times New Roman"/>
                <w:szCs w:val="21"/>
                <w:highlight w:val="none"/>
              </w:rPr>
            </w:pPr>
            <w:r>
              <w:rPr>
                <w:rFonts w:hint="eastAsia" w:ascii="Times New Roman" w:hAnsi="Times New Roman"/>
                <w:szCs w:val="21"/>
                <w:highlight w:val="none"/>
              </w:rPr>
              <w:t xml:space="preserve">注：以上内容未提供不得分，有任一项缺失不得分。</w:t>
            </w:r>
            <w:r/>
          </w:p>
          <w:p>
            <w:pPr>
              <w:spacing w:line="300" w:lineRule="exact"/>
              <w:rPr>
                <w:rFonts w:ascii="Times New Roman" w:hAnsi="Times New Roman"/>
                <w:szCs w:val="21"/>
                <w:highlight w:val="none"/>
              </w:rPr>
            </w:pPr>
            <w:r>
              <w:rPr>
                <w:rFonts w:hint="eastAsia" w:ascii="Times New Roman" w:hAnsi="Times New Roman"/>
                <w:b/>
                <w:bCs/>
                <w:szCs w:val="21"/>
                <w:highlight w:val="none"/>
              </w:rPr>
              <w:t xml:space="preserve">2、保证服务响应快速（2分）：</w:t>
            </w:r>
            <w:r>
              <w:rPr>
                <w:rFonts w:hint="eastAsia" w:ascii="Times New Roman" w:hAnsi="Times New Roman"/>
                <w:szCs w:val="21"/>
                <w:highlight w:val="none"/>
              </w:rPr>
              <w:t xml:space="preserve">提供服务内容满足时限要求，必要时能在节假日和夜间加班。由评委根据投标方提供接收到指令后各环节流程图（1分），节假日、夜间值班机制（含车辆）（1分）两个方面进行打分。未提供不得分。</w:t>
            </w:r>
            <w:r/>
          </w:p>
          <w:p>
            <w:pPr>
              <w:spacing w:line="300" w:lineRule="exact"/>
              <w:rPr>
                <w:rFonts w:ascii="Times New Roman" w:hAnsi="Times New Roman"/>
                <w:szCs w:val="21"/>
                <w:highlight w:val="none"/>
              </w:rPr>
            </w:pPr>
            <w:r>
              <w:rPr>
                <w:rFonts w:hint="eastAsia" w:ascii="Times New Roman" w:hAnsi="Times New Roman"/>
                <w:b/>
                <w:szCs w:val="21"/>
                <w:highlight w:val="none"/>
              </w:rPr>
              <w:t xml:space="preserve">3、应急监测保障（</w:t>
            </w:r>
            <w:r>
              <w:rPr>
                <w:rFonts w:ascii="Times New Roman" w:hAnsi="Times New Roman"/>
                <w:b/>
                <w:szCs w:val="21"/>
                <w:highlight w:val="none"/>
              </w:rPr>
              <w:t xml:space="preserve">2</w:t>
            </w:r>
            <w:r>
              <w:rPr>
                <w:rFonts w:hint="eastAsia" w:ascii="Times New Roman" w:hAnsi="Times New Roman"/>
                <w:b/>
                <w:szCs w:val="21"/>
                <w:highlight w:val="none"/>
              </w:rPr>
              <w:t xml:space="preserve">分）</w:t>
            </w:r>
            <w:r>
              <w:rPr>
                <w:rFonts w:hint="eastAsia" w:ascii="Times New Roman" w:hAnsi="Times New Roman"/>
                <w:szCs w:val="21"/>
                <w:highlight w:val="none"/>
              </w:rPr>
              <w:t xml:space="preserve">：提供202</w:t>
            </w:r>
            <w:r>
              <w:rPr>
                <w:rFonts w:ascii="Times New Roman" w:hAnsi="Times New Roman"/>
                <w:szCs w:val="21"/>
                <w:highlight w:val="none"/>
              </w:rPr>
              <w:t xml:space="preserve">4</w:t>
            </w:r>
            <w:r>
              <w:rPr>
                <w:rFonts w:hint="eastAsia" w:ascii="Times New Roman" w:hAnsi="Times New Roman"/>
                <w:szCs w:val="21"/>
                <w:highlight w:val="none"/>
              </w:rPr>
              <w:t xml:space="preserve">年以来，参与的突发事件应急监测实例，1次得0.5分，最高得</w:t>
            </w:r>
            <w:r>
              <w:rPr>
                <w:rFonts w:ascii="Times New Roman" w:hAnsi="Times New Roman"/>
                <w:szCs w:val="21"/>
                <w:highlight w:val="none"/>
              </w:rPr>
              <w:t xml:space="preserve">2</w:t>
            </w:r>
            <w:r>
              <w:rPr>
                <w:rFonts w:hint="eastAsia" w:ascii="Times New Roman" w:hAnsi="Times New Roman"/>
                <w:szCs w:val="21"/>
                <w:highlight w:val="none"/>
              </w:rPr>
              <w:t xml:space="preserve">分。需提供实例的应急监测报告、事发地生态环境局证明材料等，未提供不得分。</w:t>
            </w:r>
            <w:r/>
          </w:p>
          <w:p>
            <w:pPr>
              <w:spacing w:line="300" w:lineRule="exact"/>
              <w:rPr>
                <w:rFonts w:ascii="Times New Roman" w:hAnsi="Times New Roman"/>
                <w:szCs w:val="21"/>
                <w:highlight w:val="none"/>
              </w:rPr>
            </w:pPr>
            <w:r>
              <w:rPr>
                <w:rFonts w:hint="eastAsia" w:ascii="Times New Roman" w:hAnsi="Times New Roman"/>
                <w:b/>
                <w:bCs/>
                <w:szCs w:val="21"/>
                <w:highlight w:val="none"/>
              </w:rPr>
              <w:t xml:space="preserve">4、能力扩项情况（</w:t>
            </w:r>
            <w:r>
              <w:rPr>
                <w:rFonts w:ascii="Times New Roman" w:hAnsi="Times New Roman"/>
                <w:b/>
                <w:bCs/>
                <w:szCs w:val="21"/>
                <w:highlight w:val="none"/>
              </w:rPr>
              <w:t xml:space="preserve">3</w:t>
            </w:r>
            <w:r>
              <w:rPr>
                <w:rFonts w:hint="eastAsia" w:ascii="Times New Roman" w:hAnsi="Times New Roman"/>
                <w:b/>
                <w:bCs/>
                <w:szCs w:val="21"/>
                <w:highlight w:val="none"/>
              </w:rPr>
              <w:t xml:space="preserve">分）：</w:t>
            </w:r>
            <w:r>
              <w:rPr>
                <w:rFonts w:hint="eastAsia" w:ascii="Times New Roman" w:hAnsi="Times New Roman"/>
                <w:szCs w:val="21"/>
                <w:highlight w:val="none"/>
              </w:rPr>
              <w:t xml:space="preserve">202</w:t>
            </w:r>
            <w:r>
              <w:rPr>
                <w:rFonts w:ascii="Times New Roman" w:hAnsi="Times New Roman"/>
                <w:szCs w:val="21"/>
                <w:highlight w:val="none"/>
              </w:rPr>
              <w:t xml:space="preserve">4</w:t>
            </w:r>
            <w:r>
              <w:rPr>
                <w:rFonts w:hint="eastAsia" w:ascii="Times New Roman" w:hAnsi="Times New Roman"/>
                <w:szCs w:val="21"/>
                <w:highlight w:val="none"/>
              </w:rPr>
              <w:t xml:space="preserve">年以来组织开展检测能力扩项并取得资质的（每次取得资质不得少于50项），每1次得1分，最高</w:t>
            </w:r>
            <w:r>
              <w:rPr>
                <w:rFonts w:ascii="Times New Roman" w:hAnsi="Times New Roman"/>
                <w:szCs w:val="21"/>
                <w:highlight w:val="none"/>
              </w:rPr>
              <w:t xml:space="preserve">3</w:t>
            </w:r>
            <w:r>
              <w:rPr>
                <w:rFonts w:hint="eastAsia" w:ascii="Times New Roman" w:hAnsi="Times New Roman"/>
                <w:szCs w:val="21"/>
                <w:highlight w:val="none"/>
              </w:rPr>
              <w:t xml:space="preserve">分（需提供每次不符合项整改报告以及批准的能力附表等相关资料，未提供或缺项不得分）。</w:t>
            </w:r>
            <w:r/>
          </w:p>
        </w:tc>
      </w:tr>
    </w:tbl>
    <w:p>
      <w:pPr>
        <w:ind w:firstLine="420"/>
        <w:jc w:val="left"/>
        <w:shd w:val="clear" w:color="auto" w:fill="ffffff"/>
        <w:widowControl/>
        <w:rPr>
          <w:rFonts w:ascii="Times New Roman" w:hAnsi="Times New Roman"/>
          <w:b/>
          <w:szCs w:val="24"/>
          <w:highlight w:val="none"/>
        </w:rPr>
      </w:pPr>
      <w:r>
        <w:rPr>
          <w:rFonts w:ascii="Times New Roman" w:hAnsi="Times New Roman"/>
          <w:b/>
          <w:szCs w:val="24"/>
          <w:highlight w:val="none"/>
        </w:rPr>
      </w:r>
      <w:r/>
    </w:p>
    <w:p>
      <w:pPr>
        <w:ind w:firstLine="420"/>
        <w:jc w:val="left"/>
        <w:shd w:val="clear" w:color="auto" w:fill="ffffff"/>
        <w:widowControl/>
        <w:rPr>
          <w:rFonts w:ascii="Times New Roman" w:hAnsi="Times New Roman" w:eastAsia="仿宋"/>
          <w:b/>
          <w:sz w:val="22"/>
          <w:highlight w:val="none"/>
        </w:rPr>
      </w:pPr>
      <w:r>
        <w:rPr>
          <w:rFonts w:ascii="Times New Roman" w:hAnsi="Times New Roman"/>
          <w:b/>
          <w:szCs w:val="24"/>
          <w:highlight w:val="none"/>
        </w:rPr>
        <w:t xml:space="preserve">注：</w:t>
      </w:r>
      <w:r>
        <w:rPr>
          <w:rFonts w:ascii="Times New Roman" w:hAnsi="Times New Roman"/>
          <w:b/>
          <w:sz w:val="21"/>
          <w:szCs w:val="21"/>
          <w:highlight w:val="none"/>
        </w:rPr>
        <w:t xml:space="preserve">评标办法中涉及人员证书、业绩合同等证明材料，如为复印件均须加盖供应商公章，否则该项不得分</w:t>
      </w:r>
      <w:r>
        <w:rPr>
          <w:rFonts w:ascii="Times New Roman" w:hAnsi="Times New Roman"/>
          <w:b/>
          <w:color w:val="000000"/>
          <w:sz w:val="21"/>
          <w:szCs w:val="21"/>
          <w:highlight w:val="none"/>
        </w:rPr>
        <w:t xml:space="preserve">。</w:t>
      </w:r>
      <w:r>
        <w:rPr>
          <w:rFonts w:ascii="Times New Roman" w:hAnsi="Times New Roman"/>
          <w:b/>
          <w:sz w:val="21"/>
          <w:szCs w:val="21"/>
          <w:highlight w:val="none"/>
        </w:rPr>
        <w:t xml:space="preserve">上述涉及可政府或行业协会官网查询的供应商或人员资质资格等相关证书以及相关证明材料，仅需提供复印件（应清晰可辨）并加盖公章，非必须提供原件。评委评审时经三分之二及以上评委认为复印件存疑时，可要求供应商提供查询网址或原件核对，无法核验时该项不得分，供应商自行承担由此产生的得分损失</w:t>
      </w:r>
      <w:r>
        <w:rPr>
          <w:rFonts w:ascii="Times New Roman" w:hAnsi="Times New Roman" w:eastAsia="仿宋"/>
          <w:b/>
          <w:sz w:val="22"/>
          <w:highlight w:val="none"/>
        </w:rPr>
        <w:t xml:space="preserve">。</w:t>
      </w:r>
      <w:r/>
    </w:p>
    <w:p>
      <w:pPr>
        <w:ind w:firstLine="440"/>
        <w:jc w:val="left"/>
        <w:shd w:val="clear" w:color="auto" w:fill="ffffff"/>
        <w:widowControl/>
        <w:rPr>
          <w:rFonts w:hint="eastAsia" w:ascii="Times New Roman" w:hAnsi="Times New Roman" w:eastAsia="仿宋"/>
          <w:b/>
          <w:sz w:val="22"/>
          <w:highlight w:val="none"/>
        </w:rPr>
      </w:pPr>
      <w:r>
        <w:rPr>
          <w:rFonts w:hint="eastAsia" w:ascii="Times New Roman" w:hAnsi="Times New Roman" w:eastAsia="仿宋"/>
          <w:b/>
          <w:sz w:val="22"/>
          <w:highlight w:val="none"/>
        </w:rPr>
      </w:r>
      <w:r/>
    </w:p>
    <w:p>
      <w:pPr>
        <w:ind w:firstLine="482"/>
        <w:jc w:val="left"/>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（二）报价分：</w:t>
      </w:r>
      <w:r>
        <w:rPr>
          <w:rFonts w:hint="eastAsia" w:ascii="仿宋" w:hAnsi="仿宋" w:eastAsia="仿宋" w:cs="仿宋"/>
          <w:b/>
          <w:sz w:val="28"/>
          <w:szCs w:val="28"/>
          <w:highlight w:val="none"/>
        </w:rPr>
        <w:t xml:space="preserve">（</w:t>
      </w:r>
      <w:r>
        <w:rPr>
          <w:rFonts w:hint="eastAsia" w:ascii="仿宋" w:hAnsi="仿宋" w:eastAsia="仿宋" w:cs="仿宋"/>
          <w:b/>
          <w:sz w:val="28"/>
          <w:szCs w:val="28"/>
          <w:highlight w:val="none"/>
          <w:lang w:val="en-US" w:eastAsia="zh-CN"/>
        </w:rPr>
        <w:t xml:space="preserve">30</w:t>
      </w:r>
      <w:r>
        <w:rPr>
          <w:rFonts w:hint="eastAsia" w:ascii="仿宋" w:hAnsi="仿宋" w:eastAsia="仿宋" w:cs="仿宋"/>
          <w:b/>
          <w:sz w:val="28"/>
          <w:szCs w:val="28"/>
          <w:highlight w:val="none"/>
        </w:rPr>
        <w:t xml:space="preserve">分）</w:t>
      </w:r>
      <w:r/>
    </w:p>
    <w:p>
      <w:pPr>
        <w:ind w:firstLine="480"/>
        <w:spacing w:line="360" w:lineRule="auto"/>
        <w:rPr>
          <w:rFonts w:hint="eastAsia" w:ascii="仿宋" w:hAnsi="仿宋" w:eastAsia="仿宋" w:cs="仿宋"/>
          <w:b/>
          <w:bCs/>
          <w:sz w:val="28"/>
          <w:szCs w:val="28"/>
          <w:highlight w:val="none"/>
          <w:lang w:val="en-US" w:eastAsia="zh-CN"/>
        </w:rPr>
      </w:pPr>
      <w:r>
        <w:rPr>
          <w:rFonts w:hint="eastAsia" w:ascii="仿宋" w:hAnsi="仿宋" w:eastAsia="仿宋" w:cs="仿宋"/>
          <w:sz w:val="28"/>
          <w:szCs w:val="28"/>
          <w:highlight w:val="none"/>
          <w:lang w:val="en-US" w:eastAsia="zh-CN"/>
        </w:rPr>
        <w:t xml:space="preserve">1、</w:t>
      </w:r>
      <w:r>
        <w:rPr>
          <w:rFonts w:hint="eastAsia" w:ascii="仿宋" w:hAnsi="仿宋" w:eastAsia="仿宋" w:cs="仿宋"/>
          <w:b/>
          <w:bCs/>
          <w:sz w:val="28"/>
          <w:szCs w:val="28"/>
          <w:highlight w:val="none"/>
          <w:lang w:val="en-US" w:eastAsia="zh-CN"/>
        </w:rPr>
        <w:t xml:space="preserve">综合评分法中的价格分统一采用低价优先法计算，即满足磋商文件要求且最后报价最低（统一优惠率最高）的供应商的价格为磋商基准价，其价格分为满分。其他供应商的价格分统一按照下列公式计算：</w:t>
      </w:r>
      <w:r/>
    </w:p>
    <w:p>
      <w:pPr>
        <w:ind w:firstLine="480"/>
        <w:spacing w:line="360" w:lineRule="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磋商报价得分=（（1-评标基准价）/（1-最后磋商报价））×权重×100</w:t>
      </w:r>
      <w:r/>
    </w:p>
    <w:p>
      <w:pPr>
        <w:ind w:firstLine="482"/>
        <w:spacing w:line="360" w:lineRule="auto"/>
        <w:rPr>
          <w:rFonts w:hint="eastAsia" w:eastAsia="宋体" w:cs="宋体"/>
          <w:b/>
          <w:color w:val="000000"/>
          <w:sz w:val="24"/>
          <w:szCs w:val="24"/>
          <w:highlight w:val="none"/>
        </w:rPr>
        <w:outlineLvl w:val="0"/>
      </w:pPr>
      <w:r>
        <w:rPr>
          <w:rFonts w:hint="eastAsia" w:eastAsia="宋体" w:cs="宋体"/>
          <w:b/>
          <w:color w:val="000000"/>
          <w:sz w:val="24"/>
          <w:szCs w:val="24"/>
          <w:highlight w:val="none"/>
        </w:rPr>
        <w:t xml:space="preserve">2、针对响应价格异常低价的审查</w:t>
      </w:r>
      <w:r/>
    </w:p>
    <w:p>
      <w:pPr>
        <w:pStyle w:val="886"/>
        <w:ind w:left="0" w:right="0" w:firstLine="645"/>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（一）采购人应当在采购文件中明确，政府采购评审中出现下列情形之一的，评审委员会应当启动异常低价投标（响应）审查程序：</w:t>
      </w:r>
      <w:r/>
    </w:p>
    <w:p>
      <w:pPr>
        <w:pStyle w:val="886"/>
        <w:ind w:left="0" w:right="0" w:firstLine="645"/>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1.投标（响应）报价低于全部通过符合性审查供应商投标（响应）报价平均值50%的，即投标（响应）报价&lt;全部通过符合性审查供应商投标（响应）报价平均值×50%；</w:t>
      </w:r>
      <w:r/>
    </w:p>
    <w:p>
      <w:pPr>
        <w:pStyle w:val="886"/>
        <w:ind w:left="0" w:right="0" w:firstLine="645"/>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2.投标（响应）报价低于通过符合性审查的次低报价供应商投标（响应）报价50%的，即投标（响应）报价&lt;通过符合性审查的次低报价供应商投标（响应）报价×50%；</w:t>
      </w:r>
      <w:r/>
    </w:p>
    <w:p>
      <w:pPr>
        <w:pStyle w:val="886"/>
        <w:ind w:left="0" w:right="0" w:firstLine="645"/>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3.投标（响应）报价低于采购项目最高限价45%的，即投标（响应）报价&lt;采购项目最高限价×45%；</w:t>
      </w:r>
      <w:r/>
    </w:p>
    <w:p>
      <w:pPr>
        <w:ind w:firstLine="480"/>
        <w:jc w:val="left"/>
        <w:spacing w:line="580" w:lineRule="exact"/>
        <w:rPr>
          <w:rFonts w:hint="eastAsia" w:ascii="Calibri" w:hAnsi="Calibri" w:eastAsia="宋体" w:cs="Calibri"/>
          <w:i w:val="0"/>
          <w:iCs w:val="0"/>
          <w:caps w:val="0"/>
          <w:color w:val="333333"/>
          <w:spacing w:val="0"/>
          <w:sz w:val="21"/>
          <w:szCs w:val="21"/>
          <w:highlight w:val="none"/>
          <w:lang w:eastAsia="zh-CN"/>
        </w:rPr>
      </w:pPr>
      <w:r>
        <w:rPr>
          <w:rFonts w:hint="eastAsia" w:ascii="宋体" w:hAnsi="宋体" w:eastAsia="宋体" w:cs="宋体"/>
          <w:i w:val="0"/>
          <w:iCs w:val="0"/>
          <w:caps w:val="0"/>
          <w:color w:val="333333"/>
          <w:spacing w:val="0"/>
          <w:sz w:val="24"/>
          <w:szCs w:val="24"/>
          <w:highlight w:val="none"/>
          <w:shd w:val="clear" w:color="auto" w:fill="ffffff"/>
        </w:rPr>
        <w:t xml:space="preserve">4.评审委员会基于专业判断，认为供应商报价过低，有可能影响产品质量或者不能诚信履约的其他情形。</w:t>
      </w:r>
      <w:r/>
    </w:p>
    <w:p>
      <w:pPr>
        <w:pStyle w:val="886"/>
        <w:ind w:left="0" w:right="0" w:firstLine="645"/>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相关法律法规对供应商报价有规定的，从其规定。</w:t>
      </w:r>
      <w:r/>
    </w:p>
    <w:p>
      <w:pPr>
        <w:pStyle w:val="886"/>
        <w:ind w:left="0" w:right="0" w:firstLine="645"/>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86"/>
        <w:ind w:left="0" w:right="0" w:firstLine="645"/>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86"/>
        <w:ind w:left="0" w:right="0" w:firstLine="645"/>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86"/>
        <w:ind w:left="0" w:right="0" w:firstLine="645"/>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6"/>
        </w:numPr>
        <w:ind w:firstLine="560"/>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政府采购政策功能落实</w:t>
      </w:r>
      <w:r/>
    </w:p>
    <w:p>
      <w:pPr>
        <w:numPr>
          <w:ilvl w:val="0"/>
          <w:numId w:val="0"/>
        </w:numPr>
        <w:ind w:firstLine="560"/>
        <w:spacing w:line="360" w:lineRule="auto"/>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注：本项目包1享受小微企业价格扣除优惠；包2-包5为专门面向中小企业采购不再享受价格扣除优惠。</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1.小微型企业价格扣除</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（1）本项目对小型和微型企业产品给予</w:t>
      </w:r>
      <w:r>
        <w:rPr>
          <w:rFonts w:hint="eastAsia" w:ascii="仿宋" w:hAnsi="仿宋" w:eastAsia="仿宋" w:cs="仿宋"/>
          <w:sz w:val="28"/>
          <w:szCs w:val="28"/>
          <w:highlight w:val="none"/>
        </w:rPr>
        <w:t xml:space="preserve">10%的扣</w:t>
      </w:r>
      <w:r>
        <w:rPr>
          <w:rFonts w:hint="eastAsia" w:ascii="仿宋" w:hAnsi="仿宋" w:eastAsia="仿宋" w:cs="仿宋"/>
          <w:sz w:val="28"/>
          <w:szCs w:val="28"/>
          <w:highlight w:val="none"/>
        </w:rPr>
        <w:t xml:space="preserve">除价格，用扣除后的价格参与评审。</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（2）供应商需按照采购文件的要求提供相应的《小型、微型企业声明函》。</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（3）企业标准请参照《关于印发中小企业划型标准规定的通知》（工信部联企业[2011]300号）文件规定自行填写。</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2.残疾人福利单位价格扣除</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（1）本项目对残疾人福利性单位视同小型、微型企业，给予10%的价格扣除，用扣除后的价格参与评审。</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（2）残疾人福利单位需按照采购文件的要求提供《残疾人福利性单位声明函》。</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（3）残疾人福利单位标准请参照《关于促进残疾人就业政府采购政策的通知》（财库〔2017〕141号）。</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3.监狱和戒毒企业价格扣除</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（1）本项目对监狱和戒毒企业（简称监狱企业）视同小型、微型企业，给予10%的价格扣除，用扣除后的价格参与评审。</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（3）监狱企业标准请参照《关于政府采购支持监狱企业发展有关问题的通知》（财库[2014]68号）。</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4.残疾人福利单位、监狱企业属于小型、微型企业的，不重复享受政策。</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6.联合体各方均为小型、微型企业（残疾人福利单位、监狱企业）的，联合体享受6%价格扣除，用扣除后的价格参与评审。</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7.根据《江苏省政府采购信用管理暂行办法》的规定，对有失信行为的供应商将根据信用评价结果按规定予以扣分或价格加成。</w:t>
      </w:r>
      <w:r/>
    </w:p>
    <w:p>
      <w:pPr>
        <w:ind w:firstLine="482"/>
        <w:spacing w:line="360" w:lineRule="auto"/>
        <w:rPr>
          <w:rFonts w:hint="eastAsia" w:ascii="仿宋" w:hAnsi="仿宋" w:eastAsia="仿宋" w:cs="仿宋"/>
          <w:bCs/>
          <w:sz w:val="28"/>
          <w:szCs w:val="28"/>
          <w:highlight w:val="none"/>
        </w:rPr>
      </w:pPr>
      <w:r>
        <w:rPr>
          <w:rFonts w:hint="eastAsia" w:ascii="仿宋" w:hAnsi="仿宋" w:eastAsia="仿宋" w:cs="仿宋"/>
          <w:b/>
          <w:sz w:val="28"/>
          <w:szCs w:val="28"/>
          <w:highlight w:val="none"/>
        </w:rPr>
        <w:t xml:space="preserve">（四）成交供应商的确定</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磋商小组应当根据综合评分情况，按照评审得分由高到低顺序推荐3名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2.磋商评审时，评委对评审的细则若有争议，由磋商小组集体讨论确定，并对未尽情况有最终解释权。</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3.对落标的供应商不做落标原因的解释。</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4.采购人委托磋商小组直接确定排名第一的成交候选人为成交供应商。</w:t>
      </w:r>
      <w:r/>
    </w:p>
    <w:p>
      <w:pPr>
        <w:ind w:firstLine="482"/>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（五）公告成交结果</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自确定成交供应商之日起2个工作日内，在江苏政府采购网公告成交结果，公告期限为1个工作日。</w:t>
      </w:r>
      <w:r/>
    </w:p>
    <w:p>
      <w:pPr>
        <w:ind w:firstLine="482"/>
        <w:spacing w:line="360" w:lineRule="auto"/>
        <w:tabs>
          <w:tab w:val="left" w:pos="6555" w:leader="none"/>
          <w:tab w:val="right" w:pos="8306" w:leader="none"/>
        </w:tabs>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（六） 出现下列情形之一的，作无效响应处理</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1.同一供应商提交两个（含两个）以上不同的响应报价的。</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2.不具备磋商文件中规定的资格要求的。 </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3.响应报价超过了采购预算或最高限价的。 </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4.未通过符合性检查的。</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5.不符合法律、法规和磋商文件中规定的其他实质性要求的。</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6.供应商被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7.响应文件含有采购人不能接受的附加条件的。</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8.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9.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10.响应文件未按照磋商文件要求加盖电子签章。</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11.供应商的商务技术部分得分相差悬殊，磋商小组一致认为得分畸低者有可能影响产品质量或者不能诚信履约的。</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12.供应商在系统规定的时间内未成功解密电子响应文件的。</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13.供应商在规定的时间内未提交最终报价的。</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14.未完整上传响应文件电子文档的,或上传的文件打不开的。</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15.不同的供应商响应文件制作机器码、文件创建标识码一致的。</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16.其他法律、法规及本磋商文件规定的属无效响应的情形。</w:t>
      </w:r>
      <w:r/>
    </w:p>
    <w:p>
      <w:pPr>
        <w:ind w:firstLine="482"/>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（七）出现下列情形之一的，本次竞争性磋商采购活动将被终止</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1.因情况变化，不再符合规定的竞争性磋商采购方式适用情形的。</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2.出现影响采购公正的违法、违规行为的。</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除《政府采购竞争性磋商采购方式理暂行办法》第三条第一款第四项及《财政部关于竞争性磋商采购方式管理暂行办法有关问题的补充通知》（财库[2015]124号）规定情形规定的情形外，在采购过程中符合要求的供应商或者最后报价未超过采购预算的供应商不足3家的。</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4.在苏采云系统规定时间内成功解密电子响应文件的供应商不足3家的。</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5.因重大变故，采购任务取消的。</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6.磋商小组认定磋商文件存在歧义、重大缺陷导致评审工作无法进行。</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7.因系统故障原因造成磋商无法继续进行的。</w:t>
      </w:r>
      <w:r/>
    </w:p>
    <w:p>
      <w:pPr>
        <w:ind w:firstLine="482"/>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（八）其他</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当排名第一的中标候选人无正当理由放弃中标，被查实存在影响中标结果的违法行为等情形，采购人有权按照政府采购相关法律法规的规定对其采取惩戒措施，包含但不限于列入采购失信人黑名单等措施。</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当排名第一的中标候选人放弃中标、因不可抗力不能履行合同，或者被查实存在影响中标结果的违法行为等情形，不符合中标条件的，招标人可以按照评标委员会提出的中标候选人名单排序依次确定其他中标候选人为中标人，也可以重新招标。</w:t>
      </w:r>
      <w:r/>
    </w:p>
    <w:p>
      <w:pPr>
        <w:ind w:firstLine="482"/>
        <w:spacing w:line="360" w:lineRule="auto"/>
        <w:rPr>
          <w:rFonts w:hint="eastAsia" w:ascii="仿宋" w:hAnsi="仿宋" w:eastAsia="仿宋" w:cs="仿宋"/>
          <w:b/>
          <w:sz w:val="28"/>
          <w:szCs w:val="28"/>
          <w:highlight w:val="none"/>
        </w:rPr>
        <w:sectPr>
          <w:footerReference w:type="default" r:id="rId14"/>
          <w:footerReference w:type="first" r:id="rId15"/>
          <w:footnotePr/>
          <w:endnotePr/>
          <w:type w:val="nextPage"/>
          <w:pgSz w:w="11906" w:h="16838" w:orient="portrait"/>
          <w:pgMar w:top="1440" w:right="1236" w:bottom="1440" w:left="1236" w:header="720" w:footer="720" w:gutter="170"/>
          <w:cols w:num="1" w:sep="0" w:space="720" w:equalWidth="1"/>
          <w:docGrid w:linePitch="360"/>
        </w:sectPr>
      </w:pPr>
      <w:r>
        <w:rPr>
          <w:rFonts w:hint="eastAsia" w:ascii="仿宋" w:hAnsi="仿宋" w:eastAsia="仿宋" w:cs="仿宋"/>
          <w:b/>
          <w:sz w:val="28"/>
          <w:szCs w:val="28"/>
          <w:highlight w:val="none"/>
        </w:rPr>
      </w:r>
      <w:r/>
    </w:p>
    <w:p>
      <w:pPr>
        <w:ind w:firstLine="723"/>
        <w:jc w:val="center"/>
        <w:spacing w:line="300" w:lineRule="auto"/>
        <w:rPr>
          <w:rFonts w:hint="eastAsia" w:ascii="仿宋" w:hAnsi="仿宋" w:eastAsia="仿宋" w:cs="仿宋"/>
          <w:b/>
          <w:color w:val="000000"/>
          <w:sz w:val="36"/>
          <w:szCs w:val="36"/>
          <w:highlight w:val="none"/>
        </w:rPr>
        <w:outlineLvl w:val="0"/>
      </w:pPr>
      <w:r>
        <w:rPr>
          <w:rFonts w:hint="eastAsia" w:ascii="仿宋" w:hAnsi="仿宋" w:eastAsia="仿宋" w:cs="仿宋"/>
          <w:b/>
          <w:color w:val="000000"/>
          <w:sz w:val="36"/>
          <w:szCs w:val="36"/>
          <w:highlight w:val="none"/>
        </w:rPr>
        <w:t xml:space="preserve">第五章  合同及履约保证</w:t>
      </w:r>
      <w:r/>
    </w:p>
    <w:p>
      <w:pPr>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成交供应商和采购单位在接到《成交通知书》后三十日内签订合同。合同签订后成交供应商方可履约，否则引起的一切后果由成交人自行承担。纸质合同一式肆份，采购人、供应商各贰份。所签合同不得对采购文件作实质性修改。采购单位不得向成交供应商提出不合理的要求作为签订合同的条件，不得与成交供应商私下订立背离采购文件实质性内容的协议。</w:t>
      </w:r>
      <w:r/>
    </w:p>
    <w:p>
      <w:pPr>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采购人按合同约定积极配合成交供应商履约，成交供应商履约到位后，请以书面形式向采购单位提出验收申请，采购人接到申请后原则上在5个工作日内及时组织相关专业技术人员共同参与验收，并出具验收报告，验收合格的原则上5个工作日内支付相应款项。</w:t>
      </w:r>
      <w:r/>
    </w:p>
    <w:p>
      <w:pPr>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成交供应商出现违约情形，应当及时纠正或补偿；造成损失的，按合同约定追究违约责任；发现有假冒、伪劣、走私产品、商业贿赂等违法情形的，应由采购人移交工商、质监、公安等行政执法部门依法查处。</w:t>
      </w:r>
      <w:r/>
    </w:p>
    <w:p>
      <w:pPr>
        <w:ind w:firstLine="562"/>
        <w:jc w:val="left"/>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五、不响应付款方式的，视同响应文件无效处理。</w:t>
      </w:r>
      <w:r/>
    </w:p>
    <w:p>
      <w:pPr>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款项由采购人按相关财务支付规定办理支付手续。</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每次付款前，成交供应商须</w:t>
      </w:r>
      <w:r>
        <w:rPr>
          <w:rFonts w:hint="eastAsia" w:ascii="仿宋" w:hAnsi="仿宋" w:eastAsia="仿宋" w:cs="仿宋"/>
          <w:sz w:val="28"/>
          <w:szCs w:val="28"/>
          <w:highlight w:val="none"/>
        </w:rPr>
        <w:t xml:space="preserve">根据结算金额按国家有关财税规定开出合法发票交采购方办理付款手续。</w:t>
      </w:r>
      <w:r/>
    </w:p>
    <w:p>
      <w:pPr>
        <w:ind w:firstLine="42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643"/>
        <w:rPr>
          <w:rFonts w:hint="eastAsia" w:ascii="仿宋" w:hAnsi="仿宋" w:eastAsia="仿宋" w:cs="仿宋"/>
          <w:b/>
          <w:sz w:val="28"/>
          <w:szCs w:val="28"/>
          <w:highlight w:val="none"/>
        </w:rPr>
      </w:pPr>
      <w:r>
        <w:rPr>
          <w:rFonts w:hint="eastAsia" w:ascii="仿宋" w:hAnsi="仿宋" w:eastAsia="仿宋" w:cs="仿宋"/>
          <w:b/>
          <w:sz w:val="28"/>
          <w:szCs w:val="28"/>
          <w:highlight w:val="none"/>
        </w:rPr>
        <w:br w:type="page" w:clear="all"/>
      </w:r>
      <w:r/>
    </w:p>
    <w:p>
      <w:pPr>
        <w:ind w:firstLine="643"/>
        <w:jc w:val="center"/>
        <w:spacing w:line="360" w:lineRule="auto"/>
        <w:rPr>
          <w:rFonts w:hint="eastAsia" w:ascii="仿宋" w:hAnsi="仿宋" w:eastAsia="仿宋" w:cs="仿宋"/>
          <w:sz w:val="28"/>
          <w:szCs w:val="28"/>
          <w:highlight w:val="none"/>
        </w:rPr>
        <w:outlineLvl w:val="0"/>
      </w:pPr>
      <w:r>
        <w:rPr>
          <w:rFonts w:hint="eastAsia" w:ascii="仿宋" w:hAnsi="仿宋" w:eastAsia="仿宋" w:cs="仿宋"/>
          <w:b/>
          <w:sz w:val="32"/>
          <w:szCs w:val="32"/>
          <w:highlight w:val="none"/>
        </w:rPr>
        <w:t xml:space="preserve">第六章  响应文件组成及格式</w:t>
      </w:r>
      <w:r/>
    </w:p>
    <w:p>
      <w:pPr>
        <w:ind w:firstLine="562"/>
        <w:spacing w:line="360" w:lineRule="auto"/>
        <w:rPr>
          <w:rFonts w:hint="eastAsia" w:ascii="仿宋" w:hAnsi="仿宋" w:eastAsia="仿宋" w:cs="仿宋"/>
          <w:b/>
          <w:bCs/>
          <w:sz w:val="28"/>
          <w:szCs w:val="28"/>
          <w:highlight w:val="none"/>
          <w:lang w:val="zh-CN"/>
        </w:rPr>
      </w:pPr>
      <w:r>
        <w:rPr>
          <w:rFonts w:hint="eastAsia" w:ascii="仿宋" w:hAnsi="仿宋" w:eastAsia="仿宋" w:cs="仿宋"/>
          <w:b/>
          <w:bCs/>
          <w:sz w:val="28"/>
          <w:szCs w:val="28"/>
          <w:highlight w:val="none"/>
          <w:lang w:val="zh-CN"/>
        </w:rPr>
        <w:t xml:space="preserve">由资格审查证明文件、技术响应文件、价格文件</w:t>
      </w:r>
      <w:r>
        <w:rPr>
          <w:rFonts w:hint="eastAsia" w:ascii="仿宋" w:hAnsi="仿宋" w:eastAsia="仿宋" w:cs="仿宋"/>
          <w:b/>
          <w:bCs/>
          <w:sz w:val="28"/>
          <w:szCs w:val="28"/>
          <w:highlight w:val="none"/>
        </w:rPr>
        <w:t xml:space="preserve">三</w:t>
      </w:r>
      <w:r>
        <w:rPr>
          <w:rFonts w:hint="eastAsia" w:ascii="仿宋" w:hAnsi="仿宋" w:eastAsia="仿宋" w:cs="仿宋"/>
          <w:b/>
          <w:bCs/>
          <w:sz w:val="28"/>
          <w:szCs w:val="28"/>
          <w:highlight w:val="none"/>
          <w:lang w:val="zh-CN"/>
        </w:rPr>
        <w:t xml:space="preserve">部分组成。</w:t>
      </w:r>
      <w:r/>
    </w:p>
    <w:p>
      <w:pPr>
        <w:pStyle w:val="898"/>
        <w:contextualSpacing/>
        <w:ind w:firstLine="562"/>
        <w:spacing w:line="360" w:lineRule="auto"/>
        <w:rPr>
          <w:rFonts w:hint="eastAsia" w:ascii="仿宋" w:hAnsi="仿宋" w:eastAsia="仿宋" w:cs="仿宋"/>
          <w:b/>
          <w:bCs/>
          <w:sz w:val="28"/>
          <w:szCs w:val="28"/>
          <w:highlight w:val="none"/>
          <w:lang w:val="zh-CN"/>
        </w:rPr>
        <w:outlineLvl w:val="1"/>
      </w:pPr>
      <w:r>
        <w:rPr>
          <w:rFonts w:hint="eastAsia" w:ascii="仿宋" w:hAnsi="仿宋" w:eastAsia="仿宋" w:cs="仿宋"/>
          <w:b/>
          <w:bCs/>
          <w:sz w:val="28"/>
          <w:szCs w:val="28"/>
          <w:highlight w:val="none"/>
        </w:rPr>
        <w:t xml:space="preserve">一、</w:t>
      </w:r>
      <w:r>
        <w:rPr>
          <w:rFonts w:hint="eastAsia" w:ascii="仿宋" w:hAnsi="仿宋" w:eastAsia="仿宋" w:cs="仿宋"/>
          <w:b/>
          <w:bCs/>
          <w:sz w:val="28"/>
          <w:szCs w:val="28"/>
          <w:highlight w:val="none"/>
          <w:lang w:val="zh-CN"/>
        </w:rPr>
        <w:t xml:space="preserve">资格审查证明文件（不能出现商务技术文件、价格文件）</w:t>
      </w:r>
      <w:r/>
    </w:p>
    <w:p>
      <w:pPr>
        <w:pStyle w:val="898"/>
        <w:contextualSpacing/>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1、关于资格的声明函；（格式详见附件）</w:t>
      </w:r>
      <w:r/>
    </w:p>
    <w:p>
      <w:pPr>
        <w:pStyle w:val="898"/>
        <w:contextualSpacing/>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2、法定代表人参加投标的，必须提供法定代表人身份证明及法定代表人本人身份证复印件；（格式详见附件）</w:t>
      </w:r>
      <w:r/>
    </w:p>
    <w:p>
      <w:pPr>
        <w:pStyle w:val="898"/>
        <w:contextualSpacing/>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非法定代表人参加投标的，必须提供法定代表人签名或盖章的授权委托书及</w:t>
      </w:r>
      <w:r>
        <w:rPr>
          <w:rFonts w:hint="eastAsia" w:ascii="仿宋" w:hAnsi="仿宋" w:eastAsia="仿宋" w:cs="仿宋"/>
          <w:b/>
          <w:color w:val="000000"/>
          <w:sz w:val="28"/>
          <w:szCs w:val="28"/>
          <w:highlight w:val="none"/>
        </w:rPr>
        <w:t xml:space="preserve">法定代表人和被授权人两人的身份证复印件</w:t>
      </w:r>
      <w:r>
        <w:rPr>
          <w:rFonts w:hint="eastAsia" w:ascii="仿宋" w:hAnsi="仿宋" w:eastAsia="仿宋" w:cs="仿宋"/>
          <w:color w:val="000000"/>
          <w:sz w:val="28"/>
          <w:szCs w:val="28"/>
          <w:highlight w:val="none"/>
        </w:rPr>
        <w:t xml:space="preserve">（格式详见附件）；</w:t>
      </w:r>
      <w:r/>
    </w:p>
    <w:p>
      <w:pPr>
        <w:pStyle w:val="898"/>
        <w:contextualSpacing/>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sz w:val="28"/>
          <w:szCs w:val="28"/>
          <w:highlight w:val="none"/>
        </w:rPr>
        <w:t xml:space="preserve">法人或者其他组织的</w:t>
      </w:r>
      <w:r>
        <w:rPr>
          <w:rFonts w:hint="eastAsia" w:ascii="仿宋" w:hAnsi="仿宋" w:eastAsia="仿宋" w:cs="仿宋"/>
          <w:color w:val="000000"/>
          <w:sz w:val="28"/>
          <w:szCs w:val="28"/>
          <w:highlight w:val="none"/>
        </w:rPr>
        <w:t xml:space="preserve">营业执照或事业单位法人证书；</w:t>
      </w:r>
      <w:r/>
    </w:p>
    <w:p>
      <w:pPr>
        <w:pStyle w:val="898"/>
        <w:contextualSpacing/>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4、供应商</w:t>
      </w:r>
      <w:r>
        <w:rPr>
          <w:rFonts w:hint="eastAsia" w:ascii="仿宋" w:hAnsi="仿宋" w:eastAsia="仿宋" w:cs="仿宋"/>
          <w:sz w:val="28"/>
          <w:szCs w:val="28"/>
          <w:highlight w:val="none"/>
        </w:rPr>
        <w:t xml:space="preserve">符合《政府采购法》第二十二条规定条件的声明函</w:t>
      </w:r>
      <w:r>
        <w:rPr>
          <w:rFonts w:hint="eastAsia" w:ascii="仿宋" w:hAnsi="仿宋" w:eastAsia="仿宋" w:cs="仿宋"/>
          <w:color w:val="000000"/>
          <w:sz w:val="28"/>
          <w:szCs w:val="28"/>
          <w:highlight w:val="none"/>
        </w:rPr>
        <w:t xml:space="preserve">；（格式详见附件）</w:t>
      </w:r>
      <w:r/>
    </w:p>
    <w:p>
      <w:pPr>
        <w:pStyle w:val="898"/>
        <w:contextualSpacing/>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hint="eastAsia" w:ascii="仿宋" w:hAnsi="仿宋" w:eastAsia="仿宋" w:cs="仿宋"/>
          <w:bCs/>
          <w:sz w:val="28"/>
          <w:szCs w:val="28"/>
          <w:highlight w:val="none"/>
        </w:rPr>
        <w:t xml:space="preserve">参加采购活动前无失信记录的书面声明</w:t>
      </w:r>
      <w:r>
        <w:rPr>
          <w:rFonts w:hint="eastAsia" w:ascii="仿宋" w:hAnsi="仿宋" w:eastAsia="仿宋" w:cs="仿宋"/>
          <w:sz w:val="28"/>
          <w:szCs w:val="28"/>
          <w:highlight w:val="none"/>
        </w:rPr>
        <w:t xml:space="preserve">；</w:t>
      </w:r>
      <w:r>
        <w:rPr>
          <w:rFonts w:hint="eastAsia" w:ascii="仿宋" w:hAnsi="仿宋" w:eastAsia="仿宋" w:cs="仿宋"/>
          <w:color w:val="000000"/>
          <w:sz w:val="28"/>
          <w:szCs w:val="28"/>
          <w:highlight w:val="none"/>
        </w:rPr>
        <w:t xml:space="preserve">（格式详见附件）</w:t>
      </w:r>
      <w:r/>
    </w:p>
    <w:p>
      <w:pPr>
        <w:pStyle w:val="898"/>
        <w:contextualSpacing/>
        <w:ind w:firstLine="560"/>
        <w:spacing w:line="360" w:lineRule="auto"/>
        <w:rPr>
          <w:rFonts w:hint="eastAsia" w:ascii="仿宋" w:hAnsi="仿宋" w:eastAsia="仿宋" w:cs="仿宋"/>
          <w:sz w:val="28"/>
          <w:szCs w:val="28"/>
          <w:highlight w:val="none"/>
        </w:rPr>
      </w:pP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sz w:val="28"/>
          <w:szCs w:val="28"/>
          <w:highlight w:val="none"/>
        </w:rPr>
        <w:t xml:space="preserve">本项目的特定资格要求：</w:t>
      </w:r>
      <w:r/>
    </w:p>
    <w:p>
      <w:pPr>
        <w:pStyle w:val="898"/>
        <w:contextualSpacing/>
        <w:ind w:firstLine="562"/>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 xml:space="preserve">包1：</w:t>
      </w:r>
      <w:r>
        <w:rPr>
          <w:rFonts w:hint="eastAsia" w:ascii="仿宋" w:hAnsi="仿宋" w:eastAsia="仿宋" w:cs="仿宋"/>
          <w:b/>
          <w:bCs/>
          <w:sz w:val="28"/>
          <w:szCs w:val="28"/>
          <w:highlight w:val="none"/>
        </w:rPr>
        <w:t xml:space="preserve">供应商须满足《生态环境监测条例》第二十八条第一款、第二款规定，且具有</w:t>
      </w:r>
      <w:r>
        <w:rPr>
          <w:rFonts w:hint="eastAsia" w:ascii="仿宋" w:hAnsi="仿宋" w:eastAsia="仿宋" w:cs="仿宋"/>
          <w:b/>
          <w:bCs/>
          <w:sz w:val="28"/>
          <w:szCs w:val="28"/>
          <w:highlight w:val="none"/>
          <w:lang w:eastAsia="zh-CN"/>
        </w:rPr>
        <w:t xml:space="preserve">有效期内的</w:t>
      </w:r>
      <w:r>
        <w:rPr>
          <w:rFonts w:hint="eastAsia" w:ascii="仿宋" w:hAnsi="仿宋" w:eastAsia="仿宋" w:cs="仿宋"/>
          <w:b/>
          <w:bCs/>
          <w:sz w:val="28"/>
          <w:szCs w:val="28"/>
          <w:highlight w:val="none"/>
        </w:rPr>
        <w:t xml:space="preserve">CMA资质认定证书，能力附表认证类别必须同时包括海洋水文、海洋气象、海水3大类检测能力。</w:t>
      </w:r>
      <w:r/>
    </w:p>
    <w:p>
      <w:pPr>
        <w:pStyle w:val="898"/>
        <w:contextualSpacing/>
        <w:ind w:firstLine="562"/>
        <w:spacing w:line="360" w:lineRule="auto"/>
        <w:rPr>
          <w:rFonts w:hint="eastAsia" w:ascii="仿宋" w:hAnsi="仿宋" w:eastAsia="仿宋" w:cs="仿宋"/>
          <w:b/>
          <w:bCs w:val="0"/>
          <w:sz w:val="28"/>
          <w:szCs w:val="28"/>
          <w:highlight w:val="none"/>
          <w:lang w:eastAsia="zh-CN"/>
        </w:rPr>
      </w:pPr>
      <w:r>
        <w:rPr>
          <w:rFonts w:hint="eastAsia" w:ascii="仿宋" w:hAnsi="仿宋" w:eastAsia="仿宋" w:cs="仿宋"/>
          <w:b/>
          <w:bCs w:val="0"/>
          <w:sz w:val="28"/>
          <w:szCs w:val="28"/>
          <w:highlight w:val="none"/>
          <w:lang w:val="en-US" w:eastAsia="zh-CN"/>
        </w:rPr>
        <w:t xml:space="preserve">包2-包5：</w:t>
      </w:r>
      <w:r>
        <w:rPr>
          <w:rFonts w:hint="eastAsia" w:ascii="仿宋" w:hAnsi="仿宋" w:eastAsia="仿宋" w:cs="仿宋"/>
          <w:b/>
          <w:bCs w:val="0"/>
          <w:sz w:val="28"/>
          <w:szCs w:val="28"/>
          <w:highlight w:val="none"/>
        </w:rPr>
        <w:t xml:space="preserve">（1）供应商须满足《生态环境监测条例》第二十八条第一款、第二款规定，且具有</w:t>
      </w:r>
      <w:r>
        <w:rPr>
          <w:rFonts w:hint="eastAsia" w:ascii="仿宋" w:hAnsi="仿宋" w:eastAsia="仿宋" w:cs="仿宋"/>
          <w:b/>
          <w:bCs/>
          <w:sz w:val="28"/>
          <w:szCs w:val="28"/>
          <w:highlight w:val="none"/>
          <w:lang w:eastAsia="zh-CN"/>
        </w:rPr>
        <w:t xml:space="preserve">有效期内的</w:t>
      </w:r>
      <w:r>
        <w:rPr>
          <w:rFonts w:hint="eastAsia" w:ascii="仿宋" w:hAnsi="仿宋" w:eastAsia="仿宋" w:cs="仿宋"/>
          <w:b/>
          <w:bCs w:val="0"/>
          <w:sz w:val="28"/>
          <w:szCs w:val="28"/>
          <w:highlight w:val="none"/>
        </w:rPr>
        <w:t xml:space="preserve">CMA资质认定证书</w:t>
      </w:r>
      <w:r>
        <w:rPr>
          <w:rFonts w:hint="eastAsia" w:ascii="仿宋" w:hAnsi="仿宋" w:eastAsia="仿宋" w:cs="仿宋"/>
          <w:b/>
          <w:bCs w:val="0"/>
          <w:sz w:val="28"/>
          <w:szCs w:val="28"/>
          <w:highlight w:val="none"/>
          <w:lang w:eastAsia="zh-CN"/>
        </w:rPr>
        <w:t xml:space="preserve">；</w:t>
      </w:r>
      <w:r/>
    </w:p>
    <w:p>
      <w:pPr>
        <w:pStyle w:val="898"/>
        <w:numPr>
          <w:ilvl w:val="0"/>
          <w:numId w:val="0"/>
        </w:numPr>
        <w:contextualSpacing/>
        <w:ind w:firstLine="562"/>
        <w:spacing w:line="360" w:lineRule="auto"/>
        <w:rPr>
          <w:rFonts w:hint="eastAsia" w:ascii="仿宋" w:hAnsi="仿宋" w:eastAsia="仿宋" w:cs="仿宋"/>
          <w:b/>
          <w:bCs w:val="0"/>
          <w:sz w:val="28"/>
          <w:szCs w:val="28"/>
          <w:highlight w:val="none"/>
        </w:rPr>
      </w:pPr>
      <w:r>
        <w:rPr>
          <w:rFonts w:hint="eastAsia" w:ascii="仿宋" w:hAnsi="仿宋" w:eastAsia="仿宋" w:cs="仿宋"/>
          <w:b/>
          <w:bCs w:val="0"/>
          <w:sz w:val="28"/>
          <w:szCs w:val="28"/>
          <w:highlight w:val="none"/>
          <w:lang w:val="en-US" w:eastAsia="zh-CN" w:bidi="ar-SA"/>
        </w:rPr>
        <w:t xml:space="preserve">（2）</w:t>
      </w:r>
      <w:r>
        <w:rPr>
          <w:rFonts w:hint="eastAsia" w:ascii="仿宋" w:hAnsi="仿宋" w:eastAsia="仿宋" w:cs="仿宋"/>
          <w:b/>
          <w:bCs w:val="0"/>
          <w:sz w:val="28"/>
          <w:szCs w:val="28"/>
          <w:highlight w:val="none"/>
        </w:rPr>
        <w:t xml:space="preserve">拟派项目负责人为工程师或以上</w:t>
      </w:r>
      <w:r/>
    </w:p>
    <w:p>
      <w:pPr>
        <w:pStyle w:val="898"/>
        <w:numPr>
          <w:ilvl w:val="0"/>
          <w:numId w:val="0"/>
        </w:numPr>
        <w:contextualSpacing/>
        <w:ind w:firstLine="560"/>
        <w:spacing w:line="360" w:lineRule="auto"/>
        <w:rPr>
          <w:rFonts w:hint="default"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 xml:space="preserve">7、</w:t>
      </w:r>
      <w:r>
        <w:rPr>
          <w:rFonts w:hint="eastAsia" w:ascii="仿宋" w:hAnsi="仿宋" w:eastAsia="仿宋" w:cs="仿宋"/>
          <w:color w:val="000000"/>
          <w:sz w:val="28"/>
          <w:szCs w:val="28"/>
          <w:highlight w:val="none"/>
        </w:rPr>
        <w:t xml:space="preserve">落实政府采购政策需满足的资格要求：</w:t>
      </w:r>
      <w:r>
        <w:rPr>
          <w:rFonts w:hint="eastAsia" w:ascii="仿宋" w:hAnsi="仿宋" w:eastAsia="仿宋" w:cs="仿宋"/>
          <w:color w:val="000000"/>
          <w:sz w:val="28"/>
          <w:szCs w:val="28"/>
          <w:highlight w:val="none"/>
          <w:lang w:val="en-US" w:eastAsia="zh-CN"/>
        </w:rPr>
        <w:t xml:space="preserve">包1：</w:t>
      </w:r>
      <w:r>
        <w:rPr>
          <w:rFonts w:hint="eastAsia" w:ascii="仿宋" w:hAnsi="仿宋" w:eastAsia="仿宋" w:cs="仿宋"/>
          <w:color w:val="000000"/>
          <w:sz w:val="28"/>
          <w:szCs w:val="28"/>
          <w:highlight w:val="none"/>
        </w:rPr>
        <w:t xml:space="preserve">无</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包2-包5：</w:t>
      </w:r>
      <w:r>
        <w:rPr>
          <w:rFonts w:hint="eastAsia" w:ascii="仿宋" w:hAnsi="仿宋" w:eastAsia="仿宋" w:cs="仿宋"/>
          <w:b/>
          <w:sz w:val="28"/>
          <w:szCs w:val="28"/>
          <w:highlight w:val="none"/>
          <w:u w:val="single"/>
        </w:rPr>
        <w:t xml:space="preserve">属于专门面向中小企业采购的项目,供应商应为中小微企业、监狱企业或残疾人福利性单位，并按照采购文件要求提供《中小企业声明函》、《残疾人福利性单位声明函》或监狱和戒毒企业证明材料</w:t>
      </w:r>
      <w:r>
        <w:rPr>
          <w:rFonts w:hint="eastAsia" w:ascii="仿宋" w:hAnsi="仿宋" w:eastAsia="仿宋" w:cs="仿宋"/>
          <w:b/>
          <w:sz w:val="28"/>
          <w:szCs w:val="28"/>
          <w:highlight w:val="none"/>
          <w:u w:val="single"/>
          <w:lang w:eastAsia="zh-CN"/>
        </w:rPr>
        <w:t xml:space="preserve">。</w:t>
      </w:r>
      <w:r/>
    </w:p>
    <w:p>
      <w:pPr>
        <w:pStyle w:val="898"/>
        <w:contextualSpacing/>
        <w:ind w:firstLine="560"/>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en-US" w:eastAsia="zh-CN"/>
        </w:rPr>
        <w:t xml:space="preserve">8、其他资料</w:t>
      </w: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rPr>
        <w:t xml:space="preserve">如采购</w:t>
      </w:r>
      <w:r>
        <w:rPr>
          <w:rFonts w:hint="eastAsia" w:ascii="仿宋" w:hAnsi="仿宋" w:eastAsia="仿宋" w:cs="仿宋"/>
          <w:sz w:val="28"/>
          <w:szCs w:val="28"/>
          <w:highlight w:val="none"/>
          <w:lang w:val="zh-CN"/>
        </w:rPr>
        <w:t xml:space="preserve">文件要求提供的资格审查证明材料中没有对应的接口上传的资料，可以在本部分的其他材料的接口中上传）</w:t>
      </w:r>
      <w:r/>
    </w:p>
    <w:p>
      <w:pPr>
        <w:pStyle w:val="898"/>
        <w:numPr>
          <w:ilvl w:val="0"/>
          <w:numId w:val="7"/>
        </w:numPr>
        <w:contextualSpacing/>
        <w:ind w:firstLine="562"/>
        <w:spacing w:line="360" w:lineRule="auto"/>
        <w:rPr>
          <w:rFonts w:hint="eastAsia" w:ascii="仿宋" w:hAnsi="仿宋" w:eastAsia="仿宋" w:cs="仿宋"/>
          <w:b/>
          <w:sz w:val="28"/>
          <w:szCs w:val="28"/>
          <w:highlight w:val="none"/>
          <w:lang w:val="zh-CN"/>
        </w:rPr>
        <w:outlineLvl w:val="1"/>
      </w:pPr>
      <w:r>
        <w:rPr>
          <w:rFonts w:hint="eastAsia" w:ascii="仿宋" w:hAnsi="仿宋" w:eastAsia="仿宋" w:cs="仿宋"/>
          <w:b/>
          <w:sz w:val="28"/>
          <w:szCs w:val="28"/>
          <w:highlight w:val="none"/>
          <w:lang w:val="zh-CN"/>
        </w:rPr>
        <w:t xml:space="preserve">商务响应文件（不能出现价格文件）</w:t>
      </w:r>
      <w:r/>
    </w:p>
    <w:p>
      <w:pPr>
        <w:ind w:firstLine="480"/>
        <w:spacing w:line="360" w:lineRule="auto"/>
        <w:rPr>
          <w:rFonts w:hint="eastAsia" w:ascii="仿宋" w:hAnsi="仿宋" w:eastAsia="仿宋" w:cs="仿宋"/>
          <w:b/>
          <w:sz w:val="28"/>
          <w:szCs w:val="28"/>
          <w:highlight w:val="none"/>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供应商应根据本磋商文件第三章“项目需求”提供的主要技术规范，服务要求标准等，仔细阅读并在理解的基础上结合第四章“评审方法和程序”内的评审细则，编写编制技术磋商响应文件。以下技术磋商响应文件的内容，不得有缺项或漏项。否则将有可能被视为未实质性响应磋商文件要求而作无效投磋商处理，或可能直接影响技术磋商评审的得分；</w:t>
      </w:r>
      <w:r/>
    </w:p>
    <w:p>
      <w:pPr>
        <w:pStyle w:val="898"/>
        <w:contextualSpacing/>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w:t>
      </w:r>
      <w:r>
        <w:rPr>
          <w:rFonts w:hint="eastAsia" w:ascii="仿宋" w:hAnsi="仿宋" w:eastAsia="仿宋" w:cs="仿宋"/>
          <w:color w:val="000000"/>
          <w:sz w:val="28"/>
          <w:szCs w:val="28"/>
          <w:highlight w:val="none"/>
        </w:rPr>
        <w:t xml:space="preserve">、</w:t>
      </w:r>
      <w:r>
        <w:rPr>
          <w:rFonts w:hint="eastAsia" w:ascii="仿宋" w:hAnsi="仿宋" w:eastAsia="仿宋" w:cs="仿宋"/>
          <w:bCs/>
          <w:sz w:val="28"/>
          <w:szCs w:val="28"/>
          <w:highlight w:val="none"/>
        </w:rPr>
        <w:t xml:space="preserve">磋商供应商情况一览表（格式详见附件）；</w:t>
      </w:r>
      <w:r/>
    </w:p>
    <w:p>
      <w:pPr>
        <w:pStyle w:val="898"/>
        <w:contextualSpacing/>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2、商务技术部分正负偏离表</w:t>
      </w:r>
      <w:r>
        <w:rPr>
          <w:rFonts w:hint="eastAsia" w:ascii="仿宋" w:hAnsi="仿宋" w:eastAsia="仿宋" w:cs="仿宋"/>
          <w:sz w:val="28"/>
          <w:szCs w:val="28"/>
          <w:highlight w:val="none"/>
        </w:rPr>
        <w:t xml:space="preserve">；</w:t>
      </w:r>
      <w:r>
        <w:rPr>
          <w:rFonts w:hint="eastAsia" w:ascii="仿宋" w:hAnsi="仿宋" w:eastAsia="仿宋" w:cs="仿宋"/>
          <w:color w:val="000000"/>
          <w:sz w:val="28"/>
          <w:szCs w:val="28"/>
          <w:highlight w:val="none"/>
        </w:rPr>
        <w:t xml:space="preserve">（格式详见附件）</w:t>
      </w:r>
      <w:r/>
    </w:p>
    <w:p>
      <w:pPr>
        <w:pStyle w:val="898"/>
        <w:contextualSpacing/>
        <w:ind w:firstLine="562"/>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填制正负偏离表，完全响应的，请以空白表列示。不完全响应的，必须在偏离表中列示；列示不全的，视同故意隐瞒。</w:t>
      </w:r>
      <w:r/>
    </w:p>
    <w:p>
      <w:pPr>
        <w:pStyle w:val="898"/>
        <w:contextualSpacing/>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3、商务技术部分评标办法中要求提供的全部资料</w:t>
      </w:r>
      <w:r>
        <w:rPr>
          <w:rFonts w:hint="eastAsia" w:ascii="仿宋" w:hAnsi="仿宋" w:eastAsia="仿宋" w:cs="仿宋"/>
          <w:sz w:val="28"/>
          <w:szCs w:val="28"/>
          <w:highlight w:val="none"/>
        </w:rPr>
        <w:t xml:space="preserve">；</w:t>
      </w:r>
      <w:r/>
    </w:p>
    <w:p>
      <w:pPr>
        <w:pStyle w:val="898"/>
        <w:contextualSpacing/>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4、请供应商按评审办法中所涉及的事项顺序进行编制，可以补充相关材料</w:t>
      </w:r>
      <w:r>
        <w:rPr>
          <w:rFonts w:hint="eastAsia" w:ascii="仿宋" w:hAnsi="仿宋" w:eastAsia="仿宋" w:cs="仿宋"/>
          <w:sz w:val="28"/>
          <w:szCs w:val="28"/>
          <w:highlight w:val="none"/>
        </w:rPr>
        <w:t xml:space="preserve">；</w:t>
      </w:r>
      <w:r/>
    </w:p>
    <w:p>
      <w:pPr>
        <w:pStyle w:val="898"/>
        <w:contextualSpacing/>
        <w:ind w:firstLine="560"/>
        <w:spacing w:after="0" w:afterAutospacing="0"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5、评审办法中未涉及的事项，供应商认为需要提交的其他资料。</w:t>
      </w:r>
      <w:r/>
    </w:p>
    <w:p>
      <w:pPr>
        <w:pStyle w:val="898"/>
        <w:contextualSpacing/>
        <w:ind w:firstLine="560"/>
        <w:spacing w:line="360" w:lineRule="auto"/>
        <w:rPr>
          <w:rFonts w:hint="eastAsia" w:ascii="仿宋" w:hAnsi="仿宋" w:eastAsia="仿宋" w:cs="仿宋"/>
          <w:bCs/>
          <w:sz w:val="28"/>
          <w:szCs w:val="28"/>
          <w:highlight w:val="none"/>
          <w:lang w:val="zh-CN"/>
        </w:rPr>
      </w:pPr>
      <w:r>
        <w:rPr>
          <w:rFonts w:hint="eastAsia" w:ascii="仿宋" w:hAnsi="仿宋" w:eastAsia="仿宋" w:cs="仿宋"/>
          <w:bCs/>
          <w:sz w:val="28"/>
          <w:szCs w:val="28"/>
          <w:highlight w:val="none"/>
          <w:lang w:val="zh-CN"/>
        </w:rPr>
        <w:t xml:space="preserve">（</w:t>
      </w:r>
      <w:r>
        <w:rPr>
          <w:rFonts w:hint="eastAsia" w:ascii="仿宋" w:hAnsi="仿宋" w:eastAsia="仿宋" w:cs="仿宋"/>
          <w:bCs/>
          <w:sz w:val="28"/>
          <w:szCs w:val="28"/>
          <w:highlight w:val="none"/>
        </w:rPr>
        <w:t xml:space="preserve">如采购</w:t>
      </w:r>
      <w:r>
        <w:rPr>
          <w:rFonts w:hint="eastAsia" w:ascii="仿宋" w:hAnsi="仿宋" w:eastAsia="仿宋" w:cs="仿宋"/>
          <w:bCs/>
          <w:sz w:val="28"/>
          <w:szCs w:val="28"/>
          <w:highlight w:val="none"/>
          <w:lang w:val="zh-CN"/>
        </w:rPr>
        <w:t xml:space="preserve">文件要求提供的商务技术标材料中没有对应的接口上传的资料，可以在本部分的其他材料的接口中上传）</w:t>
      </w:r>
      <w:r/>
    </w:p>
    <w:p>
      <w:pPr>
        <w:ind w:firstLine="562"/>
        <w:spacing w:line="360" w:lineRule="auto"/>
        <w:rPr>
          <w:rFonts w:hint="eastAsia" w:ascii="仿宋" w:hAnsi="仿宋" w:eastAsia="仿宋" w:cs="仿宋"/>
          <w:b/>
          <w:bCs/>
          <w:sz w:val="28"/>
          <w:szCs w:val="28"/>
          <w:highlight w:val="none"/>
          <w:lang w:val="zh-CN"/>
        </w:rPr>
        <w:outlineLvl w:val="1"/>
      </w:pPr>
      <w:r>
        <w:rPr>
          <w:rFonts w:hint="eastAsia" w:ascii="仿宋" w:hAnsi="仿宋" w:eastAsia="仿宋" w:cs="仿宋"/>
          <w:b/>
          <w:bCs/>
          <w:sz w:val="28"/>
          <w:szCs w:val="28"/>
          <w:highlight w:val="none"/>
          <w:lang w:val="zh-CN"/>
        </w:rPr>
        <w:t xml:space="preserve">三、价格文件</w:t>
      </w:r>
      <w:r/>
    </w:p>
    <w:p>
      <w:pPr>
        <w:ind w:firstLine="560"/>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价格标包含：</w:t>
      </w:r>
      <w:r/>
    </w:p>
    <w:p>
      <w:pPr>
        <w:ind w:firstLine="560"/>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1、竞争性磋商响应函（格式详见附件）；</w:t>
      </w:r>
      <w:r/>
    </w:p>
    <w:p>
      <w:pPr>
        <w:ind w:firstLine="560"/>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2、磋商响应报价表；（格式详见附件）；</w:t>
      </w:r>
      <w:r/>
    </w:p>
    <w:p>
      <w:pPr>
        <w:ind w:firstLine="560"/>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3、磋商响应报价明细表（格式详见附件）。</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 xml:space="preserve">（如采购文件要求提供的价格标资料中没有对应的接口上传的资料可以在本部分的其他材料的接口中上传）</w:t>
      </w:r>
      <w:r/>
    </w:p>
    <w:p>
      <w:pPr>
        <w:ind w:firstLine="420"/>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ind w:firstLine="560"/>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br w:type="page" w:clear="all"/>
      </w:r>
      <w:r/>
    </w:p>
    <w:p>
      <w:pPr>
        <w:ind w:firstLine="560"/>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附件1</w:t>
      </w:r>
      <w:r/>
    </w:p>
    <w:p>
      <w:pPr>
        <w:ind w:firstLine="482"/>
        <w:jc w:val="center"/>
        <w:spacing w:line="420" w:lineRule="exact"/>
        <w:rPr>
          <w:rFonts w:hint="eastAsia" w:ascii="仿宋" w:hAnsi="仿宋" w:eastAsia="仿宋" w:cs="仿宋"/>
          <w:b/>
          <w:sz w:val="28"/>
          <w:szCs w:val="28"/>
          <w:highlight w:val="none"/>
        </w:rPr>
      </w:pPr>
      <w:r>
        <w:rPr>
          <w:rFonts w:hint="eastAsia" w:ascii="仿宋" w:hAnsi="仿宋" w:eastAsia="仿宋" w:cs="仿宋"/>
          <w:b/>
          <w:bCs/>
          <w:sz w:val="28"/>
          <w:szCs w:val="28"/>
          <w:highlight w:val="none"/>
        </w:rPr>
        <w:t xml:space="preserve"> 关于资格的声明函</w:t>
      </w:r>
      <w:r/>
    </w:p>
    <w:p>
      <w:pPr>
        <w:ind w:firstLine="480"/>
        <w:spacing w:line="52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lang w:eastAsia="zh-CN"/>
        </w:rPr>
        <w:t xml:space="preserve">南通市生态环境监测站</w:t>
      </w:r>
      <w:r>
        <w:rPr>
          <w:rFonts w:hint="eastAsia" w:ascii="仿宋" w:hAnsi="仿宋" w:eastAsia="仿宋" w:cs="仿宋"/>
          <w:sz w:val="28"/>
          <w:szCs w:val="28"/>
          <w:highlight w:val="none"/>
          <w:u w:val="single"/>
        </w:rPr>
        <w:t xml:space="preserve">：</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本公司愿就由贵单位组织实施的</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（采购项目名称及项目编号）的采购活动进行投标。本公司所提交的投标响应文件中所有关于投标资格的文件、证明和陈述均是真实的、准确的。若与真实情况不符，本公司愿意承担由此而产生的一切后果。</w:t>
      </w:r>
      <w:r/>
    </w:p>
    <w:p>
      <w:pPr>
        <w:pStyle w:val="888"/>
        <w:ind w:firstLine="42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jc w:val="right"/>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竞争性磋商响应单位：</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（加盖公章）</w:t>
      </w:r>
      <w:r/>
    </w:p>
    <w:p>
      <w:pPr>
        <w:ind w:firstLine="2800"/>
        <w:jc w:val="right"/>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法定代表人或被授权人：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（签字或盖章）</w:t>
      </w:r>
      <w:r/>
    </w:p>
    <w:p>
      <w:pPr>
        <w:ind w:firstLine="480"/>
        <w:jc w:val="right"/>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二〇二</w:t>
      </w:r>
      <w:r>
        <w:rPr>
          <w:rFonts w:hint="eastAsia" w:ascii="仿宋" w:hAnsi="仿宋" w:eastAsia="仿宋" w:cs="仿宋"/>
          <w:sz w:val="28"/>
          <w:szCs w:val="28"/>
          <w:highlight w:val="none"/>
          <w:lang w:val="en-US" w:eastAsia="zh-CN"/>
        </w:rPr>
        <w:t xml:space="preserve">六</w:t>
      </w:r>
      <w:r>
        <w:rPr>
          <w:rFonts w:hint="eastAsia" w:ascii="仿宋" w:hAnsi="仿宋" w:eastAsia="仿宋" w:cs="仿宋"/>
          <w:sz w:val="28"/>
          <w:szCs w:val="28"/>
          <w:highlight w:val="none"/>
        </w:rPr>
        <w:t xml:space="preserve">年      月     日</w:t>
      </w:r>
      <w:r/>
    </w:p>
    <w:p>
      <w:pPr>
        <w:pStyle w:val="888"/>
        <w:ind w:left="0" w:firstLine="420"/>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br w:type="page" w:clear="all"/>
      </w:r>
      <w:r>
        <w:rPr>
          <w:rFonts w:hint="eastAsia" w:ascii="仿宋" w:hAnsi="仿宋" w:eastAsia="仿宋" w:cs="仿宋"/>
          <w:b/>
          <w:bCs/>
          <w:sz w:val="28"/>
          <w:szCs w:val="28"/>
          <w:highlight w:val="none"/>
        </w:rPr>
        <w:t xml:space="preserve">2、法定代表人身份证明</w:t>
      </w:r>
      <w:r/>
    </w:p>
    <w:p>
      <w:pPr>
        <w:ind w:firstLine="480"/>
        <w:jc w:val="cente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（法定代表人参加投标的提供）</w:t>
      </w:r>
      <w:r/>
    </w:p>
    <w:p>
      <w:pPr>
        <w:ind w:firstLine="480"/>
        <w:spacing w:line="36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lang w:eastAsia="zh-CN"/>
        </w:rPr>
        <w:t xml:space="preserve">南通市生态环境监测站</w:t>
      </w:r>
      <w:r>
        <w:rPr>
          <w:rFonts w:hint="eastAsia" w:ascii="仿宋" w:hAnsi="仿宋" w:eastAsia="仿宋" w:cs="仿宋"/>
          <w:sz w:val="28"/>
          <w:szCs w:val="28"/>
          <w:highlight w:val="none"/>
          <w:u w:val="single"/>
        </w:rPr>
        <w:t xml:space="preserve">：</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我公司法定代表人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参加贵单位组织的</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（竞争性磋商项目名称)项目的磋商活动，全权代表我公司处理该磋商活动的有关事宜。</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附：法定代表人情况：</w:t>
      </w:r>
      <w:r/>
    </w:p>
    <w:p>
      <w:pPr>
        <w:ind w:firstLine="480"/>
        <w:spacing w:line="52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姓名：</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性别：</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年龄：</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职务：</w:t>
      </w:r>
      <w:r>
        <w:rPr>
          <w:rFonts w:hint="eastAsia" w:ascii="仿宋" w:hAnsi="仿宋" w:eastAsia="仿宋" w:cs="仿宋"/>
          <w:sz w:val="28"/>
          <w:szCs w:val="28"/>
          <w:highlight w:val="none"/>
          <w:u w:val="single"/>
        </w:rPr>
        <w:t xml:space="preserve">          </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身份证号码：</w:t>
      </w:r>
      <w:r>
        <w:rPr>
          <w:rFonts w:hint="eastAsia" w:ascii="仿宋" w:hAnsi="仿宋" w:eastAsia="仿宋" w:cs="仿宋"/>
          <w:sz w:val="28"/>
          <w:szCs w:val="28"/>
          <w:highlight w:val="none"/>
          <w:u w:val="single"/>
        </w:rPr>
        <w:t xml:space="preserve">                                         </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手机：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传真：</w:t>
      </w:r>
      <w:r>
        <w:rPr>
          <w:rFonts w:hint="eastAsia" w:ascii="仿宋" w:hAnsi="仿宋" w:eastAsia="仿宋" w:cs="仿宋"/>
          <w:sz w:val="28"/>
          <w:szCs w:val="28"/>
          <w:highlight w:val="none"/>
          <w:u w:val="single"/>
        </w:rPr>
        <w:t xml:space="preserve">                       </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单位名称（公章）             法定代表人（签字或盖章）</w:t>
      </w:r>
      <w:r/>
    </w:p>
    <w:p>
      <w:pPr>
        <w:ind w:firstLine="140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年   月   日                 年   月    日  </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2"/>
        <w:spacing w:line="52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法定代表人身份证复印件</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26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（粘贴此处）</w:t>
      </w:r>
      <w:r/>
    </w:p>
    <w:p>
      <w:pPr>
        <w:pStyle w:val="888"/>
        <w:ind w:left="0" w:firstLine="482"/>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 </w:t>
      </w:r>
      <w:r>
        <w:rPr>
          <w:rFonts w:hint="eastAsia" w:ascii="仿宋" w:hAnsi="仿宋" w:eastAsia="仿宋" w:cs="仿宋"/>
          <w:sz w:val="28"/>
          <w:szCs w:val="28"/>
          <w:highlight w:val="none"/>
        </w:rPr>
        <w:br w:type="page" w:clear="all"/>
      </w:r>
      <w:r>
        <w:rPr>
          <w:rFonts w:hint="eastAsia" w:ascii="仿宋" w:hAnsi="仿宋" w:eastAsia="仿宋" w:cs="仿宋"/>
          <w:b/>
          <w:bCs/>
          <w:sz w:val="28"/>
          <w:szCs w:val="28"/>
          <w:highlight w:val="none"/>
        </w:rPr>
        <w:t xml:space="preserve">3、授权委托书</w:t>
      </w:r>
      <w:r/>
    </w:p>
    <w:p>
      <w:pPr>
        <w:ind w:firstLine="480"/>
        <w:jc w:val="cente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（委托代理人参加投标提供）</w:t>
      </w:r>
      <w:r/>
    </w:p>
    <w:p>
      <w:pPr>
        <w:ind w:firstLine="480"/>
        <w:spacing w:line="52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lang w:eastAsia="zh-CN"/>
        </w:rPr>
        <w:t xml:space="preserve">南通市生态环境监测站</w:t>
      </w:r>
      <w:r>
        <w:rPr>
          <w:rFonts w:hint="eastAsia" w:ascii="仿宋" w:hAnsi="仿宋" w:eastAsia="仿宋" w:cs="仿宋"/>
          <w:sz w:val="28"/>
          <w:szCs w:val="28"/>
          <w:highlight w:val="none"/>
          <w:u w:val="single"/>
        </w:rPr>
        <w:t xml:space="preserve">：</w:t>
      </w:r>
      <w:r/>
    </w:p>
    <w:p>
      <w:pPr>
        <w:ind w:left="1"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兹授权</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被授权人的姓名）代表我公司参加</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（竞争性磋商项目名称）项目的磋商活动，全权处理一切与该项目磋商有关的事务。其在办理上述事宜过程中所签署的所有文件我公司均予以承认。</w:t>
      </w:r>
      <w:r/>
    </w:p>
    <w:p>
      <w:pPr>
        <w:ind w:left="1"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被授权人无转委托权。特此委托。</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附：被授权人情况：</w:t>
      </w:r>
      <w:r/>
    </w:p>
    <w:p>
      <w:pPr>
        <w:ind w:firstLine="480"/>
        <w:spacing w:line="52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姓名：</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性别：</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年龄：</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职务：</w:t>
      </w:r>
      <w:r>
        <w:rPr>
          <w:rFonts w:hint="eastAsia" w:ascii="仿宋" w:hAnsi="仿宋" w:eastAsia="仿宋" w:cs="仿宋"/>
          <w:sz w:val="28"/>
          <w:szCs w:val="28"/>
          <w:highlight w:val="none"/>
          <w:u w:val="single"/>
        </w:rPr>
        <w:t xml:space="preserve">          </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身份证号码：</w:t>
      </w:r>
      <w:r>
        <w:rPr>
          <w:rFonts w:hint="eastAsia" w:ascii="仿宋" w:hAnsi="仿宋" w:eastAsia="仿宋" w:cs="仿宋"/>
          <w:sz w:val="28"/>
          <w:szCs w:val="28"/>
          <w:highlight w:val="none"/>
          <w:u w:val="single"/>
        </w:rPr>
        <w:t xml:space="preserve">                                         </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手机：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传真：</w:t>
      </w:r>
      <w:r>
        <w:rPr>
          <w:rFonts w:hint="eastAsia" w:ascii="仿宋" w:hAnsi="仿宋" w:eastAsia="仿宋" w:cs="仿宋"/>
          <w:sz w:val="28"/>
          <w:szCs w:val="28"/>
          <w:highlight w:val="none"/>
          <w:u w:val="single"/>
        </w:rPr>
        <w:t xml:space="preserve">                        </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单位名称（公章）             法定代表人（签字或盖章）</w:t>
      </w:r>
      <w:r/>
    </w:p>
    <w:p>
      <w:pPr>
        <w:ind w:firstLine="140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年   月   日                 年   月    日  </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888"/>
        <w:ind w:firstLine="42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2"/>
        <w:spacing w:line="52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法定代表人身份证复印件加盖公章</w:t>
      </w:r>
      <w:r/>
    </w:p>
    <w:p>
      <w:pPr>
        <w:ind w:firstLine="480"/>
        <w:jc w:val="center"/>
        <w:spacing w:line="520" w:lineRule="exact"/>
        <w:rPr>
          <w:rFonts w:hint="eastAsia" w:ascii="仿宋" w:hAnsi="仿宋" w:eastAsia="仿宋" w:cs="仿宋"/>
          <w:b/>
          <w:bCs/>
          <w:sz w:val="28"/>
          <w:szCs w:val="28"/>
          <w:highlight w:val="none"/>
        </w:rPr>
      </w:pPr>
      <w:r>
        <w:rPr>
          <w:rFonts w:hint="eastAsia" w:ascii="仿宋" w:hAnsi="仿宋" w:eastAsia="仿宋" w:cs="仿宋"/>
          <w:sz w:val="28"/>
          <w:szCs w:val="28"/>
          <w:highlight w:val="none"/>
        </w:rPr>
        <w:t xml:space="preserve">（粘贴此处）</w:t>
      </w:r>
      <w:r/>
    </w:p>
    <w:p>
      <w:pPr>
        <w:ind w:firstLine="482"/>
        <w:spacing w:line="52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ind w:firstLine="482"/>
        <w:spacing w:line="52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ind w:firstLine="482"/>
        <w:spacing w:line="52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被授权人身份证复印件加盖公章</w:t>
      </w:r>
      <w:r/>
    </w:p>
    <w:p>
      <w:pPr>
        <w:ind w:firstLine="480"/>
        <w:jc w:val="cente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（粘贴此处）</w:t>
      </w:r>
      <w:r/>
    </w:p>
    <w:p>
      <w:pPr>
        <w:ind w:firstLine="42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2"/>
        <w:spacing w:line="52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 </w:t>
      </w:r>
      <w:r>
        <w:rPr>
          <w:rFonts w:hint="eastAsia" w:ascii="仿宋" w:hAnsi="仿宋" w:eastAsia="仿宋" w:cs="仿宋"/>
          <w:b/>
          <w:bCs/>
          <w:sz w:val="28"/>
          <w:szCs w:val="28"/>
          <w:highlight w:val="none"/>
        </w:rPr>
        <w:br w:type="page" w:clear="all"/>
      </w:r>
      <w:r>
        <w:rPr>
          <w:rFonts w:hint="eastAsia" w:ascii="仿宋" w:hAnsi="仿宋" w:eastAsia="仿宋" w:cs="仿宋"/>
          <w:b/>
          <w:bCs/>
          <w:sz w:val="28"/>
          <w:szCs w:val="28"/>
          <w:highlight w:val="none"/>
        </w:rPr>
        <w:t xml:space="preserve">4、投标人符合《政府采购法》第二十二条规定条件的声明函</w:t>
      </w:r>
      <w:r/>
    </w:p>
    <w:p>
      <w:pPr>
        <w:ind w:firstLine="42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我单位参加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（项目名称），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（项目编号）投标活动。针对《中华人民共和国政府采购法》第二十二条规定做出如下声明：</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1.我单位具有独立承担民事责任的能力；</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2.我单位具有良好的商业信誉和健全的财务会计制度；</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3.我单位具有履行合同所必需的设备和专业技术能力；</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4.我单位有依法缴纳税收和社会保障资金的良好记录；</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6.我单位满足法律、行政法规规定的其他条件。</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承诺人名称（公章）：</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jc w:val="right"/>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日期：______年    月    日</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520" w:lineRule="exact"/>
        <w:rPr>
          <w:rFonts w:hint="eastAsia" w:ascii="仿宋" w:hAnsi="仿宋" w:eastAsia="仿宋" w:cs="仿宋"/>
          <w:sz w:val="28"/>
          <w:szCs w:val="28"/>
          <w:highlight w:val="none"/>
        </w:rPr>
      </w:pPr>
      <w:r/>
      <w:bookmarkStart w:id="124" w:name="_Toc2139"/>
      <w:r/>
      <w:bookmarkStart w:id="125" w:name="_Toc12562"/>
      <w:r/>
      <w:bookmarkStart w:id="126" w:name="_Toc4170"/>
      <w:r>
        <w:rPr>
          <w:rFonts w:hint="eastAsia" w:ascii="仿宋" w:hAnsi="仿宋" w:eastAsia="仿宋" w:cs="仿宋"/>
          <w:sz w:val="28"/>
          <w:szCs w:val="28"/>
          <w:highlight w:val="none"/>
        </w:rPr>
        <w:br w:type="page" w:clear="all"/>
      </w:r>
      <w:bookmarkEnd w:id="124"/>
      <w:r/>
      <w:bookmarkEnd w:id="125"/>
      <w:r/>
      <w:bookmarkEnd w:id="126"/>
      <w:r>
        <w:rPr>
          <w:rFonts w:hint="eastAsia" w:ascii="仿宋" w:hAnsi="仿宋" w:eastAsia="仿宋" w:cs="仿宋"/>
          <w:b/>
          <w:bCs/>
          <w:sz w:val="28"/>
          <w:szCs w:val="28"/>
          <w:highlight w:val="none"/>
        </w:rPr>
        <w:t xml:space="preserve">5、 参加采购活动前无失信记录的书面声明</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u w:val="single"/>
          <w:lang w:eastAsia="zh-CN"/>
        </w:rPr>
        <w:t xml:space="preserve">南通市生态环境监测站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我公司郑重声明：在磋商截止时间节点，没有被“信用中国”、“中国政府采购网”、“信用江苏”网站列入失信被执行人、重大税收违法案件当事人名单、政府采购严重违法失信行为记录名单。</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jc w:val="right"/>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响应供应商： （加盖公章）</w:t>
      </w:r>
      <w:r/>
    </w:p>
    <w:p>
      <w:pPr>
        <w:ind w:firstLine="560"/>
        <w:jc w:val="right"/>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法定代表人或被授权人：（签字或盖章）</w:t>
      </w:r>
      <w:r/>
    </w:p>
    <w:p>
      <w:pPr>
        <w:ind w:firstLine="560"/>
        <w:jc w:val="right"/>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年      月     日</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br w:type="page" w:clear="all"/>
      </w:r>
      <w:r/>
    </w:p>
    <w:p>
      <w:pPr>
        <w:pStyle w:val="871"/>
        <w:rPr>
          <w:rFonts w:hint="eastAsia" w:ascii="仿宋" w:hAnsi="仿宋" w:eastAsia="仿宋" w:cs="仿宋"/>
          <w:sz w:val="28"/>
          <w:szCs w:val="28"/>
          <w:highlight w:val="none"/>
        </w:rPr>
        <w:sectPr>
          <w:headerReference w:type="default" r:id="rId10"/>
          <w:footerReference w:type="default" r:id="rId16"/>
          <w:footnotePr/>
          <w:endnotePr/>
          <w:type w:val="nextPage"/>
          <w:pgSz w:w="11906" w:h="16838" w:orient="portrait"/>
          <w:pgMar w:top="1417" w:right="1417" w:bottom="1417" w:left="1417" w:header="851" w:footer="992" w:gutter="0"/>
          <w:cols w:num="1" w:sep="0" w:space="720" w:equalWidth="1"/>
          <w:docGrid w:linePitch="360"/>
        </w:sectPr>
      </w:pPr>
      <w:r>
        <w:rPr>
          <w:rFonts w:hint="eastAsia" w:ascii="仿宋" w:hAnsi="仿宋" w:eastAsia="仿宋" w:cs="仿宋"/>
          <w:sz w:val="28"/>
          <w:szCs w:val="28"/>
          <w:highlight w:val="none"/>
        </w:rPr>
      </w:r>
      <w:r/>
    </w:p>
    <w:p>
      <w:pPr>
        <w:spacing w:line="42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6、 竞争性磋商响应函</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52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lang w:eastAsia="zh-CN"/>
        </w:rPr>
        <w:t xml:space="preserve">南通市生态环境监测站</w:t>
      </w:r>
      <w:r>
        <w:rPr>
          <w:rFonts w:hint="eastAsia" w:ascii="仿宋" w:hAnsi="仿宋" w:eastAsia="仿宋" w:cs="仿宋"/>
          <w:sz w:val="28"/>
          <w:szCs w:val="28"/>
          <w:highlight w:val="none"/>
          <w:u w:val="single"/>
        </w:rPr>
        <w:t xml:space="preserve"> ：</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依据贵单位委托代理机构组织的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（磋商项目名称）项目竞争性磋商的邀请，我方授权</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（姓名）</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（职务）为全权代表参加该项目的磋商工作，全权处理本次竞争性磋商的有关事宜。同时，我公司声明如下：</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1、同意并接受竞争性磋商文件的各项要求，遵守竞争性磋商文件中的各项规定，按竞争性磋商文件的要求提供报价。</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2、我公司已经详细阅读了竞争性磋商文件的全部内容，我方已完全清晰理解竞争性磋商文件的要求，不存在任何含糊不清和误解之处，同意放弃对竞争性磋商文件所表述的内容提出异议和质疑的权利。</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3、我公司已毫无保留地向贵方提供一切所需的证明材料。</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4、我公司承诺在本次磋商响应中提供的一切文件，无论是原件还是复印件均真实有效，绝无任何虚假、伪造和夸大的成份。否则，愿承担相应的后果和法律责任。</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5、我公司尊重磋商小组所作的评定结果，同时清楚理解到报价最低并非意味着必定获得成交资格。</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6、一旦成交，我方承诺无正当理由拒绝签订合同，将被贵方取消成交资格，同意向贵方支付成交金额的2%作为违约金。</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7、一旦成交，我方将根据竞争性磋商文件的规定，严格履行合同规定的责任和义务。否则，我方同意无条件接受贵单位终止合同的要求。</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供应商名称（公章）： </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法定代表人或其委托代理人（签字或加盖人名章）：</w:t>
      </w:r>
      <w:r/>
    </w:p>
    <w:p>
      <w:pPr>
        <w:ind w:firstLine="560"/>
        <w:spacing w:line="520" w:lineRule="exact"/>
        <w:rPr>
          <w:rFonts w:hint="eastAsia" w:ascii="仿宋" w:hAnsi="仿宋" w:eastAsia="仿宋" w:cs="仿宋"/>
          <w:sz w:val="28"/>
          <w:szCs w:val="28"/>
          <w:highlight w:val="none"/>
        </w:rPr>
        <w:sectPr>
          <w:footnotePr/>
          <w:endnotePr/>
          <w:type w:val="nextPage"/>
          <w:pgSz w:w="11906" w:h="16838" w:orient="portrait"/>
          <w:pgMar w:top="1417" w:right="1417" w:bottom="1417" w:left="1417" w:header="851" w:footer="992" w:gutter="0"/>
          <w:cols w:num="1" w:sep="0" w:space="720" w:equalWidth="1"/>
          <w:docGrid w:linePitch="360"/>
        </w:sectPr>
      </w:pPr>
      <w:r>
        <w:rPr>
          <w:rFonts w:hint="eastAsia" w:ascii="仿宋" w:hAnsi="仿宋" w:eastAsia="仿宋" w:cs="仿宋"/>
          <w:sz w:val="28"/>
          <w:szCs w:val="28"/>
          <w:highlight w:val="none"/>
        </w:rPr>
        <w:t xml:space="preserve">日    期：     年   月    日</w:t>
      </w:r>
      <w:r/>
    </w:p>
    <w:p>
      <w:pPr>
        <w:spacing w:line="42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7、供应商情况一览表</w:t>
      </w:r>
      <w:r/>
    </w:p>
    <w:p>
      <w:pPr>
        <w:ind w:firstLine="482"/>
        <w:jc w:val="center"/>
        <w:spacing w:line="42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tbl>
      <w:tblPr>
        <w:tblStyle w:val="873"/>
        <w:tblW w:w="94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407"/>
        <w:gridCol w:w="1566"/>
        <w:gridCol w:w="624"/>
        <w:gridCol w:w="1041"/>
        <w:gridCol w:w="1391"/>
        <w:gridCol w:w="166"/>
        <w:gridCol w:w="1304"/>
        <w:gridCol w:w="1160"/>
      </w:tblGrid>
      <w:tr>
        <w:trPr>
          <w:trHeight w:val="437"/>
        </w:trPr>
        <w:tc>
          <w:tcPr>
            <w:gridSpan w:val="2"/>
            <w:tcBorders>
              <w:top w:val="single" w:color="auto" w:sz="4" w:space="0"/>
              <w:left w:val="single" w:color="auto" w:sz="4" w:space="0"/>
            </w:tcBorders>
            <w:tcW w:w="2187" w:type="dxa"/>
            <w:vAlign w:val="center"/>
            <w:textDirection w:val="lrTb"/>
            <w:noWrap w:val="false"/>
          </w:tcPr>
          <w:p>
            <w:pPr>
              <w:ind w:firstLine="480"/>
              <w:jc w:val="center"/>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单位名称</w:t>
            </w:r>
            <w:r/>
          </w:p>
        </w:tc>
        <w:tc>
          <w:tcPr>
            <w:gridSpan w:val="7"/>
            <w:tcBorders>
              <w:top w:val="single" w:color="auto" w:sz="4" w:space="0"/>
              <w:right w:val="single" w:color="auto" w:sz="4" w:space="0"/>
            </w:tcBorders>
            <w:tcW w:w="7252"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811"/>
        </w:trPr>
        <w:tc>
          <w:tcPr>
            <w:gridSpan w:val="2"/>
            <w:tcBorders>
              <w:left w:val="single" w:color="auto" w:sz="4" w:space="0"/>
              <w:right w:val="single" w:color="auto" w:sz="4" w:space="0"/>
            </w:tcBorders>
            <w:tcW w:w="2187" w:type="dxa"/>
            <w:vAlign w:val="center"/>
            <w:textDirection w:val="lrTb"/>
            <w:noWrap w:val="false"/>
          </w:tcPr>
          <w:p>
            <w:pPr>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单位优势及特长</w:t>
            </w:r>
            <w:r/>
          </w:p>
        </w:tc>
        <w:tc>
          <w:tcPr>
            <w:gridSpan w:val="7"/>
            <w:tcBorders>
              <w:left w:val="single" w:color="auto" w:sz="4" w:space="0"/>
              <w:right w:val="single" w:color="auto" w:sz="4" w:space="0"/>
            </w:tcBorders>
            <w:tcW w:w="7252"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cantSplit/>
          <w:trHeight w:val="811"/>
        </w:trPr>
        <w:tc>
          <w:tcPr>
            <w:tcBorders>
              <w:left w:val="single" w:color="auto" w:sz="4" w:space="0"/>
            </w:tcBorders>
            <w:tcW w:w="780" w:type="dxa"/>
            <w:vAlign w:val="center"/>
            <w:vMerge w:val="restart"/>
            <w:textDirection w:val="lrTb"/>
            <w:noWrap w:val="false"/>
          </w:tcPr>
          <w:p>
            <w:pPr>
              <w:ind w:left="266" w:hanging="31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单位</w:t>
            </w:r>
            <w:r/>
          </w:p>
          <w:p>
            <w:pPr>
              <w:ind w:left="266" w:hanging="31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概况</w:t>
            </w:r>
            <w:r/>
          </w:p>
        </w:tc>
        <w:tc>
          <w:tcPr>
            <w:tcW w:w="1407" w:type="dxa"/>
            <w:vAlign w:val="center"/>
            <w:textDirection w:val="lrTb"/>
            <w:noWrap w:val="false"/>
          </w:tcPr>
          <w:p>
            <w:pPr>
              <w:ind w:firstLine="480"/>
              <w:jc w:val="center"/>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职工总数</w:t>
            </w:r>
            <w:r/>
          </w:p>
        </w:tc>
        <w:tc>
          <w:tcPr>
            <w:tcW w:w="1566" w:type="dxa"/>
            <w:vAlign w:val="center"/>
            <w:textDirection w:val="lrTb"/>
            <w:noWrap w:val="false"/>
          </w:tcPr>
          <w:p>
            <w:pPr>
              <w:ind w:firstLine="480"/>
              <w:jc w:val="right"/>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人</w:t>
            </w:r>
            <w:r/>
          </w:p>
        </w:tc>
        <w:tc>
          <w:tcPr>
            <w:tcW w:w="624" w:type="dxa"/>
            <w:vAlign w:val="center"/>
            <w:vMerge w:val="restart"/>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上一年主要经济指标</w:t>
            </w:r>
            <w:r/>
          </w:p>
        </w:tc>
        <w:tc>
          <w:tcPr>
            <w:tcW w:w="1041" w:type="dxa"/>
            <w:vAlign w:val="center"/>
            <w:textDirection w:val="lrTb"/>
            <w:noWrap w:val="false"/>
          </w:tcPr>
          <w:p>
            <w:pPr>
              <w:ind w:firstLine="480"/>
              <w:jc w:val="center"/>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营业额</w:t>
            </w:r>
            <w:r/>
          </w:p>
        </w:tc>
        <w:tc>
          <w:tcPr>
            <w:gridSpan w:val="2"/>
            <w:tcW w:w="1557"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304" w:type="dxa"/>
            <w:vAlign w:val="center"/>
            <w:textDirection w:val="lrTb"/>
            <w:noWrap w:val="false"/>
          </w:tcPr>
          <w:p>
            <w:pPr>
              <w:ind w:firstLine="480"/>
              <w:jc w:val="center"/>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实现利润</w:t>
            </w:r>
            <w:r/>
          </w:p>
        </w:tc>
        <w:tc>
          <w:tcPr>
            <w:tcBorders>
              <w:right w:val="single" w:color="auto" w:sz="4" w:space="0"/>
            </w:tcBorders>
            <w:tcW w:w="1160"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cantSplit/>
          <w:trHeight w:val="811"/>
        </w:trPr>
        <w:tc>
          <w:tcPr>
            <w:tcBorders>
              <w:left w:val="single" w:color="auto" w:sz="4" w:space="0"/>
            </w:tcBorders>
            <w:tcW w:w="780" w:type="dxa"/>
            <w:vAlign w:val="center"/>
            <w:vMerge w:val="continue"/>
            <w:textDirection w:val="lrTb"/>
            <w:noWrap w:val="false"/>
          </w:tcPr>
          <w:p>
            <w:pPr>
              <w:ind w:left="266" w:hanging="31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07" w:type="dxa"/>
            <w:vAlign w:val="center"/>
            <w:textDirection w:val="lrTb"/>
            <w:noWrap w:val="false"/>
          </w:tcPr>
          <w:p>
            <w:pPr>
              <w:ind w:firstLine="480"/>
              <w:jc w:val="center"/>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流动资金</w:t>
            </w:r>
            <w:r/>
          </w:p>
        </w:tc>
        <w:tc>
          <w:tcPr>
            <w:tcW w:w="1566" w:type="dxa"/>
            <w:vAlign w:val="center"/>
            <w:textDirection w:val="lrTb"/>
            <w:noWrap w:val="false"/>
          </w:tcPr>
          <w:p>
            <w:pPr>
              <w:ind w:firstLine="480"/>
              <w:jc w:val="right"/>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万元</w:t>
            </w:r>
            <w:r/>
          </w:p>
        </w:tc>
        <w:tc>
          <w:tcPr>
            <w:tcW w:w="624" w:type="dxa"/>
            <w:vAlign w:val="center"/>
            <w:vMerge w:val="continue"/>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41" w:type="dxa"/>
            <w:vAlign w:val="center"/>
            <w:vMerge w:val="restart"/>
            <w:textDirection w:val="lrTb"/>
            <w:noWrap w:val="false"/>
          </w:tcPr>
          <w:p>
            <w:pPr>
              <w:ind w:firstLine="480"/>
              <w:jc w:val="center"/>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主要产品或服务内容</w:t>
            </w:r>
            <w:r/>
          </w:p>
        </w:tc>
        <w:tc>
          <w:tcPr>
            <w:gridSpan w:val="4"/>
            <w:tcBorders>
              <w:right w:val="single" w:color="auto" w:sz="4" w:space="0"/>
            </w:tcBorders>
            <w:tcW w:w="4021" w:type="dxa"/>
            <w:vAlign w:val="center"/>
            <w:textDirection w:val="lrTb"/>
            <w:noWrap w:val="false"/>
          </w:tcPr>
          <w:p>
            <w:pPr>
              <w:ind w:firstLine="480"/>
              <w:spacing w:before="120" w:after="12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p>
        </w:tc>
      </w:tr>
      <w:tr>
        <w:trPr>
          <w:cantSplit/>
          <w:trHeight w:val="1610"/>
        </w:trPr>
        <w:tc>
          <w:tcPr>
            <w:tcBorders>
              <w:left w:val="single" w:color="auto" w:sz="4" w:space="0"/>
            </w:tcBorders>
            <w:tcW w:w="780" w:type="dxa"/>
            <w:vAlign w:val="center"/>
            <w:vMerge w:val="continue"/>
            <w:textDirection w:val="lrTb"/>
            <w:noWrap w:val="false"/>
          </w:tcPr>
          <w:p>
            <w:pPr>
              <w:ind w:left="266" w:hanging="31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07" w:type="dxa"/>
            <w:vAlign w:val="center"/>
            <w:textDirection w:val="lrTb"/>
            <w:noWrap w:val="false"/>
          </w:tcPr>
          <w:p>
            <w:pPr>
              <w:ind w:firstLine="480"/>
              <w:jc w:val="center"/>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固定资产</w:t>
            </w:r>
            <w:r/>
          </w:p>
          <w:p>
            <w:pPr>
              <w:ind w:firstLine="480"/>
              <w:jc w:val="center"/>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（万元）</w:t>
            </w:r>
            <w:r/>
          </w:p>
        </w:tc>
        <w:tc>
          <w:tcPr>
            <w:tcW w:w="1566" w:type="dxa"/>
            <w:vAlign w:val="center"/>
            <w:textDirection w:val="lrTb"/>
            <w:noWrap w:val="false"/>
          </w:tcPr>
          <w:p>
            <w:pPr>
              <w:ind w:right="-133" w:firstLine="480"/>
              <w:tabs>
                <w:tab w:val="left" w:pos="-48" w:leader="none"/>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原值：</w:t>
            </w:r>
            <w:r/>
          </w:p>
          <w:p>
            <w:pPr>
              <w:ind w:right="-133" w:firstLine="480"/>
              <w:tabs>
                <w:tab w:val="left" w:pos="-48" w:leader="none"/>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净值：</w:t>
            </w:r>
            <w:r/>
          </w:p>
        </w:tc>
        <w:tc>
          <w:tcPr>
            <w:tcW w:w="624" w:type="dxa"/>
            <w:vAlign w:val="center"/>
            <w:vMerge w:val="continue"/>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41" w:type="dxa"/>
            <w:vAlign w:val="center"/>
            <w:vMerge w:val="continue"/>
            <w:textDirection w:val="lrTb"/>
            <w:noWrap w:val="false"/>
          </w:tcPr>
          <w:p>
            <w:pPr>
              <w:ind w:firstLine="480"/>
              <w:jc w:val="center"/>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gridSpan w:val="4"/>
            <w:tcBorders>
              <w:right w:val="single" w:color="auto" w:sz="4" w:space="0"/>
            </w:tcBorders>
            <w:tcW w:w="4021"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p>
        </w:tc>
      </w:tr>
      <w:tr>
        <w:trPr>
          <w:cantSplit/>
          <w:trHeight w:val="811"/>
        </w:trPr>
        <w:tc>
          <w:tcPr>
            <w:tcBorders>
              <w:left w:val="single" w:color="auto" w:sz="4" w:space="0"/>
            </w:tcBorders>
            <w:tcW w:w="780" w:type="dxa"/>
            <w:vAlign w:val="center"/>
            <w:vMerge w:val="continue"/>
            <w:textDirection w:val="lrTb"/>
            <w:noWrap w:val="false"/>
          </w:tcPr>
          <w:p>
            <w:pPr>
              <w:ind w:left="266" w:hanging="31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07" w:type="dxa"/>
            <w:vAlign w:val="center"/>
            <w:textDirection w:val="lrTb"/>
            <w:noWrap w:val="false"/>
          </w:tcPr>
          <w:p>
            <w:pPr>
              <w:ind w:firstLine="480"/>
              <w:jc w:val="center"/>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占地面积</w:t>
            </w:r>
            <w:r/>
          </w:p>
        </w:tc>
        <w:tc>
          <w:tcPr>
            <w:tcW w:w="1566" w:type="dxa"/>
            <w:vAlign w:val="center"/>
            <w:textDirection w:val="lrTb"/>
            <w:noWrap w:val="false"/>
          </w:tcPr>
          <w:p>
            <w:pPr>
              <w:ind w:firstLine="480"/>
              <w:jc w:val="right"/>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M</w:t>
            </w:r>
            <w:r>
              <w:rPr>
                <w:rFonts w:hint="eastAsia" w:ascii="仿宋" w:hAnsi="仿宋" w:eastAsia="仿宋" w:cs="仿宋"/>
                <w:color w:val="000000"/>
                <w:sz w:val="28"/>
                <w:szCs w:val="28"/>
                <w:highlight w:val="none"/>
                <w:vertAlign w:val="superscript"/>
              </w:rPr>
              <w:t xml:space="preserve">2</w:t>
            </w:r>
            <w:r/>
          </w:p>
        </w:tc>
        <w:tc>
          <w:tcPr>
            <w:tcW w:w="624" w:type="dxa"/>
            <w:vAlign w:val="center"/>
            <w:vMerge w:val="continue"/>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41" w:type="dxa"/>
            <w:vAlign w:val="center"/>
            <w:vMerge w:val="continue"/>
            <w:textDirection w:val="lrTb"/>
            <w:noWrap w:val="false"/>
          </w:tcPr>
          <w:p>
            <w:pPr>
              <w:ind w:firstLine="480"/>
              <w:jc w:val="center"/>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gridSpan w:val="4"/>
            <w:tcBorders>
              <w:right w:val="single" w:color="auto" w:sz="4" w:space="0"/>
            </w:tcBorders>
            <w:tcW w:w="4021" w:type="dxa"/>
            <w:vAlign w:val="center"/>
            <w:textDirection w:val="lrTb"/>
            <w:noWrap w:val="false"/>
          </w:tcPr>
          <w:p>
            <w:pPr>
              <w:ind w:firstLine="480"/>
              <w:spacing w:before="120" w:after="12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p>
        </w:tc>
      </w:tr>
      <w:tr>
        <w:trPr>
          <w:cantSplit/>
          <w:trHeight w:val="965"/>
        </w:trPr>
        <w:tc>
          <w:tcPr>
            <w:tcBorders>
              <w:left w:val="single" w:color="auto" w:sz="4" w:space="0"/>
            </w:tcBorders>
            <w:tcMar>
              <w:left w:w="57" w:type="dxa"/>
              <w:right w:w="57" w:type="dxa"/>
            </w:tcMar>
            <w:tcW w:w="780" w:type="dxa"/>
            <w:vAlign w:val="center"/>
            <w:vMerge w:val="restart"/>
            <w:textDirection w:val="lrTb"/>
            <w:noWrap w:val="false"/>
          </w:tcPr>
          <w:p>
            <w:pPr>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拟派人员情况</w:t>
            </w:r>
            <w:r/>
          </w:p>
        </w:tc>
        <w:tc>
          <w:tcPr>
            <w:tcW w:w="1407" w:type="dxa"/>
            <w:vAlign w:val="center"/>
            <w:textDirection w:val="lrTb"/>
            <w:noWrap w:val="false"/>
          </w:tcPr>
          <w:p>
            <w:pPr>
              <w:ind w:firstLine="480"/>
              <w:jc w:val="center"/>
              <w:spacing w:before="60" w:after="6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姓名</w:t>
            </w:r>
            <w:r/>
          </w:p>
        </w:tc>
        <w:tc>
          <w:tcPr>
            <w:tcW w:w="1566" w:type="dxa"/>
            <w:vAlign w:val="center"/>
            <w:textDirection w:val="lrTb"/>
            <w:noWrap w:val="false"/>
          </w:tcPr>
          <w:p>
            <w:pPr>
              <w:ind w:firstLine="480"/>
              <w:jc w:val="center"/>
              <w:spacing w:before="60" w:after="6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年龄</w:t>
            </w:r>
            <w:r/>
          </w:p>
        </w:tc>
        <w:tc>
          <w:tcPr>
            <w:gridSpan w:val="2"/>
            <w:tcW w:w="1665" w:type="dxa"/>
            <w:vAlign w:val="center"/>
            <w:textDirection w:val="lrTb"/>
            <w:noWrap w:val="false"/>
          </w:tcPr>
          <w:p>
            <w:pPr>
              <w:ind w:firstLine="480"/>
              <w:jc w:val="center"/>
              <w:spacing w:before="60" w:after="6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岗位证书</w:t>
            </w:r>
            <w:r/>
          </w:p>
        </w:tc>
        <w:tc>
          <w:tcPr>
            <w:tcW w:w="1391" w:type="dxa"/>
            <w:vAlign w:val="center"/>
            <w:textDirection w:val="lrTb"/>
            <w:noWrap w:val="false"/>
          </w:tcPr>
          <w:p>
            <w:pPr>
              <w:ind w:firstLine="480"/>
              <w:jc w:val="center"/>
              <w:spacing w:before="60" w:after="6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学历</w:t>
            </w:r>
            <w:r/>
          </w:p>
        </w:tc>
        <w:tc>
          <w:tcPr>
            <w:gridSpan w:val="3"/>
            <w:tcBorders>
              <w:right w:val="single" w:color="auto" w:sz="4" w:space="0"/>
            </w:tcBorders>
            <w:tcW w:w="2630" w:type="dxa"/>
            <w:vAlign w:val="center"/>
            <w:textDirection w:val="lrTb"/>
            <w:noWrap w:val="false"/>
          </w:tcPr>
          <w:p>
            <w:pPr>
              <w:ind w:firstLine="480"/>
              <w:jc w:val="center"/>
              <w:spacing w:before="60" w:after="6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曾获何级何种奖励</w:t>
            </w:r>
            <w:r/>
          </w:p>
        </w:tc>
      </w:tr>
      <w:tr>
        <w:trPr>
          <w:cantSplit/>
          <w:trHeight w:val="365"/>
        </w:trPr>
        <w:tc>
          <w:tcPr>
            <w:tcBorders>
              <w:left w:val="single" w:color="auto" w:sz="4" w:space="0"/>
            </w:tcBorders>
            <w:tcW w:w="780" w:type="dxa"/>
            <w:vAlign w:val="center"/>
            <w:vMerge w:val="continue"/>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07"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66"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gridSpan w:val="2"/>
            <w:tcW w:w="1665"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391"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gridSpan w:val="3"/>
            <w:tcBorders>
              <w:right w:val="single" w:color="auto" w:sz="4" w:space="0"/>
            </w:tcBorders>
            <w:tcW w:w="2630"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cantSplit/>
          <w:trHeight w:val="365"/>
        </w:trPr>
        <w:tc>
          <w:tcPr>
            <w:tcBorders>
              <w:left w:val="single" w:color="auto" w:sz="4" w:space="0"/>
            </w:tcBorders>
            <w:tcW w:w="780" w:type="dxa"/>
            <w:vAlign w:val="center"/>
            <w:vMerge w:val="continue"/>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07"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66"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gridSpan w:val="2"/>
            <w:tcW w:w="1665"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391"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gridSpan w:val="3"/>
            <w:tcBorders>
              <w:right w:val="single" w:color="auto" w:sz="4" w:space="0"/>
            </w:tcBorders>
            <w:tcW w:w="2630"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cantSplit/>
          <w:trHeight w:val="365"/>
        </w:trPr>
        <w:tc>
          <w:tcPr>
            <w:tcBorders>
              <w:left w:val="single" w:color="auto" w:sz="4" w:space="0"/>
            </w:tcBorders>
            <w:tcW w:w="780" w:type="dxa"/>
            <w:vAlign w:val="center"/>
            <w:vMerge w:val="continue"/>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07"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66"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gridSpan w:val="2"/>
            <w:tcW w:w="1665"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391"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gridSpan w:val="3"/>
            <w:tcBorders>
              <w:right w:val="single" w:color="auto" w:sz="4" w:space="0"/>
            </w:tcBorders>
            <w:tcW w:w="2630"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cantSplit/>
          <w:trHeight w:val="365"/>
        </w:trPr>
        <w:tc>
          <w:tcPr>
            <w:tcBorders>
              <w:left w:val="single" w:color="auto" w:sz="4" w:space="0"/>
            </w:tcBorders>
            <w:tcW w:w="780" w:type="dxa"/>
            <w:vAlign w:val="center"/>
            <w:vMerge w:val="continue"/>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07"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66"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gridSpan w:val="2"/>
            <w:tcW w:w="1665"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391"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gridSpan w:val="3"/>
            <w:tcBorders>
              <w:right w:val="single" w:color="auto" w:sz="4" w:space="0"/>
            </w:tcBorders>
            <w:tcW w:w="2630"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cantSplit/>
          <w:trHeight w:val="365"/>
        </w:trPr>
        <w:tc>
          <w:tcPr>
            <w:tcBorders>
              <w:left w:val="single" w:color="auto" w:sz="4" w:space="0"/>
            </w:tcBorders>
            <w:tcW w:w="780" w:type="dxa"/>
            <w:vAlign w:val="center"/>
            <w:vMerge w:val="continue"/>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07"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66"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gridSpan w:val="2"/>
            <w:tcW w:w="1665"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391"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gridSpan w:val="3"/>
            <w:tcBorders>
              <w:right w:val="single" w:color="auto" w:sz="4" w:space="0"/>
            </w:tcBorders>
            <w:tcW w:w="2630"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cantSplit/>
          <w:trHeight w:val="365"/>
        </w:trPr>
        <w:tc>
          <w:tcPr>
            <w:tcBorders>
              <w:left w:val="single" w:color="auto" w:sz="4" w:space="0"/>
            </w:tcBorders>
            <w:tcW w:w="780" w:type="dxa"/>
            <w:vAlign w:val="center"/>
            <w:vMerge w:val="continue"/>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07"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66"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gridSpan w:val="2"/>
            <w:tcW w:w="1665"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391"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gridSpan w:val="3"/>
            <w:tcBorders>
              <w:right w:val="single" w:color="auto" w:sz="4" w:space="0"/>
            </w:tcBorders>
            <w:tcW w:w="2630"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cantSplit/>
          <w:trHeight w:val="365"/>
        </w:trPr>
        <w:tc>
          <w:tcPr>
            <w:tcBorders>
              <w:left w:val="single" w:color="auto" w:sz="4" w:space="0"/>
            </w:tcBorders>
            <w:tcW w:w="780" w:type="dxa"/>
            <w:vAlign w:val="center"/>
            <w:vMerge w:val="continue"/>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07"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66"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gridSpan w:val="2"/>
            <w:tcW w:w="1665"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391"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gridSpan w:val="3"/>
            <w:tcBorders>
              <w:right w:val="single" w:color="auto" w:sz="4" w:space="0"/>
            </w:tcBorders>
            <w:tcW w:w="2630"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cantSplit/>
          <w:trHeight w:val="2962"/>
        </w:trPr>
        <w:tc>
          <w:tcPr>
            <w:tcBorders>
              <w:left w:val="single" w:color="auto" w:sz="4" w:space="0"/>
            </w:tcBorders>
            <w:tcW w:w="780" w:type="dxa"/>
            <w:vAlign w:val="center"/>
            <w:vMerge w:val="restart"/>
            <w:textDirection w:val="lrTb"/>
            <w:noWrap w:val="false"/>
          </w:tcPr>
          <w:p>
            <w:pPr>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其它</w:t>
            </w:r>
            <w:r/>
          </w:p>
        </w:tc>
        <w:tc>
          <w:tcPr>
            <w:gridSpan w:val="4"/>
            <w:tcW w:w="4638" w:type="dxa"/>
            <w:vAlign w:val="center"/>
            <w:textDirection w:val="lrTb"/>
            <w:noWrap w:val="false"/>
          </w:tcPr>
          <w:p>
            <w:pPr>
              <w:ind w:firstLine="480"/>
              <w:spacing w:before="60" w:after="6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近3年完成及正在执行的合同中发生的由于供应商违约或部分违约而引起诉讼和受到索赔的案件具体情况及结果（须如实填写，若对此进行隐瞒，尔后又被采购人或采购代理机构发现，或被它人举证成立，其投标资格将被取消）。</w:t>
            </w:r>
            <w:r/>
          </w:p>
        </w:tc>
        <w:tc>
          <w:tcPr>
            <w:gridSpan w:val="4"/>
            <w:tcBorders>
              <w:right w:val="single" w:color="auto" w:sz="4" w:space="0"/>
            </w:tcBorders>
            <w:tcW w:w="4021" w:type="dxa"/>
            <w:vAlign w:val="center"/>
            <w:textDirection w:val="lrTb"/>
            <w:noWrap w:val="false"/>
          </w:tcPr>
          <w:p>
            <w:pPr>
              <w:ind w:firstLine="480"/>
              <w:spacing w:before="60" w:after="6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如有名称变更（非因该单位出现了与资格预审（如果经此程序）时的营业性质的根本改变以至不再满足本次磋商的要求），说明原名称因何种原因变更为现名称，并提供由工商管理部门出具的变更证明文件。</w:t>
            </w:r>
            <w:r/>
          </w:p>
        </w:tc>
      </w:tr>
      <w:tr>
        <w:trPr>
          <w:cantSplit/>
          <w:trHeight w:val="767"/>
        </w:trPr>
        <w:tc>
          <w:tcPr>
            <w:tcBorders>
              <w:left w:val="single" w:color="auto" w:sz="4" w:space="0"/>
              <w:bottom w:val="single" w:color="auto" w:sz="4" w:space="0"/>
            </w:tcBorders>
            <w:tcW w:w="780" w:type="dxa"/>
            <w:vAlign w:val="center"/>
            <w:vMerge w:val="continue"/>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gridSpan w:val="4"/>
            <w:tcBorders>
              <w:bottom w:val="single" w:color="auto" w:sz="4" w:space="0"/>
            </w:tcBorders>
            <w:tcW w:w="4638"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gridSpan w:val="4"/>
            <w:tcBorders>
              <w:bottom w:val="single" w:color="auto" w:sz="4" w:space="0"/>
              <w:right w:val="single" w:color="auto" w:sz="4" w:space="0"/>
            </w:tcBorders>
            <w:tcW w:w="4021"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ind w:firstLine="42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71"/>
        <w:rPr>
          <w:rFonts w:hint="eastAsia" w:ascii="仿宋" w:hAnsi="仿宋" w:eastAsia="仿宋" w:cs="仿宋"/>
          <w:sz w:val="28"/>
          <w:szCs w:val="28"/>
          <w:highlight w:val="none"/>
        </w:rPr>
        <w:sectPr>
          <w:footnotePr/>
          <w:endnotePr/>
          <w:type w:val="nextPage"/>
          <w:pgSz w:w="11906" w:h="16838" w:orient="portrait"/>
          <w:pgMar w:top="1417" w:right="1417" w:bottom="1417" w:left="1417" w:header="851" w:footer="992" w:gutter="0"/>
          <w:cols w:num="1" w:sep="0" w:space="720" w:equalWidth="1"/>
          <w:docGrid w:linePitch="360"/>
        </w:sectPr>
      </w:pPr>
      <w:r>
        <w:rPr>
          <w:rFonts w:hint="eastAsia" w:ascii="仿宋" w:hAnsi="仿宋" w:eastAsia="仿宋" w:cs="仿宋"/>
          <w:color w:val="000000"/>
          <w:sz w:val="28"/>
          <w:szCs w:val="28"/>
          <w:highlight w:val="none"/>
        </w:rPr>
        <w:br w:type="page" w:clear="all"/>
      </w:r>
      <w:r/>
    </w:p>
    <w:p>
      <w:pPr>
        <w:ind w:firstLine="420"/>
        <w:jc w:val="center"/>
        <w:spacing w:line="420" w:lineRule="exact"/>
        <w:rPr>
          <w:rFonts w:hint="eastAsia" w:ascii="仿宋" w:hAnsi="仿宋" w:eastAsia="仿宋" w:cs="仿宋"/>
          <w:b/>
          <w:bCs/>
          <w:sz w:val="28"/>
          <w:szCs w:val="28"/>
          <w:highlight w:val="none"/>
        </w:rPr>
      </w:pPr>
      <w:r>
        <w:rPr>
          <w:rFonts w:hint="eastAsia" w:ascii="仿宋" w:hAnsi="仿宋" w:eastAsia="仿宋" w:cs="仿宋"/>
          <w:b/>
          <w:sz w:val="28"/>
          <w:szCs w:val="28"/>
          <w:highlight w:val="none"/>
        </w:rPr>
        <w:t xml:space="preserve">8、</w:t>
      </w:r>
      <w:r>
        <w:rPr>
          <w:rFonts w:hint="eastAsia" w:ascii="仿宋" w:hAnsi="仿宋" w:eastAsia="仿宋" w:cs="仿宋"/>
          <w:b/>
          <w:bCs/>
          <w:sz w:val="28"/>
          <w:szCs w:val="28"/>
          <w:highlight w:val="none"/>
        </w:rPr>
        <w:t xml:space="preserve">商务技术部分正负偏离表</w:t>
      </w:r>
      <w:r/>
    </w:p>
    <w:p>
      <w:pPr>
        <w:ind w:firstLine="560"/>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（由供应商据实提交，表格不够自行添加）</w:t>
      </w:r>
      <w:r/>
    </w:p>
    <w:p>
      <w:pPr>
        <w:ind w:firstLine="480"/>
        <w:spacing w:line="32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投标人全称（加盖公章）： </w:t>
      </w:r>
      <w:r/>
    </w:p>
    <w:p>
      <w:pPr>
        <w:ind w:firstLine="480"/>
        <w:spacing w:line="32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项目名称：</w:t>
      </w:r>
      <w:r/>
    </w:p>
    <w:tbl>
      <w:tblPr>
        <w:tblStyle w:val="873"/>
        <w:tblW w:w="9431"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9"/>
        <w:gridCol w:w="1360"/>
        <w:gridCol w:w="2915"/>
        <w:gridCol w:w="2930"/>
        <w:gridCol w:w="1527"/>
      </w:tblGrid>
      <w:tr>
        <w:trPr>
          <w:trHeight w:val="982"/>
        </w:trPr>
        <w:tc>
          <w:tcPr>
            <w:tcBorders>
              <w:top w:val="single" w:color="auto" w:sz="12" w:space="0"/>
              <w:left w:val="single" w:color="auto" w:sz="12" w:space="0"/>
              <w:bottom w:val="single" w:color="auto" w:sz="6" w:space="0"/>
              <w:right w:val="single" w:color="auto" w:sz="6" w:space="0"/>
            </w:tcBorders>
            <w:tcW w:w="699" w:type="dxa"/>
            <w:vAlign w:val="center"/>
            <w:textDirection w:val="lrTb"/>
            <w:noWrap w:val="false"/>
          </w:tcPr>
          <w:p>
            <w:pP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Borders>
              <w:top w:val="single" w:color="auto" w:sz="12" w:space="0"/>
              <w:left w:val="single" w:color="auto" w:sz="6" w:space="0"/>
              <w:bottom w:val="single" w:color="auto" w:sz="6" w:space="0"/>
              <w:right w:val="single" w:color="auto" w:sz="6" w:space="0"/>
            </w:tcBorders>
            <w:tcW w:w="1360"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w:t>
            </w:r>
            <w:r/>
          </w:p>
        </w:tc>
        <w:tc>
          <w:tcPr>
            <w:tcBorders>
              <w:top w:val="single" w:color="auto" w:sz="12" w:space="0"/>
              <w:left w:val="single" w:color="auto" w:sz="6" w:space="0"/>
              <w:bottom w:val="single" w:color="auto" w:sz="6" w:space="0"/>
              <w:right w:val="single" w:color="auto" w:sz="6" w:space="0"/>
            </w:tcBorders>
            <w:tcW w:w="2915"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磋商文件要求</w:t>
            </w:r>
            <w:r/>
          </w:p>
        </w:tc>
        <w:tc>
          <w:tcPr>
            <w:tcBorders>
              <w:top w:val="single" w:color="auto" w:sz="12" w:space="0"/>
              <w:left w:val="single" w:color="auto" w:sz="6" w:space="0"/>
              <w:bottom w:val="single" w:color="auto" w:sz="6" w:space="0"/>
              <w:right w:val="single" w:color="auto" w:sz="6" w:space="0"/>
            </w:tcBorders>
            <w:tcW w:w="2930"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1527"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偏离说明</w:t>
            </w:r>
            <w:r/>
          </w:p>
        </w:tc>
      </w:tr>
      <w:tr>
        <w:trPr>
          <w:trHeight w:val="982"/>
        </w:trPr>
        <w:tc>
          <w:tcPr>
            <w:tcBorders>
              <w:top w:val="single" w:color="auto" w:sz="6" w:space="0"/>
              <w:left w:val="single" w:color="auto" w:sz="12" w:space="0"/>
              <w:bottom w:val="single" w:color="auto" w:sz="6" w:space="0"/>
              <w:right w:val="single" w:color="auto" w:sz="6" w:space="0"/>
            </w:tcBorders>
            <w:tcW w:w="699" w:type="dxa"/>
            <w:vAlign w:val="center"/>
            <w:textDirection w:val="lrTb"/>
            <w:noWrap w:val="false"/>
          </w:tcPr>
          <w:p>
            <w:pPr>
              <w:ind w:firstLine="280"/>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Borders>
              <w:top w:val="single" w:color="auto" w:sz="6" w:space="0"/>
              <w:left w:val="single" w:color="auto" w:sz="6" w:space="0"/>
              <w:bottom w:val="single" w:color="auto" w:sz="6" w:space="0"/>
              <w:right w:val="single" w:color="auto" w:sz="6" w:space="0"/>
            </w:tcBorders>
            <w:tcW w:w="1360"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auto" w:sz="6" w:space="0"/>
              <w:left w:val="single" w:color="auto" w:sz="6" w:space="0"/>
              <w:bottom w:val="single" w:color="auto" w:sz="6" w:space="0"/>
              <w:right w:val="single" w:color="auto" w:sz="6" w:space="0"/>
            </w:tcBorders>
            <w:tcW w:w="2915"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auto" w:sz="6" w:space="0"/>
              <w:left w:val="single" w:color="auto" w:sz="6" w:space="0"/>
              <w:bottom w:val="single" w:color="auto" w:sz="6" w:space="0"/>
              <w:right w:val="single" w:color="auto" w:sz="6" w:space="0"/>
            </w:tcBorders>
            <w:tcW w:w="2930"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auto" w:sz="6" w:space="0"/>
              <w:left w:val="single" w:color="auto" w:sz="6" w:space="0"/>
              <w:bottom w:val="single" w:color="auto" w:sz="6" w:space="0"/>
              <w:right w:val="single" w:color="auto" w:sz="12" w:space="0"/>
            </w:tcBorders>
            <w:tcW w:w="1527"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982"/>
        </w:trPr>
        <w:tc>
          <w:tcPr>
            <w:tcBorders>
              <w:top w:val="single" w:color="auto" w:sz="6" w:space="0"/>
              <w:left w:val="single" w:color="auto" w:sz="12" w:space="0"/>
              <w:bottom w:val="single" w:color="auto" w:sz="6" w:space="0"/>
              <w:right w:val="single" w:color="auto" w:sz="6" w:space="0"/>
            </w:tcBorders>
            <w:tcW w:w="699" w:type="dxa"/>
            <w:vAlign w:val="center"/>
            <w:textDirection w:val="lrTb"/>
            <w:noWrap w:val="false"/>
          </w:tcPr>
          <w:p>
            <w:pPr>
              <w:ind w:firstLine="280"/>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p>
        </w:tc>
        <w:tc>
          <w:tcPr>
            <w:tcBorders>
              <w:top w:val="single" w:color="auto" w:sz="6" w:space="0"/>
              <w:left w:val="single" w:color="auto" w:sz="6" w:space="0"/>
              <w:bottom w:val="single" w:color="auto" w:sz="6" w:space="0"/>
              <w:right w:val="single" w:color="auto" w:sz="6" w:space="0"/>
            </w:tcBorders>
            <w:tcW w:w="1360"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auto" w:sz="6" w:space="0"/>
              <w:left w:val="single" w:color="auto" w:sz="6" w:space="0"/>
              <w:bottom w:val="single" w:color="auto" w:sz="6" w:space="0"/>
              <w:right w:val="single" w:color="auto" w:sz="6" w:space="0"/>
            </w:tcBorders>
            <w:tcW w:w="2915"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auto" w:sz="6" w:space="0"/>
              <w:left w:val="single" w:color="auto" w:sz="6" w:space="0"/>
              <w:bottom w:val="single" w:color="auto" w:sz="6" w:space="0"/>
              <w:right w:val="single" w:color="auto" w:sz="6" w:space="0"/>
            </w:tcBorders>
            <w:tcW w:w="2930"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auto" w:sz="6" w:space="0"/>
              <w:left w:val="single" w:color="auto" w:sz="6" w:space="0"/>
              <w:bottom w:val="single" w:color="auto" w:sz="6" w:space="0"/>
              <w:right w:val="single" w:color="auto" w:sz="12" w:space="0"/>
            </w:tcBorders>
            <w:tcW w:w="1527"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982"/>
        </w:trPr>
        <w:tc>
          <w:tcPr>
            <w:tcBorders>
              <w:top w:val="single" w:color="auto" w:sz="6" w:space="0"/>
              <w:left w:val="single" w:color="auto" w:sz="12" w:space="0"/>
              <w:bottom w:val="single" w:color="auto" w:sz="6" w:space="0"/>
              <w:right w:val="single" w:color="auto" w:sz="6" w:space="0"/>
            </w:tcBorders>
            <w:tcW w:w="699" w:type="dxa"/>
            <w:vAlign w:val="center"/>
            <w:textDirection w:val="lrTb"/>
            <w:noWrap w:val="false"/>
          </w:tcPr>
          <w:p>
            <w:pPr>
              <w:ind w:firstLine="280"/>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p>
        </w:tc>
        <w:tc>
          <w:tcPr>
            <w:tcBorders>
              <w:top w:val="single" w:color="auto" w:sz="6" w:space="0"/>
              <w:left w:val="single" w:color="auto" w:sz="6" w:space="0"/>
              <w:bottom w:val="single" w:color="auto" w:sz="6" w:space="0"/>
              <w:right w:val="single" w:color="auto" w:sz="6" w:space="0"/>
            </w:tcBorders>
            <w:tcW w:w="1360"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auto" w:sz="6" w:space="0"/>
              <w:left w:val="single" w:color="auto" w:sz="6" w:space="0"/>
              <w:bottom w:val="single" w:color="auto" w:sz="6" w:space="0"/>
              <w:right w:val="single" w:color="auto" w:sz="6" w:space="0"/>
            </w:tcBorders>
            <w:tcW w:w="2915" w:type="dxa"/>
            <w:vAlign w:val="center"/>
            <w:textDirection w:val="lrTb"/>
            <w:noWrap w:val="false"/>
          </w:tcPr>
          <w:p>
            <w:pPr>
              <w:ind w:firstLine="56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auto" w:sz="6" w:space="0"/>
              <w:left w:val="single" w:color="auto" w:sz="6" w:space="0"/>
              <w:bottom w:val="single" w:color="auto" w:sz="6" w:space="0"/>
              <w:right w:val="single" w:color="auto" w:sz="6" w:space="0"/>
            </w:tcBorders>
            <w:tcW w:w="2930"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auto" w:sz="6" w:space="0"/>
              <w:left w:val="single" w:color="auto" w:sz="6" w:space="0"/>
              <w:bottom w:val="single" w:color="auto" w:sz="6" w:space="0"/>
              <w:right w:val="single" w:color="auto" w:sz="12" w:space="0"/>
            </w:tcBorders>
            <w:tcW w:w="1527"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984"/>
        </w:trPr>
        <w:tc>
          <w:tcPr>
            <w:tcBorders>
              <w:top w:val="single" w:color="auto" w:sz="6" w:space="0"/>
              <w:left w:val="single" w:color="auto" w:sz="12" w:space="0"/>
              <w:bottom w:val="single" w:color="auto" w:sz="6" w:space="0"/>
              <w:right w:val="single" w:color="auto" w:sz="6" w:space="0"/>
            </w:tcBorders>
            <w:tcW w:w="699"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auto" w:sz="6" w:space="0"/>
              <w:left w:val="single" w:color="auto" w:sz="6" w:space="0"/>
              <w:bottom w:val="single" w:color="auto" w:sz="6" w:space="0"/>
              <w:right w:val="single" w:color="auto" w:sz="6" w:space="0"/>
            </w:tcBorders>
            <w:tcW w:w="1360"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auto" w:sz="6" w:space="0"/>
              <w:left w:val="single" w:color="auto" w:sz="6" w:space="0"/>
              <w:bottom w:val="single" w:color="auto" w:sz="6" w:space="0"/>
              <w:right w:val="single" w:color="auto" w:sz="6" w:space="0"/>
            </w:tcBorders>
            <w:tcW w:w="2915"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auto" w:sz="6" w:space="0"/>
              <w:left w:val="single" w:color="auto" w:sz="6" w:space="0"/>
              <w:bottom w:val="single" w:color="auto" w:sz="6" w:space="0"/>
              <w:right w:val="single" w:color="auto" w:sz="6" w:space="0"/>
            </w:tcBorders>
            <w:tcW w:w="2930"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auto" w:sz="6" w:space="0"/>
              <w:left w:val="single" w:color="auto" w:sz="6" w:space="0"/>
              <w:bottom w:val="single" w:color="auto" w:sz="6" w:space="0"/>
              <w:right w:val="single" w:color="auto" w:sz="12" w:space="0"/>
            </w:tcBorders>
            <w:tcW w:w="1527"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984"/>
        </w:trPr>
        <w:tc>
          <w:tcPr>
            <w:tcBorders>
              <w:top w:val="single" w:color="auto" w:sz="6" w:space="0"/>
              <w:left w:val="single" w:color="auto" w:sz="12" w:space="0"/>
              <w:bottom w:val="single" w:color="auto" w:sz="12" w:space="0"/>
              <w:right w:val="single" w:color="auto" w:sz="6" w:space="0"/>
            </w:tcBorders>
            <w:tcW w:w="699"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auto" w:sz="6" w:space="0"/>
              <w:left w:val="single" w:color="auto" w:sz="6" w:space="0"/>
              <w:bottom w:val="single" w:color="auto" w:sz="12" w:space="0"/>
              <w:right w:val="single" w:color="auto" w:sz="6" w:space="0"/>
            </w:tcBorders>
            <w:tcW w:w="1360"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auto" w:sz="6" w:space="0"/>
              <w:left w:val="single" w:color="auto" w:sz="6" w:space="0"/>
              <w:bottom w:val="single" w:color="auto" w:sz="12" w:space="0"/>
              <w:right w:val="single" w:color="auto" w:sz="6" w:space="0"/>
            </w:tcBorders>
            <w:tcW w:w="2915"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auto" w:sz="6" w:space="0"/>
              <w:left w:val="single" w:color="auto" w:sz="6" w:space="0"/>
              <w:bottom w:val="single" w:color="auto" w:sz="12" w:space="0"/>
              <w:right w:val="single" w:color="auto" w:sz="6" w:space="0"/>
            </w:tcBorders>
            <w:tcW w:w="2930"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auto" w:sz="6" w:space="0"/>
              <w:left w:val="single" w:color="auto" w:sz="6" w:space="0"/>
              <w:bottom w:val="single" w:color="auto" w:sz="12" w:space="0"/>
              <w:right w:val="single" w:color="auto" w:sz="12" w:space="0"/>
            </w:tcBorders>
            <w:tcW w:w="1527"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bl>
    <w:p>
      <w:pPr>
        <w:ind w:firstLine="480"/>
        <w:spacing w:line="26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r>
      <w:r/>
    </w:p>
    <w:p>
      <w:pPr>
        <w:contextualSpacing/>
        <w:ind w:firstLine="482"/>
        <w:spacing w:line="30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注：</w:t>
      </w:r>
      <w:r/>
    </w:p>
    <w:p>
      <w:pPr>
        <w:contextualSpacing/>
        <w:ind w:firstLine="560"/>
        <w:spacing w:line="30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b/>
          <w:sz w:val="28"/>
          <w:szCs w:val="28"/>
          <w:highlight w:val="none"/>
        </w:rPr>
        <w:t xml:space="preserve">、</w:t>
      </w:r>
      <w:r>
        <w:rPr>
          <w:rFonts w:hint="eastAsia" w:ascii="仿宋" w:hAnsi="仿宋" w:eastAsia="仿宋" w:cs="仿宋"/>
          <w:sz w:val="28"/>
          <w:szCs w:val="28"/>
          <w:highlight w:val="none"/>
        </w:rPr>
        <w:t xml:space="preserve">供应商提交的响应文件中与磋商文件第三部分“项目需求说明”中的商务、技术部分的要求有不同时，应逐条填列在偏离表中，否则将认为供应商接受磋商文件的所有要求。</w:t>
      </w:r>
      <w:r/>
    </w:p>
    <w:p>
      <w:pPr>
        <w:contextualSpacing/>
        <w:ind w:firstLine="560"/>
        <w:spacing w:line="30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2、“偏离说明”一栏选择“正偏离”、“负偏离”进行填写。正偏离的确认和负偏离的是否响应磋商文件，经三分之二评委认定。</w:t>
      </w:r>
      <w:r/>
    </w:p>
    <w:p>
      <w:pPr>
        <w:contextualSpacing/>
        <w:ind w:firstLine="560"/>
        <w:spacing w:line="30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3、供应商如果虚假响应，将承担有关责任及风险。</w:t>
      </w:r>
      <w:r/>
    </w:p>
    <w:p>
      <w:pPr>
        <w:contextualSpacing/>
        <w:ind w:firstLine="560"/>
        <w:spacing w:line="300" w:lineRule="auto"/>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4、供应商若提供其他增值服务，可以在表中自行据实填写。</w:t>
      </w:r>
      <w:r/>
    </w:p>
    <w:p>
      <w:pPr>
        <w:ind w:firstLine="482"/>
        <w:spacing w:line="52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br w:type="page" w:clear="all"/>
      </w:r>
      <w:r/>
    </w:p>
    <w:p>
      <w:pPr>
        <w:numPr>
          <w:ilvl w:val="0"/>
          <w:numId w:val="8"/>
        </w:numPr>
        <w:ind w:left="358" w:firstLine="482"/>
        <w:jc w:val="center"/>
        <w:spacing w:line="42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磋商响应报价</w:t>
      </w:r>
      <w:r>
        <w:rPr>
          <w:rFonts w:hint="eastAsia" w:ascii="仿宋" w:hAnsi="仿宋" w:eastAsia="仿宋" w:cs="仿宋"/>
          <w:b/>
          <w:sz w:val="28"/>
          <w:szCs w:val="28"/>
          <w:highlight w:val="none"/>
          <w:lang w:val="en-US" w:eastAsia="zh-CN"/>
        </w:rPr>
        <w:t xml:space="preserve">总</w:t>
      </w:r>
      <w:r>
        <w:rPr>
          <w:rFonts w:hint="eastAsia" w:ascii="仿宋" w:hAnsi="仿宋" w:eastAsia="仿宋" w:cs="仿宋"/>
          <w:b/>
          <w:sz w:val="28"/>
          <w:szCs w:val="28"/>
          <w:highlight w:val="none"/>
        </w:rPr>
        <w:t xml:space="preserve">表</w:t>
      </w:r>
      <w:r/>
    </w:p>
    <w:p>
      <w:pPr>
        <w:numPr>
          <w:ilvl w:val="0"/>
          <w:numId w:val="0"/>
        </w:numPr>
        <w:ind w:left="840"/>
        <w:jc w:val="center"/>
        <w:spacing w:line="420" w:lineRule="exact"/>
        <w:rPr>
          <w:rFonts w:hint="eastAsia" w:ascii="仿宋" w:hAnsi="仿宋" w:eastAsia="仿宋" w:cs="仿宋"/>
          <w:b/>
          <w:sz w:val="28"/>
          <w:szCs w:val="28"/>
          <w:highlight w:val="none"/>
        </w:rPr>
      </w:pPr>
      <w:r>
        <w:rPr>
          <w:rFonts w:hint="eastAsia" w:ascii="Times New Roman" w:hAnsi="Times New Roman" w:cs="Times New Roman"/>
          <w:b/>
          <w:sz w:val="24"/>
          <w:szCs w:val="22"/>
          <w:highlight w:val="none"/>
          <w:lang w:val="en-US" w:eastAsia="zh-CN"/>
        </w:rPr>
        <w:t xml:space="preserve">包</w:t>
      </w:r>
      <w:r>
        <w:rPr>
          <w:rFonts w:hint="eastAsia" w:cs="Times New Roman"/>
          <w:b/>
          <w:sz w:val="24"/>
          <w:szCs w:val="22"/>
          <w:highlight w:val="none"/>
          <w:lang w:val="en-US" w:eastAsia="zh-CN"/>
        </w:rPr>
        <w:t xml:space="preserve">1</w:t>
      </w:r>
      <w:r>
        <w:rPr>
          <w:rFonts w:hint="eastAsia" w:ascii="Times New Roman" w:hAnsi="Times New Roman" w:cs="Times New Roman"/>
          <w:b/>
          <w:sz w:val="24"/>
          <w:szCs w:val="22"/>
          <w:highlight w:val="none"/>
          <w:lang w:val="en-US" w:eastAsia="zh-CN"/>
        </w:rPr>
        <w:t xml:space="preserve">磋商响应报</w:t>
      </w:r>
      <w:r>
        <w:rPr>
          <w:b/>
          <w:sz w:val="24"/>
          <w:szCs w:val="22"/>
          <w:highlight w:val="none"/>
        </w:rPr>
        <w:t xml:space="preserve">价</w:t>
      </w:r>
      <w:r>
        <w:rPr>
          <w:rFonts w:hint="eastAsia"/>
          <w:b/>
          <w:sz w:val="24"/>
          <w:szCs w:val="22"/>
          <w:highlight w:val="none"/>
          <w:lang w:val="en-US" w:eastAsia="zh-CN"/>
        </w:rPr>
        <w:t xml:space="preserve">总</w:t>
      </w:r>
      <w:r>
        <w:rPr>
          <w:b/>
          <w:sz w:val="24"/>
          <w:szCs w:val="22"/>
          <w:highlight w:val="none"/>
        </w:rPr>
        <w:t xml:space="preserve">表</w:t>
      </w:r>
      <w:r/>
    </w:p>
    <w:p>
      <w:pPr>
        <w:ind w:firstLine="420"/>
        <w:rPr>
          <w:rFonts w:hint="eastAsia" w:ascii="仿宋" w:hAnsi="仿宋" w:eastAsia="仿宋" w:cs="仿宋"/>
          <w:sz w:val="28"/>
          <w:szCs w:val="28"/>
          <w:highlight w:val="none"/>
        </w:rPr>
      </w:pPr>
      <w:r>
        <w:rPr>
          <w:rFonts w:hint="eastAsia" w:ascii="仿宋" w:hAnsi="仿宋" w:eastAsia="仿宋" w:cs="仿宋"/>
          <w:sz w:val="28"/>
          <w:szCs w:val="28"/>
          <w:highlight w:val="none"/>
        </w:rPr>
      </w:r>
      <w:r/>
    </w:p>
    <w:tbl>
      <w:tblPr>
        <w:tblStyle w:val="873"/>
        <w:tblW w:w="94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8100"/>
      </w:tblGrid>
      <w:tr>
        <w:trPr>
          <w:trHeight w:val="680"/>
        </w:trPr>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项目编号</w:t>
            </w:r>
            <w:r/>
          </w:p>
        </w:tc>
        <w:tc>
          <w:tcPr>
            <w:tcBorders>
              <w:top w:val="single" w:color="auto" w:sz="4" w:space="0"/>
              <w:left w:val="single" w:color="auto" w:sz="4" w:space="0"/>
              <w:bottom w:val="single" w:color="auto" w:sz="4" w:space="0"/>
              <w:right w:val="single" w:color="auto" w:sz="4" w:space="0"/>
            </w:tcBorders>
            <w:tcW w:w="8100" w:type="dxa"/>
            <w:vAlign w:val="center"/>
            <w:textDirection w:val="lrTb"/>
            <w:noWrap w:val="false"/>
          </w:tcPr>
          <w:p>
            <w:pPr>
              <w:ind w:firstLine="480"/>
              <w:jc w:val="center"/>
              <w:spacing w:line="480" w:lineRule="exact"/>
              <w:rPr>
                <w:rFonts w:hint="eastAsia" w:ascii="仿宋" w:hAnsi="仿宋" w:eastAsia="仿宋" w:cs="仿宋"/>
                <w:color w:val="ff0000"/>
                <w:sz w:val="28"/>
                <w:szCs w:val="28"/>
                <w:highlight w:val="none"/>
              </w:rPr>
            </w:pPr>
            <w:r>
              <w:rPr>
                <w:rFonts w:hint="eastAsia" w:ascii="仿宋" w:hAnsi="仿宋" w:eastAsia="仿宋" w:cs="仿宋"/>
                <w:color w:val="ff0000"/>
                <w:sz w:val="28"/>
                <w:szCs w:val="28"/>
                <w:highlight w:val="none"/>
              </w:rPr>
            </w:r>
            <w:r/>
          </w:p>
        </w:tc>
      </w:tr>
      <w:tr>
        <w:trPr>
          <w:trHeight w:val="680"/>
        </w:trPr>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项目名称</w:t>
            </w:r>
            <w:r/>
          </w:p>
        </w:tc>
        <w:tc>
          <w:tcPr>
            <w:tcBorders>
              <w:top w:val="single" w:color="auto" w:sz="4" w:space="0"/>
              <w:left w:val="single" w:color="auto" w:sz="4" w:space="0"/>
              <w:bottom w:val="single" w:color="auto" w:sz="4" w:space="0"/>
              <w:right w:val="single" w:color="auto" w:sz="4" w:space="0"/>
            </w:tcBorders>
            <w:tcW w:w="8100" w:type="dxa"/>
            <w:vAlign w:val="center"/>
            <w:textDirection w:val="lrTb"/>
            <w:noWrap w:val="false"/>
          </w:tcPr>
          <w:p>
            <w:pPr>
              <w:ind w:firstLine="480"/>
              <w:jc w:val="center"/>
              <w:spacing w:line="480" w:lineRule="exact"/>
              <w:rPr>
                <w:rFonts w:hint="eastAsia" w:ascii="仿宋" w:hAnsi="仿宋" w:eastAsia="仿宋" w:cs="仿宋"/>
                <w:sz w:val="28"/>
                <w:szCs w:val="28"/>
                <w:highlight w:val="none"/>
                <w:lang w:eastAsia="zh-CN"/>
              </w:rPr>
            </w:pPr>
            <w:r>
              <w:rPr>
                <w:rFonts w:hint="eastAsia" w:ascii="仿宋" w:hAnsi="仿宋" w:eastAsia="仿宋" w:cs="仿宋"/>
                <w:color w:val="000000"/>
                <w:sz w:val="28"/>
                <w:szCs w:val="28"/>
                <w:highlight w:val="none"/>
                <w:lang w:eastAsia="zh-CN"/>
              </w:rPr>
              <w:t xml:space="preserve">南通市生态环境监测站2026年度监测技术支撑项目（</w:t>
            </w:r>
            <w:r>
              <w:rPr>
                <w:rFonts w:hint="eastAsia" w:ascii="仿宋" w:hAnsi="仿宋" w:eastAsia="仿宋" w:cs="仿宋"/>
                <w:color w:val="000000"/>
                <w:sz w:val="28"/>
                <w:szCs w:val="28"/>
                <w:highlight w:val="none"/>
                <w:lang w:val="en-US" w:eastAsia="zh-CN"/>
              </w:rPr>
              <w:t xml:space="preserve">包1</w:t>
            </w:r>
            <w:r>
              <w:rPr>
                <w:rFonts w:hint="eastAsia" w:ascii="仿宋" w:hAnsi="仿宋" w:eastAsia="仿宋" w:cs="仿宋"/>
                <w:color w:val="000000"/>
                <w:sz w:val="28"/>
                <w:szCs w:val="28"/>
                <w:highlight w:val="none"/>
                <w:lang w:eastAsia="zh-CN"/>
              </w:rPr>
              <w:t xml:space="preserve">）</w:t>
            </w:r>
            <w:r/>
          </w:p>
        </w:tc>
      </w:tr>
      <w:tr>
        <w:trPr>
          <w:trHeight w:val="995"/>
        </w:trPr>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磋商报价总价</w:t>
            </w:r>
            <w:r/>
          </w:p>
        </w:tc>
        <w:tc>
          <w:tcPr>
            <w:tcBorders>
              <w:top w:val="single" w:color="auto" w:sz="4" w:space="0"/>
              <w:left w:val="single" w:color="auto" w:sz="4" w:space="0"/>
              <w:bottom w:val="single" w:color="auto" w:sz="4" w:space="0"/>
              <w:right w:val="single" w:color="auto" w:sz="4" w:space="0"/>
            </w:tcBorders>
            <w:tcW w:w="8100" w:type="dxa"/>
            <w:vAlign w:val="center"/>
            <w:textDirection w:val="lrTb"/>
            <w:noWrap w:val="false"/>
          </w:tcPr>
          <w:p>
            <w:pPr>
              <w:ind w:firstLine="918"/>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4"/>
                <w:highlight w:val="none"/>
              </w:rPr>
              <w:t xml:space="preserve">优惠</w:t>
            </w:r>
            <w:r>
              <w:rPr>
                <w:rFonts w:hint="eastAsia" w:ascii="仿宋" w:hAnsi="仿宋" w:eastAsia="仿宋" w:cs="仿宋"/>
                <w:color w:val="000000"/>
                <w:sz w:val="28"/>
                <w:szCs w:val="24"/>
                <w:highlight w:val="none"/>
                <w:lang w:val="en-US" w:eastAsia="zh-CN"/>
              </w:rPr>
              <w:t xml:space="preserve">率</w:t>
            </w:r>
            <w:r>
              <w:rPr>
                <w:rFonts w:hint="eastAsia" w:ascii="仿宋" w:hAnsi="仿宋" w:eastAsia="仿宋" w:cs="仿宋"/>
                <w:color w:val="000000"/>
                <w:sz w:val="28"/>
                <w:szCs w:val="24"/>
                <w:highlight w:val="none"/>
                <w:u w:val="single"/>
              </w:rPr>
              <w:t xml:space="preserve">     </w:t>
            </w:r>
            <w:r>
              <w:rPr>
                <w:rFonts w:hint="eastAsia" w:ascii="仿宋" w:hAnsi="仿宋" w:eastAsia="仿宋" w:cs="仿宋"/>
                <w:color w:val="000000"/>
                <w:sz w:val="28"/>
                <w:szCs w:val="24"/>
                <w:highlight w:val="none"/>
              </w:rPr>
              <w:t xml:space="preserve">%</w:t>
            </w:r>
            <w:r/>
          </w:p>
        </w:tc>
      </w:tr>
    </w:tbl>
    <w:p>
      <w:pPr>
        <w:pStyle w:val="899"/>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jc w:val="right"/>
        <w:spacing w:after="12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供应商名称：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（加盖公章）</w:t>
      </w:r>
      <w:r/>
    </w:p>
    <w:p>
      <w:pPr>
        <w:ind w:firstLine="480"/>
        <w:jc w:val="righ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法定代表人或被授权人：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（签字或盖章）</w:t>
      </w:r>
      <w:r/>
    </w:p>
    <w:p>
      <w:pPr>
        <w:ind w:firstLine="47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日期：</w:t>
      </w:r>
      <w:r/>
    </w:p>
    <w:p>
      <w:pPr>
        <w:ind w:firstLine="482"/>
        <w:spacing w:line="52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注：</w:t>
      </w:r>
      <w:bookmarkStart w:id="127" w:name="_GoBack"/>
      <w:r/>
      <w:bookmarkEnd w:id="127"/>
      <w:r/>
      <w:r/>
    </w:p>
    <w:p>
      <w:pPr>
        <w:numPr>
          <w:ilvl w:val="0"/>
          <w:numId w:val="9"/>
        </w:num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本表为格式表，不得自行改动，必须提供。</w:t>
      </w:r>
      <w:r/>
    </w:p>
    <w:p>
      <w:pPr>
        <w:numPr>
          <w:ilvl w:val="0"/>
          <w:numId w:val="9"/>
        </w:num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投标总报价（以人民币计价）应</w:t>
      </w:r>
      <w:r>
        <w:rPr>
          <w:rFonts w:hint="eastAsia" w:ascii="仿宋" w:hAnsi="仿宋" w:eastAsia="仿宋" w:cs="仿宋"/>
          <w:color w:val="000000"/>
          <w:sz w:val="28"/>
          <w:szCs w:val="28"/>
          <w:highlight w:val="none"/>
        </w:rPr>
        <w:t xml:space="preserve">包括但不限于</w:t>
      </w:r>
      <w:r>
        <w:rPr>
          <w:rFonts w:hint="eastAsia" w:ascii="仿宋" w:hAnsi="仿宋" w:eastAsia="仿宋" w:cs="仿宋"/>
          <w:bCs/>
          <w:sz w:val="28"/>
          <w:szCs w:val="28"/>
          <w:highlight w:val="none"/>
        </w:rPr>
        <w:t xml:space="preserve">咨询费、</w:t>
      </w:r>
      <w:r>
        <w:rPr>
          <w:rFonts w:hint="eastAsia" w:ascii="仿宋" w:hAnsi="仿宋" w:eastAsia="仿宋" w:cs="仿宋"/>
          <w:sz w:val="28"/>
          <w:szCs w:val="28"/>
          <w:highlight w:val="none"/>
        </w:rPr>
        <w:t xml:space="preserve">人工费、设备机械工器具使用费、交通通信、报告文件资料费、管理费、税金及其他有关的为完成本项目发生的所有费用</w:t>
      </w:r>
      <w:r>
        <w:rPr>
          <w:rFonts w:hint="eastAsia" w:ascii="仿宋" w:hAnsi="仿宋" w:eastAsia="仿宋" w:cs="仿宋"/>
          <w:color w:val="000000"/>
          <w:sz w:val="28"/>
          <w:szCs w:val="28"/>
          <w:highlight w:val="none"/>
        </w:rPr>
        <w:t xml:space="preserve">。</w:t>
      </w:r>
      <w:r>
        <w:rPr>
          <w:rFonts w:hint="eastAsia" w:ascii="仿宋" w:hAnsi="仿宋" w:eastAsia="仿宋" w:cs="仿宋"/>
          <w:bCs/>
          <w:sz w:val="28"/>
          <w:szCs w:val="28"/>
          <w:highlight w:val="none"/>
        </w:rPr>
        <w:t xml:space="preserve">即包含响应磋商文件采购要求和为完成本项目服务所发生的全部费用。</w:t>
      </w:r>
      <w:r/>
    </w:p>
    <w:p>
      <w:pPr>
        <w:numPr>
          <w:ilvl w:val="0"/>
          <w:numId w:val="9"/>
        </w:numPr>
        <w:ind w:firstLine="482"/>
        <w:spacing w:line="520" w:lineRule="exact"/>
        <w:rPr>
          <w:rFonts w:hint="eastAsia" w:ascii="仿宋" w:hAnsi="仿宋" w:eastAsia="仿宋" w:cs="仿宋"/>
          <w:sz w:val="28"/>
          <w:szCs w:val="28"/>
          <w:highlight w:val="none"/>
        </w:rPr>
      </w:pPr>
      <w:r>
        <w:rPr>
          <w:rFonts w:hint="eastAsia" w:ascii="仿宋" w:hAnsi="仿宋" w:eastAsia="仿宋" w:cs="仿宋"/>
          <w:b/>
          <w:color w:val="ff0000"/>
          <w:sz w:val="28"/>
          <w:szCs w:val="28"/>
          <w:highlight w:val="none"/>
        </w:rPr>
        <w:t xml:space="preserve">第二次报价将在开标现场通过苏采云系统填写。</w:t>
      </w:r>
      <w:r/>
    </w:p>
    <w:p>
      <w:pPr>
        <w:jc w:val="center"/>
        <w:spacing w:line="420" w:lineRule="exact"/>
        <w:rPr>
          <w:b/>
          <w:highlight w:val="none"/>
        </w:rPr>
      </w:pPr>
      <w:r>
        <w:rPr>
          <w:rFonts w:hint="eastAsia" w:ascii="仿宋" w:hAnsi="仿宋" w:eastAsia="仿宋" w:cs="仿宋"/>
          <w:b/>
          <w:color w:val="ff0000"/>
          <w:sz w:val="28"/>
          <w:szCs w:val="28"/>
          <w:highlight w:val="none"/>
        </w:rPr>
        <w:br w:type="page" w:clear="all"/>
      </w:r>
      <w:r>
        <w:rPr>
          <w:rFonts w:hint="eastAsia" w:ascii="Times New Roman" w:hAnsi="Times New Roman" w:cs="Times New Roman"/>
          <w:b/>
          <w:sz w:val="24"/>
          <w:szCs w:val="22"/>
          <w:highlight w:val="none"/>
          <w:lang w:val="en-US" w:eastAsia="zh-CN"/>
        </w:rPr>
        <w:t xml:space="preserve">包2-包5磋商响应报</w:t>
      </w:r>
      <w:r>
        <w:rPr>
          <w:b/>
          <w:sz w:val="24"/>
          <w:szCs w:val="22"/>
          <w:highlight w:val="none"/>
        </w:rPr>
        <w:t xml:space="preserve">价</w:t>
      </w:r>
      <w:r>
        <w:rPr>
          <w:rFonts w:hint="eastAsia"/>
          <w:b/>
          <w:sz w:val="24"/>
          <w:szCs w:val="22"/>
          <w:highlight w:val="none"/>
          <w:lang w:val="en-US" w:eastAsia="zh-CN"/>
        </w:rPr>
        <w:t xml:space="preserve">总</w:t>
      </w:r>
      <w:r>
        <w:rPr>
          <w:b/>
          <w:sz w:val="24"/>
          <w:szCs w:val="22"/>
          <w:highlight w:val="none"/>
        </w:rPr>
        <w:t xml:space="preserve">表</w:t>
      </w:r>
      <w:r/>
    </w:p>
    <w:p>
      <w:pPr>
        <w:pStyle w:val="888"/>
        <w:ind w:left="480" w:firstLine="480"/>
        <w:rPr>
          <w:highlight w:val="none"/>
        </w:rPr>
      </w:pPr>
      <w:r>
        <w:rPr>
          <w:highlight w:val="none"/>
        </w:rPr>
      </w:r>
      <w:r/>
    </w:p>
    <w:tbl>
      <w:tblPr>
        <w:tblStyle w:val="873"/>
        <w:tblW w:w="96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449"/>
      </w:tblGrid>
      <w:tr>
        <w:trPr>
          <w:trHeight w:val="680"/>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480" w:lineRule="exact"/>
              <w:rPr>
                <w:highlight w:val="none"/>
              </w:rPr>
            </w:pPr>
            <w:r>
              <w:rPr>
                <w:highlight w:val="none"/>
              </w:rPr>
              <w:t xml:space="preserve">项目编号</w:t>
            </w:r>
            <w:r/>
          </w:p>
        </w:tc>
        <w:tc>
          <w:tcPr>
            <w:tcBorders>
              <w:top w:val="single" w:color="auto" w:sz="4" w:space="0"/>
              <w:left w:val="single" w:color="auto" w:sz="4" w:space="0"/>
              <w:bottom w:val="single" w:color="auto" w:sz="4" w:space="0"/>
              <w:right w:val="single" w:color="auto" w:sz="4" w:space="0"/>
            </w:tcBorders>
            <w:tcW w:w="8449" w:type="dxa"/>
            <w:vAlign w:val="center"/>
            <w:textDirection w:val="lrTb"/>
            <w:noWrap w:val="false"/>
          </w:tcPr>
          <w:p>
            <w:pPr>
              <w:jc w:val="center"/>
              <w:spacing w:line="480" w:lineRule="exact"/>
              <w:rPr>
                <w:highlight w:val="none"/>
              </w:rPr>
            </w:pPr>
            <w:r>
              <w:rPr>
                <w:highlight w:val="none"/>
              </w:rPr>
            </w:r>
            <w:r/>
          </w:p>
        </w:tc>
      </w:tr>
      <w:tr>
        <w:trPr>
          <w:trHeight w:val="1340"/>
        </w:trPr>
        <w:tc>
          <w:tcPr>
            <w:tcBorders>
              <w:top w:val="single" w:color="auto" w:sz="4" w:space="0"/>
              <w:left w:val="single" w:color="auto" w:sz="4" w:space="0"/>
              <w:right w:val="single" w:color="auto" w:sz="4" w:space="0"/>
            </w:tcBorders>
            <w:tcW w:w="1242" w:type="dxa"/>
            <w:vAlign w:val="center"/>
            <w:textDirection w:val="lrTb"/>
            <w:noWrap w:val="false"/>
          </w:tcPr>
          <w:p>
            <w:pPr>
              <w:jc w:val="center"/>
              <w:spacing w:line="480" w:lineRule="exact"/>
              <w:rPr>
                <w:highlight w:val="none"/>
              </w:rPr>
            </w:pPr>
            <w:r>
              <w:rPr>
                <w:highlight w:val="none"/>
              </w:rPr>
              <w:t xml:space="preserve">项目名称</w:t>
            </w:r>
            <w:r/>
          </w:p>
        </w:tc>
        <w:tc>
          <w:tcPr>
            <w:tcBorders>
              <w:top w:val="single" w:color="auto" w:sz="4" w:space="0"/>
              <w:left w:val="single" w:color="auto" w:sz="4" w:space="0"/>
              <w:bottom w:val="single" w:color="auto" w:sz="4" w:space="0"/>
              <w:right w:val="single" w:color="auto" w:sz="4" w:space="0"/>
            </w:tcBorders>
            <w:tcW w:w="8449" w:type="dxa"/>
            <w:vAlign w:val="center"/>
            <w:textDirection w:val="lrTb"/>
            <w:noWrap w:val="false"/>
          </w:tcPr>
          <w:p>
            <w:pPr>
              <w:jc w:val="center"/>
              <w:spacing w:line="480" w:lineRule="exact"/>
              <w:rPr>
                <w:highlight w:val="none"/>
              </w:rPr>
            </w:pPr>
            <w:r>
              <w:rPr>
                <w:color w:val="000000"/>
                <w:highlight w:val="none"/>
              </w:rPr>
              <w:t xml:space="preserve">南通市生态环境监测站202</w:t>
            </w:r>
            <w:r>
              <w:rPr>
                <w:rFonts w:hint="eastAsia"/>
                <w:color w:val="000000"/>
                <w:highlight w:val="none"/>
              </w:rPr>
              <w:t xml:space="preserve">6</w:t>
            </w:r>
            <w:r>
              <w:rPr>
                <w:color w:val="000000"/>
                <w:highlight w:val="none"/>
              </w:rPr>
              <w:t xml:space="preserve">年度</w:t>
            </w:r>
            <w:r>
              <w:rPr>
                <w:rFonts w:hint="eastAsia"/>
                <w:color w:val="000000"/>
                <w:highlight w:val="none"/>
                <w:lang w:eastAsia="zh-CN"/>
              </w:rPr>
              <w:t xml:space="preserve">监测技术支撑项目</w:t>
            </w:r>
            <w:r>
              <w:rPr>
                <w:rFonts w:hint="eastAsia"/>
                <w:color w:val="000000"/>
                <w:highlight w:val="none"/>
              </w:rPr>
              <w:t xml:space="preserve">（包</w:t>
            </w:r>
            <w:r>
              <w:rPr>
                <w:rFonts w:hint="eastAsia"/>
                <w:color w:val="000000"/>
                <w:highlight w:val="none"/>
                <w:u w:val="single"/>
              </w:rPr>
              <w:t xml:space="preserve">     </w:t>
            </w:r>
            <w:r>
              <w:rPr>
                <w:rFonts w:hint="eastAsia"/>
                <w:color w:val="000000"/>
                <w:highlight w:val="none"/>
              </w:rPr>
              <w:t xml:space="preserve">）</w:t>
            </w:r>
            <w:r/>
          </w:p>
        </w:tc>
      </w:tr>
      <w:tr>
        <w:trPr>
          <w:trHeight w:val="1535"/>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highlight w:val="none"/>
              </w:rPr>
            </w:pPr>
            <w:r>
              <w:rPr>
                <w:highlight w:val="none"/>
              </w:rPr>
              <w:t xml:space="preserve">磋商报价</w:t>
            </w:r>
            <w:r/>
          </w:p>
        </w:tc>
        <w:tc>
          <w:tcPr>
            <w:tcBorders>
              <w:top w:val="single" w:color="auto" w:sz="4" w:space="0"/>
              <w:left w:val="single" w:color="auto" w:sz="4" w:space="0"/>
              <w:bottom w:val="single" w:color="auto" w:sz="4" w:space="0"/>
              <w:right w:val="single" w:color="auto" w:sz="4" w:space="0"/>
            </w:tcBorders>
            <w:tcW w:w="8449" w:type="dxa"/>
            <w:vAlign w:val="center"/>
            <w:textDirection w:val="lrTb"/>
            <w:noWrap w:val="false"/>
          </w:tcPr>
          <w:p>
            <w:pPr>
              <w:jc w:val="center"/>
              <w:spacing w:line="480" w:lineRule="exact"/>
              <w:rPr>
                <w:color w:val="000000"/>
                <w:highlight w:val="none"/>
              </w:rPr>
            </w:pPr>
            <w:r>
              <w:rPr>
                <w:color w:val="000000"/>
                <w:highlight w:val="none"/>
              </w:rPr>
              <w:t xml:space="preserve">报价为《江苏省环境监测专业服务收费标准》（苏价费[2006]397号）单价</w:t>
            </w:r>
            <w:r>
              <w:rPr>
                <w:rFonts w:hint="eastAsia"/>
                <w:color w:val="000000"/>
                <w:highlight w:val="none"/>
              </w:rPr>
              <w:t xml:space="preserve">基础上优惠</w:t>
            </w:r>
            <w:r>
              <w:rPr>
                <w:color w:val="000000"/>
                <w:highlight w:val="none"/>
                <w:u w:val="single"/>
              </w:rPr>
              <w:t xml:space="preserve">     </w:t>
            </w:r>
            <w:r>
              <w:rPr>
                <w:color w:val="000000"/>
                <w:highlight w:val="none"/>
              </w:rPr>
              <w:t xml:space="preserve">%。</w:t>
            </w:r>
            <w:r/>
          </w:p>
        </w:tc>
      </w:tr>
      <w:tr>
        <w:trPr>
          <w:trHeight w:val="651"/>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480" w:lineRule="exact"/>
              <w:rPr>
                <w:highlight w:val="none"/>
              </w:rPr>
            </w:pPr>
            <w:r>
              <w:rPr>
                <w:highlight w:val="none"/>
              </w:rPr>
              <w:t xml:space="preserve">备注</w:t>
            </w:r>
            <w:r/>
          </w:p>
        </w:tc>
        <w:tc>
          <w:tcPr>
            <w:tcBorders>
              <w:top w:val="single" w:color="auto" w:sz="4" w:space="0"/>
              <w:left w:val="single" w:color="auto" w:sz="4" w:space="0"/>
              <w:bottom w:val="single" w:color="auto" w:sz="4" w:space="0"/>
              <w:right w:val="single" w:color="auto" w:sz="4" w:space="0"/>
            </w:tcBorders>
            <w:tcW w:w="8449" w:type="dxa"/>
            <w:vAlign w:val="center"/>
            <w:textDirection w:val="lrTb"/>
            <w:noWrap w:val="false"/>
          </w:tcPr>
          <w:p>
            <w:pPr>
              <w:ind w:left="2880" w:hanging="2880"/>
              <w:jc w:val="center"/>
              <w:spacing w:line="480" w:lineRule="exact"/>
              <w:rPr>
                <w:highlight w:val="none"/>
              </w:rPr>
            </w:pPr>
            <w:r>
              <w:rPr>
                <w:rFonts w:hint="eastAsia"/>
                <w:highlight w:val="none"/>
              </w:rPr>
              <w:t xml:space="preserve">上述报价即为实际结算价</w:t>
            </w:r>
            <w:r/>
          </w:p>
        </w:tc>
      </w:tr>
    </w:tbl>
    <w:p>
      <w:pPr>
        <w:pStyle w:val="899"/>
        <w:rPr>
          <w:rFonts w:ascii="Times New Roman" w:cs="Times New Roman"/>
          <w:highlight w:val="none"/>
        </w:rPr>
      </w:pPr>
      <w:r>
        <w:rPr>
          <w:rFonts w:ascii="Times New Roman" w:cs="Times New Roman"/>
          <w:highlight w:val="none"/>
        </w:rPr>
      </w:r>
      <w:r/>
    </w:p>
    <w:p>
      <w:pPr>
        <w:jc w:val="right"/>
        <w:spacing w:after="120"/>
        <w:rPr>
          <w:highlight w:val="none"/>
        </w:rPr>
      </w:pPr>
      <w:r>
        <w:rPr>
          <w:highlight w:val="none"/>
        </w:rPr>
        <w:t xml:space="preserve">供应商名称：</w:t>
      </w:r>
      <w:r>
        <w:rPr>
          <w:highlight w:val="none"/>
          <w:u w:val="single"/>
        </w:rPr>
        <w:t xml:space="preserve">                    </w:t>
      </w:r>
      <w:r>
        <w:rPr>
          <w:highlight w:val="none"/>
        </w:rPr>
        <w:t xml:space="preserve">（加盖公章）</w:t>
      </w:r>
      <w:r/>
    </w:p>
    <w:p>
      <w:pPr>
        <w:jc w:val="right"/>
        <w:rPr>
          <w:highlight w:val="none"/>
        </w:rPr>
      </w:pPr>
      <w:r>
        <w:rPr>
          <w:highlight w:val="none"/>
        </w:rPr>
        <w:t xml:space="preserve">法定代表人或被授权人：</w:t>
      </w:r>
      <w:r>
        <w:rPr>
          <w:highlight w:val="none"/>
          <w:u w:val="single"/>
        </w:rPr>
        <w:t xml:space="preserve">        </w:t>
      </w:r>
      <w:r>
        <w:rPr>
          <w:highlight w:val="none"/>
        </w:rPr>
        <w:t xml:space="preserve">（签字或盖章）</w:t>
      </w:r>
      <w:r/>
    </w:p>
    <w:p>
      <w:pPr>
        <w:ind w:firstLine="4080"/>
        <w:spacing w:line="520" w:lineRule="exact"/>
        <w:rPr>
          <w:highlight w:val="none"/>
        </w:rPr>
      </w:pPr>
      <w:r>
        <w:rPr>
          <w:highlight w:val="none"/>
        </w:rPr>
        <w:t xml:space="preserve">日期：</w:t>
      </w:r>
      <w:r/>
    </w:p>
    <w:p>
      <w:pPr>
        <w:spacing w:line="520" w:lineRule="exact"/>
        <w:rPr>
          <w:b/>
          <w:highlight w:val="none"/>
        </w:rPr>
      </w:pPr>
      <w:r>
        <w:rPr>
          <w:b/>
          <w:highlight w:val="none"/>
        </w:rPr>
        <w:t xml:space="preserve">注：</w:t>
      </w:r>
      <w:r/>
    </w:p>
    <w:p>
      <w:pPr>
        <w:numPr>
          <w:ilvl w:val="0"/>
          <w:numId w:val="10"/>
        </w:numPr>
        <w:spacing w:line="520" w:lineRule="exact"/>
        <w:rPr>
          <w:highlight w:val="none"/>
        </w:rPr>
      </w:pPr>
      <w:r>
        <w:rPr>
          <w:highlight w:val="none"/>
        </w:rPr>
        <w:t xml:space="preserve"> 本表为格式表，不得自行改动，必须提供。</w:t>
      </w:r>
      <w:r/>
    </w:p>
    <w:p>
      <w:pPr>
        <w:numPr>
          <w:ilvl w:val="0"/>
          <w:numId w:val="10"/>
        </w:numPr>
        <w:spacing w:line="520" w:lineRule="exact"/>
        <w:rPr>
          <w:highlight w:val="none"/>
        </w:rPr>
      </w:pPr>
      <w:r>
        <w:rPr>
          <w:highlight w:val="none"/>
        </w:rPr>
        <w:t xml:space="preserve">投标总报价（以人民币计价）应</w:t>
      </w:r>
      <w:r>
        <w:rPr>
          <w:color w:val="000000"/>
          <w:highlight w:val="none"/>
        </w:rPr>
        <w:t xml:space="preserve">包括但不限于</w:t>
      </w:r>
      <w:r>
        <w:rPr>
          <w:highlight w:val="none"/>
        </w:rPr>
        <w:t xml:space="preserve">人工费、设备机械使用费、通信费、交通费、</w:t>
      </w:r>
      <w:r>
        <w:rPr>
          <w:rFonts w:hint="eastAsia"/>
          <w:highlight w:val="none"/>
        </w:rPr>
        <w:t xml:space="preserve">报告文件资料</w:t>
      </w:r>
      <w:r>
        <w:rPr>
          <w:highlight w:val="none"/>
        </w:rPr>
        <w:t xml:space="preserve">费、税金及其他有关的为完成本项目发生的所有费用</w:t>
      </w:r>
      <w:r>
        <w:rPr>
          <w:color w:val="000000"/>
          <w:highlight w:val="none"/>
        </w:rPr>
        <w:t xml:space="preserve">。</w:t>
      </w:r>
      <w:r>
        <w:rPr>
          <w:rFonts w:hAnsi="宋体"/>
          <w:bCs/>
          <w:highlight w:val="none"/>
        </w:rPr>
        <w:t xml:space="preserve">即包含响应磋商文件采购要求和为完成本项目服务所发生的全部费用。</w:t>
      </w:r>
      <w:r/>
    </w:p>
    <w:p>
      <w:pPr>
        <w:jc w:val="center"/>
        <w:spacing w:line="420" w:lineRule="exact"/>
        <w:rPr>
          <w:rFonts w:hint="eastAsia" w:ascii="仿宋" w:hAnsi="仿宋" w:eastAsia="仿宋" w:cs="仿宋"/>
          <w:b/>
          <w:color w:val="ff0000"/>
          <w:sz w:val="28"/>
          <w:szCs w:val="28"/>
          <w:highlight w:val="none"/>
        </w:rPr>
      </w:pPr>
      <w:r>
        <w:rPr>
          <w:color w:val="000000"/>
          <w:sz w:val="28"/>
          <w:szCs w:val="28"/>
          <w:highlight w:val="none"/>
        </w:rPr>
        <w:br w:type="page" w:clear="all"/>
      </w:r>
      <w:r/>
    </w:p>
    <w:p>
      <w:pPr>
        <w:ind w:firstLine="42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rPr>
          <w:rFonts w:hint="eastAsia" w:ascii="仿宋" w:hAnsi="仿宋" w:eastAsia="仿宋" w:cs="仿宋"/>
          <w:color w:val="ff0000"/>
          <w:sz w:val="28"/>
          <w:szCs w:val="28"/>
          <w:highlight w:val="none"/>
        </w:rPr>
      </w:pPr>
      <w:r>
        <w:rPr>
          <w:rFonts w:hint="eastAsia" w:ascii="仿宋" w:hAnsi="仿宋" w:eastAsia="仿宋" w:cs="仿宋"/>
          <w:b/>
          <w:sz w:val="28"/>
          <w:szCs w:val="28"/>
          <w:highlight w:val="none"/>
        </w:rPr>
        <w:t xml:space="preserve">10、磋商响应报价明细表（</w:t>
      </w:r>
      <w:r>
        <w:rPr>
          <w:rFonts w:hint="eastAsia" w:ascii="仿宋" w:hAnsi="仿宋" w:eastAsia="仿宋" w:cs="仿宋"/>
          <w:b/>
          <w:sz w:val="28"/>
          <w:szCs w:val="28"/>
          <w:highlight w:val="none"/>
          <w:lang w:val="en-US" w:eastAsia="zh-CN"/>
        </w:rPr>
        <w:t xml:space="preserve">包1</w:t>
      </w:r>
      <w:r>
        <w:rPr>
          <w:rFonts w:hint="eastAsia" w:ascii="仿宋" w:hAnsi="仿宋" w:eastAsia="仿宋" w:cs="仿宋"/>
          <w:b/>
          <w:sz w:val="28"/>
          <w:szCs w:val="28"/>
          <w:highlight w:val="none"/>
        </w:rPr>
        <w:t xml:space="preserve">）</w:t>
      </w:r>
      <w:r/>
    </w:p>
    <w:p>
      <w:pPr>
        <w:spacing w:line="480" w:lineRule="exact"/>
        <w:rPr>
          <w:highlight w:val="none"/>
        </w:rPr>
      </w:pPr>
      <w:r>
        <w:rPr>
          <w:rFonts w:hint="eastAsia"/>
          <w:color w:val="000000"/>
          <w:highlight w:val="none"/>
        </w:rPr>
        <w:t xml:space="preserve">项目名称：</w:t>
      </w:r>
      <w:r>
        <w:rPr>
          <w:color w:val="000000"/>
          <w:highlight w:val="none"/>
        </w:rPr>
        <w:t xml:space="preserve">南通市生态环境监测站202</w:t>
      </w:r>
      <w:r>
        <w:rPr>
          <w:rFonts w:hint="eastAsia"/>
          <w:color w:val="000000"/>
          <w:highlight w:val="none"/>
        </w:rPr>
        <w:t xml:space="preserve">6</w:t>
      </w:r>
      <w:r>
        <w:rPr>
          <w:color w:val="000000"/>
          <w:highlight w:val="none"/>
        </w:rPr>
        <w:t xml:space="preserve">年度</w:t>
      </w:r>
      <w:r>
        <w:rPr>
          <w:rFonts w:hint="eastAsia"/>
          <w:color w:val="000000"/>
          <w:highlight w:val="none"/>
          <w:lang w:eastAsia="zh-CN"/>
        </w:rPr>
        <w:t xml:space="preserve">监测技术支撑项目</w:t>
      </w:r>
      <w:r>
        <w:rPr>
          <w:rFonts w:hint="eastAsia"/>
          <w:color w:val="000000"/>
          <w:highlight w:val="none"/>
        </w:rPr>
        <w:t xml:space="preserve">（包</w:t>
      </w:r>
      <w:r>
        <w:rPr>
          <w:rFonts w:hint="eastAsia"/>
          <w:color w:val="000000"/>
          <w:highlight w:val="none"/>
          <w:u w:val="single"/>
        </w:rPr>
        <w:t xml:space="preserve">     </w:t>
      </w:r>
      <w:r>
        <w:rPr>
          <w:rFonts w:hint="eastAsia"/>
          <w:color w:val="000000"/>
          <w:highlight w:val="none"/>
        </w:rPr>
        <w:t xml:space="preserve">）</w:t>
      </w:r>
      <w:r/>
    </w:p>
    <w:p>
      <w:pPr>
        <w:rPr>
          <w:color w:val="000000"/>
          <w:highlight w:val="none"/>
        </w:rPr>
      </w:pPr>
      <w:r>
        <w:rPr>
          <w:color w:val="000000"/>
          <w:highlight w:val="none"/>
        </w:rPr>
        <w:t xml:space="preserve">投标人全称（加盖公章）：</w:t>
      </w:r>
      <w:r/>
    </w:p>
    <w:tbl>
      <w:tblPr>
        <w:tblStyle w:val="873"/>
        <w:tblW w:w="9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5"/>
        <w:gridCol w:w="3138"/>
        <w:gridCol w:w="1948"/>
        <w:gridCol w:w="2696"/>
      </w:tblGrid>
      <w:tr>
        <w:trPr>
          <w:cantSplit/>
          <w:trHeight w:val="577"/>
        </w:trPr>
        <w:tc>
          <w:tcPr>
            <w:tcW w:w="1505" w:type="dxa"/>
            <w:vAlign w:val="center"/>
            <w:textDirection w:val="lrTb"/>
            <w:noWrap w:val="false"/>
          </w:tcPr>
          <w:p>
            <w:pPr>
              <w:jc w:val="center"/>
              <w:rPr>
                <w:color w:val="000000"/>
                <w:highlight w:val="none"/>
              </w:rPr>
            </w:pPr>
            <w:r>
              <w:rPr>
                <w:color w:val="000000"/>
                <w:highlight w:val="none"/>
              </w:rPr>
              <w:t xml:space="preserve">1</w:t>
            </w:r>
            <w:r/>
          </w:p>
        </w:tc>
        <w:tc>
          <w:tcPr>
            <w:tcW w:w="3138" w:type="dxa"/>
            <w:vAlign w:val="center"/>
            <w:textDirection w:val="lrTb"/>
            <w:noWrap w:val="false"/>
          </w:tcPr>
          <w:p>
            <w:pPr>
              <w:jc w:val="center"/>
              <w:rPr>
                <w:color w:val="000000"/>
                <w:highlight w:val="none"/>
              </w:rPr>
            </w:pPr>
            <w:r>
              <w:rPr>
                <w:color w:val="000000"/>
                <w:highlight w:val="none"/>
              </w:rPr>
              <w:t xml:space="preserve">2</w:t>
            </w:r>
            <w:r/>
          </w:p>
        </w:tc>
        <w:tc>
          <w:tcPr>
            <w:tcW w:w="1948" w:type="dxa"/>
            <w:vAlign w:val="center"/>
            <w:textDirection w:val="lrTb"/>
            <w:noWrap w:val="false"/>
          </w:tcPr>
          <w:p>
            <w:pPr>
              <w:jc w:val="center"/>
              <w:rPr>
                <w:color w:val="000000"/>
                <w:highlight w:val="none"/>
              </w:rPr>
            </w:pPr>
            <w:r>
              <w:rPr>
                <w:color w:val="000000"/>
                <w:highlight w:val="none"/>
              </w:rPr>
              <w:t xml:space="preserve">3</w:t>
            </w:r>
            <w:r/>
          </w:p>
        </w:tc>
        <w:tc>
          <w:tcPr>
            <w:tcW w:w="2696" w:type="dxa"/>
            <w:vAlign w:val="center"/>
            <w:textDirection w:val="lrTb"/>
            <w:noWrap w:val="false"/>
          </w:tcPr>
          <w:p>
            <w:pPr>
              <w:jc w:val="center"/>
              <w:rPr>
                <w:color w:val="000000"/>
                <w:highlight w:val="none"/>
              </w:rPr>
            </w:pPr>
            <w:r>
              <w:rPr>
                <w:color w:val="000000"/>
                <w:highlight w:val="none"/>
              </w:rPr>
              <w:t xml:space="preserve">4</w:t>
            </w:r>
            <w:r/>
          </w:p>
        </w:tc>
      </w:tr>
      <w:tr>
        <w:trPr>
          <w:cantSplit/>
          <w:trHeight w:val="712"/>
        </w:trPr>
        <w:tc>
          <w:tcPr>
            <w:gridSpan w:val="2"/>
            <w:tcW w:w="4643" w:type="dxa"/>
            <w:vAlign w:val="center"/>
            <w:textDirection w:val="lrTb"/>
            <w:noWrap w:val="false"/>
          </w:tcPr>
          <w:p>
            <w:pPr>
              <w:jc w:val="center"/>
              <w:rPr>
                <w:rFonts w:hint="eastAsia" w:eastAsia="宋体"/>
                <w:color w:val="000000"/>
                <w:highlight w:val="none"/>
                <w:lang w:val="en-US" w:eastAsia="zh-CN"/>
              </w:rPr>
            </w:pPr>
            <w:r>
              <w:rPr>
                <w:rFonts w:hint="eastAsia"/>
                <w:color w:val="000000"/>
                <w:highlight w:val="none"/>
                <w:lang w:val="en-US" w:eastAsia="zh-CN"/>
              </w:rPr>
              <w:t xml:space="preserve">费用明细</w:t>
            </w:r>
            <w:r/>
          </w:p>
        </w:tc>
        <w:tc>
          <w:tcPr>
            <w:tcW w:w="1948" w:type="dxa"/>
            <w:vAlign w:val="center"/>
            <w:textDirection w:val="lrTb"/>
            <w:noWrap w:val="false"/>
          </w:tcPr>
          <w:p>
            <w:pPr>
              <w:jc w:val="center"/>
              <w:rPr>
                <w:color w:val="000000"/>
                <w:highlight w:val="none"/>
              </w:rPr>
            </w:pPr>
            <w:r>
              <w:rPr>
                <w:rFonts w:hint="eastAsia"/>
                <w:color w:val="000000"/>
                <w:highlight w:val="none"/>
              </w:rPr>
              <w:t xml:space="preserve">优惠</w:t>
            </w:r>
            <w:r>
              <w:rPr>
                <w:color w:val="000000"/>
                <w:highlight w:val="none"/>
              </w:rPr>
              <w:t xml:space="preserve">率</w:t>
            </w:r>
            <w:r/>
          </w:p>
        </w:tc>
        <w:tc>
          <w:tcPr>
            <w:tcW w:w="2696" w:type="dxa"/>
            <w:vAlign w:val="center"/>
            <w:textDirection w:val="lrTb"/>
            <w:noWrap w:val="false"/>
          </w:tcPr>
          <w:p>
            <w:pPr>
              <w:jc w:val="center"/>
              <w:rPr>
                <w:color w:val="000000"/>
                <w:highlight w:val="none"/>
              </w:rPr>
            </w:pPr>
            <w:r>
              <w:rPr>
                <w:color w:val="000000"/>
                <w:highlight w:val="none"/>
              </w:rPr>
              <w:t xml:space="preserve">备注</w:t>
            </w:r>
            <w:r/>
          </w:p>
        </w:tc>
      </w:tr>
      <w:tr>
        <w:trPr>
          <w:cantSplit/>
          <w:trHeight w:val="980"/>
        </w:trPr>
        <w:tc>
          <w:tcPr>
            <w:tcW w:w="1505" w:type="dxa"/>
            <w:vAlign w:val="center"/>
            <w:textDirection w:val="lrTb"/>
            <w:noWrap w:val="false"/>
          </w:tcPr>
          <w:p>
            <w:pPr>
              <w:jc w:val="center"/>
              <w:rPr>
                <w:rFonts w:hint="eastAsia" w:eastAsia="宋体"/>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1</w:t>
            </w:r>
            <w:r>
              <w:rPr>
                <w:rFonts w:hint="eastAsia"/>
                <w:color w:val="000000"/>
                <w:highlight w:val="none"/>
                <w:lang w:eastAsia="zh-CN"/>
              </w:rPr>
              <w:t xml:space="preserve">）</w:t>
            </w:r>
            <w:r/>
          </w:p>
        </w:tc>
        <w:tc>
          <w:tcPr>
            <w:tcW w:w="3138" w:type="dxa"/>
            <w:vAlign w:val="center"/>
            <w:textDirection w:val="lrTb"/>
            <w:noWrap w:val="false"/>
          </w:tcPr>
          <w:p>
            <w:pPr>
              <w:jc w:val="center"/>
              <w:rPr>
                <w:color w:val="000000"/>
                <w:highlight w:val="none"/>
              </w:rPr>
            </w:pPr>
            <w:r>
              <w:rPr>
                <w:color w:val="000000"/>
                <w:highlight w:val="none"/>
              </w:rPr>
            </w:r>
            <w:r/>
          </w:p>
        </w:tc>
        <w:tc>
          <w:tcPr>
            <w:tcW w:w="1948" w:type="dxa"/>
            <w:vAlign w:val="center"/>
            <w:vMerge w:val="restart"/>
            <w:textDirection w:val="lrTb"/>
            <w:noWrap w:val="false"/>
          </w:tcPr>
          <w:p>
            <w:pPr>
              <w:ind w:firstLine="360"/>
              <w:rPr>
                <w:color w:val="000000"/>
                <w:highlight w:val="none"/>
              </w:rPr>
            </w:pPr>
            <w:r>
              <w:rPr>
                <w:color w:val="000000"/>
                <w:highlight w:val="none"/>
                <w:u w:val="single"/>
              </w:rPr>
              <w:t xml:space="preserve">     </w:t>
            </w:r>
            <w:r>
              <w:rPr>
                <w:rFonts w:hint="eastAsia"/>
                <w:color w:val="000000"/>
                <w:highlight w:val="none"/>
              </w:rPr>
              <w:t xml:space="preserve">%</w:t>
            </w:r>
            <w:r/>
          </w:p>
          <w:p>
            <w:pPr>
              <w:jc w:val="center"/>
              <w:rPr>
                <w:color w:val="000000"/>
                <w:highlight w:val="none"/>
              </w:rPr>
            </w:pPr>
            <w:r>
              <w:rPr>
                <w:color w:val="000000"/>
                <w:highlight w:val="none"/>
              </w:rPr>
            </w:r>
            <w:r/>
          </w:p>
          <w:p>
            <w:pPr>
              <w:jc w:val="center"/>
              <w:rPr>
                <w:color w:val="000000"/>
                <w:highlight w:val="none"/>
              </w:rPr>
            </w:pPr>
            <w:r>
              <w:rPr>
                <w:color w:val="000000"/>
                <w:highlight w:val="none"/>
              </w:rPr>
              <w:t xml:space="preserve">（即按取费基数</w:t>
            </w:r>
            <w:r>
              <w:rPr>
                <w:rFonts w:hint="eastAsia"/>
                <w:color w:val="000000"/>
                <w:highlight w:val="none"/>
              </w:rPr>
              <w:t xml:space="preserve">优惠</w:t>
            </w:r>
            <w:r>
              <w:rPr>
                <w:color w:val="000000"/>
                <w:highlight w:val="none"/>
                <w:u w:val="single"/>
              </w:rPr>
              <w:t xml:space="preserve">    </w:t>
            </w:r>
            <w:r>
              <w:rPr>
                <w:color w:val="000000"/>
                <w:highlight w:val="none"/>
              </w:rPr>
              <w:t xml:space="preserve">%</w:t>
            </w:r>
            <w:r/>
          </w:p>
        </w:tc>
        <w:tc>
          <w:tcPr>
            <w:tcW w:w="2696" w:type="dxa"/>
            <w:vAlign w:val="center"/>
            <w:vMerge w:val="restart"/>
            <w:textDirection w:val="lrTb"/>
            <w:noWrap w:val="false"/>
          </w:tcPr>
          <w:p>
            <w:pPr>
              <w:rPr>
                <w:b/>
                <w:bCs/>
                <w:color w:val="000000"/>
                <w:highlight w:val="none"/>
              </w:rPr>
            </w:pPr>
            <w:r>
              <w:rPr>
                <w:rFonts w:hint="eastAsia"/>
                <w:b/>
                <w:bCs/>
                <w:color w:val="000000"/>
                <w:highlight w:val="none"/>
              </w:rPr>
              <w:t xml:space="preserve">1、优惠</w:t>
            </w:r>
            <w:r>
              <w:rPr>
                <w:b/>
                <w:bCs/>
                <w:color w:val="000000"/>
                <w:highlight w:val="none"/>
              </w:rPr>
              <w:t xml:space="preserve">率必须相同。</w:t>
            </w:r>
            <w:r/>
          </w:p>
          <w:p>
            <w:pPr>
              <w:rPr>
                <w:color w:val="000000"/>
                <w:highlight w:val="none"/>
              </w:rPr>
            </w:pPr>
            <w:r>
              <w:rPr>
                <w:b/>
                <w:bCs/>
                <w:color w:val="000000"/>
                <w:highlight w:val="none"/>
              </w:rPr>
              <w:t xml:space="preserve">2、如</w:t>
            </w:r>
            <w:r>
              <w:rPr>
                <w:rFonts w:hint="eastAsia"/>
                <w:b/>
                <w:bCs/>
                <w:color w:val="000000"/>
                <w:highlight w:val="none"/>
              </w:rPr>
              <w:t xml:space="preserve">优惠率高于</w:t>
            </w:r>
            <w:r>
              <w:rPr>
                <w:rFonts w:hint="eastAsia"/>
                <w:b/>
                <w:bCs/>
                <w:color w:val="000000"/>
                <w:highlight w:val="none"/>
                <w:lang w:val="en-US" w:eastAsia="zh-CN"/>
              </w:rPr>
              <w:t xml:space="preserve">5</w:t>
            </w:r>
            <w:r>
              <w:rPr>
                <w:rFonts w:hint="eastAsia"/>
                <w:b/>
                <w:bCs/>
                <w:color w:val="000000"/>
                <w:highlight w:val="none"/>
              </w:rPr>
              <w:t xml:space="preserve">%</w:t>
            </w:r>
            <w:r>
              <w:rPr>
                <w:b/>
                <w:bCs/>
                <w:color w:val="000000"/>
                <w:highlight w:val="none"/>
              </w:rPr>
              <w:t xml:space="preserve">须提供详细的成本核算情况说明及相关证明材料。</w:t>
            </w:r>
            <w:r/>
          </w:p>
        </w:tc>
      </w:tr>
      <w:tr>
        <w:trPr>
          <w:cantSplit/>
          <w:trHeight w:val="980"/>
        </w:trPr>
        <w:tc>
          <w:tcPr>
            <w:tcW w:w="1505" w:type="dxa"/>
            <w:vAlign w:val="center"/>
            <w:textDirection w:val="lrTb"/>
            <w:noWrap w:val="false"/>
          </w:tcPr>
          <w:p>
            <w:pPr>
              <w:jc w:val="center"/>
              <w:rPr>
                <w:rFonts w:hint="eastAsia" w:eastAsia="宋体"/>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2</w:t>
            </w:r>
            <w:r>
              <w:rPr>
                <w:rFonts w:hint="eastAsia"/>
                <w:color w:val="000000"/>
                <w:highlight w:val="none"/>
                <w:lang w:eastAsia="zh-CN"/>
              </w:rPr>
              <w:t xml:space="preserve">）</w:t>
            </w:r>
            <w:r/>
          </w:p>
        </w:tc>
        <w:tc>
          <w:tcPr>
            <w:tcW w:w="3138" w:type="dxa"/>
            <w:vAlign w:val="center"/>
            <w:textDirection w:val="lrTb"/>
            <w:noWrap w:val="false"/>
          </w:tcPr>
          <w:p>
            <w:pPr>
              <w:jc w:val="center"/>
              <w:rPr>
                <w:color w:val="000000"/>
                <w:highlight w:val="none"/>
              </w:rPr>
            </w:pPr>
            <w:r>
              <w:rPr>
                <w:color w:val="000000"/>
                <w:highlight w:val="none"/>
              </w:rPr>
            </w:r>
            <w:r/>
          </w:p>
        </w:tc>
        <w:tc>
          <w:tcPr>
            <w:tcW w:w="1948" w:type="dxa"/>
            <w:vAlign w:val="center"/>
            <w:vMerge w:val="continue"/>
            <w:textDirection w:val="lrTb"/>
            <w:noWrap w:val="false"/>
          </w:tcPr>
          <w:p>
            <w:pPr>
              <w:rPr>
                <w:color w:val="000000"/>
                <w:highlight w:val="none"/>
              </w:rPr>
            </w:pPr>
            <w:r>
              <w:rPr>
                <w:color w:val="000000"/>
                <w:highlight w:val="none"/>
              </w:rPr>
            </w:r>
            <w:r/>
          </w:p>
        </w:tc>
        <w:tc>
          <w:tcPr>
            <w:tcW w:w="2696" w:type="dxa"/>
            <w:vAlign w:val="center"/>
            <w:vMerge w:val="continue"/>
            <w:textDirection w:val="lrTb"/>
            <w:noWrap w:val="false"/>
          </w:tcPr>
          <w:p>
            <w:pPr>
              <w:rPr>
                <w:color w:val="000000"/>
                <w:highlight w:val="none"/>
              </w:rPr>
            </w:pPr>
            <w:r>
              <w:rPr>
                <w:color w:val="000000"/>
                <w:highlight w:val="none"/>
              </w:rPr>
            </w:r>
            <w:r/>
          </w:p>
        </w:tc>
      </w:tr>
      <w:tr>
        <w:trPr>
          <w:cantSplit/>
          <w:trHeight w:val="980"/>
        </w:trPr>
        <w:tc>
          <w:tcPr>
            <w:tcW w:w="1505" w:type="dxa"/>
            <w:vAlign w:val="center"/>
            <w:textDirection w:val="lrTb"/>
            <w:noWrap w:val="false"/>
          </w:tcPr>
          <w:p>
            <w:pPr>
              <w:jc w:val="center"/>
              <w:rPr>
                <w:rFonts w:hint="eastAsia" w:eastAsia="宋体"/>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3</w:t>
            </w:r>
            <w:r>
              <w:rPr>
                <w:rFonts w:hint="eastAsia"/>
                <w:color w:val="000000"/>
                <w:highlight w:val="none"/>
                <w:lang w:eastAsia="zh-CN"/>
              </w:rPr>
              <w:t xml:space="preserve">）</w:t>
            </w:r>
            <w:r/>
          </w:p>
        </w:tc>
        <w:tc>
          <w:tcPr>
            <w:tcW w:w="3138" w:type="dxa"/>
            <w:vAlign w:val="center"/>
            <w:textDirection w:val="lrTb"/>
            <w:noWrap w:val="false"/>
          </w:tcPr>
          <w:p>
            <w:pPr>
              <w:jc w:val="center"/>
              <w:rPr>
                <w:color w:val="000000"/>
                <w:highlight w:val="none"/>
              </w:rPr>
            </w:pPr>
            <w:r>
              <w:rPr>
                <w:color w:val="000000"/>
                <w:highlight w:val="none"/>
              </w:rPr>
            </w:r>
            <w:r/>
          </w:p>
        </w:tc>
        <w:tc>
          <w:tcPr>
            <w:tcW w:w="1948" w:type="dxa"/>
            <w:vAlign w:val="center"/>
            <w:vMerge w:val="continue"/>
            <w:textDirection w:val="lrTb"/>
            <w:noWrap w:val="false"/>
          </w:tcPr>
          <w:p>
            <w:pPr>
              <w:rPr>
                <w:color w:val="000000"/>
                <w:highlight w:val="none"/>
              </w:rPr>
            </w:pPr>
            <w:r>
              <w:rPr>
                <w:color w:val="000000"/>
                <w:highlight w:val="none"/>
              </w:rPr>
            </w:r>
            <w:r/>
          </w:p>
        </w:tc>
        <w:tc>
          <w:tcPr>
            <w:tcW w:w="2696" w:type="dxa"/>
            <w:vAlign w:val="center"/>
            <w:vMerge w:val="continue"/>
            <w:textDirection w:val="lrTb"/>
            <w:noWrap w:val="false"/>
          </w:tcPr>
          <w:p>
            <w:pPr>
              <w:rPr>
                <w:color w:val="000000"/>
                <w:highlight w:val="none"/>
              </w:rPr>
            </w:pPr>
            <w:r>
              <w:rPr>
                <w:color w:val="000000"/>
                <w:highlight w:val="none"/>
              </w:rPr>
            </w:r>
            <w:r/>
          </w:p>
        </w:tc>
      </w:tr>
      <w:tr>
        <w:trPr>
          <w:cantSplit/>
          <w:trHeight w:val="980"/>
        </w:trPr>
        <w:tc>
          <w:tcPr>
            <w:tcW w:w="1505" w:type="dxa"/>
            <w:vAlign w:val="center"/>
            <w:textDirection w:val="lrTb"/>
            <w:noWrap w:val="false"/>
          </w:tcPr>
          <w:p>
            <w:pPr>
              <w:jc w:val="center"/>
              <w:rPr>
                <w:rFonts w:hint="default" w:eastAsia="宋体"/>
                <w:color w:val="000000"/>
                <w:highlight w:val="none"/>
                <w:lang w:val="en-US" w:eastAsia="zh-CN"/>
              </w:rPr>
            </w:pPr>
            <w:r>
              <w:rPr>
                <w:rFonts w:hint="eastAsia"/>
                <w:color w:val="000000"/>
                <w:highlight w:val="none"/>
                <w:lang w:val="en-US" w:eastAsia="zh-CN"/>
              </w:rPr>
              <w:t xml:space="preserve">......</w:t>
            </w:r>
            <w:r/>
          </w:p>
        </w:tc>
        <w:tc>
          <w:tcPr>
            <w:tcW w:w="3138" w:type="dxa"/>
            <w:vAlign w:val="center"/>
            <w:textDirection w:val="lrTb"/>
            <w:noWrap w:val="false"/>
          </w:tcPr>
          <w:p>
            <w:pPr>
              <w:jc w:val="center"/>
              <w:rPr>
                <w:color w:val="000000"/>
                <w:highlight w:val="none"/>
              </w:rPr>
            </w:pPr>
            <w:r>
              <w:rPr>
                <w:color w:val="000000"/>
                <w:highlight w:val="none"/>
              </w:rPr>
            </w:r>
            <w:r/>
          </w:p>
        </w:tc>
        <w:tc>
          <w:tcPr>
            <w:tcW w:w="1948" w:type="dxa"/>
            <w:vAlign w:val="center"/>
            <w:vMerge w:val="continue"/>
            <w:textDirection w:val="lrTb"/>
            <w:noWrap w:val="false"/>
          </w:tcPr>
          <w:p>
            <w:pPr>
              <w:rPr>
                <w:color w:val="000000"/>
                <w:highlight w:val="none"/>
              </w:rPr>
            </w:pPr>
            <w:r>
              <w:rPr>
                <w:color w:val="000000"/>
                <w:highlight w:val="none"/>
              </w:rPr>
            </w:r>
            <w:r/>
          </w:p>
        </w:tc>
        <w:tc>
          <w:tcPr>
            <w:tcW w:w="2696" w:type="dxa"/>
            <w:vAlign w:val="center"/>
            <w:vMerge w:val="continue"/>
            <w:textDirection w:val="lrTb"/>
            <w:noWrap w:val="false"/>
          </w:tcPr>
          <w:p>
            <w:pPr>
              <w:rPr>
                <w:color w:val="000000"/>
                <w:highlight w:val="none"/>
              </w:rPr>
            </w:pPr>
            <w:r>
              <w:rPr>
                <w:color w:val="000000"/>
                <w:highlight w:val="none"/>
              </w:rPr>
            </w:r>
            <w:r/>
          </w:p>
        </w:tc>
      </w:tr>
    </w:tbl>
    <w:p>
      <w:pPr>
        <w:rPr>
          <w:color w:val="000000"/>
          <w:highlight w:val="none"/>
        </w:rPr>
      </w:pPr>
      <w:r>
        <w:rPr>
          <w:color w:val="000000"/>
          <w:highlight w:val="none"/>
        </w:rPr>
      </w:r>
      <w:r/>
    </w:p>
    <w:p>
      <w:pPr>
        <w:rPr>
          <w:color w:val="000000"/>
          <w:highlight w:val="none"/>
        </w:rPr>
      </w:pPr>
      <w:r>
        <w:rPr>
          <w:color w:val="000000"/>
          <w:highlight w:val="none"/>
        </w:rPr>
        <w:t xml:space="preserve">注：以上报价包含采购项目所涉及的所有费用，投标人须综合考虑计入并慎重填报</w:t>
      </w:r>
      <w:r>
        <w:rPr>
          <w:rFonts w:hint="eastAsia"/>
          <w:color w:val="000000"/>
          <w:highlight w:val="none"/>
        </w:rPr>
        <w:t xml:space="preserve">优惠</w:t>
      </w:r>
      <w:r>
        <w:rPr>
          <w:color w:val="000000"/>
          <w:highlight w:val="none"/>
        </w:rPr>
        <w:t xml:space="preserve">率，中标后不再另行结算其它费用。</w:t>
      </w:r>
      <w:r/>
    </w:p>
    <w:p>
      <w:pPr>
        <w:rPr>
          <w:color w:val="000000"/>
          <w:highlight w:val="none"/>
        </w:rPr>
      </w:pPr>
      <w:r>
        <w:rPr>
          <w:color w:val="000000"/>
          <w:highlight w:val="none"/>
        </w:rPr>
      </w:r>
      <w:r/>
    </w:p>
    <w:p>
      <w:pPr>
        <w:rPr>
          <w:color w:val="000000"/>
          <w:highlight w:val="none"/>
        </w:rPr>
      </w:pPr>
      <w:r>
        <w:rPr>
          <w:color w:val="000000"/>
          <w:highlight w:val="none"/>
        </w:rPr>
        <w:t xml:space="preserve">法定代表人或授权代表签字：</w:t>
      </w:r>
      <w:r/>
    </w:p>
    <w:p>
      <w:pPr>
        <w:rPr>
          <w:color w:val="000000"/>
          <w:highlight w:val="none"/>
        </w:rPr>
      </w:pPr>
      <w:r>
        <w:rPr>
          <w:color w:val="000000"/>
          <w:highlight w:val="none"/>
        </w:rPr>
      </w:r>
      <w:r/>
    </w:p>
    <w:p>
      <w:pPr>
        <w:ind w:firstLine="480"/>
        <w:jc w:val="right"/>
        <w:rPr>
          <w:color w:val="000000"/>
          <w:highlight w:val="none"/>
        </w:rPr>
      </w:pPr>
      <w:r>
        <w:rPr>
          <w:color w:val="000000"/>
          <w:highlight w:val="none"/>
        </w:rPr>
        <w:t xml:space="preserve">日期：  </w:t>
      </w:r>
      <w:r>
        <w:rPr>
          <w:color w:val="000000"/>
          <w:highlight w:val="none"/>
          <w:u w:val="single"/>
        </w:rPr>
        <w:t xml:space="preserve">     </w:t>
      </w:r>
      <w:r>
        <w:rPr>
          <w:color w:val="000000"/>
          <w:highlight w:val="none"/>
        </w:rPr>
        <w:t xml:space="preserve">年</w:t>
      </w:r>
      <w:r>
        <w:rPr>
          <w:color w:val="000000"/>
          <w:highlight w:val="none"/>
          <w:u w:val="single"/>
        </w:rPr>
        <w:t xml:space="preserve"> </w:t>
      </w:r>
      <w:r>
        <w:rPr>
          <w:rFonts w:hint="eastAsia"/>
          <w:color w:val="000000"/>
          <w:highlight w:val="none"/>
          <w:u w:val="single"/>
        </w:rPr>
        <w:t xml:space="preserve"> </w:t>
      </w:r>
      <w:r>
        <w:rPr>
          <w:color w:val="000000"/>
          <w:highlight w:val="none"/>
          <w:u w:val="single"/>
        </w:rPr>
        <w:t xml:space="preserve">  </w:t>
      </w:r>
      <w:r>
        <w:rPr>
          <w:color w:val="000000"/>
          <w:highlight w:val="none"/>
        </w:rPr>
        <w:t xml:space="preserve">月</w:t>
      </w:r>
      <w:r>
        <w:rPr>
          <w:color w:val="000000"/>
          <w:highlight w:val="none"/>
          <w:u w:val="single"/>
        </w:rPr>
        <w:t xml:space="preserve">  </w:t>
      </w:r>
      <w:r>
        <w:rPr>
          <w:rFonts w:hint="eastAsia"/>
          <w:color w:val="000000"/>
          <w:highlight w:val="none"/>
          <w:u w:val="single"/>
        </w:rPr>
        <w:t xml:space="preserve"> </w:t>
      </w:r>
      <w:r>
        <w:rPr>
          <w:color w:val="000000"/>
          <w:highlight w:val="none"/>
          <w:u w:val="single"/>
        </w:rPr>
        <w:t xml:space="preserve"> </w:t>
      </w:r>
      <w:r>
        <w:rPr>
          <w:color w:val="000000"/>
          <w:highlight w:val="none"/>
        </w:rPr>
        <w:t xml:space="preserve">日</w:t>
      </w:r>
      <w:r/>
    </w:p>
    <w:p>
      <w:pPr>
        <w:rPr>
          <w:color w:val="000000"/>
          <w:highlight w:val="none"/>
        </w:rPr>
      </w:pPr>
      <w:r>
        <w:rPr>
          <w:color w:val="000000"/>
          <w:highlight w:val="none"/>
        </w:rPr>
      </w:r>
      <w:r/>
    </w:p>
    <w:p>
      <w:pPr>
        <w:rPr>
          <w:color w:val="000000"/>
          <w:highlight w:val="none"/>
        </w:rPr>
      </w:pPr>
      <w:r>
        <w:rPr>
          <w:color w:val="000000"/>
          <w:highlight w:val="none"/>
        </w:rPr>
        <w:t xml:space="preserve">填写说明：</w:t>
      </w:r>
      <w:r/>
    </w:p>
    <w:p>
      <w:pPr>
        <w:rPr>
          <w:color w:val="000000"/>
          <w:highlight w:val="none"/>
        </w:rPr>
      </w:pPr>
      <w:r>
        <w:rPr>
          <w:color w:val="000000"/>
          <w:highlight w:val="none"/>
        </w:rPr>
        <w:t xml:space="preserve">1、磋商响应报价表和磋商响应报价明细表必须单独密封在报价响应文件中，在投标截止时间前与响应文件其他部分分别递交，否则视为无效投标。</w:t>
      </w:r>
      <w:r/>
    </w:p>
    <w:p>
      <w:pPr>
        <w:rPr>
          <w:color w:val="000000"/>
          <w:highlight w:val="none"/>
        </w:rPr>
      </w:pPr>
      <w:r>
        <w:rPr>
          <w:color w:val="000000"/>
          <w:highlight w:val="none"/>
        </w:rPr>
        <w:t xml:space="preserve">2、磋商响应报价表和磋商响应报价明细表必须加盖投标单位公章（复印件无效）。</w:t>
      </w:r>
      <w:r/>
    </w:p>
    <w:p>
      <w:pP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rPr>
          <w:color w:val="000000"/>
          <w:highlight w:val="none"/>
        </w:rPr>
      </w:pPr>
      <w:r>
        <w:rPr>
          <w:rFonts w:hint="eastAsia" w:ascii="仿宋" w:hAnsi="仿宋" w:eastAsia="仿宋" w:cs="仿宋"/>
          <w:b/>
          <w:sz w:val="28"/>
          <w:szCs w:val="28"/>
          <w:highlight w:val="none"/>
        </w:rPr>
        <w:t xml:space="preserve">磋商响应报价明细表</w:t>
      </w:r>
      <w:r>
        <w:rPr>
          <w:rFonts w:hint="eastAsia" w:ascii="仿宋" w:hAnsi="仿宋" w:eastAsia="仿宋" w:cs="仿宋"/>
          <w:b/>
          <w:sz w:val="28"/>
          <w:szCs w:val="28"/>
          <w:highlight w:val="none"/>
          <w:lang w:eastAsia="zh-CN"/>
        </w:rPr>
        <w:t xml:space="preserve">（</w:t>
      </w:r>
      <w:r>
        <w:rPr>
          <w:rFonts w:hint="eastAsia" w:ascii="仿宋" w:hAnsi="仿宋" w:eastAsia="仿宋" w:cs="仿宋"/>
          <w:b/>
          <w:sz w:val="28"/>
          <w:szCs w:val="28"/>
          <w:highlight w:val="none"/>
          <w:lang w:val="en-US" w:eastAsia="zh-CN"/>
        </w:rPr>
        <w:t xml:space="preserve">包2-包5</w:t>
      </w:r>
      <w:r>
        <w:rPr>
          <w:rFonts w:hint="eastAsia" w:ascii="仿宋" w:hAnsi="仿宋" w:eastAsia="仿宋" w:cs="仿宋"/>
          <w:b/>
          <w:sz w:val="28"/>
          <w:szCs w:val="28"/>
          <w:highlight w:val="none"/>
          <w:lang w:eastAsia="zh-CN"/>
        </w:rPr>
        <w:t xml:space="preserve">）</w:t>
      </w:r>
      <w:r/>
    </w:p>
    <w:p>
      <w:pPr>
        <w:spacing w:line="480" w:lineRule="exact"/>
        <w:rPr>
          <w:highlight w:val="none"/>
        </w:rPr>
      </w:pPr>
      <w:r>
        <w:rPr>
          <w:rFonts w:hint="eastAsia"/>
          <w:color w:val="000000"/>
          <w:highlight w:val="none"/>
        </w:rPr>
        <w:t xml:space="preserve">项目名称：</w:t>
      </w:r>
      <w:r>
        <w:rPr>
          <w:color w:val="000000"/>
          <w:highlight w:val="none"/>
        </w:rPr>
        <w:t xml:space="preserve">南通市生态环境监测站202</w:t>
      </w:r>
      <w:r>
        <w:rPr>
          <w:rFonts w:hint="eastAsia"/>
          <w:color w:val="000000"/>
          <w:highlight w:val="none"/>
        </w:rPr>
        <w:t xml:space="preserve">6</w:t>
      </w:r>
      <w:r>
        <w:rPr>
          <w:color w:val="000000"/>
          <w:highlight w:val="none"/>
        </w:rPr>
        <w:t xml:space="preserve">年度</w:t>
      </w:r>
      <w:r>
        <w:rPr>
          <w:rFonts w:hint="eastAsia"/>
          <w:color w:val="000000"/>
          <w:highlight w:val="none"/>
          <w:lang w:eastAsia="zh-CN"/>
        </w:rPr>
        <w:t xml:space="preserve">监测技术支撑项目</w:t>
      </w:r>
      <w:r>
        <w:rPr>
          <w:rFonts w:hint="eastAsia"/>
          <w:color w:val="000000"/>
          <w:highlight w:val="none"/>
        </w:rPr>
        <w:t xml:space="preserve">（包</w:t>
      </w:r>
      <w:r>
        <w:rPr>
          <w:rFonts w:hint="eastAsia"/>
          <w:color w:val="000000"/>
          <w:highlight w:val="none"/>
          <w:u w:val="single"/>
        </w:rPr>
        <w:t xml:space="preserve">     </w:t>
      </w:r>
      <w:r>
        <w:rPr>
          <w:rFonts w:hint="eastAsia"/>
          <w:color w:val="000000"/>
          <w:highlight w:val="none"/>
        </w:rPr>
        <w:t xml:space="preserve">）</w:t>
      </w:r>
      <w:r/>
    </w:p>
    <w:p>
      <w:pPr>
        <w:rPr>
          <w:color w:val="000000"/>
          <w:highlight w:val="none"/>
        </w:rPr>
      </w:pPr>
      <w:r>
        <w:rPr>
          <w:color w:val="000000"/>
          <w:highlight w:val="none"/>
        </w:rPr>
        <w:t xml:space="preserve">投标人全称（加盖公章）：</w:t>
      </w:r>
      <w:r/>
    </w:p>
    <w:tbl>
      <w:tblPr>
        <w:tblStyle w:val="8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50"/>
        <w:gridCol w:w="2693"/>
        <w:gridCol w:w="1948"/>
        <w:gridCol w:w="2696"/>
      </w:tblGrid>
      <w:tr>
        <w:trPr>
          <w:cantSplit/>
          <w:trHeight w:val="577"/>
        </w:trPr>
        <w:tc>
          <w:tcPr>
            <w:tcW w:w="1950" w:type="dxa"/>
            <w:vAlign w:val="center"/>
            <w:textDirection w:val="lrTb"/>
            <w:noWrap w:val="false"/>
          </w:tcPr>
          <w:p>
            <w:pPr>
              <w:jc w:val="center"/>
              <w:rPr>
                <w:color w:val="000000"/>
                <w:highlight w:val="none"/>
              </w:rPr>
            </w:pPr>
            <w:r>
              <w:rPr>
                <w:color w:val="000000"/>
                <w:highlight w:val="none"/>
              </w:rPr>
              <w:t xml:space="preserve">1</w:t>
            </w:r>
            <w:r/>
          </w:p>
        </w:tc>
        <w:tc>
          <w:tcPr>
            <w:tcW w:w="2693" w:type="dxa"/>
            <w:vAlign w:val="center"/>
            <w:textDirection w:val="lrTb"/>
            <w:noWrap w:val="false"/>
          </w:tcPr>
          <w:p>
            <w:pPr>
              <w:jc w:val="center"/>
              <w:rPr>
                <w:color w:val="000000"/>
                <w:highlight w:val="none"/>
              </w:rPr>
            </w:pPr>
            <w:r>
              <w:rPr>
                <w:color w:val="000000"/>
                <w:highlight w:val="none"/>
              </w:rPr>
              <w:t xml:space="preserve">2</w:t>
            </w:r>
            <w:r/>
          </w:p>
        </w:tc>
        <w:tc>
          <w:tcPr>
            <w:tcW w:w="1948" w:type="dxa"/>
            <w:vAlign w:val="center"/>
            <w:textDirection w:val="lrTb"/>
            <w:noWrap w:val="false"/>
          </w:tcPr>
          <w:p>
            <w:pPr>
              <w:jc w:val="center"/>
              <w:rPr>
                <w:color w:val="000000"/>
                <w:highlight w:val="none"/>
              </w:rPr>
            </w:pPr>
            <w:r>
              <w:rPr>
                <w:color w:val="000000"/>
                <w:highlight w:val="none"/>
              </w:rPr>
              <w:t xml:space="preserve">3</w:t>
            </w:r>
            <w:r/>
          </w:p>
        </w:tc>
        <w:tc>
          <w:tcPr>
            <w:tcW w:w="2696" w:type="dxa"/>
            <w:vAlign w:val="center"/>
            <w:textDirection w:val="lrTb"/>
            <w:noWrap w:val="false"/>
          </w:tcPr>
          <w:p>
            <w:pPr>
              <w:jc w:val="center"/>
              <w:rPr>
                <w:color w:val="000000"/>
                <w:highlight w:val="none"/>
              </w:rPr>
            </w:pPr>
            <w:r>
              <w:rPr>
                <w:color w:val="000000"/>
                <w:highlight w:val="none"/>
              </w:rPr>
              <w:t xml:space="preserve">4</w:t>
            </w:r>
            <w:r/>
          </w:p>
        </w:tc>
      </w:tr>
      <w:tr>
        <w:trPr>
          <w:cantSplit/>
        </w:trPr>
        <w:tc>
          <w:tcPr>
            <w:tcW w:w="1950" w:type="dxa"/>
            <w:vAlign w:val="center"/>
            <w:textDirection w:val="lrTb"/>
            <w:noWrap w:val="false"/>
          </w:tcPr>
          <w:p>
            <w:pPr>
              <w:jc w:val="center"/>
              <w:rPr>
                <w:color w:val="000000"/>
                <w:highlight w:val="none"/>
              </w:rPr>
            </w:pPr>
            <w:r>
              <w:rPr>
                <w:color w:val="000000"/>
                <w:highlight w:val="none"/>
              </w:rPr>
              <w:t xml:space="preserve">货物、服务名称及规格、型号</w:t>
            </w:r>
            <w:r/>
          </w:p>
        </w:tc>
        <w:tc>
          <w:tcPr>
            <w:tcW w:w="2693" w:type="dxa"/>
            <w:vAlign w:val="center"/>
            <w:textDirection w:val="lrTb"/>
            <w:noWrap w:val="false"/>
          </w:tcPr>
          <w:p>
            <w:pPr>
              <w:jc w:val="center"/>
              <w:rPr>
                <w:color w:val="000000"/>
                <w:highlight w:val="none"/>
              </w:rPr>
            </w:pPr>
            <w:r>
              <w:rPr>
                <w:color w:val="000000"/>
                <w:highlight w:val="none"/>
              </w:rPr>
              <w:t xml:space="preserve">取费基数</w:t>
            </w:r>
            <w:r/>
          </w:p>
        </w:tc>
        <w:tc>
          <w:tcPr>
            <w:tcW w:w="1948" w:type="dxa"/>
            <w:vAlign w:val="center"/>
            <w:textDirection w:val="lrTb"/>
            <w:noWrap w:val="false"/>
          </w:tcPr>
          <w:p>
            <w:pPr>
              <w:jc w:val="center"/>
              <w:rPr>
                <w:color w:val="000000"/>
                <w:highlight w:val="none"/>
              </w:rPr>
            </w:pPr>
            <w:r>
              <w:rPr>
                <w:rFonts w:hint="eastAsia"/>
                <w:color w:val="000000"/>
                <w:highlight w:val="none"/>
              </w:rPr>
              <w:t xml:space="preserve">优惠</w:t>
            </w:r>
            <w:r>
              <w:rPr>
                <w:color w:val="000000"/>
                <w:highlight w:val="none"/>
              </w:rPr>
              <w:t xml:space="preserve">率</w:t>
            </w:r>
            <w:r/>
          </w:p>
        </w:tc>
        <w:tc>
          <w:tcPr>
            <w:tcW w:w="2696" w:type="dxa"/>
            <w:vAlign w:val="center"/>
            <w:textDirection w:val="lrTb"/>
            <w:noWrap w:val="false"/>
          </w:tcPr>
          <w:p>
            <w:pPr>
              <w:jc w:val="center"/>
              <w:rPr>
                <w:color w:val="000000"/>
                <w:highlight w:val="none"/>
              </w:rPr>
            </w:pPr>
            <w:r>
              <w:rPr>
                <w:color w:val="000000"/>
                <w:highlight w:val="none"/>
              </w:rPr>
              <w:t xml:space="preserve">备注</w:t>
            </w:r>
            <w:r/>
          </w:p>
        </w:tc>
      </w:tr>
      <w:tr>
        <w:trPr>
          <w:cantSplit/>
          <w:trHeight w:val="980"/>
        </w:trPr>
        <w:tc>
          <w:tcPr>
            <w:tcW w:w="1950" w:type="dxa"/>
            <w:vAlign w:val="center"/>
            <w:textDirection w:val="lrTb"/>
            <w:noWrap w:val="false"/>
          </w:tcPr>
          <w:p>
            <w:pPr>
              <w:jc w:val="center"/>
              <w:rPr>
                <w:color w:val="000000"/>
                <w:highlight w:val="none"/>
              </w:rPr>
            </w:pPr>
            <w:r>
              <w:rPr>
                <w:color w:val="000000"/>
                <w:highlight w:val="none"/>
              </w:rPr>
              <w:t xml:space="preserve">监测服务费</w:t>
            </w:r>
            <w:r/>
          </w:p>
        </w:tc>
        <w:tc>
          <w:tcPr>
            <w:tcW w:w="2693" w:type="dxa"/>
            <w:vAlign w:val="center"/>
            <w:textDirection w:val="lrTb"/>
            <w:noWrap w:val="false"/>
          </w:tcPr>
          <w:p>
            <w:pPr>
              <w:jc w:val="center"/>
              <w:rPr>
                <w:color w:val="000000"/>
                <w:highlight w:val="none"/>
              </w:rPr>
            </w:pPr>
            <w:r>
              <w:rPr>
                <w:color w:val="000000"/>
                <w:highlight w:val="none"/>
              </w:rPr>
              <w:t xml:space="preserve">《江苏省环境监测专业服务收费标准》（苏价费[2006]397号）单价</w:t>
            </w:r>
            <w:r/>
          </w:p>
        </w:tc>
        <w:tc>
          <w:tcPr>
            <w:tcW w:w="1948" w:type="dxa"/>
            <w:vAlign w:val="center"/>
            <w:vMerge w:val="restart"/>
            <w:textDirection w:val="lrTb"/>
            <w:noWrap w:val="false"/>
          </w:tcPr>
          <w:p>
            <w:pPr>
              <w:ind w:firstLine="360"/>
              <w:rPr>
                <w:color w:val="000000"/>
                <w:highlight w:val="none"/>
              </w:rPr>
            </w:pPr>
            <w:r>
              <w:rPr>
                <w:color w:val="000000"/>
                <w:highlight w:val="none"/>
                <w:u w:val="single"/>
              </w:rPr>
              <w:t xml:space="preserve">     </w:t>
            </w:r>
            <w:r>
              <w:rPr>
                <w:rFonts w:hint="eastAsia"/>
                <w:color w:val="000000"/>
                <w:highlight w:val="none"/>
              </w:rPr>
              <w:t xml:space="preserve">%</w:t>
            </w:r>
            <w:r/>
          </w:p>
          <w:p>
            <w:pPr>
              <w:jc w:val="center"/>
              <w:rPr>
                <w:color w:val="000000"/>
                <w:highlight w:val="none"/>
              </w:rPr>
            </w:pPr>
            <w:r>
              <w:rPr>
                <w:color w:val="000000"/>
                <w:highlight w:val="none"/>
              </w:rPr>
            </w:r>
            <w:r/>
          </w:p>
          <w:p>
            <w:pPr>
              <w:jc w:val="center"/>
              <w:rPr>
                <w:color w:val="000000"/>
                <w:highlight w:val="none"/>
              </w:rPr>
            </w:pPr>
            <w:r>
              <w:rPr>
                <w:color w:val="000000"/>
                <w:highlight w:val="none"/>
              </w:rPr>
              <w:t xml:space="preserve">（即按取费基数</w:t>
            </w:r>
            <w:r>
              <w:rPr>
                <w:rFonts w:hint="eastAsia"/>
                <w:color w:val="000000"/>
                <w:highlight w:val="none"/>
              </w:rPr>
              <w:t xml:space="preserve">优惠</w:t>
            </w:r>
            <w:r>
              <w:rPr>
                <w:color w:val="000000"/>
                <w:highlight w:val="none"/>
                <w:u w:val="single"/>
              </w:rPr>
              <w:t xml:space="preserve">    </w:t>
            </w:r>
            <w:r>
              <w:rPr>
                <w:color w:val="000000"/>
                <w:highlight w:val="none"/>
              </w:rPr>
              <w:t xml:space="preserve">%</w:t>
            </w:r>
            <w:r/>
          </w:p>
        </w:tc>
        <w:tc>
          <w:tcPr>
            <w:tcW w:w="2696" w:type="dxa"/>
            <w:vAlign w:val="center"/>
            <w:vMerge w:val="restart"/>
            <w:textDirection w:val="lrTb"/>
            <w:noWrap w:val="false"/>
          </w:tcPr>
          <w:p>
            <w:pPr>
              <w:rPr>
                <w:b/>
                <w:bCs/>
                <w:color w:val="000000"/>
                <w:highlight w:val="none"/>
              </w:rPr>
            </w:pPr>
            <w:r>
              <w:rPr>
                <w:rFonts w:hint="eastAsia"/>
                <w:b/>
                <w:bCs/>
                <w:color w:val="000000"/>
                <w:highlight w:val="none"/>
              </w:rPr>
              <w:t xml:space="preserve">1、优惠</w:t>
            </w:r>
            <w:r>
              <w:rPr>
                <w:b/>
                <w:bCs/>
                <w:color w:val="000000"/>
                <w:highlight w:val="none"/>
              </w:rPr>
              <w:t xml:space="preserve">率必须相同。</w:t>
            </w:r>
            <w:r/>
          </w:p>
          <w:p>
            <w:pPr>
              <w:rPr>
                <w:color w:val="000000"/>
                <w:highlight w:val="none"/>
              </w:rPr>
            </w:pPr>
            <w:r>
              <w:rPr>
                <w:b/>
                <w:bCs/>
                <w:color w:val="000000"/>
                <w:highlight w:val="none"/>
              </w:rPr>
              <w:t xml:space="preserve">2、如</w:t>
            </w:r>
            <w:r>
              <w:rPr>
                <w:rFonts w:hint="eastAsia"/>
                <w:b/>
                <w:bCs/>
                <w:color w:val="000000"/>
                <w:highlight w:val="none"/>
              </w:rPr>
              <w:t xml:space="preserve">优惠率高于70%</w:t>
            </w:r>
            <w:r>
              <w:rPr>
                <w:b/>
                <w:bCs/>
                <w:color w:val="000000"/>
                <w:highlight w:val="none"/>
              </w:rPr>
              <w:t xml:space="preserve">须提供详细的成本核算情况说明及相关证明材料。</w:t>
            </w:r>
            <w:r/>
          </w:p>
        </w:tc>
      </w:tr>
      <w:tr>
        <w:trPr>
          <w:cantSplit/>
          <w:trHeight w:val="980"/>
        </w:trPr>
        <w:tc>
          <w:tcPr>
            <w:tcW w:w="1950" w:type="dxa"/>
            <w:vAlign w:val="center"/>
            <w:textDirection w:val="lrTb"/>
            <w:noWrap w:val="false"/>
          </w:tcPr>
          <w:p>
            <w:pPr>
              <w:jc w:val="center"/>
              <w:rPr>
                <w:color w:val="000000"/>
                <w:highlight w:val="none"/>
              </w:rPr>
            </w:pPr>
            <w:r>
              <w:rPr>
                <w:color w:val="000000"/>
                <w:highlight w:val="none"/>
              </w:rPr>
              <w:t xml:space="preserve">人员劳务费</w:t>
            </w:r>
            <w:r/>
          </w:p>
        </w:tc>
        <w:tc>
          <w:tcPr>
            <w:tcW w:w="2693" w:type="dxa"/>
            <w:vAlign w:val="center"/>
            <w:textDirection w:val="lrTb"/>
            <w:noWrap w:val="false"/>
          </w:tcPr>
          <w:p>
            <w:pPr>
              <w:jc w:val="center"/>
              <w:rPr>
                <w:color w:val="000000"/>
                <w:highlight w:val="none"/>
              </w:rPr>
            </w:pPr>
            <w:r>
              <w:rPr>
                <w:color w:val="000000"/>
                <w:highlight w:val="none"/>
              </w:rPr>
              <w:t xml:space="preserve">200元/人/天</w:t>
            </w:r>
            <w:r/>
          </w:p>
        </w:tc>
        <w:tc>
          <w:tcPr>
            <w:tcW w:w="1948" w:type="dxa"/>
            <w:vAlign w:val="center"/>
            <w:vMerge w:val="continue"/>
            <w:textDirection w:val="lrTb"/>
            <w:noWrap w:val="false"/>
          </w:tcPr>
          <w:p>
            <w:pPr>
              <w:rPr>
                <w:color w:val="000000"/>
                <w:highlight w:val="none"/>
              </w:rPr>
            </w:pPr>
            <w:r>
              <w:rPr>
                <w:color w:val="000000"/>
                <w:highlight w:val="none"/>
              </w:rPr>
            </w:r>
            <w:r/>
          </w:p>
        </w:tc>
        <w:tc>
          <w:tcPr>
            <w:tcW w:w="2696" w:type="dxa"/>
            <w:vAlign w:val="center"/>
            <w:vMerge w:val="continue"/>
            <w:textDirection w:val="lrTb"/>
            <w:noWrap w:val="false"/>
          </w:tcPr>
          <w:p>
            <w:pPr>
              <w:rPr>
                <w:color w:val="000000"/>
                <w:highlight w:val="none"/>
              </w:rPr>
            </w:pPr>
            <w:r>
              <w:rPr>
                <w:color w:val="000000"/>
                <w:highlight w:val="none"/>
              </w:rPr>
            </w:r>
            <w:r/>
          </w:p>
        </w:tc>
      </w:tr>
      <w:tr>
        <w:trPr>
          <w:cantSplit/>
          <w:trHeight w:val="980"/>
        </w:trPr>
        <w:tc>
          <w:tcPr>
            <w:tcW w:w="1950" w:type="dxa"/>
            <w:vAlign w:val="center"/>
            <w:textDirection w:val="lrTb"/>
            <w:noWrap w:val="false"/>
          </w:tcPr>
          <w:p>
            <w:pPr>
              <w:jc w:val="center"/>
              <w:rPr>
                <w:color w:val="000000"/>
                <w:highlight w:val="none"/>
              </w:rPr>
            </w:pPr>
            <w:r>
              <w:rPr>
                <w:color w:val="000000"/>
                <w:highlight w:val="none"/>
              </w:rPr>
              <w:t xml:space="preserve">交通费</w:t>
            </w:r>
            <w:r/>
          </w:p>
        </w:tc>
        <w:tc>
          <w:tcPr>
            <w:tcW w:w="2693" w:type="dxa"/>
            <w:vAlign w:val="center"/>
            <w:textDirection w:val="lrTb"/>
            <w:noWrap w:val="false"/>
          </w:tcPr>
          <w:p>
            <w:pPr>
              <w:jc w:val="center"/>
              <w:rPr>
                <w:color w:val="000000"/>
                <w:highlight w:val="none"/>
              </w:rPr>
            </w:pPr>
            <w:r>
              <w:rPr>
                <w:color w:val="000000"/>
                <w:highlight w:val="none"/>
              </w:rPr>
              <w:t xml:space="preserve">600元/车/天</w:t>
            </w:r>
            <w:r/>
          </w:p>
        </w:tc>
        <w:tc>
          <w:tcPr>
            <w:tcW w:w="1948" w:type="dxa"/>
            <w:vAlign w:val="center"/>
            <w:vMerge w:val="continue"/>
            <w:textDirection w:val="lrTb"/>
            <w:noWrap w:val="false"/>
          </w:tcPr>
          <w:p>
            <w:pPr>
              <w:rPr>
                <w:color w:val="000000"/>
                <w:highlight w:val="none"/>
              </w:rPr>
            </w:pPr>
            <w:r>
              <w:rPr>
                <w:color w:val="000000"/>
                <w:highlight w:val="none"/>
              </w:rPr>
            </w:r>
            <w:r/>
          </w:p>
        </w:tc>
        <w:tc>
          <w:tcPr>
            <w:tcW w:w="2696" w:type="dxa"/>
            <w:vAlign w:val="center"/>
            <w:vMerge w:val="continue"/>
            <w:textDirection w:val="lrTb"/>
            <w:noWrap w:val="false"/>
          </w:tcPr>
          <w:p>
            <w:pPr>
              <w:rPr>
                <w:color w:val="000000"/>
                <w:highlight w:val="none"/>
              </w:rPr>
            </w:pPr>
            <w:r>
              <w:rPr>
                <w:color w:val="000000"/>
                <w:highlight w:val="none"/>
              </w:rPr>
            </w:r>
            <w:r/>
          </w:p>
        </w:tc>
      </w:tr>
    </w:tbl>
    <w:p>
      <w:pPr>
        <w:rPr>
          <w:color w:val="000000"/>
          <w:highlight w:val="none"/>
        </w:rPr>
      </w:pPr>
      <w:r>
        <w:rPr>
          <w:color w:val="000000"/>
          <w:highlight w:val="none"/>
        </w:rPr>
      </w:r>
      <w:r/>
    </w:p>
    <w:p>
      <w:pPr>
        <w:rPr>
          <w:color w:val="000000"/>
          <w:highlight w:val="none"/>
        </w:rPr>
      </w:pPr>
      <w:r>
        <w:rPr>
          <w:color w:val="000000"/>
          <w:highlight w:val="none"/>
        </w:rPr>
        <w:t xml:space="preserve">注：以上报价包含采购项目所涉及的所有费用，投标人须综合考虑计入并慎重填报</w:t>
      </w:r>
      <w:r>
        <w:rPr>
          <w:rFonts w:hint="eastAsia"/>
          <w:color w:val="000000"/>
          <w:highlight w:val="none"/>
        </w:rPr>
        <w:t xml:space="preserve">优惠</w:t>
      </w:r>
      <w:r>
        <w:rPr>
          <w:color w:val="000000"/>
          <w:highlight w:val="none"/>
        </w:rPr>
        <w:t xml:space="preserve">率，中标后不再另行结算其它费用。</w:t>
      </w:r>
      <w:r/>
    </w:p>
    <w:p>
      <w:pPr>
        <w:rPr>
          <w:color w:val="000000"/>
          <w:highlight w:val="none"/>
        </w:rPr>
      </w:pPr>
      <w:r>
        <w:rPr>
          <w:color w:val="000000"/>
          <w:highlight w:val="none"/>
        </w:rPr>
      </w:r>
      <w:r/>
    </w:p>
    <w:p>
      <w:pPr>
        <w:rPr>
          <w:color w:val="000000"/>
          <w:highlight w:val="none"/>
        </w:rPr>
      </w:pPr>
      <w:r>
        <w:rPr>
          <w:color w:val="000000"/>
          <w:highlight w:val="none"/>
        </w:rPr>
        <w:t xml:space="preserve">法定代表人或授权代表签字：</w:t>
      </w:r>
      <w:r/>
    </w:p>
    <w:p>
      <w:pPr>
        <w:rPr>
          <w:color w:val="000000"/>
          <w:highlight w:val="none"/>
        </w:rPr>
      </w:pPr>
      <w:r>
        <w:rPr>
          <w:color w:val="000000"/>
          <w:highlight w:val="none"/>
        </w:rPr>
      </w:r>
      <w:r/>
    </w:p>
    <w:p>
      <w:pPr>
        <w:ind w:firstLine="480"/>
        <w:jc w:val="right"/>
        <w:rPr>
          <w:color w:val="000000"/>
          <w:highlight w:val="none"/>
        </w:rPr>
      </w:pPr>
      <w:r>
        <w:rPr>
          <w:color w:val="000000"/>
          <w:highlight w:val="none"/>
        </w:rPr>
        <w:t xml:space="preserve">日期：  </w:t>
      </w:r>
      <w:r>
        <w:rPr>
          <w:color w:val="000000"/>
          <w:highlight w:val="none"/>
          <w:u w:val="single"/>
        </w:rPr>
        <w:t xml:space="preserve">     </w:t>
      </w:r>
      <w:r>
        <w:rPr>
          <w:color w:val="000000"/>
          <w:highlight w:val="none"/>
        </w:rPr>
        <w:t xml:space="preserve">年</w:t>
      </w:r>
      <w:r>
        <w:rPr>
          <w:color w:val="000000"/>
          <w:highlight w:val="none"/>
          <w:u w:val="single"/>
        </w:rPr>
        <w:t xml:space="preserve"> </w:t>
      </w:r>
      <w:r>
        <w:rPr>
          <w:rFonts w:hint="eastAsia"/>
          <w:color w:val="000000"/>
          <w:highlight w:val="none"/>
          <w:u w:val="single"/>
        </w:rPr>
        <w:t xml:space="preserve"> </w:t>
      </w:r>
      <w:r>
        <w:rPr>
          <w:color w:val="000000"/>
          <w:highlight w:val="none"/>
          <w:u w:val="single"/>
        </w:rPr>
        <w:t xml:space="preserve">  </w:t>
      </w:r>
      <w:r>
        <w:rPr>
          <w:color w:val="000000"/>
          <w:highlight w:val="none"/>
        </w:rPr>
        <w:t xml:space="preserve">月</w:t>
      </w:r>
      <w:r>
        <w:rPr>
          <w:color w:val="000000"/>
          <w:highlight w:val="none"/>
          <w:u w:val="single"/>
        </w:rPr>
        <w:t xml:space="preserve">  </w:t>
      </w:r>
      <w:r>
        <w:rPr>
          <w:rFonts w:hint="eastAsia"/>
          <w:color w:val="000000"/>
          <w:highlight w:val="none"/>
          <w:u w:val="single"/>
        </w:rPr>
        <w:t xml:space="preserve"> </w:t>
      </w:r>
      <w:r>
        <w:rPr>
          <w:color w:val="000000"/>
          <w:highlight w:val="none"/>
          <w:u w:val="single"/>
        </w:rPr>
        <w:t xml:space="preserve"> </w:t>
      </w:r>
      <w:r>
        <w:rPr>
          <w:color w:val="000000"/>
          <w:highlight w:val="none"/>
        </w:rPr>
        <w:t xml:space="preserve">日</w:t>
      </w:r>
      <w:r/>
    </w:p>
    <w:p>
      <w:pPr>
        <w:rPr>
          <w:color w:val="000000"/>
          <w:highlight w:val="none"/>
        </w:rPr>
      </w:pPr>
      <w:r>
        <w:rPr>
          <w:color w:val="000000"/>
          <w:highlight w:val="none"/>
        </w:rPr>
      </w:r>
      <w:r/>
    </w:p>
    <w:p>
      <w:pPr>
        <w:rPr>
          <w:color w:val="000000"/>
          <w:highlight w:val="none"/>
        </w:rPr>
      </w:pPr>
      <w:r>
        <w:rPr>
          <w:color w:val="000000"/>
          <w:highlight w:val="none"/>
        </w:rPr>
        <w:t xml:space="preserve">填写说明：</w:t>
      </w:r>
      <w:r/>
    </w:p>
    <w:p>
      <w:pPr>
        <w:rPr>
          <w:color w:val="000000"/>
          <w:highlight w:val="none"/>
        </w:rPr>
      </w:pPr>
      <w:r>
        <w:rPr>
          <w:color w:val="000000"/>
          <w:highlight w:val="none"/>
        </w:rPr>
        <w:t xml:space="preserve">1、磋商响应报价表和磋商响应报价明细表必须单独密封在报价响应文件中，在投标截止时间前与响应文件其他部分分别递交，否则视为无效投标。</w:t>
      </w:r>
      <w:r/>
    </w:p>
    <w:p>
      <w:pPr>
        <w:rPr>
          <w:color w:val="000000"/>
          <w:highlight w:val="none"/>
        </w:rPr>
      </w:pPr>
      <w:r>
        <w:rPr>
          <w:color w:val="000000"/>
          <w:highlight w:val="none"/>
        </w:rPr>
        <w:t xml:space="preserve">2、磋商响应报价表和磋商响应报价明细表必须加盖投标单位公章（复印件无效）。</w:t>
      </w:r>
      <w:r/>
    </w:p>
    <w:p>
      <w:pPr>
        <w:jc w:val="center"/>
        <w:spacing w:line="420" w:lineRule="exact"/>
        <w:rPr>
          <w:b/>
          <w:bCs/>
          <w:highlight w:val="none"/>
        </w:rPr>
      </w:pPr>
      <w:r>
        <w:rPr>
          <w:b/>
          <w:bCs/>
          <w:highlight w:val="none"/>
        </w:rPr>
      </w:r>
      <w:r/>
    </w:p>
    <w:p>
      <w:pPr>
        <w:rPr>
          <w:rFonts w:hint="default" w:ascii="仿宋" w:hAnsi="仿宋" w:eastAsia="仿宋" w:cs="仿宋"/>
          <w:sz w:val="28"/>
          <w:szCs w:val="28"/>
          <w:highlight w:val="none"/>
          <w:lang w:val="en-US" w:eastAsia="zh-CN"/>
        </w:rPr>
      </w:pPr>
      <w:r>
        <w:rPr>
          <w:rFonts w:hint="eastAsia"/>
          <w:sz w:val="28"/>
          <w:szCs w:val="28"/>
          <w:highlight w:val="none"/>
          <w:lang w:val="zh-CN"/>
        </w:rPr>
        <w:br w:type="page" w:clear="all"/>
      </w:r>
      <w:r/>
    </w:p>
    <w:p>
      <w:pP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11、 小微企业、监狱企业、残疾人福利单位的声明函或证明材料</w:t>
      </w:r>
      <w:r/>
    </w:p>
    <w:p>
      <w:pPr>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本公司郑重声明，根据《政府采购促进中小企业发展管理办法》（财库﹝2020﹞46 号）的规定，本公司（联合体）参加</w:t>
      </w:r>
      <w:r>
        <w:rPr>
          <w:rFonts w:hint="eastAsia" w:ascii="仿宋" w:hAnsi="仿宋" w:eastAsia="仿宋" w:cs="仿宋"/>
          <w:sz w:val="28"/>
          <w:szCs w:val="28"/>
          <w:highlight w:val="none"/>
          <w:u w:val="single"/>
        </w:rPr>
        <w:t xml:space="preserve">  （单位名称）   </w:t>
      </w:r>
      <w:r>
        <w:rPr>
          <w:rFonts w:hint="eastAsia" w:ascii="仿宋" w:hAnsi="仿宋" w:eastAsia="仿宋" w:cs="仿宋"/>
          <w:sz w:val="28"/>
          <w:szCs w:val="28"/>
          <w:highlight w:val="none"/>
        </w:rPr>
        <w:t xml:space="preserve">的</w:t>
      </w:r>
      <w:r>
        <w:rPr>
          <w:rFonts w:hint="eastAsia" w:ascii="仿宋" w:hAnsi="仿宋" w:eastAsia="仿宋" w:cs="仿宋"/>
          <w:sz w:val="28"/>
          <w:szCs w:val="28"/>
          <w:highlight w:val="none"/>
          <w:u w:val="single"/>
        </w:rPr>
        <w:t xml:space="preserve">    （项目名称）   </w:t>
      </w:r>
      <w:r>
        <w:rPr>
          <w:rFonts w:hint="eastAsia" w:ascii="仿宋" w:hAnsi="仿宋" w:eastAsia="仿宋" w:cs="仿宋"/>
          <w:sz w:val="28"/>
          <w:szCs w:val="28"/>
          <w:highlight w:val="none"/>
        </w:rPr>
        <w:t xml:space="preserve">采购活动，服务全部由符合政策要求的中小企业承接。相关企业（含联合体中的中小企业、签订分包意向协议的中小企业）的具体情况如下：</w:t>
      </w:r>
      <w:r/>
    </w:p>
    <w:p>
      <w:pPr>
        <w:ind w:firstLine="560"/>
        <w:jc w:val="left"/>
        <w:spacing w:line="500" w:lineRule="exact"/>
        <w:tabs>
          <w:tab w:val="left" w:pos="1243"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u w:val="single"/>
        </w:rPr>
        <w:t xml:space="preserve">（标的名称）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，属</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rPr>
        <w:t xml:space="preserve">其他未列明行业（科学研究和技术服务业）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t xml:space="preserve">承接企业为</w:t>
      </w:r>
      <w:r>
        <w:rPr>
          <w:rFonts w:hint="eastAsia" w:ascii="仿宋" w:hAnsi="仿宋" w:eastAsia="仿宋" w:cs="仿宋"/>
          <w:sz w:val="28"/>
          <w:szCs w:val="28"/>
          <w:highlight w:val="none"/>
          <w:u w:val="single"/>
        </w:rPr>
        <w:t xml:space="preserve">  （企业名称）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，从业人员</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rPr>
        <w:t xml:space="preserve">人，营业收入为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rPr>
        <w:t xml:space="preserve">万元，资产总额为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万元</w:t>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"_bookmark0" </w:instrText>
      </w:r>
      <w:r>
        <w:rPr>
          <w:rFonts w:hint="eastAsia" w:ascii="仿宋" w:hAnsi="仿宋" w:eastAsia="仿宋" w:cs="仿宋"/>
          <w:sz w:val="28"/>
          <w:szCs w:val="28"/>
          <w:highlight w:val="none"/>
        </w:rPr>
        <w:fldChar w:fldCharType="separate"/>
      </w:r>
      <w:r>
        <w:rPr>
          <w:rFonts w:hint="eastAsia" w:ascii="仿宋" w:hAnsi="仿宋" w:eastAsia="仿宋" w:cs="仿宋"/>
          <w:position w:val="16"/>
          <w:sz w:val="28"/>
          <w:szCs w:val="28"/>
          <w:highlight w:val="none"/>
        </w:rPr>
        <w:t xml:space="preserve">1</w:t>
      </w:r>
      <w:r>
        <w:rPr>
          <w:rFonts w:hint="eastAsia" w:ascii="仿宋" w:hAnsi="仿宋" w:eastAsia="仿宋" w:cs="仿宋"/>
          <w:position w:val="16"/>
          <w:sz w:val="28"/>
          <w:szCs w:val="28"/>
          <w:highlight w:val="none"/>
        </w:rPr>
        <w:fldChar w:fldCharType="end"/>
      </w:r>
      <w:r>
        <w:rPr>
          <w:rFonts w:hint="eastAsia" w:ascii="仿宋" w:hAnsi="仿宋" w:eastAsia="仿宋" w:cs="仿宋"/>
          <w:sz w:val="28"/>
          <w:szCs w:val="28"/>
          <w:highlight w:val="none"/>
        </w:rPr>
        <w:t xml:space="preserve">，属于</w:t>
      </w:r>
      <w:r>
        <w:rPr>
          <w:rFonts w:hint="eastAsia" w:ascii="仿宋" w:hAnsi="仿宋" w:eastAsia="仿宋" w:cs="仿宋"/>
          <w:sz w:val="28"/>
          <w:szCs w:val="28"/>
          <w:highlight w:val="none"/>
          <w:u w:val="single"/>
        </w:rPr>
        <w:t xml:space="preserve">   （中型企业、</w:t>
      </w:r>
      <w:r>
        <w:rPr>
          <w:rFonts w:hint="eastAsia" w:ascii="仿宋" w:hAnsi="仿宋" w:eastAsia="仿宋" w:cs="仿宋"/>
          <w:sz w:val="28"/>
          <w:szCs w:val="28"/>
          <w:highlight w:val="none"/>
          <w:u w:val="single"/>
        </w:rPr>
        <w:t xml:space="preserve">小型企业、微型企业） </w:t>
      </w:r>
      <w:r>
        <w:rPr>
          <w:rFonts w:hint="eastAsia" w:ascii="仿宋" w:hAnsi="仿宋" w:eastAsia="仿宋" w:cs="仿宋"/>
          <w:sz w:val="28"/>
          <w:szCs w:val="28"/>
          <w:highlight w:val="none"/>
        </w:rPr>
        <w:t xml:space="preserve">；</w:t>
      </w:r>
      <w:r/>
    </w:p>
    <w:p>
      <w:pPr>
        <w:ind w:firstLine="560"/>
        <w:jc w:val="left"/>
        <w:spacing w:line="500" w:lineRule="exact"/>
        <w:tabs>
          <w:tab w:val="left" w:pos="1243"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u w:val="single"/>
        </w:rPr>
        <w:t xml:space="preserve">（标的名称）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，属</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rPr>
        <w:t xml:space="preserve"> 其他未列明行业（科学研究和技术服务业）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t xml:space="preserve">承接企业为</w:t>
      </w:r>
      <w:r>
        <w:rPr>
          <w:rFonts w:hint="eastAsia" w:ascii="仿宋" w:hAnsi="仿宋" w:eastAsia="仿宋" w:cs="仿宋"/>
          <w:sz w:val="28"/>
          <w:szCs w:val="28"/>
          <w:highlight w:val="none"/>
          <w:u w:val="single"/>
        </w:rPr>
        <w:t xml:space="preserve">  （企业名称）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，从业人员</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rPr>
        <w:t xml:space="preserve">人，营业收入为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rPr>
        <w:t xml:space="preserve">万元，资产总额为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万元，属于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rPr>
        <w:t xml:space="preserve">小型企业、微型企业） </w:t>
      </w:r>
      <w:r>
        <w:rPr>
          <w:rFonts w:hint="eastAsia" w:ascii="仿宋" w:hAnsi="仿宋" w:eastAsia="仿宋" w:cs="仿宋"/>
          <w:sz w:val="28"/>
          <w:szCs w:val="28"/>
          <w:highlight w:val="none"/>
        </w:rPr>
        <w:t xml:space="preserve">。</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以上企业，不属于大企业的分支机构，不存在控股股东为大企业的情形，也不存在与大企业的负责人为同一人的情形。</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本企业对上述声明内容的真实性负责。如有虚假，将依法承担相应责任。</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04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企业名称（盖章）：</w:t>
      </w:r>
      <w:r/>
    </w:p>
    <w:p>
      <w:pPr>
        <w:ind w:firstLine="504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日 期：</w:t>
      </w:r>
      <w:r/>
    </w:p>
    <w:p>
      <w:pPr>
        <w:ind w:firstLine="48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2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2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2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20"/>
        <w:jc w:val="center"/>
        <w:rPr>
          <w:rFonts w:hint="eastAsia" w:ascii="仿宋" w:hAnsi="仿宋" w:eastAsia="仿宋" w:cs="仿宋"/>
          <w:sz w:val="28"/>
          <w:szCs w:val="28"/>
          <w:highlight w:val="none"/>
        </w:rPr>
        <w:outlineLvl w:val="3"/>
      </w:pPr>
      <w:r>
        <w:rPr>
          <w:rFonts w:hint="eastAsia" w:ascii="仿宋" w:hAnsi="仿宋" w:eastAsia="仿宋" w:cs="仿宋"/>
          <w:sz w:val="28"/>
          <w:szCs w:val="28"/>
          <w:highlight w:val="none"/>
        </w:rPr>
        <w:br w:type="page" w:clear="all"/>
      </w:r>
      <w:r>
        <w:rPr>
          <w:rFonts w:hint="eastAsia" w:ascii="仿宋" w:hAnsi="仿宋" w:eastAsia="仿宋" w:cs="仿宋"/>
          <w:sz w:val="28"/>
          <w:szCs w:val="28"/>
          <w:highlight w:val="none"/>
        </w:rPr>
        <w:t xml:space="preserve">（二）监狱企业证明</w:t>
      </w:r>
      <w:r/>
    </w:p>
    <w:p>
      <w:pPr>
        <w:ind w:firstLine="480"/>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（注：符合条件的监狱企业请提供本函，不符合的不提供本函）</w:t>
      </w:r>
      <w:r/>
    </w:p>
    <w:p>
      <w:pPr>
        <w:pStyle w:val="900"/>
        <w:ind w:firstLine="480"/>
        <w:spacing w:before="12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before="12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省级以上监狱管理局、戒毒管理局（含新疆生产建设兵团）出具的属于监狱企业的证明文件。</w:t>
      </w:r>
      <w:r/>
    </w:p>
    <w:p>
      <w:pPr>
        <w:pStyle w:val="900"/>
        <w:ind w:firstLine="480"/>
        <w:spacing w:before="12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jc w:val="center"/>
        <w:rPr>
          <w:rFonts w:hint="eastAsia" w:ascii="仿宋" w:hAnsi="仿宋" w:eastAsia="仿宋" w:cs="仿宋"/>
          <w:sz w:val="28"/>
          <w:szCs w:val="28"/>
          <w:highlight w:val="none"/>
        </w:rPr>
        <w:outlineLvl w:val="3"/>
      </w:pPr>
      <w:r>
        <w:rPr>
          <w:rFonts w:hint="eastAsia" w:ascii="仿宋" w:hAnsi="仿宋" w:eastAsia="仿宋" w:cs="仿宋"/>
          <w:sz w:val="28"/>
          <w:szCs w:val="28"/>
          <w:highlight w:val="none"/>
        </w:rPr>
        <w:t xml:space="preserve">（三）残疾人福利性单位声明函</w:t>
      </w:r>
      <w:r/>
    </w:p>
    <w:p>
      <w:pPr>
        <w:ind w:firstLine="480"/>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（注：符合条件的残疾人福利性单位请提供本函，不符合的不提供本函）</w:t>
      </w:r>
      <w:r/>
    </w:p>
    <w:p>
      <w:pPr>
        <w:ind w:firstLine="48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本单位对上述声明的真实性负责。如有虚假，将依法承担相应责任。</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p>
    <w:p>
      <w:pPr>
        <w:ind w:firstLine="48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88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单位名称（盖章）：</w:t>
      </w:r>
      <w:r/>
    </w:p>
    <w:p>
      <w:pPr>
        <w:ind w:firstLine="48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88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日  期：</w:t>
      </w:r>
      <w:r/>
    </w:p>
    <w:p>
      <w:pPr>
        <w:ind w:firstLine="560"/>
        <w:spacing w:line="4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42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2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2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4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46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ind w:firstLine="560"/>
        <w:spacing w:line="46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ind w:firstLine="560"/>
        <w:spacing w:line="46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ind w:firstLine="560"/>
        <w:spacing w:line="46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spacing w:line="46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rPr>
          <w:rFonts w:hint="eastAsia"/>
          <w:highlight w:val="none"/>
          <w:lang w:val="zh-CN"/>
        </w:rPr>
      </w:pPr>
      <w:r>
        <w:rPr>
          <w:rFonts w:hint="eastAsia"/>
          <w:highlight w:val="none"/>
          <w:lang w:val="zh-CN"/>
        </w:rPr>
      </w:r>
      <w:r/>
    </w:p>
    <w:p>
      <w:pPr>
        <w:rPr>
          <w:highlight w:val="none"/>
        </w:rPr>
      </w:pPr>
      <w:r>
        <w:rPr>
          <w:rFonts w:hint="eastAsia"/>
          <w:highlight w:val="none"/>
          <w:lang w:val="zh-CN"/>
        </w:rPr>
        <w:t xml:space="preserve">附件：</w:t>
      </w:r>
      <w:r>
        <w:rPr>
          <w:rFonts w:hint="eastAsia"/>
          <w:highlight w:val="none"/>
        </w:rPr>
        <w:t xml:space="preserve"> </w:t>
      </w:r>
      <w:r>
        <w:rPr>
          <w:rFonts w:hint="eastAsia"/>
          <w:highlight w:val="none"/>
          <w:lang w:val="en-US" w:eastAsia="zh-CN"/>
        </w:rPr>
        <w:t xml:space="preserve">12</w:t>
      </w:r>
      <w:r>
        <w:rPr>
          <w:rFonts w:hint="eastAsia"/>
          <w:highlight w:val="none"/>
        </w:rPr>
        <w:t xml:space="preserve">   </w:t>
      </w:r>
      <w:r>
        <w:rPr>
          <w:rFonts w:hint="eastAsia"/>
          <w:sz w:val="28"/>
          <w:szCs w:val="24"/>
          <w:highlight w:val="none"/>
        </w:rPr>
        <w:t xml:space="preserve">       </w:t>
      </w:r>
      <w:r>
        <w:rPr>
          <w:sz w:val="28"/>
          <w:szCs w:val="24"/>
          <w:highlight w:val="none"/>
        </w:rPr>
        <w:t xml:space="preserve">评标索引</w:t>
      </w:r>
      <w:r/>
    </w:p>
    <w:p>
      <w:pPr>
        <w:rPr>
          <w:highlight w:val="none"/>
        </w:rPr>
      </w:pPr>
      <w:r>
        <w:rPr>
          <w:highlight w:val="none"/>
        </w:rPr>
        <w:t xml:space="preserve">【本项目建议提供评标索引，</w:t>
      </w:r>
      <w:r>
        <w:rPr>
          <w:spacing w:val="-75"/>
          <w:highlight w:val="none"/>
        </w:rPr>
        <w:t xml:space="preserve"> </w:t>
      </w:r>
      <w:r>
        <w:rPr>
          <w:highlight w:val="none"/>
        </w:rPr>
        <w:t xml:space="preserve">即指明本文件</w:t>
      </w:r>
      <w:r>
        <w:rPr>
          <w:rFonts w:hint="eastAsia"/>
          <w:highlight w:val="none"/>
        </w:rPr>
        <w:t xml:space="preserve">“第四部分 第</w:t>
      </w:r>
      <w:r>
        <w:rPr>
          <w:rFonts w:hint="eastAsia"/>
          <w:highlight w:val="none"/>
          <w:lang w:val="en-US" w:eastAsia="zh-CN"/>
        </w:rPr>
        <w:t xml:space="preserve">六</w:t>
      </w:r>
      <w:r>
        <w:rPr>
          <w:rFonts w:hint="eastAsia"/>
          <w:highlight w:val="none"/>
        </w:rPr>
        <w:t xml:space="preserve"> 评审标准”中</w:t>
      </w:r>
      <w:r>
        <w:rPr>
          <w:spacing w:val="-16"/>
          <w:highlight w:val="none"/>
        </w:rPr>
        <w:t xml:space="preserve">各评审内容所在投标文件页码】</w:t>
      </w:r>
      <w:r/>
    </w:p>
    <w:tbl>
      <w:tblPr>
        <w:tblStyle w:val="903"/>
        <w:tblW w:w="886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3"/>
        <w:gridCol w:w="1365"/>
        <w:gridCol w:w="3136"/>
        <w:gridCol w:w="1969"/>
        <w:gridCol w:w="1749"/>
      </w:tblGrid>
      <w:tr>
        <w:trPr>
          <w:trHeight w:val="588"/>
        </w:trPr>
        <w:tc>
          <w:tcPr>
            <w:tcW w:w="643" w:type="dxa"/>
            <w:textDirection w:val="lrTb"/>
            <w:noWrap w:val="false"/>
          </w:tcPr>
          <w:p>
            <w:pPr>
              <w:rPr>
                <w:highlight w:val="none"/>
              </w:rPr>
            </w:pPr>
            <w:r>
              <w:rPr>
                <w:highlight w:val="none"/>
              </w:rPr>
              <w:t xml:space="preserve">序号</w:t>
            </w:r>
            <w:r/>
          </w:p>
        </w:tc>
        <w:tc>
          <w:tcPr>
            <w:tcW w:w="1365" w:type="dxa"/>
            <w:textDirection w:val="lrTb"/>
            <w:noWrap w:val="false"/>
          </w:tcPr>
          <w:p>
            <w:pPr>
              <w:rPr>
                <w:highlight w:val="none"/>
              </w:rPr>
            </w:pPr>
            <w:r>
              <w:rPr>
                <w:highlight w:val="none"/>
              </w:rPr>
              <w:t xml:space="preserve">评</w:t>
            </w:r>
            <w:r>
              <w:rPr>
                <w:rFonts w:hint="eastAsia"/>
                <w:highlight w:val="none"/>
              </w:rPr>
              <w:t xml:space="preserve">标项目</w:t>
            </w:r>
            <w:r/>
          </w:p>
        </w:tc>
        <w:tc>
          <w:tcPr>
            <w:tcW w:w="3136" w:type="dxa"/>
            <w:textDirection w:val="lrTb"/>
            <w:noWrap w:val="false"/>
          </w:tcPr>
          <w:p>
            <w:pPr>
              <w:rPr>
                <w:highlight w:val="none"/>
              </w:rPr>
            </w:pPr>
            <w:r>
              <w:rPr>
                <w:highlight w:val="none"/>
              </w:rPr>
              <w:t xml:space="preserve">评分标准</w:t>
            </w:r>
            <w:r/>
          </w:p>
        </w:tc>
        <w:tc>
          <w:tcPr>
            <w:tcW w:w="1969" w:type="dxa"/>
            <w:textDirection w:val="lrTb"/>
            <w:noWrap w:val="false"/>
          </w:tcPr>
          <w:p>
            <w:pPr>
              <w:rPr>
                <w:highlight w:val="none"/>
              </w:rPr>
            </w:pPr>
            <w:r>
              <w:rPr>
                <w:highlight w:val="none"/>
              </w:rPr>
              <w:t xml:space="preserve">投标响应情况</w:t>
            </w:r>
            <w:r/>
          </w:p>
          <w:p>
            <w:pPr>
              <w:rPr>
                <w:highlight w:val="none"/>
              </w:rPr>
            </w:pPr>
            <w:r>
              <w:rPr>
                <w:highlight w:val="none"/>
              </w:rPr>
              <w:t xml:space="preserve">简述</w:t>
            </w:r>
            <w:r/>
          </w:p>
        </w:tc>
        <w:tc>
          <w:tcPr>
            <w:tcW w:w="1749" w:type="dxa"/>
            <w:textDirection w:val="lrTb"/>
            <w:noWrap w:val="false"/>
          </w:tcPr>
          <w:p>
            <w:pPr>
              <w:rPr>
                <w:highlight w:val="none"/>
              </w:rPr>
            </w:pPr>
            <w:r>
              <w:rPr>
                <w:highlight w:val="none"/>
              </w:rPr>
              <w:t xml:space="preserve">投标文件对应章</w:t>
            </w:r>
            <w:r>
              <w:rPr>
                <w:spacing w:val="2"/>
                <w:highlight w:val="none"/>
              </w:rPr>
              <w:t xml:space="preserve"> </w:t>
            </w:r>
            <w:r>
              <w:rPr>
                <w:highlight w:val="none"/>
              </w:rPr>
              <w:t xml:space="preserve">节及页码索引</w:t>
            </w:r>
            <w:r/>
          </w:p>
        </w:tc>
      </w:tr>
      <w:tr>
        <w:trPr>
          <w:trHeight w:val="1302"/>
        </w:trPr>
        <w:tc>
          <w:tcPr>
            <w:tcW w:w="643" w:type="dxa"/>
            <w:textDirection w:val="lrTb"/>
            <w:noWrap w:val="false"/>
          </w:tcPr>
          <w:p>
            <w:pPr>
              <w:rPr>
                <w:highlight w:val="none"/>
              </w:rPr>
            </w:pPr>
            <w:r>
              <w:rPr>
                <w:highlight w:val="none"/>
              </w:rPr>
            </w:r>
            <w:r/>
          </w:p>
          <w:p>
            <w:pPr>
              <w:rPr>
                <w:highlight w:val="none"/>
              </w:rPr>
            </w:pPr>
            <w:r>
              <w:rPr>
                <w:highlight w:val="none"/>
              </w:rPr>
            </w:r>
            <w:r/>
          </w:p>
          <w:p>
            <w:pPr>
              <w:rPr>
                <w:highlight w:val="none"/>
              </w:rPr>
            </w:pPr>
            <w:r>
              <w:rPr>
                <w:highlight w:val="none"/>
              </w:rPr>
              <w:t xml:space="preserve">1</w:t>
            </w:r>
            <w:r/>
          </w:p>
        </w:tc>
        <w:tc>
          <w:tcPr>
            <w:tcW w:w="1365" w:type="dxa"/>
            <w:textDirection w:val="lrTb"/>
            <w:noWrap w:val="false"/>
          </w:tcPr>
          <w:p>
            <w:pPr>
              <w:rPr>
                <w:highlight w:val="none"/>
              </w:rPr>
            </w:pPr>
            <w:r>
              <w:rPr>
                <w:highlight w:val="none"/>
              </w:rPr>
              <w:t xml:space="preserve">粘贴</w:t>
            </w:r>
            <w:r>
              <w:rPr>
                <w:rFonts w:hint="eastAsia"/>
                <w:highlight w:val="none"/>
              </w:rPr>
              <w:t xml:space="preserve">第四部分 第</w:t>
            </w:r>
            <w:r>
              <w:rPr>
                <w:rFonts w:hint="eastAsia"/>
                <w:highlight w:val="none"/>
                <w:lang w:val="en-US" w:eastAsia="zh-CN"/>
              </w:rPr>
              <w:t xml:space="preserve">六</w:t>
            </w:r>
            <w:r>
              <w:rPr>
                <w:rFonts w:hint="eastAsia"/>
                <w:highlight w:val="none"/>
              </w:rPr>
              <w:t xml:space="preserve">评审标准</w:t>
            </w:r>
            <w:r>
              <w:rPr>
                <w:spacing w:val="-8"/>
                <w:highlight w:val="none"/>
              </w:rPr>
              <w:t xml:space="preserve">的内容</w:t>
            </w:r>
            <w:r/>
          </w:p>
        </w:tc>
        <w:tc>
          <w:tcPr>
            <w:tcW w:w="3136" w:type="dxa"/>
            <w:textDirection w:val="lrTb"/>
            <w:noWrap w:val="false"/>
          </w:tcPr>
          <w:p>
            <w:pPr>
              <w:rPr>
                <w:highlight w:val="none"/>
              </w:rPr>
            </w:pPr>
            <w:r>
              <w:rPr>
                <w:highlight w:val="none"/>
              </w:rPr>
            </w:r>
            <w:r/>
          </w:p>
          <w:p>
            <w:pPr>
              <w:rPr>
                <w:highlight w:val="none"/>
              </w:rPr>
            </w:pPr>
            <w:r>
              <w:rPr>
                <w:highlight w:val="none"/>
              </w:rPr>
              <w:t xml:space="preserve">粘贴</w:t>
            </w:r>
            <w:r>
              <w:rPr>
                <w:rFonts w:hint="eastAsia"/>
                <w:highlight w:val="none"/>
              </w:rPr>
              <w:t xml:space="preserve">第四部分 第</w:t>
            </w:r>
            <w:r>
              <w:rPr>
                <w:rFonts w:hint="eastAsia"/>
                <w:highlight w:val="none"/>
                <w:lang w:val="en-US" w:eastAsia="zh-CN"/>
              </w:rPr>
              <w:t xml:space="preserve">六</w:t>
            </w:r>
            <w:r>
              <w:rPr>
                <w:rFonts w:hint="eastAsia"/>
                <w:highlight w:val="none"/>
              </w:rPr>
              <w:t xml:space="preserve">评审标准</w:t>
            </w:r>
            <w:r>
              <w:rPr>
                <w:spacing w:val="-8"/>
                <w:highlight w:val="none"/>
              </w:rPr>
              <w:t xml:space="preserve">的内容</w:t>
            </w:r>
            <w:r/>
          </w:p>
        </w:tc>
        <w:tc>
          <w:tcPr>
            <w:tcW w:w="1969" w:type="dxa"/>
            <w:textDirection w:val="lrTb"/>
            <w:noWrap w:val="false"/>
          </w:tcPr>
          <w:p>
            <w:pPr>
              <w:rPr>
                <w:highlight w:val="none"/>
              </w:rPr>
            </w:pPr>
            <w:r>
              <w:rPr>
                <w:highlight w:val="none"/>
              </w:rPr>
              <w:t xml:space="preserve">投标人针对该</w:t>
            </w:r>
            <w:r/>
          </w:p>
          <w:p>
            <w:pPr>
              <w:rPr>
                <w:highlight w:val="none"/>
              </w:rPr>
            </w:pPr>
            <w:r>
              <w:rPr>
                <w:highlight w:val="none"/>
              </w:rPr>
              <w:t xml:space="preserve">评分项的简要</w:t>
            </w:r>
            <w:r/>
          </w:p>
          <w:p>
            <w:pPr>
              <w:rPr>
                <w:highlight w:val="none"/>
              </w:rPr>
            </w:pPr>
            <w:r>
              <w:rPr>
                <w:highlight w:val="none"/>
              </w:rPr>
              <w:t xml:space="preserve">情况，比如</w:t>
            </w:r>
            <w:r>
              <w:rPr>
                <w:rFonts w:eastAsia="Times New Roman"/>
                <w:highlight w:val="none"/>
              </w:rPr>
              <w:t xml:space="preserve">“</w:t>
            </w:r>
            <w:r>
              <w:rPr>
                <w:rFonts w:eastAsia="Times New Roman"/>
                <w:spacing w:val="-14"/>
                <w:highlight w:val="none"/>
              </w:rPr>
              <w:t xml:space="preserve"> </w:t>
            </w:r>
            <w:r>
              <w:rPr>
                <w:highlight w:val="none"/>
              </w:rPr>
              <w:t xml:space="preserve">具</w:t>
            </w:r>
            <w:r/>
          </w:p>
          <w:p>
            <w:pPr>
              <w:rPr>
                <w:highlight w:val="none"/>
              </w:rPr>
            </w:pPr>
            <w:r>
              <w:rPr>
                <w:highlight w:val="none"/>
              </w:rPr>
              <w:t xml:space="preserve">有</w:t>
            </w:r>
            <w:r>
              <w:rPr>
                <w:rFonts w:eastAsia="Times New Roman"/>
                <w:highlight w:val="none"/>
              </w:rPr>
              <w:t xml:space="preserve">X</w:t>
            </w:r>
            <w:r>
              <w:rPr>
                <w:highlight w:val="none"/>
              </w:rPr>
              <w:t xml:space="preserve">个</w:t>
            </w:r>
            <w:r>
              <w:rPr>
                <w:rFonts w:eastAsia="Times New Roman"/>
                <w:highlight w:val="none"/>
              </w:rPr>
              <w:t xml:space="preserve">XXX</w:t>
            </w:r>
            <w:r>
              <w:rPr>
                <w:highlight w:val="none"/>
              </w:rPr>
              <w:t xml:space="preserve">、</w:t>
            </w:r>
            <w:r/>
          </w:p>
          <w:p>
            <w:pPr>
              <w:rPr>
                <w:highlight w:val="none"/>
              </w:rPr>
            </w:pPr>
            <w:r>
              <w:rPr>
                <w:highlight w:val="none"/>
              </w:rPr>
              <w:t xml:space="preserve">XXX</w:t>
            </w:r>
            <w:r>
              <w:rPr>
                <w:spacing w:val="22"/>
                <w:highlight w:val="none"/>
              </w:rPr>
              <w:t xml:space="preserve"> </w:t>
            </w:r>
            <w:r>
              <w:rPr>
                <w:rFonts w:ascii="宋体" w:hAnsi="宋体" w:cs="宋体"/>
                <w:spacing w:val="22"/>
                <w:highlight w:val="none"/>
              </w:rPr>
              <w:t xml:space="preserve">业绩</w:t>
            </w:r>
            <w:r>
              <w:rPr>
                <w:spacing w:val="22"/>
                <w:highlight w:val="none"/>
              </w:rPr>
              <w:t xml:space="preserve">”</w:t>
            </w:r>
            <w:r/>
          </w:p>
        </w:tc>
        <w:tc>
          <w:tcPr>
            <w:tcW w:w="1749" w:type="dxa"/>
            <w:textDirection w:val="lrTb"/>
            <w:noWrap w:val="false"/>
          </w:tcPr>
          <w:p>
            <w:pPr>
              <w:rPr>
                <w:highlight w:val="none"/>
              </w:rPr>
            </w:pPr>
            <w:r>
              <w:rPr>
                <w:highlight w:val="none"/>
              </w:rPr>
              <w:t xml:space="preserve">填写投标文件对</w:t>
            </w:r>
            <w:r/>
          </w:p>
          <w:p>
            <w:pPr>
              <w:rPr>
                <w:highlight w:val="none"/>
              </w:rPr>
            </w:pPr>
            <w:r>
              <w:rPr>
                <w:highlight w:val="none"/>
              </w:rPr>
              <w:t xml:space="preserve">应页码以便评委</w:t>
            </w:r>
            <w:r/>
          </w:p>
          <w:p>
            <w:pPr>
              <w:rPr>
                <w:highlight w:val="none"/>
              </w:rPr>
            </w:pPr>
            <w:r>
              <w:rPr>
                <w:highlight w:val="none"/>
              </w:rPr>
              <w:t xml:space="preserve">翻阅</w:t>
            </w:r>
            <w:r/>
          </w:p>
        </w:tc>
      </w:tr>
      <w:tr>
        <w:trPr>
          <w:trHeight w:val="780"/>
        </w:trPr>
        <w:tc>
          <w:tcPr>
            <w:tcW w:w="643" w:type="dxa"/>
            <w:textDirection w:val="lrTb"/>
            <w:noWrap w:val="false"/>
          </w:tcPr>
          <w:p>
            <w:pPr>
              <w:rPr>
                <w:highlight w:val="none"/>
              </w:rPr>
            </w:pPr>
            <w:r>
              <w:rPr>
                <w:highlight w:val="none"/>
              </w:rPr>
            </w:r>
            <w:r/>
          </w:p>
          <w:p>
            <w:pPr>
              <w:rPr>
                <w:highlight w:val="none"/>
              </w:rPr>
            </w:pPr>
            <w:r>
              <w:rPr>
                <w:highlight w:val="none"/>
              </w:rPr>
              <w:t xml:space="preserve">2</w:t>
            </w:r>
            <w:r/>
          </w:p>
        </w:tc>
        <w:tc>
          <w:tcPr>
            <w:tcW w:w="1365" w:type="dxa"/>
            <w:textDirection w:val="lrTb"/>
            <w:noWrap w:val="false"/>
          </w:tcPr>
          <w:p>
            <w:pPr>
              <w:rPr>
                <w:highlight w:val="none"/>
              </w:rPr>
            </w:pPr>
            <w:r>
              <w:rPr>
                <w:highlight w:val="none"/>
              </w:rPr>
            </w:r>
            <w:r/>
          </w:p>
        </w:tc>
        <w:tc>
          <w:tcPr>
            <w:tcW w:w="3136" w:type="dxa"/>
            <w:textDirection w:val="lrTb"/>
            <w:noWrap w:val="false"/>
          </w:tcPr>
          <w:p>
            <w:pPr>
              <w:rPr>
                <w:highlight w:val="none"/>
              </w:rPr>
            </w:pPr>
            <w:r>
              <w:rPr>
                <w:highlight w:val="none"/>
              </w:rPr>
            </w:r>
            <w:r/>
          </w:p>
        </w:tc>
        <w:tc>
          <w:tcPr>
            <w:tcW w:w="1969" w:type="dxa"/>
            <w:textDirection w:val="lrTb"/>
            <w:noWrap w:val="false"/>
          </w:tcPr>
          <w:p>
            <w:pPr>
              <w:rPr>
                <w:highlight w:val="none"/>
              </w:rPr>
            </w:pPr>
            <w:r>
              <w:rPr>
                <w:highlight w:val="none"/>
              </w:rPr>
            </w:r>
            <w:r/>
          </w:p>
        </w:tc>
        <w:tc>
          <w:tcPr>
            <w:tcW w:w="1749" w:type="dxa"/>
            <w:textDirection w:val="lrTb"/>
            <w:noWrap w:val="false"/>
          </w:tcPr>
          <w:p>
            <w:pPr>
              <w:rPr>
                <w:highlight w:val="none"/>
              </w:rPr>
            </w:pPr>
            <w:r>
              <w:rPr>
                <w:highlight w:val="none"/>
              </w:rPr>
            </w:r>
            <w:r/>
          </w:p>
        </w:tc>
      </w:tr>
      <w:tr>
        <w:trPr>
          <w:trHeight w:val="779"/>
        </w:trPr>
        <w:tc>
          <w:tcPr>
            <w:tcW w:w="643" w:type="dxa"/>
            <w:textDirection w:val="lrTb"/>
            <w:noWrap w:val="false"/>
          </w:tcPr>
          <w:p>
            <w:pPr>
              <w:rPr>
                <w:highlight w:val="none"/>
              </w:rPr>
            </w:pPr>
            <w:r>
              <w:rPr>
                <w:highlight w:val="none"/>
              </w:rPr>
            </w:r>
            <w:r/>
          </w:p>
          <w:p>
            <w:pPr>
              <w:rPr>
                <w:highlight w:val="none"/>
              </w:rPr>
            </w:pPr>
            <w:r>
              <w:rPr>
                <w:highlight w:val="none"/>
              </w:rPr>
              <w:t xml:space="preserve">3</w:t>
            </w:r>
            <w:r/>
          </w:p>
        </w:tc>
        <w:tc>
          <w:tcPr>
            <w:tcW w:w="1365" w:type="dxa"/>
            <w:textDirection w:val="lrTb"/>
            <w:noWrap w:val="false"/>
          </w:tcPr>
          <w:p>
            <w:pPr>
              <w:rPr>
                <w:highlight w:val="none"/>
              </w:rPr>
            </w:pPr>
            <w:r>
              <w:rPr>
                <w:highlight w:val="none"/>
              </w:rPr>
            </w:r>
            <w:r/>
          </w:p>
        </w:tc>
        <w:tc>
          <w:tcPr>
            <w:tcW w:w="3136" w:type="dxa"/>
            <w:textDirection w:val="lrTb"/>
            <w:noWrap w:val="false"/>
          </w:tcPr>
          <w:p>
            <w:pPr>
              <w:rPr>
                <w:highlight w:val="none"/>
              </w:rPr>
            </w:pPr>
            <w:r>
              <w:rPr>
                <w:highlight w:val="none"/>
              </w:rPr>
            </w:r>
            <w:r/>
          </w:p>
        </w:tc>
        <w:tc>
          <w:tcPr>
            <w:tcW w:w="1969" w:type="dxa"/>
            <w:textDirection w:val="lrTb"/>
            <w:noWrap w:val="false"/>
          </w:tcPr>
          <w:p>
            <w:pPr>
              <w:rPr>
                <w:highlight w:val="none"/>
              </w:rPr>
            </w:pPr>
            <w:r>
              <w:rPr>
                <w:highlight w:val="none"/>
              </w:rPr>
            </w:r>
            <w:r/>
          </w:p>
        </w:tc>
        <w:tc>
          <w:tcPr>
            <w:tcW w:w="1749" w:type="dxa"/>
            <w:textDirection w:val="lrTb"/>
            <w:noWrap w:val="false"/>
          </w:tcPr>
          <w:p>
            <w:pPr>
              <w:rPr>
                <w:highlight w:val="none"/>
              </w:rPr>
            </w:pPr>
            <w:r>
              <w:rPr>
                <w:highlight w:val="none"/>
              </w:rPr>
            </w:r>
            <w:r/>
          </w:p>
        </w:tc>
      </w:tr>
      <w:tr>
        <w:trPr>
          <w:trHeight w:val="779"/>
        </w:trPr>
        <w:tc>
          <w:tcPr>
            <w:tcW w:w="643" w:type="dxa"/>
            <w:textDirection w:val="lrTb"/>
            <w:noWrap w:val="false"/>
          </w:tcPr>
          <w:p>
            <w:pPr>
              <w:rPr>
                <w:highlight w:val="none"/>
              </w:rPr>
            </w:pPr>
            <w:r>
              <w:rPr>
                <w:highlight w:val="none"/>
              </w:rPr>
            </w:r>
            <w:r/>
          </w:p>
          <w:p>
            <w:pPr>
              <w:rPr>
                <w:highlight w:val="none"/>
              </w:rPr>
            </w:pPr>
            <w:r>
              <w:rPr>
                <w:highlight w:val="none"/>
              </w:rPr>
              <w:t xml:space="preserve">4</w:t>
            </w:r>
            <w:r/>
          </w:p>
        </w:tc>
        <w:tc>
          <w:tcPr>
            <w:tcW w:w="1365" w:type="dxa"/>
            <w:textDirection w:val="lrTb"/>
            <w:noWrap w:val="false"/>
          </w:tcPr>
          <w:p>
            <w:pPr>
              <w:rPr>
                <w:highlight w:val="none"/>
              </w:rPr>
            </w:pPr>
            <w:r>
              <w:rPr>
                <w:highlight w:val="none"/>
              </w:rPr>
            </w:r>
            <w:r/>
          </w:p>
        </w:tc>
        <w:tc>
          <w:tcPr>
            <w:tcW w:w="3136" w:type="dxa"/>
            <w:textDirection w:val="lrTb"/>
            <w:noWrap w:val="false"/>
          </w:tcPr>
          <w:p>
            <w:pPr>
              <w:rPr>
                <w:highlight w:val="none"/>
              </w:rPr>
            </w:pPr>
            <w:r>
              <w:rPr>
                <w:highlight w:val="none"/>
              </w:rPr>
            </w:r>
            <w:r/>
          </w:p>
        </w:tc>
        <w:tc>
          <w:tcPr>
            <w:tcW w:w="1969" w:type="dxa"/>
            <w:textDirection w:val="lrTb"/>
            <w:noWrap w:val="false"/>
          </w:tcPr>
          <w:p>
            <w:pPr>
              <w:rPr>
                <w:highlight w:val="none"/>
              </w:rPr>
            </w:pPr>
            <w:r>
              <w:rPr>
                <w:highlight w:val="none"/>
              </w:rPr>
            </w:r>
            <w:r/>
          </w:p>
        </w:tc>
        <w:tc>
          <w:tcPr>
            <w:tcW w:w="1749" w:type="dxa"/>
            <w:textDirection w:val="lrTb"/>
            <w:noWrap w:val="false"/>
          </w:tcPr>
          <w:p>
            <w:pPr>
              <w:rPr>
                <w:highlight w:val="none"/>
              </w:rPr>
            </w:pPr>
            <w:r>
              <w:rPr>
                <w:highlight w:val="none"/>
              </w:rPr>
            </w:r>
            <w:r/>
          </w:p>
        </w:tc>
      </w:tr>
      <w:tr>
        <w:trPr>
          <w:trHeight w:val="940"/>
        </w:trPr>
        <w:tc>
          <w:tcPr>
            <w:tcW w:w="643" w:type="dxa"/>
            <w:textDirection w:val="lrTb"/>
            <w:noWrap w:val="false"/>
          </w:tcPr>
          <w:p>
            <w:pPr>
              <w:rPr>
                <w:highlight w:val="none"/>
              </w:rPr>
            </w:pPr>
            <w:r>
              <w:rPr>
                <w:highlight w:val="none"/>
              </w:rPr>
            </w:r>
            <w:r/>
          </w:p>
          <w:p>
            <w:pPr>
              <w:rPr>
                <w:highlight w:val="none"/>
              </w:rPr>
            </w:pPr>
            <w:r>
              <w:rPr>
                <w:highlight w:val="none"/>
              </w:rPr>
              <w:t xml:space="preserve">5</w:t>
            </w:r>
            <w:r/>
          </w:p>
        </w:tc>
        <w:tc>
          <w:tcPr>
            <w:tcW w:w="1365" w:type="dxa"/>
            <w:textDirection w:val="lrTb"/>
            <w:noWrap w:val="false"/>
          </w:tcPr>
          <w:p>
            <w:pPr>
              <w:rPr>
                <w:highlight w:val="none"/>
              </w:rPr>
            </w:pPr>
            <w:r>
              <w:rPr>
                <w:highlight w:val="none"/>
              </w:rPr>
            </w:r>
            <w:r/>
          </w:p>
        </w:tc>
        <w:tc>
          <w:tcPr>
            <w:tcW w:w="3136" w:type="dxa"/>
            <w:textDirection w:val="lrTb"/>
            <w:noWrap w:val="false"/>
          </w:tcPr>
          <w:p>
            <w:pPr>
              <w:rPr>
                <w:highlight w:val="none"/>
              </w:rPr>
            </w:pPr>
            <w:r>
              <w:rPr>
                <w:highlight w:val="none"/>
              </w:rPr>
            </w:r>
            <w:r/>
          </w:p>
        </w:tc>
        <w:tc>
          <w:tcPr>
            <w:tcW w:w="1969" w:type="dxa"/>
            <w:textDirection w:val="lrTb"/>
            <w:noWrap w:val="false"/>
          </w:tcPr>
          <w:p>
            <w:pPr>
              <w:rPr>
                <w:highlight w:val="none"/>
              </w:rPr>
            </w:pPr>
            <w:r>
              <w:rPr>
                <w:highlight w:val="none"/>
              </w:rPr>
            </w:r>
            <w:r/>
          </w:p>
        </w:tc>
        <w:tc>
          <w:tcPr>
            <w:tcW w:w="1749" w:type="dxa"/>
            <w:textDirection w:val="lrTb"/>
            <w:noWrap w:val="false"/>
          </w:tcPr>
          <w:p>
            <w:pPr>
              <w:rPr>
                <w:highlight w:val="none"/>
              </w:rPr>
            </w:pPr>
            <w:r>
              <w:rPr>
                <w:highlight w:val="none"/>
              </w:rPr>
            </w:r>
            <w:r/>
          </w:p>
        </w:tc>
      </w:tr>
      <w:tr>
        <w:trPr>
          <w:trHeight w:val="991"/>
        </w:trPr>
        <w:tc>
          <w:tcPr>
            <w:tcW w:w="643" w:type="dxa"/>
            <w:textDirection w:val="lrTb"/>
            <w:noWrap w:val="false"/>
          </w:tcPr>
          <w:p>
            <w:pPr>
              <w:rPr>
                <w:highlight w:val="none"/>
              </w:rPr>
            </w:pPr>
            <w:r>
              <w:rPr>
                <w:highlight w:val="none"/>
              </w:rPr>
            </w:r>
            <w:r/>
          </w:p>
        </w:tc>
        <w:tc>
          <w:tcPr>
            <w:tcW w:w="1365" w:type="dxa"/>
            <w:textDirection w:val="lrTb"/>
            <w:noWrap w:val="false"/>
          </w:tcPr>
          <w:p>
            <w:pPr>
              <w:rPr>
                <w:highlight w:val="none"/>
              </w:rPr>
            </w:pPr>
            <w:r>
              <w:rPr>
                <w:highlight w:val="none"/>
              </w:rPr>
            </w:r>
            <w:r/>
          </w:p>
        </w:tc>
        <w:tc>
          <w:tcPr>
            <w:tcW w:w="3136" w:type="dxa"/>
            <w:textDirection w:val="lrTb"/>
            <w:noWrap w:val="false"/>
          </w:tcPr>
          <w:p>
            <w:pPr>
              <w:rPr>
                <w:highlight w:val="none"/>
              </w:rPr>
            </w:pPr>
            <w:r>
              <w:rPr>
                <w:highlight w:val="none"/>
              </w:rPr>
            </w:r>
            <w:r/>
          </w:p>
        </w:tc>
        <w:tc>
          <w:tcPr>
            <w:tcW w:w="1969" w:type="dxa"/>
            <w:textDirection w:val="lrTb"/>
            <w:noWrap w:val="false"/>
          </w:tcPr>
          <w:p>
            <w:pPr>
              <w:rPr>
                <w:highlight w:val="none"/>
              </w:rPr>
            </w:pPr>
            <w:r>
              <w:rPr>
                <w:highlight w:val="none"/>
              </w:rPr>
            </w:r>
            <w:r/>
          </w:p>
        </w:tc>
        <w:tc>
          <w:tcPr>
            <w:tcW w:w="1749" w:type="dxa"/>
            <w:textDirection w:val="lrTb"/>
            <w:noWrap w:val="false"/>
          </w:tcPr>
          <w:p>
            <w:pPr>
              <w:rPr>
                <w:highlight w:val="none"/>
              </w:rPr>
            </w:pPr>
            <w:r>
              <w:rPr>
                <w:highlight w:val="none"/>
              </w:rPr>
            </w:r>
            <w:r/>
          </w:p>
        </w:tc>
      </w:tr>
      <w:tr>
        <w:trPr>
          <w:trHeight w:val="1002"/>
        </w:trPr>
        <w:tc>
          <w:tcPr>
            <w:tcW w:w="643" w:type="dxa"/>
            <w:textDirection w:val="lrTb"/>
            <w:noWrap w:val="false"/>
          </w:tcPr>
          <w:p>
            <w:pPr>
              <w:rPr>
                <w:highlight w:val="none"/>
              </w:rPr>
            </w:pPr>
            <w:r>
              <w:rPr>
                <w:highlight w:val="none"/>
              </w:rPr>
            </w:r>
            <w:r/>
          </w:p>
        </w:tc>
        <w:tc>
          <w:tcPr>
            <w:tcW w:w="1365" w:type="dxa"/>
            <w:textDirection w:val="lrTb"/>
            <w:noWrap w:val="false"/>
          </w:tcPr>
          <w:p>
            <w:pPr>
              <w:rPr>
                <w:highlight w:val="none"/>
              </w:rPr>
            </w:pPr>
            <w:r>
              <w:rPr>
                <w:highlight w:val="none"/>
              </w:rPr>
            </w:r>
            <w:r/>
          </w:p>
        </w:tc>
        <w:tc>
          <w:tcPr>
            <w:tcW w:w="3136" w:type="dxa"/>
            <w:textDirection w:val="lrTb"/>
            <w:noWrap w:val="false"/>
          </w:tcPr>
          <w:p>
            <w:pPr>
              <w:rPr>
                <w:highlight w:val="none"/>
              </w:rPr>
            </w:pPr>
            <w:r>
              <w:rPr>
                <w:highlight w:val="none"/>
              </w:rPr>
            </w:r>
            <w:r/>
          </w:p>
        </w:tc>
        <w:tc>
          <w:tcPr>
            <w:tcW w:w="1969" w:type="dxa"/>
            <w:textDirection w:val="lrTb"/>
            <w:noWrap w:val="false"/>
          </w:tcPr>
          <w:p>
            <w:pPr>
              <w:rPr>
                <w:highlight w:val="none"/>
              </w:rPr>
            </w:pPr>
            <w:r>
              <w:rPr>
                <w:highlight w:val="none"/>
              </w:rPr>
            </w:r>
            <w:r/>
          </w:p>
        </w:tc>
        <w:tc>
          <w:tcPr>
            <w:tcW w:w="1749" w:type="dxa"/>
            <w:textDirection w:val="lrTb"/>
            <w:noWrap w:val="false"/>
          </w:tcPr>
          <w:p>
            <w:pPr>
              <w:rPr>
                <w:highlight w:val="none"/>
              </w:rPr>
            </w:pPr>
            <w:r>
              <w:rPr>
                <w:highlight w:val="none"/>
              </w:rPr>
            </w:r>
            <w:r/>
          </w:p>
        </w:tc>
      </w:tr>
    </w:tbl>
    <w:p>
      <w:pPr>
        <w:rPr>
          <w:highlight w:val="none"/>
          <w:lang w:val="zh-CN"/>
        </w:rPr>
      </w:pPr>
      <w:r>
        <w:rPr>
          <w:highlight w:val="none"/>
          <w:lang w:val="zh-CN"/>
        </w:rPr>
      </w:r>
      <w:r/>
    </w:p>
    <w:p>
      <w:pPr>
        <w:rPr>
          <w:highlight w:val="none"/>
          <w:lang w:val="zh-CN"/>
        </w:rPr>
      </w:pPr>
      <w:r>
        <w:rPr>
          <w:highlight w:val="none"/>
          <w:lang w:val="zh-CN"/>
        </w:rPr>
      </w:r>
      <w:r/>
    </w:p>
    <w:p>
      <w:pPr>
        <w:rPr>
          <w:highlight w:val="none"/>
          <w:lang w:val="zh-CN"/>
        </w:rPr>
      </w:pPr>
      <w:r>
        <w:rPr>
          <w:highlight w:val="none"/>
          <w:lang w:val="zh-CN"/>
        </w:rPr>
      </w:r>
      <w:r/>
    </w:p>
    <w:p>
      <w:pPr>
        <w:rPr>
          <w:highlight w:val="none"/>
          <w:lang w:val="zh-CN"/>
        </w:rPr>
      </w:pPr>
      <w:r>
        <w:rPr>
          <w:rFonts w:hint="eastAsia"/>
          <w:highlight w:val="none"/>
          <w:lang w:val="zh-CN"/>
        </w:rPr>
        <w:br w:type="page" w:clear="all"/>
      </w:r>
      <w:r/>
    </w:p>
    <w:p>
      <w:pPr>
        <w:rPr>
          <w:highlight w:val="none"/>
        </w:rPr>
      </w:pPr>
      <w:r>
        <w:rPr>
          <w:rFonts w:hint="eastAsia"/>
          <w:highlight w:val="none"/>
          <w:lang w:val="zh-CN"/>
        </w:rPr>
        <w:t xml:space="preserve">附件：</w:t>
      </w:r>
      <w:r>
        <w:rPr>
          <w:rFonts w:hint="eastAsia"/>
          <w:highlight w:val="none"/>
        </w:rPr>
        <w:t xml:space="preserve">1</w:t>
      </w:r>
      <w:r>
        <w:rPr>
          <w:rFonts w:hint="eastAsia"/>
          <w:highlight w:val="none"/>
          <w:lang w:val="en-US" w:eastAsia="zh-CN"/>
        </w:rPr>
        <w:t xml:space="preserve">3</w:t>
      </w:r>
      <w:r>
        <w:rPr>
          <w:rFonts w:hint="eastAsia"/>
          <w:highlight w:val="none"/>
        </w:rPr>
        <w:t xml:space="preserve">                   </w:t>
      </w:r>
      <w:r>
        <w:rPr>
          <w:highlight w:val="none"/>
        </w:rPr>
        <w:t xml:space="preserve">拟投入本项目人员情况表</w:t>
      </w:r>
      <w:r/>
    </w:p>
    <w:p>
      <w:pPr>
        <w:rPr>
          <w:highlight w:val="none"/>
        </w:rPr>
      </w:pPr>
      <w:r>
        <w:rPr>
          <w:highlight w:val="none"/>
        </w:rPr>
      </w:r>
      <w:r/>
    </w:p>
    <w:tbl>
      <w:tblPr>
        <w:tblStyle w:val="903"/>
        <w:tblW w:w="1025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87"/>
        <w:gridCol w:w="781"/>
        <w:gridCol w:w="911"/>
        <w:gridCol w:w="1342"/>
        <w:gridCol w:w="932"/>
        <w:gridCol w:w="1152"/>
        <w:gridCol w:w="2230"/>
        <w:gridCol w:w="1060"/>
        <w:gridCol w:w="1060"/>
      </w:tblGrid>
      <w:tr>
        <w:trPr>
          <w:trHeight w:val="800"/>
        </w:trPr>
        <w:tc>
          <w:tcPr>
            <w:tcW w:w="787" w:type="dxa"/>
            <w:vAlign w:val="center"/>
            <w:textDirection w:val="lrTb"/>
            <w:noWrap w:val="false"/>
          </w:tcPr>
          <w:p>
            <w:pPr>
              <w:rPr>
                <w:sz w:val="18"/>
                <w:highlight w:val="none"/>
              </w:rPr>
            </w:pPr>
            <w:r>
              <w:rPr>
                <w:rFonts w:hint="eastAsia"/>
                <w:sz w:val="18"/>
                <w:highlight w:val="none"/>
              </w:rPr>
              <w:t xml:space="preserve">序号</w:t>
            </w:r>
            <w:r/>
          </w:p>
        </w:tc>
        <w:tc>
          <w:tcPr>
            <w:tcW w:w="781" w:type="dxa"/>
            <w:vAlign w:val="center"/>
            <w:textDirection w:val="lrTb"/>
            <w:noWrap w:val="false"/>
          </w:tcPr>
          <w:p>
            <w:pPr>
              <w:rPr>
                <w:sz w:val="18"/>
                <w:highlight w:val="none"/>
              </w:rPr>
            </w:pPr>
            <w:r>
              <w:rPr>
                <w:rFonts w:hint="eastAsia"/>
                <w:sz w:val="18"/>
                <w:highlight w:val="none"/>
              </w:rPr>
              <w:t xml:space="preserve">姓名</w:t>
            </w:r>
            <w:r/>
          </w:p>
        </w:tc>
        <w:tc>
          <w:tcPr>
            <w:tcW w:w="911" w:type="dxa"/>
            <w:vAlign w:val="center"/>
            <w:textDirection w:val="lrTb"/>
            <w:noWrap w:val="false"/>
          </w:tcPr>
          <w:p>
            <w:pPr>
              <w:rPr>
                <w:sz w:val="18"/>
                <w:highlight w:val="none"/>
              </w:rPr>
            </w:pPr>
            <w:r>
              <w:rPr>
                <w:rFonts w:hint="eastAsia"/>
                <w:sz w:val="18"/>
                <w:highlight w:val="none"/>
              </w:rPr>
              <w:t xml:space="preserve">年龄</w:t>
            </w:r>
            <w:r/>
          </w:p>
        </w:tc>
        <w:tc>
          <w:tcPr>
            <w:tcW w:w="1342" w:type="dxa"/>
            <w:vAlign w:val="center"/>
            <w:textDirection w:val="lrTb"/>
            <w:noWrap w:val="false"/>
          </w:tcPr>
          <w:p>
            <w:pPr>
              <w:rPr>
                <w:sz w:val="18"/>
                <w:highlight w:val="none"/>
              </w:rPr>
            </w:pPr>
            <w:r>
              <w:rPr>
                <w:rFonts w:hint="eastAsia"/>
                <w:sz w:val="18"/>
                <w:highlight w:val="none"/>
              </w:rPr>
              <w:t xml:space="preserve">在本项目中的职位</w:t>
            </w:r>
            <w:r/>
          </w:p>
        </w:tc>
        <w:tc>
          <w:tcPr>
            <w:tcW w:w="932" w:type="dxa"/>
            <w:vAlign w:val="center"/>
            <w:textDirection w:val="lrTb"/>
            <w:noWrap w:val="false"/>
          </w:tcPr>
          <w:p>
            <w:pPr>
              <w:rPr>
                <w:sz w:val="18"/>
                <w:highlight w:val="none"/>
              </w:rPr>
            </w:pPr>
            <w:r>
              <w:rPr>
                <w:rFonts w:hint="eastAsia"/>
                <w:sz w:val="18"/>
                <w:highlight w:val="none"/>
              </w:rPr>
              <w:t xml:space="preserve">学历/ 学位</w:t>
            </w:r>
            <w:r/>
          </w:p>
        </w:tc>
        <w:tc>
          <w:tcPr>
            <w:tcW w:w="1152" w:type="dxa"/>
            <w:vAlign w:val="center"/>
            <w:textDirection w:val="lrTb"/>
            <w:noWrap w:val="false"/>
          </w:tcPr>
          <w:p>
            <w:pPr>
              <w:ind w:firstLine="360"/>
              <w:rPr>
                <w:sz w:val="18"/>
                <w:highlight w:val="none"/>
              </w:rPr>
            </w:pPr>
            <w:r>
              <w:rPr>
                <w:rFonts w:hint="eastAsia"/>
                <w:sz w:val="18"/>
                <w:highlight w:val="none"/>
              </w:rPr>
              <w:t xml:space="preserve">专业</w:t>
            </w:r>
            <w:r/>
          </w:p>
        </w:tc>
        <w:tc>
          <w:tcPr>
            <w:tcW w:w="2230" w:type="dxa"/>
            <w:vAlign w:val="center"/>
            <w:textDirection w:val="lrTb"/>
            <w:noWrap w:val="false"/>
          </w:tcPr>
          <w:p>
            <w:pPr>
              <w:rPr>
                <w:sz w:val="18"/>
                <w:highlight w:val="none"/>
              </w:rPr>
            </w:pPr>
            <w:r>
              <w:rPr>
                <w:rFonts w:hint="eastAsia"/>
                <w:sz w:val="18"/>
                <w:highlight w:val="none"/>
              </w:rPr>
              <w:t xml:space="preserve">职称（类别、级别）</w:t>
            </w:r>
            <w:r/>
          </w:p>
        </w:tc>
        <w:tc>
          <w:tcPr>
            <w:tcW w:w="1060" w:type="dxa"/>
            <w:vAlign w:val="center"/>
            <w:textDirection w:val="lrTb"/>
            <w:noWrap w:val="false"/>
          </w:tcPr>
          <w:p>
            <w:pPr>
              <w:rPr>
                <w:sz w:val="18"/>
                <w:highlight w:val="none"/>
              </w:rPr>
            </w:pPr>
            <w:r>
              <w:rPr>
                <w:rFonts w:hint="eastAsia"/>
                <w:sz w:val="18"/>
                <w:highlight w:val="none"/>
              </w:rPr>
              <w:t xml:space="preserve">相关证书</w:t>
            </w:r>
            <w:r/>
          </w:p>
        </w:tc>
        <w:tc>
          <w:tcPr>
            <w:tcW w:w="1060" w:type="dxa"/>
            <w:vAlign w:val="center"/>
            <w:textDirection w:val="lrTb"/>
            <w:noWrap w:val="false"/>
          </w:tcPr>
          <w:p>
            <w:pPr>
              <w:rPr>
                <w:sz w:val="18"/>
                <w:highlight w:val="none"/>
              </w:rPr>
            </w:pPr>
            <w:r>
              <w:rPr>
                <w:rFonts w:hint="eastAsia"/>
                <w:sz w:val="18"/>
                <w:highlight w:val="none"/>
              </w:rPr>
              <w:t xml:space="preserve">证明材料页码</w:t>
            </w:r>
            <w:r/>
          </w:p>
        </w:tc>
      </w:tr>
      <w:tr>
        <w:trPr>
          <w:trHeight w:val="621"/>
        </w:trPr>
        <w:tc>
          <w:tcPr>
            <w:tcW w:w="787" w:type="dxa"/>
            <w:textDirection w:val="lrTb"/>
            <w:noWrap w:val="false"/>
          </w:tcPr>
          <w:p>
            <w:pPr>
              <w:rPr>
                <w:highlight w:val="none"/>
              </w:rPr>
            </w:pPr>
            <w:r>
              <w:rPr>
                <w:highlight w:val="none"/>
              </w:rPr>
            </w:r>
            <w:r/>
          </w:p>
        </w:tc>
        <w:tc>
          <w:tcPr>
            <w:tcW w:w="781" w:type="dxa"/>
            <w:textDirection w:val="lrTb"/>
            <w:noWrap w:val="false"/>
          </w:tcPr>
          <w:p>
            <w:pPr>
              <w:rPr>
                <w:highlight w:val="none"/>
              </w:rPr>
            </w:pPr>
            <w:r>
              <w:rPr>
                <w:highlight w:val="none"/>
              </w:rPr>
            </w:r>
            <w:r/>
          </w:p>
        </w:tc>
        <w:tc>
          <w:tcPr>
            <w:tcW w:w="911" w:type="dxa"/>
            <w:textDirection w:val="lrTb"/>
            <w:noWrap w:val="false"/>
          </w:tcPr>
          <w:p>
            <w:pPr>
              <w:rPr>
                <w:highlight w:val="none"/>
              </w:rPr>
            </w:pPr>
            <w:r>
              <w:rPr>
                <w:highlight w:val="none"/>
              </w:rPr>
            </w:r>
            <w:r/>
          </w:p>
        </w:tc>
        <w:tc>
          <w:tcPr>
            <w:tcW w:w="1342" w:type="dxa"/>
            <w:vAlign w:val="center"/>
            <w:textDirection w:val="lrTb"/>
            <w:noWrap w:val="false"/>
          </w:tcPr>
          <w:p>
            <w:pPr>
              <w:rPr>
                <w:sz w:val="18"/>
                <w:highlight w:val="none"/>
              </w:rPr>
            </w:pPr>
            <w:r>
              <w:rPr>
                <w:sz w:val="18"/>
                <w:highlight w:val="none"/>
              </w:rPr>
              <w:t xml:space="preserve">项目</w:t>
            </w:r>
            <w:r>
              <w:rPr>
                <w:rFonts w:hint="eastAsia"/>
                <w:sz w:val="18"/>
                <w:highlight w:val="none"/>
              </w:rPr>
              <w:t xml:space="preserve">负责人</w:t>
            </w:r>
            <w:r/>
          </w:p>
        </w:tc>
        <w:tc>
          <w:tcPr>
            <w:tcW w:w="932" w:type="dxa"/>
            <w:textDirection w:val="lrTb"/>
            <w:noWrap w:val="false"/>
          </w:tcPr>
          <w:p>
            <w:pPr>
              <w:ind w:firstLine="360"/>
              <w:rPr>
                <w:sz w:val="18"/>
                <w:highlight w:val="none"/>
              </w:rPr>
            </w:pPr>
            <w:r>
              <w:rPr>
                <w:sz w:val="18"/>
                <w:highlight w:val="none"/>
              </w:rPr>
            </w:r>
            <w:r/>
          </w:p>
        </w:tc>
        <w:tc>
          <w:tcPr>
            <w:tcW w:w="1152" w:type="dxa"/>
            <w:textDirection w:val="lrTb"/>
            <w:noWrap w:val="false"/>
          </w:tcPr>
          <w:p>
            <w:pPr>
              <w:ind w:firstLine="360"/>
              <w:rPr>
                <w:sz w:val="18"/>
                <w:highlight w:val="none"/>
              </w:rPr>
            </w:pPr>
            <w:r>
              <w:rPr>
                <w:sz w:val="18"/>
                <w:highlight w:val="none"/>
              </w:rPr>
            </w:r>
            <w:r/>
          </w:p>
        </w:tc>
        <w:tc>
          <w:tcPr>
            <w:tcW w:w="2230" w:type="dxa"/>
            <w:textDirection w:val="lrTb"/>
            <w:noWrap w:val="false"/>
          </w:tcPr>
          <w:p>
            <w:pPr>
              <w:ind w:firstLine="360"/>
              <w:rPr>
                <w:rFonts w:ascii="Arial"/>
                <w:sz w:val="18"/>
                <w:highlight w:val="none"/>
              </w:rPr>
            </w:pPr>
            <w:r>
              <w:rPr>
                <w:rFonts w:hint="eastAsia"/>
                <w:sz w:val="18"/>
                <w:highlight w:val="none"/>
              </w:rPr>
              <w:t xml:space="preserve">例：化工类 工程师</w:t>
            </w:r>
            <w:r/>
          </w:p>
        </w:tc>
        <w:tc>
          <w:tcPr>
            <w:tcW w:w="1060" w:type="dxa"/>
            <w:textDirection w:val="lrTb"/>
            <w:noWrap w:val="false"/>
          </w:tcPr>
          <w:p>
            <w:pPr>
              <w:rPr>
                <w:rFonts w:ascii="Arial"/>
                <w:sz w:val="18"/>
                <w:highlight w:val="none"/>
              </w:rPr>
            </w:pPr>
            <w:r>
              <w:rPr>
                <w:rFonts w:hint="eastAsia"/>
                <w:sz w:val="18"/>
                <w:highlight w:val="none"/>
              </w:rPr>
              <w:t xml:space="preserve">例：A2驾驶证</w:t>
            </w:r>
            <w:r/>
          </w:p>
        </w:tc>
        <w:tc>
          <w:tcPr>
            <w:tcW w:w="1060" w:type="dxa"/>
            <w:textDirection w:val="lrTb"/>
            <w:noWrap w:val="false"/>
          </w:tcPr>
          <w:p>
            <w:pPr>
              <w:ind w:firstLine="360"/>
              <w:rPr>
                <w:sz w:val="18"/>
                <w:highlight w:val="none"/>
              </w:rPr>
            </w:pPr>
            <w:r>
              <w:rPr>
                <w:sz w:val="18"/>
                <w:highlight w:val="none"/>
              </w:rPr>
            </w:r>
            <w:r/>
          </w:p>
        </w:tc>
      </w:tr>
      <w:tr>
        <w:trPr>
          <w:trHeight w:val="407"/>
        </w:trPr>
        <w:tc>
          <w:tcPr>
            <w:tcW w:w="787" w:type="dxa"/>
            <w:textDirection w:val="lrTb"/>
            <w:noWrap w:val="false"/>
          </w:tcPr>
          <w:p>
            <w:pPr>
              <w:rPr>
                <w:highlight w:val="none"/>
              </w:rPr>
            </w:pPr>
            <w:r>
              <w:rPr>
                <w:highlight w:val="none"/>
              </w:rPr>
            </w:r>
            <w:r/>
          </w:p>
        </w:tc>
        <w:tc>
          <w:tcPr>
            <w:tcW w:w="781" w:type="dxa"/>
            <w:textDirection w:val="lrTb"/>
            <w:noWrap w:val="false"/>
          </w:tcPr>
          <w:p>
            <w:pPr>
              <w:rPr>
                <w:highlight w:val="none"/>
              </w:rPr>
            </w:pPr>
            <w:r>
              <w:rPr>
                <w:highlight w:val="none"/>
              </w:rPr>
            </w:r>
            <w:r/>
          </w:p>
        </w:tc>
        <w:tc>
          <w:tcPr>
            <w:tcW w:w="911" w:type="dxa"/>
            <w:textDirection w:val="lrTb"/>
            <w:noWrap w:val="false"/>
          </w:tcPr>
          <w:p>
            <w:pPr>
              <w:rPr>
                <w:highlight w:val="none"/>
              </w:rPr>
            </w:pPr>
            <w:r>
              <w:rPr>
                <w:highlight w:val="none"/>
              </w:rPr>
            </w:r>
            <w:r/>
          </w:p>
        </w:tc>
        <w:tc>
          <w:tcPr>
            <w:tcW w:w="1342" w:type="dxa"/>
            <w:vAlign w:val="center"/>
            <w:textDirection w:val="lrTb"/>
            <w:noWrap w:val="false"/>
          </w:tcPr>
          <w:p>
            <w:pPr>
              <w:rPr>
                <w:sz w:val="18"/>
                <w:highlight w:val="none"/>
              </w:rPr>
            </w:pPr>
            <w:r>
              <w:rPr>
                <w:rFonts w:hint="eastAsia"/>
                <w:sz w:val="18"/>
                <w:highlight w:val="none"/>
              </w:rPr>
              <w:t xml:space="preserve">技术</w:t>
            </w:r>
            <w:r>
              <w:rPr>
                <w:sz w:val="18"/>
                <w:highlight w:val="none"/>
              </w:rPr>
              <w:t xml:space="preserve">人员</w:t>
            </w:r>
            <w:r/>
          </w:p>
        </w:tc>
        <w:tc>
          <w:tcPr>
            <w:tcW w:w="932" w:type="dxa"/>
            <w:textDirection w:val="lrTb"/>
            <w:noWrap w:val="false"/>
          </w:tcPr>
          <w:p>
            <w:pPr>
              <w:ind w:firstLine="360"/>
              <w:rPr>
                <w:sz w:val="18"/>
                <w:highlight w:val="none"/>
              </w:rPr>
            </w:pPr>
            <w:r>
              <w:rPr>
                <w:sz w:val="18"/>
                <w:highlight w:val="none"/>
              </w:rPr>
            </w:r>
            <w:r/>
          </w:p>
        </w:tc>
        <w:tc>
          <w:tcPr>
            <w:tcW w:w="1152" w:type="dxa"/>
            <w:textDirection w:val="lrTb"/>
            <w:noWrap w:val="false"/>
          </w:tcPr>
          <w:p>
            <w:pPr>
              <w:ind w:firstLine="360"/>
              <w:rPr>
                <w:sz w:val="18"/>
                <w:highlight w:val="none"/>
              </w:rPr>
            </w:pPr>
            <w:r>
              <w:rPr>
                <w:sz w:val="18"/>
                <w:highlight w:val="none"/>
              </w:rPr>
            </w:r>
            <w:r/>
          </w:p>
        </w:tc>
        <w:tc>
          <w:tcPr>
            <w:tcW w:w="2230" w:type="dxa"/>
            <w:textDirection w:val="lrTb"/>
            <w:noWrap w:val="false"/>
          </w:tcPr>
          <w:p>
            <w:pPr>
              <w:ind w:firstLine="360"/>
              <w:rPr>
                <w:sz w:val="18"/>
                <w:highlight w:val="none"/>
              </w:rPr>
            </w:pPr>
            <w:r>
              <w:rPr>
                <w:sz w:val="18"/>
                <w:highlight w:val="none"/>
              </w:rPr>
            </w:r>
            <w:r/>
          </w:p>
        </w:tc>
        <w:tc>
          <w:tcPr>
            <w:tcW w:w="1060" w:type="dxa"/>
            <w:textDirection w:val="lrTb"/>
            <w:noWrap w:val="false"/>
          </w:tcPr>
          <w:p>
            <w:pPr>
              <w:ind w:firstLine="360"/>
              <w:rPr>
                <w:sz w:val="18"/>
                <w:highlight w:val="none"/>
              </w:rPr>
            </w:pPr>
            <w:r>
              <w:rPr>
                <w:sz w:val="18"/>
                <w:highlight w:val="none"/>
              </w:rPr>
            </w:r>
            <w:r/>
          </w:p>
        </w:tc>
        <w:tc>
          <w:tcPr>
            <w:tcW w:w="1060" w:type="dxa"/>
            <w:textDirection w:val="lrTb"/>
            <w:noWrap w:val="false"/>
          </w:tcPr>
          <w:p>
            <w:pPr>
              <w:ind w:firstLine="360"/>
              <w:rPr>
                <w:sz w:val="18"/>
                <w:highlight w:val="none"/>
              </w:rPr>
            </w:pPr>
            <w:r>
              <w:rPr>
                <w:sz w:val="18"/>
                <w:highlight w:val="none"/>
              </w:rPr>
            </w:r>
            <w:r/>
          </w:p>
        </w:tc>
      </w:tr>
      <w:tr>
        <w:trPr>
          <w:trHeight w:val="361"/>
        </w:trPr>
        <w:tc>
          <w:tcPr>
            <w:tcW w:w="787" w:type="dxa"/>
            <w:textDirection w:val="lrTb"/>
            <w:noWrap w:val="false"/>
          </w:tcPr>
          <w:p>
            <w:pPr>
              <w:rPr>
                <w:highlight w:val="none"/>
              </w:rPr>
            </w:pPr>
            <w:r>
              <w:rPr>
                <w:highlight w:val="none"/>
              </w:rPr>
            </w:r>
            <w:r/>
          </w:p>
        </w:tc>
        <w:tc>
          <w:tcPr>
            <w:tcW w:w="781" w:type="dxa"/>
            <w:textDirection w:val="lrTb"/>
            <w:noWrap w:val="false"/>
          </w:tcPr>
          <w:p>
            <w:pPr>
              <w:rPr>
                <w:highlight w:val="none"/>
              </w:rPr>
            </w:pPr>
            <w:r>
              <w:rPr>
                <w:highlight w:val="none"/>
              </w:rPr>
            </w:r>
            <w:r/>
          </w:p>
        </w:tc>
        <w:tc>
          <w:tcPr>
            <w:tcW w:w="911" w:type="dxa"/>
            <w:textDirection w:val="lrTb"/>
            <w:noWrap w:val="false"/>
          </w:tcPr>
          <w:p>
            <w:pPr>
              <w:rPr>
                <w:highlight w:val="none"/>
              </w:rPr>
            </w:pPr>
            <w:r>
              <w:rPr>
                <w:highlight w:val="none"/>
              </w:rPr>
            </w:r>
            <w:r/>
          </w:p>
        </w:tc>
        <w:tc>
          <w:tcPr>
            <w:tcW w:w="1342" w:type="dxa"/>
            <w:vAlign w:val="center"/>
            <w:textDirection w:val="lrTb"/>
            <w:noWrap w:val="false"/>
          </w:tcPr>
          <w:p>
            <w:pPr>
              <w:rPr>
                <w:highlight w:val="none"/>
              </w:rPr>
            </w:pPr>
            <w:r>
              <w:rPr>
                <w:highlight w:val="none"/>
              </w:rPr>
            </w:r>
            <w:r/>
          </w:p>
        </w:tc>
        <w:tc>
          <w:tcPr>
            <w:tcW w:w="932" w:type="dxa"/>
            <w:textDirection w:val="lrTb"/>
            <w:noWrap w:val="false"/>
          </w:tcPr>
          <w:p>
            <w:pPr>
              <w:rPr>
                <w:highlight w:val="none"/>
              </w:rPr>
            </w:pPr>
            <w:r>
              <w:rPr>
                <w:highlight w:val="none"/>
              </w:rPr>
            </w:r>
            <w:r/>
          </w:p>
        </w:tc>
        <w:tc>
          <w:tcPr>
            <w:tcW w:w="1152" w:type="dxa"/>
            <w:textDirection w:val="lrTb"/>
            <w:noWrap w:val="false"/>
          </w:tcPr>
          <w:p>
            <w:pPr>
              <w:rPr>
                <w:highlight w:val="none"/>
              </w:rPr>
            </w:pPr>
            <w:r>
              <w:rPr>
                <w:highlight w:val="none"/>
              </w:rPr>
            </w:r>
            <w:r/>
          </w:p>
        </w:tc>
        <w:tc>
          <w:tcPr>
            <w:tcW w:w="2230" w:type="dxa"/>
            <w:textDirection w:val="lrTb"/>
            <w:noWrap w:val="false"/>
          </w:tcPr>
          <w:p>
            <w:pPr>
              <w:rPr>
                <w:highlight w:val="none"/>
              </w:rPr>
            </w:pPr>
            <w:r>
              <w:rPr>
                <w:highlight w:val="none"/>
              </w:rPr>
            </w:r>
            <w:r/>
          </w:p>
        </w:tc>
        <w:tc>
          <w:tcPr>
            <w:tcW w:w="1060" w:type="dxa"/>
            <w:textDirection w:val="lrTb"/>
            <w:noWrap w:val="false"/>
          </w:tcPr>
          <w:p>
            <w:pPr>
              <w:rPr>
                <w:highlight w:val="none"/>
              </w:rPr>
            </w:pPr>
            <w:r>
              <w:rPr>
                <w:highlight w:val="none"/>
              </w:rPr>
            </w:r>
            <w:r/>
          </w:p>
        </w:tc>
        <w:tc>
          <w:tcPr>
            <w:tcW w:w="1060" w:type="dxa"/>
            <w:textDirection w:val="lrTb"/>
            <w:noWrap w:val="false"/>
          </w:tcPr>
          <w:p>
            <w:pPr>
              <w:rPr>
                <w:highlight w:val="none"/>
              </w:rPr>
            </w:pPr>
            <w:r>
              <w:rPr>
                <w:highlight w:val="none"/>
              </w:rPr>
            </w:r>
            <w:r/>
          </w:p>
        </w:tc>
      </w:tr>
      <w:tr>
        <w:trPr>
          <w:trHeight w:val="358"/>
        </w:trPr>
        <w:tc>
          <w:tcPr>
            <w:tcW w:w="787" w:type="dxa"/>
            <w:textDirection w:val="lrTb"/>
            <w:noWrap w:val="false"/>
          </w:tcPr>
          <w:p>
            <w:pPr>
              <w:rPr>
                <w:highlight w:val="none"/>
              </w:rPr>
            </w:pPr>
            <w:r>
              <w:rPr>
                <w:highlight w:val="none"/>
              </w:rPr>
            </w:r>
            <w:r/>
          </w:p>
        </w:tc>
        <w:tc>
          <w:tcPr>
            <w:tcW w:w="781" w:type="dxa"/>
            <w:textDirection w:val="lrTb"/>
            <w:noWrap w:val="false"/>
          </w:tcPr>
          <w:p>
            <w:pPr>
              <w:rPr>
                <w:highlight w:val="none"/>
              </w:rPr>
            </w:pPr>
            <w:r>
              <w:rPr>
                <w:highlight w:val="none"/>
              </w:rPr>
            </w:r>
            <w:r/>
          </w:p>
        </w:tc>
        <w:tc>
          <w:tcPr>
            <w:tcW w:w="911" w:type="dxa"/>
            <w:textDirection w:val="lrTb"/>
            <w:noWrap w:val="false"/>
          </w:tcPr>
          <w:p>
            <w:pPr>
              <w:rPr>
                <w:highlight w:val="none"/>
              </w:rPr>
            </w:pPr>
            <w:r>
              <w:rPr>
                <w:highlight w:val="none"/>
              </w:rPr>
            </w:r>
            <w:r/>
          </w:p>
        </w:tc>
        <w:tc>
          <w:tcPr>
            <w:tcW w:w="1342" w:type="dxa"/>
            <w:vAlign w:val="center"/>
            <w:textDirection w:val="lrTb"/>
            <w:noWrap w:val="false"/>
          </w:tcPr>
          <w:p>
            <w:pPr>
              <w:rPr>
                <w:highlight w:val="none"/>
              </w:rPr>
            </w:pPr>
            <w:r>
              <w:rPr>
                <w:highlight w:val="none"/>
              </w:rPr>
            </w:r>
            <w:r/>
          </w:p>
        </w:tc>
        <w:tc>
          <w:tcPr>
            <w:tcW w:w="932" w:type="dxa"/>
            <w:textDirection w:val="lrTb"/>
            <w:noWrap w:val="false"/>
          </w:tcPr>
          <w:p>
            <w:pPr>
              <w:rPr>
                <w:highlight w:val="none"/>
              </w:rPr>
            </w:pPr>
            <w:r>
              <w:rPr>
                <w:highlight w:val="none"/>
              </w:rPr>
            </w:r>
            <w:r/>
          </w:p>
        </w:tc>
        <w:tc>
          <w:tcPr>
            <w:tcW w:w="1152" w:type="dxa"/>
            <w:textDirection w:val="lrTb"/>
            <w:noWrap w:val="false"/>
          </w:tcPr>
          <w:p>
            <w:pPr>
              <w:rPr>
                <w:highlight w:val="none"/>
              </w:rPr>
            </w:pPr>
            <w:r>
              <w:rPr>
                <w:highlight w:val="none"/>
              </w:rPr>
            </w:r>
            <w:r/>
          </w:p>
        </w:tc>
        <w:tc>
          <w:tcPr>
            <w:tcW w:w="2230" w:type="dxa"/>
            <w:textDirection w:val="lrTb"/>
            <w:noWrap w:val="false"/>
          </w:tcPr>
          <w:p>
            <w:pPr>
              <w:rPr>
                <w:highlight w:val="none"/>
              </w:rPr>
            </w:pPr>
            <w:r>
              <w:rPr>
                <w:highlight w:val="none"/>
              </w:rPr>
            </w:r>
            <w:r/>
          </w:p>
        </w:tc>
        <w:tc>
          <w:tcPr>
            <w:tcW w:w="1060" w:type="dxa"/>
            <w:textDirection w:val="lrTb"/>
            <w:noWrap w:val="false"/>
          </w:tcPr>
          <w:p>
            <w:pPr>
              <w:rPr>
                <w:highlight w:val="none"/>
              </w:rPr>
            </w:pPr>
            <w:r>
              <w:rPr>
                <w:highlight w:val="none"/>
              </w:rPr>
            </w:r>
            <w:r/>
          </w:p>
        </w:tc>
        <w:tc>
          <w:tcPr>
            <w:tcW w:w="1060" w:type="dxa"/>
            <w:textDirection w:val="lrTb"/>
            <w:noWrap w:val="false"/>
          </w:tcPr>
          <w:p>
            <w:pPr>
              <w:rPr>
                <w:highlight w:val="none"/>
              </w:rPr>
            </w:pPr>
            <w:r>
              <w:rPr>
                <w:highlight w:val="none"/>
              </w:rPr>
            </w:r>
            <w:r/>
          </w:p>
        </w:tc>
      </w:tr>
      <w:tr>
        <w:trPr>
          <w:trHeight w:val="361"/>
        </w:trPr>
        <w:tc>
          <w:tcPr>
            <w:tcW w:w="787" w:type="dxa"/>
            <w:textDirection w:val="lrTb"/>
            <w:noWrap w:val="false"/>
          </w:tcPr>
          <w:p>
            <w:pPr>
              <w:rPr>
                <w:highlight w:val="none"/>
              </w:rPr>
            </w:pPr>
            <w:r>
              <w:rPr>
                <w:highlight w:val="none"/>
              </w:rPr>
            </w:r>
            <w:r/>
          </w:p>
        </w:tc>
        <w:tc>
          <w:tcPr>
            <w:tcW w:w="781" w:type="dxa"/>
            <w:textDirection w:val="lrTb"/>
            <w:noWrap w:val="false"/>
          </w:tcPr>
          <w:p>
            <w:pPr>
              <w:rPr>
                <w:highlight w:val="none"/>
              </w:rPr>
            </w:pPr>
            <w:r>
              <w:rPr>
                <w:highlight w:val="none"/>
              </w:rPr>
            </w:r>
            <w:r/>
          </w:p>
        </w:tc>
        <w:tc>
          <w:tcPr>
            <w:tcW w:w="911" w:type="dxa"/>
            <w:textDirection w:val="lrTb"/>
            <w:noWrap w:val="false"/>
          </w:tcPr>
          <w:p>
            <w:pPr>
              <w:rPr>
                <w:highlight w:val="none"/>
              </w:rPr>
            </w:pPr>
            <w:r>
              <w:rPr>
                <w:highlight w:val="none"/>
              </w:rPr>
            </w:r>
            <w:r/>
          </w:p>
        </w:tc>
        <w:tc>
          <w:tcPr>
            <w:tcW w:w="1342" w:type="dxa"/>
            <w:vAlign w:val="center"/>
            <w:textDirection w:val="lrTb"/>
            <w:noWrap w:val="false"/>
          </w:tcPr>
          <w:p>
            <w:pPr>
              <w:rPr>
                <w:highlight w:val="none"/>
              </w:rPr>
            </w:pPr>
            <w:r>
              <w:rPr>
                <w:highlight w:val="none"/>
              </w:rPr>
            </w:r>
            <w:r/>
          </w:p>
        </w:tc>
        <w:tc>
          <w:tcPr>
            <w:tcW w:w="932" w:type="dxa"/>
            <w:textDirection w:val="lrTb"/>
            <w:noWrap w:val="false"/>
          </w:tcPr>
          <w:p>
            <w:pPr>
              <w:rPr>
                <w:highlight w:val="none"/>
              </w:rPr>
            </w:pPr>
            <w:r>
              <w:rPr>
                <w:highlight w:val="none"/>
              </w:rPr>
            </w:r>
            <w:r/>
          </w:p>
        </w:tc>
        <w:tc>
          <w:tcPr>
            <w:tcW w:w="1152" w:type="dxa"/>
            <w:textDirection w:val="lrTb"/>
            <w:noWrap w:val="false"/>
          </w:tcPr>
          <w:p>
            <w:pPr>
              <w:rPr>
                <w:highlight w:val="none"/>
              </w:rPr>
            </w:pPr>
            <w:r>
              <w:rPr>
                <w:highlight w:val="none"/>
              </w:rPr>
            </w:r>
            <w:r/>
          </w:p>
        </w:tc>
        <w:tc>
          <w:tcPr>
            <w:tcW w:w="2230" w:type="dxa"/>
            <w:textDirection w:val="lrTb"/>
            <w:noWrap w:val="false"/>
          </w:tcPr>
          <w:p>
            <w:pPr>
              <w:rPr>
                <w:highlight w:val="none"/>
              </w:rPr>
            </w:pPr>
            <w:r>
              <w:rPr>
                <w:highlight w:val="none"/>
              </w:rPr>
            </w:r>
            <w:r/>
          </w:p>
        </w:tc>
        <w:tc>
          <w:tcPr>
            <w:tcW w:w="1060" w:type="dxa"/>
            <w:textDirection w:val="lrTb"/>
            <w:noWrap w:val="false"/>
          </w:tcPr>
          <w:p>
            <w:pPr>
              <w:rPr>
                <w:highlight w:val="none"/>
              </w:rPr>
            </w:pPr>
            <w:r>
              <w:rPr>
                <w:highlight w:val="none"/>
              </w:rPr>
            </w:r>
            <w:r/>
          </w:p>
        </w:tc>
        <w:tc>
          <w:tcPr>
            <w:tcW w:w="1060" w:type="dxa"/>
            <w:textDirection w:val="lrTb"/>
            <w:noWrap w:val="false"/>
          </w:tcPr>
          <w:p>
            <w:pPr>
              <w:rPr>
                <w:highlight w:val="none"/>
              </w:rPr>
            </w:pPr>
            <w:r>
              <w:rPr>
                <w:highlight w:val="none"/>
              </w:rPr>
            </w:r>
            <w:r/>
          </w:p>
        </w:tc>
      </w:tr>
      <w:tr>
        <w:trPr>
          <w:trHeight w:val="361"/>
        </w:trPr>
        <w:tc>
          <w:tcPr>
            <w:tcW w:w="787" w:type="dxa"/>
            <w:textDirection w:val="lrTb"/>
            <w:noWrap w:val="false"/>
          </w:tcPr>
          <w:p>
            <w:pPr>
              <w:rPr>
                <w:highlight w:val="none"/>
              </w:rPr>
            </w:pPr>
            <w:r>
              <w:rPr>
                <w:highlight w:val="none"/>
              </w:rPr>
            </w:r>
            <w:r/>
          </w:p>
        </w:tc>
        <w:tc>
          <w:tcPr>
            <w:tcW w:w="781" w:type="dxa"/>
            <w:textDirection w:val="lrTb"/>
            <w:noWrap w:val="false"/>
          </w:tcPr>
          <w:p>
            <w:pPr>
              <w:rPr>
                <w:highlight w:val="none"/>
              </w:rPr>
            </w:pPr>
            <w:r>
              <w:rPr>
                <w:highlight w:val="none"/>
              </w:rPr>
            </w:r>
            <w:r/>
          </w:p>
        </w:tc>
        <w:tc>
          <w:tcPr>
            <w:tcW w:w="911" w:type="dxa"/>
            <w:textDirection w:val="lrTb"/>
            <w:noWrap w:val="false"/>
          </w:tcPr>
          <w:p>
            <w:pPr>
              <w:rPr>
                <w:highlight w:val="none"/>
              </w:rPr>
            </w:pPr>
            <w:r>
              <w:rPr>
                <w:highlight w:val="none"/>
              </w:rPr>
            </w:r>
            <w:r/>
          </w:p>
        </w:tc>
        <w:tc>
          <w:tcPr>
            <w:tcW w:w="1342" w:type="dxa"/>
            <w:vAlign w:val="center"/>
            <w:textDirection w:val="lrTb"/>
            <w:noWrap w:val="false"/>
          </w:tcPr>
          <w:p>
            <w:pPr>
              <w:rPr>
                <w:highlight w:val="none"/>
              </w:rPr>
            </w:pPr>
            <w:r>
              <w:rPr>
                <w:highlight w:val="none"/>
              </w:rPr>
            </w:r>
            <w:r/>
          </w:p>
        </w:tc>
        <w:tc>
          <w:tcPr>
            <w:tcW w:w="932" w:type="dxa"/>
            <w:textDirection w:val="lrTb"/>
            <w:noWrap w:val="false"/>
          </w:tcPr>
          <w:p>
            <w:pPr>
              <w:rPr>
                <w:highlight w:val="none"/>
              </w:rPr>
            </w:pPr>
            <w:r>
              <w:rPr>
                <w:highlight w:val="none"/>
              </w:rPr>
            </w:r>
            <w:r/>
          </w:p>
        </w:tc>
        <w:tc>
          <w:tcPr>
            <w:tcW w:w="1152" w:type="dxa"/>
            <w:textDirection w:val="lrTb"/>
            <w:noWrap w:val="false"/>
          </w:tcPr>
          <w:p>
            <w:pPr>
              <w:rPr>
                <w:highlight w:val="none"/>
              </w:rPr>
            </w:pPr>
            <w:r>
              <w:rPr>
                <w:highlight w:val="none"/>
              </w:rPr>
            </w:r>
            <w:r/>
          </w:p>
        </w:tc>
        <w:tc>
          <w:tcPr>
            <w:tcW w:w="2230" w:type="dxa"/>
            <w:textDirection w:val="lrTb"/>
            <w:noWrap w:val="false"/>
          </w:tcPr>
          <w:p>
            <w:pPr>
              <w:rPr>
                <w:highlight w:val="none"/>
              </w:rPr>
            </w:pPr>
            <w:r>
              <w:rPr>
                <w:highlight w:val="none"/>
              </w:rPr>
            </w:r>
            <w:r/>
          </w:p>
        </w:tc>
        <w:tc>
          <w:tcPr>
            <w:tcW w:w="1060" w:type="dxa"/>
            <w:textDirection w:val="lrTb"/>
            <w:noWrap w:val="false"/>
          </w:tcPr>
          <w:p>
            <w:pPr>
              <w:rPr>
                <w:highlight w:val="none"/>
              </w:rPr>
            </w:pPr>
            <w:r>
              <w:rPr>
                <w:highlight w:val="none"/>
              </w:rPr>
            </w:r>
            <w:r/>
          </w:p>
        </w:tc>
        <w:tc>
          <w:tcPr>
            <w:tcW w:w="1060" w:type="dxa"/>
            <w:textDirection w:val="lrTb"/>
            <w:noWrap w:val="false"/>
          </w:tcPr>
          <w:p>
            <w:pPr>
              <w:rPr>
                <w:highlight w:val="none"/>
              </w:rPr>
            </w:pPr>
            <w:r>
              <w:rPr>
                <w:highlight w:val="none"/>
              </w:rPr>
            </w:r>
            <w:r/>
          </w:p>
        </w:tc>
      </w:tr>
      <w:tr>
        <w:trPr>
          <w:trHeight w:val="361"/>
        </w:trPr>
        <w:tc>
          <w:tcPr>
            <w:tcW w:w="787" w:type="dxa"/>
            <w:textDirection w:val="lrTb"/>
            <w:noWrap w:val="false"/>
          </w:tcPr>
          <w:p>
            <w:pPr>
              <w:rPr>
                <w:highlight w:val="none"/>
              </w:rPr>
            </w:pPr>
            <w:r>
              <w:rPr>
                <w:highlight w:val="none"/>
              </w:rPr>
            </w:r>
            <w:r/>
          </w:p>
        </w:tc>
        <w:tc>
          <w:tcPr>
            <w:tcW w:w="781" w:type="dxa"/>
            <w:textDirection w:val="lrTb"/>
            <w:noWrap w:val="false"/>
          </w:tcPr>
          <w:p>
            <w:pPr>
              <w:rPr>
                <w:highlight w:val="none"/>
              </w:rPr>
            </w:pPr>
            <w:r>
              <w:rPr>
                <w:highlight w:val="none"/>
              </w:rPr>
            </w:r>
            <w:r/>
          </w:p>
        </w:tc>
        <w:tc>
          <w:tcPr>
            <w:tcW w:w="911" w:type="dxa"/>
            <w:textDirection w:val="lrTb"/>
            <w:noWrap w:val="false"/>
          </w:tcPr>
          <w:p>
            <w:pPr>
              <w:rPr>
                <w:highlight w:val="none"/>
              </w:rPr>
            </w:pPr>
            <w:r>
              <w:rPr>
                <w:highlight w:val="none"/>
              </w:rPr>
            </w:r>
            <w:r/>
          </w:p>
        </w:tc>
        <w:tc>
          <w:tcPr>
            <w:tcW w:w="1342" w:type="dxa"/>
            <w:vAlign w:val="center"/>
            <w:textDirection w:val="lrTb"/>
            <w:noWrap w:val="false"/>
          </w:tcPr>
          <w:p>
            <w:pPr>
              <w:rPr>
                <w:highlight w:val="none"/>
              </w:rPr>
            </w:pPr>
            <w:r>
              <w:rPr>
                <w:highlight w:val="none"/>
              </w:rPr>
            </w:r>
            <w:r/>
          </w:p>
        </w:tc>
        <w:tc>
          <w:tcPr>
            <w:tcW w:w="932" w:type="dxa"/>
            <w:textDirection w:val="lrTb"/>
            <w:noWrap w:val="false"/>
          </w:tcPr>
          <w:p>
            <w:pPr>
              <w:rPr>
                <w:highlight w:val="none"/>
              </w:rPr>
            </w:pPr>
            <w:r>
              <w:rPr>
                <w:highlight w:val="none"/>
              </w:rPr>
            </w:r>
            <w:r/>
          </w:p>
        </w:tc>
        <w:tc>
          <w:tcPr>
            <w:tcW w:w="1152" w:type="dxa"/>
            <w:textDirection w:val="lrTb"/>
            <w:noWrap w:val="false"/>
          </w:tcPr>
          <w:p>
            <w:pPr>
              <w:rPr>
                <w:highlight w:val="none"/>
              </w:rPr>
            </w:pPr>
            <w:r>
              <w:rPr>
                <w:highlight w:val="none"/>
              </w:rPr>
            </w:r>
            <w:r/>
          </w:p>
        </w:tc>
        <w:tc>
          <w:tcPr>
            <w:tcW w:w="2230" w:type="dxa"/>
            <w:textDirection w:val="lrTb"/>
            <w:noWrap w:val="false"/>
          </w:tcPr>
          <w:p>
            <w:pPr>
              <w:rPr>
                <w:highlight w:val="none"/>
              </w:rPr>
            </w:pPr>
            <w:r>
              <w:rPr>
                <w:highlight w:val="none"/>
              </w:rPr>
            </w:r>
            <w:r/>
          </w:p>
        </w:tc>
        <w:tc>
          <w:tcPr>
            <w:tcW w:w="1060" w:type="dxa"/>
            <w:textDirection w:val="lrTb"/>
            <w:noWrap w:val="false"/>
          </w:tcPr>
          <w:p>
            <w:pPr>
              <w:rPr>
                <w:highlight w:val="none"/>
              </w:rPr>
            </w:pPr>
            <w:r>
              <w:rPr>
                <w:highlight w:val="none"/>
              </w:rPr>
            </w:r>
            <w:r/>
          </w:p>
        </w:tc>
        <w:tc>
          <w:tcPr>
            <w:tcW w:w="1060" w:type="dxa"/>
            <w:textDirection w:val="lrTb"/>
            <w:noWrap w:val="false"/>
          </w:tcPr>
          <w:p>
            <w:pPr>
              <w:rPr>
                <w:highlight w:val="none"/>
              </w:rPr>
            </w:pPr>
            <w:r>
              <w:rPr>
                <w:highlight w:val="none"/>
              </w:rPr>
            </w:r>
            <w:r/>
          </w:p>
        </w:tc>
      </w:tr>
      <w:tr>
        <w:trPr>
          <w:trHeight w:val="361"/>
        </w:trPr>
        <w:tc>
          <w:tcPr>
            <w:tcW w:w="787" w:type="dxa"/>
            <w:textDirection w:val="lrTb"/>
            <w:noWrap w:val="false"/>
          </w:tcPr>
          <w:p>
            <w:pPr>
              <w:rPr>
                <w:highlight w:val="none"/>
              </w:rPr>
            </w:pPr>
            <w:r>
              <w:rPr>
                <w:highlight w:val="none"/>
              </w:rPr>
            </w:r>
            <w:r/>
          </w:p>
        </w:tc>
        <w:tc>
          <w:tcPr>
            <w:tcW w:w="781" w:type="dxa"/>
            <w:textDirection w:val="lrTb"/>
            <w:noWrap w:val="false"/>
          </w:tcPr>
          <w:p>
            <w:pPr>
              <w:rPr>
                <w:highlight w:val="none"/>
              </w:rPr>
            </w:pPr>
            <w:r>
              <w:rPr>
                <w:highlight w:val="none"/>
              </w:rPr>
            </w:r>
            <w:r/>
          </w:p>
        </w:tc>
        <w:tc>
          <w:tcPr>
            <w:tcW w:w="911" w:type="dxa"/>
            <w:textDirection w:val="lrTb"/>
            <w:noWrap w:val="false"/>
          </w:tcPr>
          <w:p>
            <w:pPr>
              <w:rPr>
                <w:highlight w:val="none"/>
              </w:rPr>
            </w:pPr>
            <w:r>
              <w:rPr>
                <w:highlight w:val="none"/>
              </w:rPr>
            </w:r>
            <w:r/>
          </w:p>
        </w:tc>
        <w:tc>
          <w:tcPr>
            <w:tcW w:w="1342" w:type="dxa"/>
            <w:vAlign w:val="center"/>
            <w:textDirection w:val="lrTb"/>
            <w:noWrap w:val="false"/>
          </w:tcPr>
          <w:p>
            <w:pPr>
              <w:rPr>
                <w:highlight w:val="none"/>
              </w:rPr>
            </w:pPr>
            <w:r>
              <w:rPr>
                <w:highlight w:val="none"/>
              </w:rPr>
            </w:r>
            <w:r/>
          </w:p>
        </w:tc>
        <w:tc>
          <w:tcPr>
            <w:tcW w:w="932" w:type="dxa"/>
            <w:textDirection w:val="lrTb"/>
            <w:noWrap w:val="false"/>
          </w:tcPr>
          <w:p>
            <w:pPr>
              <w:rPr>
                <w:highlight w:val="none"/>
              </w:rPr>
            </w:pPr>
            <w:r>
              <w:rPr>
                <w:highlight w:val="none"/>
              </w:rPr>
            </w:r>
            <w:r/>
          </w:p>
        </w:tc>
        <w:tc>
          <w:tcPr>
            <w:tcW w:w="1152" w:type="dxa"/>
            <w:textDirection w:val="lrTb"/>
            <w:noWrap w:val="false"/>
          </w:tcPr>
          <w:p>
            <w:pPr>
              <w:rPr>
                <w:highlight w:val="none"/>
              </w:rPr>
            </w:pPr>
            <w:r>
              <w:rPr>
                <w:highlight w:val="none"/>
              </w:rPr>
            </w:r>
            <w:r/>
          </w:p>
        </w:tc>
        <w:tc>
          <w:tcPr>
            <w:tcW w:w="2230" w:type="dxa"/>
            <w:textDirection w:val="lrTb"/>
            <w:noWrap w:val="false"/>
          </w:tcPr>
          <w:p>
            <w:pPr>
              <w:rPr>
                <w:highlight w:val="none"/>
              </w:rPr>
            </w:pPr>
            <w:r>
              <w:rPr>
                <w:highlight w:val="none"/>
              </w:rPr>
            </w:r>
            <w:r/>
          </w:p>
        </w:tc>
        <w:tc>
          <w:tcPr>
            <w:tcW w:w="1060" w:type="dxa"/>
            <w:textDirection w:val="lrTb"/>
            <w:noWrap w:val="false"/>
          </w:tcPr>
          <w:p>
            <w:pPr>
              <w:rPr>
                <w:highlight w:val="none"/>
              </w:rPr>
            </w:pPr>
            <w:r>
              <w:rPr>
                <w:highlight w:val="none"/>
              </w:rPr>
            </w:r>
            <w:r/>
          </w:p>
        </w:tc>
        <w:tc>
          <w:tcPr>
            <w:tcW w:w="1060" w:type="dxa"/>
            <w:textDirection w:val="lrTb"/>
            <w:noWrap w:val="false"/>
          </w:tcPr>
          <w:p>
            <w:pPr>
              <w:rPr>
                <w:highlight w:val="none"/>
              </w:rPr>
            </w:pPr>
            <w:r>
              <w:rPr>
                <w:highlight w:val="none"/>
              </w:rPr>
            </w:r>
            <w:r/>
          </w:p>
        </w:tc>
      </w:tr>
      <w:tr>
        <w:trPr>
          <w:trHeight w:val="361"/>
        </w:trPr>
        <w:tc>
          <w:tcPr>
            <w:tcW w:w="787" w:type="dxa"/>
            <w:textDirection w:val="lrTb"/>
            <w:noWrap w:val="false"/>
          </w:tcPr>
          <w:p>
            <w:pPr>
              <w:rPr>
                <w:highlight w:val="none"/>
              </w:rPr>
            </w:pPr>
            <w:r>
              <w:rPr>
                <w:highlight w:val="none"/>
              </w:rPr>
            </w:r>
            <w:r/>
          </w:p>
        </w:tc>
        <w:tc>
          <w:tcPr>
            <w:tcW w:w="781" w:type="dxa"/>
            <w:textDirection w:val="lrTb"/>
            <w:noWrap w:val="false"/>
          </w:tcPr>
          <w:p>
            <w:pPr>
              <w:rPr>
                <w:highlight w:val="none"/>
              </w:rPr>
            </w:pPr>
            <w:r>
              <w:rPr>
                <w:highlight w:val="none"/>
              </w:rPr>
            </w:r>
            <w:r/>
          </w:p>
        </w:tc>
        <w:tc>
          <w:tcPr>
            <w:tcW w:w="911" w:type="dxa"/>
            <w:textDirection w:val="lrTb"/>
            <w:noWrap w:val="false"/>
          </w:tcPr>
          <w:p>
            <w:pPr>
              <w:rPr>
                <w:highlight w:val="none"/>
              </w:rPr>
            </w:pPr>
            <w:r>
              <w:rPr>
                <w:highlight w:val="none"/>
              </w:rPr>
            </w:r>
            <w:r/>
          </w:p>
        </w:tc>
        <w:tc>
          <w:tcPr>
            <w:tcW w:w="1342" w:type="dxa"/>
            <w:vAlign w:val="center"/>
            <w:textDirection w:val="lrTb"/>
            <w:noWrap w:val="false"/>
          </w:tcPr>
          <w:p>
            <w:pPr>
              <w:rPr>
                <w:highlight w:val="none"/>
              </w:rPr>
            </w:pPr>
            <w:r>
              <w:rPr>
                <w:highlight w:val="none"/>
              </w:rPr>
            </w:r>
            <w:r/>
          </w:p>
        </w:tc>
        <w:tc>
          <w:tcPr>
            <w:tcW w:w="932" w:type="dxa"/>
            <w:textDirection w:val="lrTb"/>
            <w:noWrap w:val="false"/>
          </w:tcPr>
          <w:p>
            <w:pPr>
              <w:rPr>
                <w:highlight w:val="none"/>
              </w:rPr>
            </w:pPr>
            <w:r>
              <w:rPr>
                <w:highlight w:val="none"/>
              </w:rPr>
            </w:r>
            <w:r/>
          </w:p>
        </w:tc>
        <w:tc>
          <w:tcPr>
            <w:tcW w:w="1152" w:type="dxa"/>
            <w:textDirection w:val="lrTb"/>
            <w:noWrap w:val="false"/>
          </w:tcPr>
          <w:p>
            <w:pPr>
              <w:rPr>
                <w:highlight w:val="none"/>
              </w:rPr>
            </w:pPr>
            <w:r>
              <w:rPr>
                <w:highlight w:val="none"/>
              </w:rPr>
            </w:r>
            <w:r/>
          </w:p>
        </w:tc>
        <w:tc>
          <w:tcPr>
            <w:tcW w:w="2230" w:type="dxa"/>
            <w:textDirection w:val="lrTb"/>
            <w:noWrap w:val="false"/>
          </w:tcPr>
          <w:p>
            <w:pPr>
              <w:rPr>
                <w:highlight w:val="none"/>
              </w:rPr>
            </w:pPr>
            <w:r>
              <w:rPr>
                <w:highlight w:val="none"/>
              </w:rPr>
            </w:r>
            <w:r/>
          </w:p>
        </w:tc>
        <w:tc>
          <w:tcPr>
            <w:tcW w:w="1060" w:type="dxa"/>
            <w:textDirection w:val="lrTb"/>
            <w:noWrap w:val="false"/>
          </w:tcPr>
          <w:p>
            <w:pPr>
              <w:rPr>
                <w:highlight w:val="none"/>
              </w:rPr>
            </w:pPr>
            <w:r>
              <w:rPr>
                <w:highlight w:val="none"/>
              </w:rPr>
            </w:r>
            <w:r/>
          </w:p>
        </w:tc>
        <w:tc>
          <w:tcPr>
            <w:tcW w:w="1060" w:type="dxa"/>
            <w:textDirection w:val="lrTb"/>
            <w:noWrap w:val="false"/>
          </w:tcPr>
          <w:p>
            <w:pPr>
              <w:rPr>
                <w:highlight w:val="none"/>
              </w:rPr>
            </w:pPr>
            <w:r>
              <w:rPr>
                <w:highlight w:val="none"/>
              </w:rPr>
            </w:r>
            <w:r/>
          </w:p>
        </w:tc>
      </w:tr>
      <w:tr>
        <w:trPr>
          <w:trHeight w:val="361"/>
        </w:trPr>
        <w:tc>
          <w:tcPr>
            <w:tcW w:w="787" w:type="dxa"/>
            <w:textDirection w:val="lrTb"/>
            <w:noWrap w:val="false"/>
          </w:tcPr>
          <w:p>
            <w:pPr>
              <w:rPr>
                <w:highlight w:val="none"/>
              </w:rPr>
            </w:pPr>
            <w:r>
              <w:rPr>
                <w:highlight w:val="none"/>
              </w:rPr>
            </w:r>
            <w:r/>
          </w:p>
        </w:tc>
        <w:tc>
          <w:tcPr>
            <w:tcW w:w="781" w:type="dxa"/>
            <w:textDirection w:val="lrTb"/>
            <w:noWrap w:val="false"/>
          </w:tcPr>
          <w:p>
            <w:pPr>
              <w:rPr>
                <w:highlight w:val="none"/>
              </w:rPr>
            </w:pPr>
            <w:r>
              <w:rPr>
                <w:highlight w:val="none"/>
              </w:rPr>
            </w:r>
            <w:r/>
          </w:p>
        </w:tc>
        <w:tc>
          <w:tcPr>
            <w:tcW w:w="911" w:type="dxa"/>
            <w:textDirection w:val="lrTb"/>
            <w:noWrap w:val="false"/>
          </w:tcPr>
          <w:p>
            <w:pPr>
              <w:rPr>
                <w:highlight w:val="none"/>
              </w:rPr>
            </w:pPr>
            <w:r>
              <w:rPr>
                <w:highlight w:val="none"/>
              </w:rPr>
            </w:r>
            <w:r/>
          </w:p>
        </w:tc>
        <w:tc>
          <w:tcPr>
            <w:tcW w:w="1342" w:type="dxa"/>
            <w:vAlign w:val="center"/>
            <w:textDirection w:val="lrTb"/>
            <w:noWrap w:val="false"/>
          </w:tcPr>
          <w:p>
            <w:pPr>
              <w:rPr>
                <w:highlight w:val="none"/>
              </w:rPr>
            </w:pPr>
            <w:r>
              <w:rPr>
                <w:highlight w:val="none"/>
              </w:rPr>
            </w:r>
            <w:r/>
          </w:p>
        </w:tc>
        <w:tc>
          <w:tcPr>
            <w:tcW w:w="932" w:type="dxa"/>
            <w:textDirection w:val="lrTb"/>
            <w:noWrap w:val="false"/>
          </w:tcPr>
          <w:p>
            <w:pPr>
              <w:rPr>
                <w:highlight w:val="none"/>
              </w:rPr>
            </w:pPr>
            <w:r>
              <w:rPr>
                <w:highlight w:val="none"/>
              </w:rPr>
            </w:r>
            <w:r/>
          </w:p>
        </w:tc>
        <w:tc>
          <w:tcPr>
            <w:tcW w:w="1152" w:type="dxa"/>
            <w:textDirection w:val="lrTb"/>
            <w:noWrap w:val="false"/>
          </w:tcPr>
          <w:p>
            <w:pPr>
              <w:rPr>
                <w:highlight w:val="none"/>
              </w:rPr>
            </w:pPr>
            <w:r>
              <w:rPr>
                <w:highlight w:val="none"/>
              </w:rPr>
            </w:r>
            <w:r/>
          </w:p>
        </w:tc>
        <w:tc>
          <w:tcPr>
            <w:tcW w:w="2230" w:type="dxa"/>
            <w:textDirection w:val="lrTb"/>
            <w:noWrap w:val="false"/>
          </w:tcPr>
          <w:p>
            <w:pPr>
              <w:rPr>
                <w:highlight w:val="none"/>
              </w:rPr>
            </w:pPr>
            <w:r>
              <w:rPr>
                <w:highlight w:val="none"/>
              </w:rPr>
            </w:r>
            <w:r/>
          </w:p>
        </w:tc>
        <w:tc>
          <w:tcPr>
            <w:tcW w:w="1060" w:type="dxa"/>
            <w:textDirection w:val="lrTb"/>
            <w:noWrap w:val="false"/>
          </w:tcPr>
          <w:p>
            <w:pPr>
              <w:rPr>
                <w:highlight w:val="none"/>
              </w:rPr>
            </w:pPr>
            <w:r>
              <w:rPr>
                <w:highlight w:val="none"/>
              </w:rPr>
            </w:r>
            <w:r/>
          </w:p>
        </w:tc>
        <w:tc>
          <w:tcPr>
            <w:tcW w:w="1060" w:type="dxa"/>
            <w:textDirection w:val="lrTb"/>
            <w:noWrap w:val="false"/>
          </w:tcPr>
          <w:p>
            <w:pPr>
              <w:rPr>
                <w:highlight w:val="none"/>
              </w:rPr>
            </w:pPr>
            <w:r>
              <w:rPr>
                <w:highlight w:val="none"/>
              </w:rPr>
            </w:r>
            <w:r/>
          </w:p>
        </w:tc>
      </w:tr>
      <w:tr>
        <w:trPr>
          <w:trHeight w:val="361"/>
        </w:trPr>
        <w:tc>
          <w:tcPr>
            <w:tcW w:w="787" w:type="dxa"/>
            <w:textDirection w:val="lrTb"/>
            <w:noWrap w:val="false"/>
          </w:tcPr>
          <w:p>
            <w:pPr>
              <w:rPr>
                <w:highlight w:val="none"/>
              </w:rPr>
            </w:pPr>
            <w:r>
              <w:rPr>
                <w:highlight w:val="none"/>
              </w:rPr>
            </w:r>
            <w:r/>
          </w:p>
        </w:tc>
        <w:tc>
          <w:tcPr>
            <w:tcW w:w="781" w:type="dxa"/>
            <w:textDirection w:val="lrTb"/>
            <w:noWrap w:val="false"/>
          </w:tcPr>
          <w:p>
            <w:pPr>
              <w:rPr>
                <w:highlight w:val="none"/>
              </w:rPr>
            </w:pPr>
            <w:r>
              <w:rPr>
                <w:highlight w:val="none"/>
              </w:rPr>
            </w:r>
            <w:r/>
          </w:p>
        </w:tc>
        <w:tc>
          <w:tcPr>
            <w:tcW w:w="911" w:type="dxa"/>
            <w:textDirection w:val="lrTb"/>
            <w:noWrap w:val="false"/>
          </w:tcPr>
          <w:p>
            <w:pPr>
              <w:rPr>
                <w:highlight w:val="none"/>
              </w:rPr>
            </w:pPr>
            <w:r>
              <w:rPr>
                <w:highlight w:val="none"/>
              </w:rPr>
            </w:r>
            <w:r/>
          </w:p>
        </w:tc>
        <w:tc>
          <w:tcPr>
            <w:tcW w:w="1342" w:type="dxa"/>
            <w:vAlign w:val="center"/>
            <w:textDirection w:val="lrTb"/>
            <w:noWrap w:val="false"/>
          </w:tcPr>
          <w:p>
            <w:pPr>
              <w:rPr>
                <w:highlight w:val="none"/>
              </w:rPr>
            </w:pPr>
            <w:r>
              <w:rPr>
                <w:highlight w:val="none"/>
              </w:rPr>
            </w:r>
            <w:r/>
          </w:p>
        </w:tc>
        <w:tc>
          <w:tcPr>
            <w:tcW w:w="932" w:type="dxa"/>
            <w:textDirection w:val="lrTb"/>
            <w:noWrap w:val="false"/>
          </w:tcPr>
          <w:p>
            <w:pPr>
              <w:rPr>
                <w:highlight w:val="none"/>
              </w:rPr>
            </w:pPr>
            <w:r>
              <w:rPr>
                <w:highlight w:val="none"/>
              </w:rPr>
            </w:r>
            <w:r/>
          </w:p>
        </w:tc>
        <w:tc>
          <w:tcPr>
            <w:tcW w:w="1152" w:type="dxa"/>
            <w:textDirection w:val="lrTb"/>
            <w:noWrap w:val="false"/>
          </w:tcPr>
          <w:p>
            <w:pPr>
              <w:rPr>
                <w:highlight w:val="none"/>
              </w:rPr>
            </w:pPr>
            <w:r>
              <w:rPr>
                <w:highlight w:val="none"/>
              </w:rPr>
            </w:r>
            <w:r/>
          </w:p>
        </w:tc>
        <w:tc>
          <w:tcPr>
            <w:tcW w:w="2230" w:type="dxa"/>
            <w:textDirection w:val="lrTb"/>
            <w:noWrap w:val="false"/>
          </w:tcPr>
          <w:p>
            <w:pPr>
              <w:rPr>
                <w:highlight w:val="none"/>
              </w:rPr>
            </w:pPr>
            <w:r>
              <w:rPr>
                <w:highlight w:val="none"/>
              </w:rPr>
            </w:r>
            <w:r/>
          </w:p>
        </w:tc>
        <w:tc>
          <w:tcPr>
            <w:tcW w:w="1060" w:type="dxa"/>
            <w:textDirection w:val="lrTb"/>
            <w:noWrap w:val="false"/>
          </w:tcPr>
          <w:p>
            <w:pPr>
              <w:rPr>
                <w:highlight w:val="none"/>
              </w:rPr>
            </w:pPr>
            <w:r>
              <w:rPr>
                <w:highlight w:val="none"/>
              </w:rPr>
            </w:r>
            <w:r/>
          </w:p>
        </w:tc>
        <w:tc>
          <w:tcPr>
            <w:tcW w:w="1060" w:type="dxa"/>
            <w:textDirection w:val="lrTb"/>
            <w:noWrap w:val="false"/>
          </w:tcPr>
          <w:p>
            <w:pPr>
              <w:rPr>
                <w:highlight w:val="none"/>
              </w:rPr>
            </w:pPr>
            <w:r>
              <w:rPr>
                <w:highlight w:val="none"/>
              </w:rPr>
            </w:r>
            <w:r/>
          </w:p>
        </w:tc>
      </w:tr>
      <w:tr>
        <w:trPr>
          <w:trHeight w:val="377"/>
        </w:trPr>
        <w:tc>
          <w:tcPr>
            <w:tcW w:w="787" w:type="dxa"/>
            <w:textDirection w:val="lrTb"/>
            <w:noWrap w:val="false"/>
          </w:tcPr>
          <w:p>
            <w:pPr>
              <w:rPr>
                <w:highlight w:val="none"/>
              </w:rPr>
            </w:pPr>
            <w:r>
              <w:rPr>
                <w:highlight w:val="none"/>
              </w:rPr>
            </w:r>
            <w:r/>
          </w:p>
        </w:tc>
        <w:tc>
          <w:tcPr>
            <w:tcW w:w="781" w:type="dxa"/>
            <w:textDirection w:val="lrTb"/>
            <w:noWrap w:val="false"/>
          </w:tcPr>
          <w:p>
            <w:pPr>
              <w:rPr>
                <w:highlight w:val="none"/>
              </w:rPr>
            </w:pPr>
            <w:r>
              <w:rPr>
                <w:highlight w:val="none"/>
              </w:rPr>
            </w:r>
            <w:r/>
          </w:p>
        </w:tc>
        <w:tc>
          <w:tcPr>
            <w:tcW w:w="911" w:type="dxa"/>
            <w:textDirection w:val="lrTb"/>
            <w:noWrap w:val="false"/>
          </w:tcPr>
          <w:p>
            <w:pPr>
              <w:rPr>
                <w:highlight w:val="none"/>
              </w:rPr>
            </w:pPr>
            <w:r>
              <w:rPr>
                <w:highlight w:val="none"/>
              </w:rPr>
            </w:r>
            <w:r/>
          </w:p>
        </w:tc>
        <w:tc>
          <w:tcPr>
            <w:tcW w:w="1342" w:type="dxa"/>
            <w:vAlign w:val="center"/>
            <w:textDirection w:val="lrTb"/>
            <w:noWrap w:val="false"/>
          </w:tcPr>
          <w:p>
            <w:pPr>
              <w:rPr>
                <w:highlight w:val="none"/>
              </w:rPr>
            </w:pPr>
            <w:r>
              <w:rPr>
                <w:highlight w:val="none"/>
              </w:rPr>
            </w:r>
            <w:r/>
          </w:p>
        </w:tc>
        <w:tc>
          <w:tcPr>
            <w:tcW w:w="932" w:type="dxa"/>
            <w:textDirection w:val="lrTb"/>
            <w:noWrap w:val="false"/>
          </w:tcPr>
          <w:p>
            <w:pPr>
              <w:rPr>
                <w:highlight w:val="none"/>
              </w:rPr>
            </w:pPr>
            <w:r>
              <w:rPr>
                <w:highlight w:val="none"/>
              </w:rPr>
            </w:r>
            <w:r/>
          </w:p>
        </w:tc>
        <w:tc>
          <w:tcPr>
            <w:tcW w:w="1152" w:type="dxa"/>
            <w:textDirection w:val="lrTb"/>
            <w:noWrap w:val="false"/>
          </w:tcPr>
          <w:p>
            <w:pPr>
              <w:rPr>
                <w:highlight w:val="none"/>
              </w:rPr>
            </w:pPr>
            <w:r>
              <w:rPr>
                <w:highlight w:val="none"/>
              </w:rPr>
            </w:r>
            <w:r/>
          </w:p>
        </w:tc>
        <w:tc>
          <w:tcPr>
            <w:tcW w:w="2230" w:type="dxa"/>
            <w:textDirection w:val="lrTb"/>
            <w:noWrap w:val="false"/>
          </w:tcPr>
          <w:p>
            <w:pPr>
              <w:rPr>
                <w:highlight w:val="none"/>
              </w:rPr>
            </w:pPr>
            <w:r>
              <w:rPr>
                <w:highlight w:val="none"/>
              </w:rPr>
            </w:r>
            <w:r/>
          </w:p>
        </w:tc>
        <w:tc>
          <w:tcPr>
            <w:tcW w:w="1060" w:type="dxa"/>
            <w:textDirection w:val="lrTb"/>
            <w:noWrap w:val="false"/>
          </w:tcPr>
          <w:p>
            <w:pPr>
              <w:rPr>
                <w:highlight w:val="none"/>
              </w:rPr>
            </w:pPr>
            <w:r>
              <w:rPr>
                <w:highlight w:val="none"/>
              </w:rPr>
            </w:r>
            <w:r/>
          </w:p>
        </w:tc>
        <w:tc>
          <w:tcPr>
            <w:tcW w:w="1060" w:type="dxa"/>
            <w:textDirection w:val="lrTb"/>
            <w:noWrap w:val="false"/>
          </w:tcPr>
          <w:p>
            <w:pPr>
              <w:rPr>
                <w:highlight w:val="none"/>
              </w:rPr>
            </w:pPr>
            <w:r>
              <w:rPr>
                <w:highlight w:val="none"/>
              </w:rPr>
            </w:r>
            <w:r/>
          </w:p>
        </w:tc>
      </w:tr>
    </w:tbl>
    <w:p>
      <w:pPr>
        <w:rPr>
          <w:highlight w:val="none"/>
          <w:lang w:val="zh-CN"/>
        </w:rPr>
      </w:pPr>
      <w:r>
        <w:rPr>
          <w:highlight w:val="none"/>
          <w:lang w:val="zh-CN"/>
        </w:rPr>
      </w:r>
      <w:r/>
    </w:p>
    <w:p>
      <w:pPr>
        <w:rPr>
          <w:highlight w:val="none"/>
          <w:lang w:val="zh-CN"/>
        </w:rPr>
      </w:pPr>
      <w:r>
        <w:rPr>
          <w:highlight w:val="none"/>
          <w:lang w:val="zh-CN"/>
        </w:rPr>
      </w:r>
      <w:r/>
    </w:p>
    <w:p>
      <w:pPr>
        <w:rPr>
          <w:highlight w:val="none"/>
          <w:lang w:val="zh-CN"/>
        </w:rPr>
      </w:pPr>
      <w:r>
        <w:rPr>
          <w:highlight w:val="none"/>
          <w:lang w:val="zh-CN"/>
        </w:rPr>
        <w:br w:type="page" w:clear="all"/>
      </w:r>
      <w:r/>
    </w:p>
    <w:p>
      <w:pPr>
        <w:rPr>
          <w:highlight w:val="none"/>
          <w:lang w:val="zh-CN"/>
        </w:rPr>
        <w:sectPr>
          <w:headerReference w:type="default" r:id="rId11"/>
          <w:footerReference w:type="default" r:id="rId17"/>
          <w:footnotePr/>
          <w:endnotePr/>
          <w:type w:val="nextPage"/>
          <w:pgSz w:w="11906" w:h="16838" w:orient="portrait"/>
          <w:pgMar w:top="1361" w:right="1361" w:bottom="1361" w:left="1361" w:header="851" w:footer="992" w:gutter="0"/>
          <w:cols w:num="1" w:sep="0" w:space="720" w:equalWidth="1"/>
          <w:docGrid w:linePitch="360"/>
        </w:sectPr>
      </w:pPr>
      <w:r>
        <w:rPr>
          <w:highlight w:val="none"/>
          <w:lang w:val="zh-CN"/>
        </w:rPr>
      </w:r>
      <w:r/>
    </w:p>
    <w:p>
      <w:pPr>
        <w:rPr>
          <w:highlight w:val="none"/>
        </w:rPr>
      </w:pPr>
      <w:r>
        <w:rPr>
          <w:rFonts w:hint="eastAsia"/>
          <w:highlight w:val="none"/>
          <w:lang w:val="zh-CN"/>
        </w:rPr>
        <w:t xml:space="preserve">附件：</w:t>
      </w:r>
      <w:r>
        <w:rPr>
          <w:rFonts w:hint="eastAsia"/>
          <w:highlight w:val="none"/>
        </w:rPr>
        <w:t xml:space="preserve">1</w:t>
      </w:r>
      <w:r>
        <w:rPr>
          <w:rFonts w:hint="eastAsia"/>
          <w:highlight w:val="none"/>
          <w:lang w:val="en-US" w:eastAsia="zh-CN"/>
        </w:rPr>
        <w:t xml:space="preserve">4</w:t>
      </w:r>
      <w:r>
        <w:rPr>
          <w:rFonts w:hint="eastAsia"/>
          <w:highlight w:val="none"/>
        </w:rPr>
        <w:t xml:space="preserve">                                          </w:t>
      </w:r>
      <w:r>
        <w:rPr>
          <w:highlight w:val="none"/>
        </w:rPr>
        <w:t xml:space="preserve">投标人类似项目业绩清单</w:t>
      </w:r>
      <w:r/>
    </w:p>
    <w:p>
      <w:pPr>
        <w:rPr>
          <w:highlight w:val="none"/>
        </w:rPr>
      </w:pPr>
      <w:r>
        <w:rPr>
          <w:highlight w:val="none"/>
        </w:rPr>
      </w:r>
      <w:r/>
    </w:p>
    <w:p>
      <w:pPr>
        <w:rPr>
          <w:highlight w:val="none"/>
        </w:rPr>
      </w:pPr>
      <w:r>
        <w:rPr>
          <w:highlight w:val="none"/>
        </w:rPr>
      </w:r>
      <w:r/>
    </w:p>
    <w:tbl>
      <w:tblPr>
        <w:tblStyle w:val="903"/>
        <w:tblW w:w="13147" w:type="dxa"/>
        <w:tblInd w:w="6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06"/>
        <w:gridCol w:w="2501"/>
        <w:gridCol w:w="1947"/>
        <w:gridCol w:w="1404"/>
        <w:gridCol w:w="2759"/>
        <w:gridCol w:w="1843"/>
        <w:gridCol w:w="1687"/>
      </w:tblGrid>
      <w:tr>
        <w:trPr>
          <w:trHeight w:val="629"/>
        </w:trPr>
        <w:tc>
          <w:tcPr>
            <w:tcBorders>
              <w:top w:val="single" w:color="000000" w:sz="10" w:space="0"/>
              <w:left w:val="single" w:color="000000" w:sz="10" w:space="0"/>
            </w:tcBorders>
            <w:tcW w:w="1006" w:type="dxa"/>
            <w:textDirection w:val="lrTb"/>
            <w:noWrap w:val="false"/>
          </w:tcPr>
          <w:p>
            <w:pPr>
              <w:rPr>
                <w:highlight w:val="none"/>
              </w:rPr>
            </w:pPr>
            <w:r>
              <w:rPr>
                <w:highlight w:val="none"/>
              </w:rPr>
              <w:t xml:space="preserve">序号</w:t>
            </w:r>
            <w:r/>
          </w:p>
        </w:tc>
        <w:tc>
          <w:tcPr>
            <w:tcBorders>
              <w:top w:val="single" w:color="000000" w:sz="10" w:space="0"/>
            </w:tcBorders>
            <w:tcW w:w="2501" w:type="dxa"/>
            <w:textDirection w:val="lrTb"/>
            <w:noWrap w:val="false"/>
          </w:tcPr>
          <w:p>
            <w:pPr>
              <w:rPr>
                <w:highlight w:val="none"/>
              </w:rPr>
            </w:pPr>
            <w:r>
              <w:rPr>
                <w:highlight w:val="none"/>
              </w:rPr>
              <w:t xml:space="preserve">服务</w:t>
            </w:r>
            <w:r>
              <w:rPr>
                <w:rFonts w:eastAsia="Times New Roman"/>
                <w:highlight w:val="none"/>
              </w:rPr>
              <w:t xml:space="preserve">/</w:t>
            </w:r>
            <w:r>
              <w:rPr>
                <w:highlight w:val="none"/>
              </w:rPr>
              <w:t xml:space="preserve">合同名称</w:t>
            </w:r>
            <w:r/>
          </w:p>
        </w:tc>
        <w:tc>
          <w:tcPr>
            <w:tcBorders>
              <w:top w:val="single" w:color="000000" w:sz="10" w:space="0"/>
            </w:tcBorders>
            <w:tcW w:w="1947" w:type="dxa"/>
            <w:textDirection w:val="lrTb"/>
            <w:noWrap w:val="false"/>
          </w:tcPr>
          <w:p>
            <w:pPr>
              <w:rPr>
                <w:highlight w:val="none"/>
              </w:rPr>
            </w:pPr>
            <w:r>
              <w:rPr>
                <w:highlight w:val="none"/>
              </w:rPr>
              <w:t xml:space="preserve">合同甲方名称</w:t>
            </w:r>
            <w:r/>
          </w:p>
        </w:tc>
        <w:tc>
          <w:tcPr>
            <w:tcBorders>
              <w:top w:val="single" w:color="000000" w:sz="10" w:space="0"/>
            </w:tcBorders>
            <w:tcW w:w="1404" w:type="dxa"/>
            <w:textDirection w:val="lrTb"/>
            <w:noWrap w:val="false"/>
          </w:tcPr>
          <w:p>
            <w:pPr>
              <w:rPr>
                <w:highlight w:val="none"/>
              </w:rPr>
            </w:pPr>
            <w:r>
              <w:rPr>
                <w:highlight w:val="none"/>
              </w:rPr>
              <w:t xml:space="preserve">合同签署</w:t>
            </w:r>
            <w:r/>
          </w:p>
          <w:p>
            <w:pPr>
              <w:rPr>
                <w:highlight w:val="none"/>
              </w:rPr>
            </w:pPr>
            <w:r>
              <w:rPr>
                <w:highlight w:val="none"/>
              </w:rPr>
              <w:t xml:space="preserve">时间</w:t>
            </w:r>
            <w:r/>
          </w:p>
        </w:tc>
        <w:tc>
          <w:tcPr>
            <w:tcBorders>
              <w:top w:val="single" w:color="000000" w:sz="10" w:space="0"/>
            </w:tcBorders>
            <w:tcW w:w="2759" w:type="dxa"/>
            <w:textDirection w:val="lrTb"/>
            <w:noWrap w:val="false"/>
          </w:tcPr>
          <w:p>
            <w:pPr>
              <w:rPr>
                <w:highlight w:val="none"/>
              </w:rPr>
            </w:pPr>
            <w:r>
              <w:rPr>
                <w:highlight w:val="none"/>
              </w:rPr>
              <w:t xml:space="preserve">合同内容</w:t>
            </w:r>
            <w:r/>
          </w:p>
        </w:tc>
        <w:tc>
          <w:tcPr>
            <w:tcBorders>
              <w:top w:val="single" w:color="000000" w:sz="10" w:space="0"/>
            </w:tcBorders>
            <w:tcW w:w="1843" w:type="dxa"/>
            <w:textDirection w:val="lrTb"/>
            <w:noWrap w:val="false"/>
          </w:tcPr>
          <w:p>
            <w:pPr>
              <w:rPr>
                <w:highlight w:val="none"/>
              </w:rPr>
            </w:pPr>
            <w:r>
              <w:rPr>
                <w:rFonts w:hint="eastAsia"/>
                <w:highlight w:val="none"/>
              </w:rPr>
              <w:t xml:space="preserve">甲方</w:t>
            </w:r>
            <w:r>
              <w:rPr>
                <w:highlight w:val="none"/>
              </w:rPr>
              <w:t xml:space="preserve">联系人及 </w:t>
            </w:r>
            <w:r>
              <w:rPr>
                <w:spacing w:val="-10"/>
                <w:highlight w:val="none"/>
              </w:rPr>
              <w:t xml:space="preserve">电话</w:t>
            </w:r>
            <w:r/>
          </w:p>
        </w:tc>
        <w:tc>
          <w:tcPr>
            <w:tcBorders>
              <w:top w:val="single" w:color="000000" w:sz="10" w:space="0"/>
              <w:right w:val="single" w:color="000000" w:sz="10" w:space="0"/>
            </w:tcBorders>
            <w:tcW w:w="1687" w:type="dxa"/>
            <w:textDirection w:val="lrTb"/>
            <w:noWrap w:val="false"/>
          </w:tcPr>
          <w:p>
            <w:pPr>
              <w:rPr>
                <w:highlight w:val="none"/>
              </w:rPr>
            </w:pPr>
            <w:r>
              <w:rPr>
                <w:highlight w:val="none"/>
              </w:rPr>
              <w:t xml:space="preserve">证明材</w:t>
            </w:r>
            <w:r>
              <w:rPr>
                <w:spacing w:val="-3"/>
                <w:highlight w:val="none"/>
              </w:rPr>
              <w:t xml:space="preserve">料页码</w:t>
            </w:r>
            <w:r/>
          </w:p>
        </w:tc>
      </w:tr>
      <w:tr>
        <w:trPr>
          <w:trHeight w:val="655"/>
        </w:trPr>
        <w:tc>
          <w:tcPr>
            <w:tcBorders>
              <w:left w:val="single" w:color="000000" w:sz="10" w:space="0"/>
            </w:tcBorders>
            <w:tcW w:w="1006" w:type="dxa"/>
            <w:textDirection w:val="lrTb"/>
            <w:noWrap w:val="false"/>
          </w:tcPr>
          <w:p>
            <w:pPr>
              <w:rPr>
                <w:highlight w:val="none"/>
              </w:rPr>
            </w:pPr>
            <w:r>
              <w:rPr>
                <w:highlight w:val="none"/>
              </w:rPr>
            </w:r>
            <w:r/>
          </w:p>
        </w:tc>
        <w:tc>
          <w:tcPr>
            <w:tcW w:w="2501" w:type="dxa"/>
            <w:textDirection w:val="lrTb"/>
            <w:noWrap w:val="false"/>
          </w:tcPr>
          <w:p>
            <w:pPr>
              <w:rPr>
                <w:highlight w:val="none"/>
              </w:rPr>
            </w:pPr>
            <w:r>
              <w:rPr>
                <w:highlight w:val="none"/>
              </w:rPr>
            </w:r>
            <w:r/>
          </w:p>
        </w:tc>
        <w:tc>
          <w:tcPr>
            <w:tcW w:w="1947" w:type="dxa"/>
            <w:textDirection w:val="lrTb"/>
            <w:noWrap w:val="false"/>
          </w:tcPr>
          <w:p>
            <w:pPr>
              <w:rPr>
                <w:highlight w:val="none"/>
              </w:rPr>
            </w:pPr>
            <w:r>
              <w:rPr>
                <w:highlight w:val="none"/>
              </w:rPr>
            </w:r>
            <w:r/>
          </w:p>
        </w:tc>
        <w:tc>
          <w:tcPr>
            <w:tcW w:w="1404" w:type="dxa"/>
            <w:textDirection w:val="lrTb"/>
            <w:noWrap w:val="false"/>
          </w:tcPr>
          <w:p>
            <w:pPr>
              <w:rPr>
                <w:highlight w:val="none"/>
              </w:rPr>
            </w:pPr>
            <w:r>
              <w:rPr>
                <w:highlight w:val="none"/>
              </w:rPr>
            </w:r>
            <w:r/>
          </w:p>
        </w:tc>
        <w:tc>
          <w:tcPr>
            <w:tcW w:w="2759" w:type="dxa"/>
            <w:textDirection w:val="lrTb"/>
            <w:noWrap w:val="false"/>
          </w:tcPr>
          <w:p>
            <w:pPr>
              <w:rPr>
                <w:highlight w:val="none"/>
              </w:rPr>
            </w:pPr>
            <w:r>
              <w:rPr>
                <w:highlight w:val="none"/>
              </w:rPr>
            </w:r>
            <w:r/>
          </w:p>
        </w:tc>
        <w:tc>
          <w:tcPr>
            <w:tcW w:w="1843" w:type="dxa"/>
            <w:textDirection w:val="lrTb"/>
            <w:noWrap w:val="false"/>
          </w:tcPr>
          <w:p>
            <w:pPr>
              <w:rPr>
                <w:highlight w:val="none"/>
              </w:rPr>
            </w:pPr>
            <w:r>
              <w:rPr>
                <w:highlight w:val="none"/>
              </w:rPr>
            </w:r>
            <w:r/>
          </w:p>
        </w:tc>
        <w:tc>
          <w:tcPr>
            <w:tcBorders>
              <w:right w:val="single" w:color="000000" w:sz="10" w:space="0"/>
            </w:tcBorders>
            <w:tcW w:w="1687" w:type="dxa"/>
            <w:textDirection w:val="lrTb"/>
            <w:noWrap w:val="false"/>
          </w:tcPr>
          <w:p>
            <w:pPr>
              <w:rPr>
                <w:highlight w:val="none"/>
              </w:rPr>
            </w:pPr>
            <w:r>
              <w:rPr>
                <w:highlight w:val="none"/>
              </w:rPr>
            </w:r>
            <w:r/>
          </w:p>
        </w:tc>
      </w:tr>
      <w:tr>
        <w:trPr>
          <w:trHeight w:val="656"/>
        </w:trPr>
        <w:tc>
          <w:tcPr>
            <w:tcBorders>
              <w:left w:val="single" w:color="000000" w:sz="10" w:space="0"/>
            </w:tcBorders>
            <w:tcW w:w="1006" w:type="dxa"/>
            <w:textDirection w:val="lrTb"/>
            <w:noWrap w:val="false"/>
          </w:tcPr>
          <w:p>
            <w:pPr>
              <w:rPr>
                <w:highlight w:val="none"/>
              </w:rPr>
            </w:pPr>
            <w:r>
              <w:rPr>
                <w:highlight w:val="none"/>
              </w:rPr>
            </w:r>
            <w:r/>
          </w:p>
        </w:tc>
        <w:tc>
          <w:tcPr>
            <w:tcW w:w="2501" w:type="dxa"/>
            <w:textDirection w:val="lrTb"/>
            <w:noWrap w:val="false"/>
          </w:tcPr>
          <w:p>
            <w:pPr>
              <w:rPr>
                <w:highlight w:val="none"/>
              </w:rPr>
            </w:pPr>
            <w:r>
              <w:rPr>
                <w:highlight w:val="none"/>
              </w:rPr>
            </w:r>
            <w:r/>
          </w:p>
        </w:tc>
        <w:tc>
          <w:tcPr>
            <w:tcW w:w="1947" w:type="dxa"/>
            <w:textDirection w:val="lrTb"/>
            <w:noWrap w:val="false"/>
          </w:tcPr>
          <w:p>
            <w:pPr>
              <w:rPr>
                <w:highlight w:val="none"/>
              </w:rPr>
            </w:pPr>
            <w:r>
              <w:rPr>
                <w:highlight w:val="none"/>
              </w:rPr>
            </w:r>
            <w:r/>
          </w:p>
        </w:tc>
        <w:tc>
          <w:tcPr>
            <w:tcW w:w="1404" w:type="dxa"/>
            <w:textDirection w:val="lrTb"/>
            <w:noWrap w:val="false"/>
          </w:tcPr>
          <w:p>
            <w:pPr>
              <w:rPr>
                <w:highlight w:val="none"/>
              </w:rPr>
            </w:pPr>
            <w:r>
              <w:rPr>
                <w:highlight w:val="none"/>
              </w:rPr>
            </w:r>
            <w:r/>
          </w:p>
        </w:tc>
        <w:tc>
          <w:tcPr>
            <w:tcW w:w="2759" w:type="dxa"/>
            <w:textDirection w:val="lrTb"/>
            <w:noWrap w:val="false"/>
          </w:tcPr>
          <w:p>
            <w:pPr>
              <w:rPr>
                <w:highlight w:val="none"/>
              </w:rPr>
            </w:pPr>
            <w:r>
              <w:rPr>
                <w:highlight w:val="none"/>
              </w:rPr>
            </w:r>
            <w:r/>
          </w:p>
        </w:tc>
        <w:tc>
          <w:tcPr>
            <w:tcW w:w="1843" w:type="dxa"/>
            <w:textDirection w:val="lrTb"/>
            <w:noWrap w:val="false"/>
          </w:tcPr>
          <w:p>
            <w:pPr>
              <w:rPr>
                <w:highlight w:val="none"/>
              </w:rPr>
            </w:pPr>
            <w:r>
              <w:rPr>
                <w:highlight w:val="none"/>
              </w:rPr>
            </w:r>
            <w:r/>
          </w:p>
        </w:tc>
        <w:tc>
          <w:tcPr>
            <w:tcBorders>
              <w:right w:val="single" w:color="000000" w:sz="10" w:space="0"/>
            </w:tcBorders>
            <w:tcW w:w="1687" w:type="dxa"/>
            <w:textDirection w:val="lrTb"/>
            <w:noWrap w:val="false"/>
          </w:tcPr>
          <w:p>
            <w:pPr>
              <w:rPr>
                <w:highlight w:val="none"/>
              </w:rPr>
            </w:pPr>
            <w:r>
              <w:rPr>
                <w:highlight w:val="none"/>
              </w:rPr>
            </w:r>
            <w:r/>
          </w:p>
        </w:tc>
      </w:tr>
      <w:tr>
        <w:trPr>
          <w:trHeight w:val="653"/>
        </w:trPr>
        <w:tc>
          <w:tcPr>
            <w:tcBorders>
              <w:left w:val="single" w:color="000000" w:sz="10" w:space="0"/>
            </w:tcBorders>
            <w:tcW w:w="1006" w:type="dxa"/>
            <w:textDirection w:val="lrTb"/>
            <w:noWrap w:val="false"/>
          </w:tcPr>
          <w:p>
            <w:pPr>
              <w:rPr>
                <w:highlight w:val="none"/>
              </w:rPr>
            </w:pPr>
            <w:r>
              <w:rPr>
                <w:highlight w:val="none"/>
              </w:rPr>
            </w:r>
            <w:r/>
          </w:p>
        </w:tc>
        <w:tc>
          <w:tcPr>
            <w:tcW w:w="2501" w:type="dxa"/>
            <w:textDirection w:val="lrTb"/>
            <w:noWrap w:val="false"/>
          </w:tcPr>
          <w:p>
            <w:pPr>
              <w:rPr>
                <w:highlight w:val="none"/>
              </w:rPr>
            </w:pPr>
            <w:r>
              <w:rPr>
                <w:highlight w:val="none"/>
              </w:rPr>
            </w:r>
            <w:r/>
          </w:p>
        </w:tc>
        <w:tc>
          <w:tcPr>
            <w:tcW w:w="1947" w:type="dxa"/>
            <w:textDirection w:val="lrTb"/>
            <w:noWrap w:val="false"/>
          </w:tcPr>
          <w:p>
            <w:pPr>
              <w:rPr>
                <w:highlight w:val="none"/>
              </w:rPr>
            </w:pPr>
            <w:r>
              <w:rPr>
                <w:highlight w:val="none"/>
              </w:rPr>
            </w:r>
            <w:r/>
          </w:p>
        </w:tc>
        <w:tc>
          <w:tcPr>
            <w:tcW w:w="1404" w:type="dxa"/>
            <w:textDirection w:val="lrTb"/>
            <w:noWrap w:val="false"/>
          </w:tcPr>
          <w:p>
            <w:pPr>
              <w:rPr>
                <w:highlight w:val="none"/>
              </w:rPr>
            </w:pPr>
            <w:r>
              <w:rPr>
                <w:highlight w:val="none"/>
              </w:rPr>
            </w:r>
            <w:r/>
          </w:p>
        </w:tc>
        <w:tc>
          <w:tcPr>
            <w:tcW w:w="2759" w:type="dxa"/>
            <w:textDirection w:val="lrTb"/>
            <w:noWrap w:val="false"/>
          </w:tcPr>
          <w:p>
            <w:pPr>
              <w:rPr>
                <w:highlight w:val="none"/>
              </w:rPr>
            </w:pPr>
            <w:r>
              <w:rPr>
                <w:highlight w:val="none"/>
              </w:rPr>
            </w:r>
            <w:r/>
          </w:p>
        </w:tc>
        <w:tc>
          <w:tcPr>
            <w:tcW w:w="1843" w:type="dxa"/>
            <w:textDirection w:val="lrTb"/>
            <w:noWrap w:val="false"/>
          </w:tcPr>
          <w:p>
            <w:pPr>
              <w:rPr>
                <w:highlight w:val="none"/>
              </w:rPr>
            </w:pPr>
            <w:r>
              <w:rPr>
                <w:highlight w:val="none"/>
              </w:rPr>
            </w:r>
            <w:r/>
          </w:p>
        </w:tc>
        <w:tc>
          <w:tcPr>
            <w:tcBorders>
              <w:right w:val="single" w:color="000000" w:sz="10" w:space="0"/>
            </w:tcBorders>
            <w:tcW w:w="1687" w:type="dxa"/>
            <w:textDirection w:val="lrTb"/>
            <w:noWrap w:val="false"/>
          </w:tcPr>
          <w:p>
            <w:pPr>
              <w:rPr>
                <w:highlight w:val="none"/>
              </w:rPr>
            </w:pPr>
            <w:r>
              <w:rPr>
                <w:highlight w:val="none"/>
              </w:rPr>
            </w:r>
            <w:r/>
          </w:p>
        </w:tc>
      </w:tr>
      <w:tr>
        <w:trPr>
          <w:trHeight w:val="656"/>
        </w:trPr>
        <w:tc>
          <w:tcPr>
            <w:tcBorders>
              <w:left w:val="single" w:color="000000" w:sz="10" w:space="0"/>
            </w:tcBorders>
            <w:tcW w:w="1006" w:type="dxa"/>
            <w:textDirection w:val="lrTb"/>
            <w:noWrap w:val="false"/>
          </w:tcPr>
          <w:p>
            <w:pPr>
              <w:rPr>
                <w:highlight w:val="none"/>
              </w:rPr>
            </w:pPr>
            <w:r>
              <w:rPr>
                <w:highlight w:val="none"/>
              </w:rPr>
            </w:r>
            <w:r/>
          </w:p>
        </w:tc>
        <w:tc>
          <w:tcPr>
            <w:tcW w:w="2501" w:type="dxa"/>
            <w:textDirection w:val="lrTb"/>
            <w:noWrap w:val="false"/>
          </w:tcPr>
          <w:p>
            <w:pPr>
              <w:rPr>
                <w:highlight w:val="none"/>
              </w:rPr>
            </w:pPr>
            <w:r>
              <w:rPr>
                <w:highlight w:val="none"/>
              </w:rPr>
            </w:r>
            <w:r/>
          </w:p>
        </w:tc>
        <w:tc>
          <w:tcPr>
            <w:tcW w:w="1947" w:type="dxa"/>
            <w:textDirection w:val="lrTb"/>
            <w:noWrap w:val="false"/>
          </w:tcPr>
          <w:p>
            <w:pPr>
              <w:rPr>
                <w:highlight w:val="none"/>
              </w:rPr>
            </w:pPr>
            <w:r>
              <w:rPr>
                <w:highlight w:val="none"/>
              </w:rPr>
            </w:r>
            <w:r/>
          </w:p>
        </w:tc>
        <w:tc>
          <w:tcPr>
            <w:tcW w:w="1404" w:type="dxa"/>
            <w:textDirection w:val="lrTb"/>
            <w:noWrap w:val="false"/>
          </w:tcPr>
          <w:p>
            <w:pPr>
              <w:rPr>
                <w:highlight w:val="none"/>
              </w:rPr>
            </w:pPr>
            <w:r>
              <w:rPr>
                <w:highlight w:val="none"/>
              </w:rPr>
            </w:r>
            <w:r/>
          </w:p>
        </w:tc>
        <w:tc>
          <w:tcPr>
            <w:tcW w:w="2759" w:type="dxa"/>
            <w:textDirection w:val="lrTb"/>
            <w:noWrap w:val="false"/>
          </w:tcPr>
          <w:p>
            <w:pPr>
              <w:rPr>
                <w:highlight w:val="none"/>
              </w:rPr>
            </w:pPr>
            <w:r>
              <w:rPr>
                <w:highlight w:val="none"/>
              </w:rPr>
            </w:r>
            <w:r/>
          </w:p>
        </w:tc>
        <w:tc>
          <w:tcPr>
            <w:tcW w:w="1843" w:type="dxa"/>
            <w:textDirection w:val="lrTb"/>
            <w:noWrap w:val="false"/>
          </w:tcPr>
          <w:p>
            <w:pPr>
              <w:rPr>
                <w:highlight w:val="none"/>
              </w:rPr>
            </w:pPr>
            <w:r>
              <w:rPr>
                <w:highlight w:val="none"/>
              </w:rPr>
            </w:r>
            <w:r/>
          </w:p>
        </w:tc>
        <w:tc>
          <w:tcPr>
            <w:tcBorders>
              <w:right w:val="single" w:color="000000" w:sz="10" w:space="0"/>
            </w:tcBorders>
            <w:tcW w:w="1687" w:type="dxa"/>
            <w:textDirection w:val="lrTb"/>
            <w:noWrap w:val="false"/>
          </w:tcPr>
          <w:p>
            <w:pPr>
              <w:rPr>
                <w:highlight w:val="none"/>
              </w:rPr>
            </w:pPr>
            <w:r>
              <w:rPr>
                <w:highlight w:val="none"/>
              </w:rPr>
            </w:r>
            <w:r/>
          </w:p>
        </w:tc>
      </w:tr>
      <w:tr>
        <w:trPr>
          <w:trHeight w:val="677"/>
        </w:trPr>
        <w:tc>
          <w:tcPr>
            <w:tcBorders>
              <w:left w:val="single" w:color="000000" w:sz="10" w:space="0"/>
              <w:bottom w:val="single" w:color="000000" w:sz="10" w:space="0"/>
            </w:tcBorders>
            <w:tcW w:w="1006" w:type="dxa"/>
            <w:textDirection w:val="lrTb"/>
            <w:noWrap w:val="false"/>
          </w:tcPr>
          <w:p>
            <w:pPr>
              <w:rPr>
                <w:highlight w:val="none"/>
              </w:rPr>
            </w:pPr>
            <w:r>
              <w:rPr>
                <w:highlight w:val="none"/>
              </w:rPr>
            </w:r>
            <w:r/>
          </w:p>
        </w:tc>
        <w:tc>
          <w:tcPr>
            <w:tcBorders>
              <w:bottom w:val="single" w:color="000000" w:sz="10" w:space="0"/>
            </w:tcBorders>
            <w:tcW w:w="2501" w:type="dxa"/>
            <w:textDirection w:val="lrTb"/>
            <w:noWrap w:val="false"/>
          </w:tcPr>
          <w:p>
            <w:pPr>
              <w:rPr>
                <w:highlight w:val="none"/>
              </w:rPr>
            </w:pPr>
            <w:r>
              <w:rPr>
                <w:highlight w:val="none"/>
              </w:rPr>
            </w:r>
            <w:r/>
          </w:p>
        </w:tc>
        <w:tc>
          <w:tcPr>
            <w:tcBorders>
              <w:bottom w:val="single" w:color="000000" w:sz="10" w:space="0"/>
            </w:tcBorders>
            <w:tcW w:w="1947" w:type="dxa"/>
            <w:textDirection w:val="lrTb"/>
            <w:noWrap w:val="false"/>
          </w:tcPr>
          <w:p>
            <w:pPr>
              <w:rPr>
                <w:highlight w:val="none"/>
              </w:rPr>
            </w:pPr>
            <w:r>
              <w:rPr>
                <w:highlight w:val="none"/>
              </w:rPr>
            </w:r>
            <w:r/>
          </w:p>
        </w:tc>
        <w:tc>
          <w:tcPr>
            <w:tcBorders>
              <w:bottom w:val="single" w:color="000000" w:sz="10" w:space="0"/>
            </w:tcBorders>
            <w:tcW w:w="1404" w:type="dxa"/>
            <w:textDirection w:val="lrTb"/>
            <w:noWrap w:val="false"/>
          </w:tcPr>
          <w:p>
            <w:pPr>
              <w:rPr>
                <w:highlight w:val="none"/>
              </w:rPr>
            </w:pPr>
            <w:r>
              <w:rPr>
                <w:highlight w:val="none"/>
              </w:rPr>
            </w:r>
            <w:r/>
          </w:p>
        </w:tc>
        <w:tc>
          <w:tcPr>
            <w:tcBorders>
              <w:bottom w:val="single" w:color="000000" w:sz="10" w:space="0"/>
            </w:tcBorders>
            <w:tcW w:w="2759" w:type="dxa"/>
            <w:textDirection w:val="lrTb"/>
            <w:noWrap w:val="false"/>
          </w:tcPr>
          <w:p>
            <w:pPr>
              <w:rPr>
                <w:highlight w:val="none"/>
              </w:rPr>
            </w:pPr>
            <w:r>
              <w:rPr>
                <w:highlight w:val="none"/>
              </w:rPr>
            </w:r>
            <w:r/>
          </w:p>
        </w:tc>
        <w:tc>
          <w:tcPr>
            <w:tcBorders>
              <w:bottom w:val="single" w:color="000000" w:sz="10" w:space="0"/>
            </w:tcBorders>
            <w:tcW w:w="1843" w:type="dxa"/>
            <w:textDirection w:val="lrTb"/>
            <w:noWrap w:val="false"/>
          </w:tcPr>
          <w:p>
            <w:pPr>
              <w:rPr>
                <w:highlight w:val="none"/>
              </w:rPr>
            </w:pPr>
            <w:r>
              <w:rPr>
                <w:highlight w:val="none"/>
              </w:rPr>
            </w:r>
            <w:r/>
          </w:p>
        </w:tc>
        <w:tc>
          <w:tcPr>
            <w:tcBorders>
              <w:bottom w:val="single" w:color="000000" w:sz="10" w:space="0"/>
              <w:right w:val="single" w:color="000000" w:sz="10" w:space="0"/>
            </w:tcBorders>
            <w:tcW w:w="1687" w:type="dxa"/>
            <w:textDirection w:val="lrTb"/>
            <w:noWrap w:val="false"/>
          </w:tcPr>
          <w:p>
            <w:pPr>
              <w:rPr>
                <w:highlight w:val="none"/>
              </w:rPr>
            </w:pPr>
            <w:r>
              <w:rPr>
                <w:highlight w:val="none"/>
              </w:rPr>
            </w:r>
            <w:r/>
          </w:p>
        </w:tc>
      </w:tr>
    </w:tbl>
    <w:p>
      <w:pPr>
        <w:rPr>
          <w:highlight w:val="none"/>
        </w:rPr>
      </w:pPr>
      <w:r>
        <w:rPr>
          <w:highlight w:val="none"/>
        </w:rPr>
        <w:t xml:space="preserve">注：按招标文件粘贴</w:t>
      </w:r>
      <w:r>
        <w:rPr>
          <w:rFonts w:hint="eastAsia"/>
          <w:highlight w:val="none"/>
        </w:rPr>
        <w:t xml:space="preserve">第四部分 第</w:t>
      </w:r>
      <w:r>
        <w:rPr>
          <w:rFonts w:hint="eastAsia"/>
          <w:highlight w:val="none"/>
          <w:lang w:eastAsia="zh-CN"/>
        </w:rPr>
        <w:t xml:space="preserve">六</w:t>
      </w:r>
      <w:r>
        <w:rPr>
          <w:rFonts w:hint="eastAsia"/>
          <w:highlight w:val="none"/>
        </w:rPr>
        <w:t xml:space="preserve"> 评审标准</w:t>
      </w:r>
      <w:r>
        <w:rPr>
          <w:highlight w:val="none"/>
        </w:rPr>
        <w:t xml:space="preserve">要求，提供投标人类似项目业绩清单及证</w:t>
      </w:r>
      <w:r>
        <w:rPr>
          <w:spacing w:val="-2"/>
          <w:highlight w:val="none"/>
        </w:rPr>
        <w:t xml:space="preserve">明材料。</w:t>
      </w:r>
      <w:r/>
    </w:p>
    <w:p>
      <w:pPr>
        <w:pStyle w:val="877"/>
        <w:rPr>
          <w:highlight w:val="none"/>
        </w:rPr>
      </w:pPr>
      <w:r>
        <w:rPr>
          <w:highlight w:val="none"/>
        </w:rPr>
      </w:r>
      <w:r/>
    </w:p>
    <w:p>
      <w:pPr>
        <w:rPr>
          <w:highlight w:val="none"/>
        </w:rPr>
      </w:pPr>
      <w:r>
        <w:rPr>
          <w:highlight w:val="none"/>
        </w:rPr>
        <w:t xml:space="preserve">我单位郑重承诺，本表所填信息及相关证明文件均经我单位核实和确认，保证所有信息的真实性。如有信息与实 际情况不符或提供虚假信息，我单位愿按《中华人民共和国政府采购法》及相关法律规定承担法律责任。</w:t>
      </w:r>
      <w:r/>
    </w:p>
    <w:p>
      <w:pPr>
        <w:pStyle w:val="877"/>
        <w:rPr>
          <w:highlight w:val="none"/>
        </w:rPr>
      </w:pPr>
      <w:r>
        <w:rPr>
          <w:highlight w:val="none"/>
        </w:rPr>
      </w:r>
      <w:r/>
    </w:p>
    <w:p>
      <w:pPr>
        <w:ind w:firstLine="412"/>
        <w:rPr>
          <w:highlight w:val="none"/>
        </w:rPr>
      </w:pPr>
      <w:r>
        <w:rPr>
          <w:spacing w:val="-2"/>
          <w:highlight w:val="none"/>
        </w:rPr>
        <w:t xml:space="preserve">投标人名称（加盖公章）</w:t>
      </w:r>
      <w:r>
        <w:rPr>
          <w:highlight w:val="none"/>
        </w:rPr>
        <w:t xml:space="preserve">                      </w:t>
      </w:r>
      <w:r/>
    </w:p>
    <w:p>
      <w:pPr>
        <w:rPr>
          <w:highlight w:val="none"/>
        </w:rPr>
        <w:sectPr>
          <w:footerReference w:type="default" r:id="rId18"/>
          <w:footnotePr/>
          <w:endnotePr/>
          <w:type w:val="nextPage"/>
          <w:pgSz w:w="16839" w:h="11907" w:orient="landscape"/>
          <w:pgMar w:top="1012" w:right="1317" w:bottom="1159" w:left="1269" w:header="0" w:footer="959" w:gutter="0"/>
          <w:cols w:num="1" w:sep="0" w:space="720" w:equalWidth="1"/>
          <w:docGrid w:linePitch="360"/>
        </w:sectPr>
      </w:pPr>
      <w:r>
        <w:rPr>
          <w:highlight w:val="none"/>
        </w:rPr>
        <w:t xml:space="preserve">法定代表人签署或被授权人签字                   </w:t>
      </w:r>
      <w:r>
        <w:rPr>
          <w:spacing w:val="-1"/>
          <w:highlight w:val="none"/>
        </w:rPr>
        <w:t xml:space="preserve">          </w:t>
      </w:r>
      <w:r>
        <w:rPr>
          <w:highlight w:val="none"/>
        </w:rPr>
        <w:t xml:space="preserve"> </w:t>
      </w:r>
      <w:r>
        <w:rPr>
          <w:spacing w:val="-17"/>
          <w:highlight w:val="none"/>
        </w:rPr>
        <w:t xml:space="preserve">日期：</w:t>
      </w:r>
      <w:r>
        <w:rPr>
          <w:highlight w:val="none"/>
        </w:rPr>
        <w:t xml:space="preserve">                       </w:t>
      </w:r>
      <w:r/>
    </w:p>
    <w:p>
      <w:pPr>
        <w:rPr>
          <w:highlight w:val="none"/>
        </w:rPr>
      </w:pPr>
      <w:r>
        <w:rPr>
          <w:rFonts w:hint="eastAsia"/>
          <w:highlight w:val="none"/>
          <w:lang w:val="zh-CN"/>
        </w:rPr>
        <w:t xml:space="preserve">附件：</w:t>
      </w:r>
      <w:r>
        <w:rPr>
          <w:rFonts w:hint="eastAsia"/>
          <w:highlight w:val="none"/>
        </w:rPr>
        <w:t xml:space="preserve">1</w:t>
      </w:r>
      <w:r>
        <w:rPr>
          <w:rFonts w:hint="eastAsia"/>
          <w:highlight w:val="none"/>
          <w:lang w:val="en-US" w:eastAsia="zh-CN"/>
        </w:rPr>
        <w:t xml:space="preserve">5</w:t>
      </w:r>
      <w:r>
        <w:rPr>
          <w:rFonts w:hint="eastAsia"/>
          <w:highlight w:val="none"/>
        </w:rPr>
        <w:t xml:space="preserve">                       实验室仪器装备</w:t>
      </w:r>
      <w:r>
        <w:rPr>
          <w:highlight w:val="none"/>
        </w:rPr>
        <w:t xml:space="preserve">情况表</w:t>
      </w:r>
      <w:r/>
    </w:p>
    <w:p>
      <w:pPr>
        <w:rPr>
          <w:highlight w:val="none"/>
        </w:rPr>
      </w:pPr>
      <w:r>
        <w:rPr>
          <w:highlight w:val="none"/>
        </w:rPr>
      </w:r>
      <w:r/>
    </w:p>
    <w:tbl>
      <w:tblPr>
        <w:tblStyle w:val="903"/>
        <w:tblW w:w="915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1742"/>
        <w:gridCol w:w="1445"/>
        <w:gridCol w:w="1391"/>
        <w:gridCol w:w="1528"/>
        <w:gridCol w:w="1118"/>
        <w:gridCol w:w="1077"/>
      </w:tblGrid>
      <w:tr>
        <w:trPr>
          <w:trHeight w:val="624"/>
        </w:trPr>
        <w:tc>
          <w:tcPr>
            <w:tcW w:w="851" w:type="dxa"/>
            <w:vAlign w:val="center"/>
            <w:textDirection w:val="lrTb"/>
            <w:noWrap w:val="false"/>
          </w:tcPr>
          <w:p>
            <w:pPr>
              <w:rPr>
                <w:highlight w:val="none"/>
              </w:rPr>
            </w:pPr>
            <w:r>
              <w:rPr>
                <w:rFonts w:hint="eastAsia"/>
                <w:highlight w:val="none"/>
              </w:rPr>
              <w:t xml:space="preserve">序号</w:t>
            </w:r>
            <w:r/>
          </w:p>
        </w:tc>
        <w:tc>
          <w:tcPr>
            <w:tcW w:w="1742" w:type="dxa"/>
            <w:vAlign w:val="center"/>
            <w:textDirection w:val="lrTb"/>
            <w:noWrap w:val="false"/>
          </w:tcPr>
          <w:p>
            <w:pPr>
              <w:rPr>
                <w:highlight w:val="none"/>
              </w:rPr>
            </w:pPr>
            <w:r>
              <w:rPr>
                <w:rFonts w:hint="eastAsia"/>
                <w:highlight w:val="none"/>
              </w:rPr>
              <w:t xml:space="preserve">仪器设备名称</w:t>
            </w:r>
            <w:r/>
          </w:p>
        </w:tc>
        <w:tc>
          <w:tcPr>
            <w:tcW w:w="1445" w:type="dxa"/>
            <w:vAlign w:val="center"/>
            <w:textDirection w:val="lrTb"/>
            <w:noWrap w:val="false"/>
          </w:tcPr>
          <w:p>
            <w:pPr>
              <w:rPr>
                <w:highlight w:val="none"/>
              </w:rPr>
            </w:pPr>
            <w:r>
              <w:rPr>
                <w:rFonts w:hint="eastAsia"/>
                <w:highlight w:val="none"/>
              </w:rPr>
              <w:t xml:space="preserve">规格型号</w:t>
            </w:r>
            <w:r/>
          </w:p>
        </w:tc>
        <w:tc>
          <w:tcPr>
            <w:tcW w:w="1391" w:type="dxa"/>
            <w:vAlign w:val="center"/>
            <w:textDirection w:val="lrTb"/>
            <w:noWrap w:val="false"/>
          </w:tcPr>
          <w:p>
            <w:pPr>
              <w:rPr>
                <w:highlight w:val="none"/>
              </w:rPr>
            </w:pPr>
            <w:r>
              <w:rPr>
                <w:rFonts w:hint="eastAsia"/>
                <w:highlight w:val="none"/>
              </w:rPr>
              <w:t xml:space="preserve">出厂编号</w:t>
            </w:r>
            <w:r/>
          </w:p>
        </w:tc>
        <w:tc>
          <w:tcPr>
            <w:tcW w:w="1528" w:type="dxa"/>
            <w:vAlign w:val="center"/>
            <w:textDirection w:val="lrTb"/>
            <w:noWrap w:val="false"/>
          </w:tcPr>
          <w:p>
            <w:pPr>
              <w:rPr>
                <w:highlight w:val="none"/>
              </w:rPr>
            </w:pPr>
            <w:r>
              <w:rPr>
                <w:rFonts w:hint="eastAsia"/>
                <w:highlight w:val="none"/>
              </w:rPr>
              <w:t xml:space="preserve">生产厂家</w:t>
            </w:r>
            <w:r/>
          </w:p>
        </w:tc>
        <w:tc>
          <w:tcPr>
            <w:tcW w:w="1118" w:type="dxa"/>
            <w:vAlign w:val="center"/>
            <w:textDirection w:val="lrTb"/>
            <w:noWrap w:val="false"/>
          </w:tcPr>
          <w:p>
            <w:pPr>
              <w:rPr>
                <w:highlight w:val="none"/>
              </w:rPr>
            </w:pPr>
            <w:r>
              <w:rPr>
                <w:rFonts w:hint="eastAsia"/>
                <w:highlight w:val="none"/>
              </w:rPr>
              <w:t xml:space="preserve">购置日期</w:t>
            </w:r>
            <w:r/>
          </w:p>
        </w:tc>
        <w:tc>
          <w:tcPr>
            <w:tcW w:w="1077" w:type="dxa"/>
            <w:vAlign w:val="center"/>
            <w:textDirection w:val="lrTb"/>
            <w:noWrap w:val="false"/>
          </w:tcPr>
          <w:p>
            <w:pPr>
              <w:rPr>
                <w:highlight w:val="none"/>
              </w:rPr>
            </w:pPr>
            <w:r>
              <w:rPr>
                <w:rFonts w:hint="eastAsia"/>
                <w:highlight w:val="none"/>
              </w:rPr>
              <w:t xml:space="preserve">证明材料页码</w:t>
            </w:r>
            <w:r/>
          </w:p>
        </w:tc>
      </w:tr>
      <w:tr>
        <w:trPr>
          <w:trHeight w:val="436"/>
        </w:trPr>
        <w:tc>
          <w:tcPr>
            <w:tcW w:w="851" w:type="dxa"/>
            <w:textDirection w:val="lrTb"/>
            <w:noWrap w:val="false"/>
          </w:tcPr>
          <w:p>
            <w:pPr>
              <w:rPr>
                <w:highlight w:val="none"/>
              </w:rPr>
            </w:pPr>
            <w:r>
              <w:rPr>
                <w:highlight w:val="none"/>
              </w:rPr>
            </w:r>
            <w:r/>
          </w:p>
        </w:tc>
        <w:tc>
          <w:tcPr>
            <w:tcW w:w="1742" w:type="dxa"/>
            <w:textDirection w:val="lrTb"/>
            <w:noWrap w:val="false"/>
          </w:tcPr>
          <w:p>
            <w:pPr>
              <w:rPr>
                <w:highlight w:val="none"/>
              </w:rPr>
            </w:pPr>
            <w:r>
              <w:rPr>
                <w:highlight w:val="none"/>
              </w:rPr>
            </w:r>
            <w:r/>
          </w:p>
        </w:tc>
        <w:tc>
          <w:tcPr>
            <w:tcW w:w="1445" w:type="dxa"/>
            <w:textDirection w:val="lrTb"/>
            <w:noWrap w:val="false"/>
          </w:tcPr>
          <w:p>
            <w:pPr>
              <w:rPr>
                <w:highlight w:val="none"/>
              </w:rPr>
            </w:pPr>
            <w:r>
              <w:rPr>
                <w:highlight w:val="none"/>
              </w:rPr>
            </w:r>
            <w:r/>
          </w:p>
        </w:tc>
        <w:tc>
          <w:tcPr>
            <w:tcW w:w="1391" w:type="dxa"/>
            <w:textDirection w:val="lrTb"/>
            <w:noWrap w:val="false"/>
          </w:tcPr>
          <w:p>
            <w:pPr>
              <w:rPr>
                <w:highlight w:val="none"/>
              </w:rPr>
            </w:pPr>
            <w:r>
              <w:rPr>
                <w:highlight w:val="none"/>
              </w:rPr>
            </w:r>
            <w:r/>
          </w:p>
        </w:tc>
        <w:tc>
          <w:tcPr>
            <w:tcW w:w="1528" w:type="dxa"/>
            <w:textDirection w:val="lrTb"/>
            <w:noWrap w:val="false"/>
          </w:tcPr>
          <w:p>
            <w:pPr>
              <w:rPr>
                <w:highlight w:val="none"/>
              </w:rPr>
            </w:pPr>
            <w:r>
              <w:rPr>
                <w:highlight w:val="none"/>
              </w:rPr>
            </w:r>
            <w:r/>
          </w:p>
        </w:tc>
        <w:tc>
          <w:tcPr>
            <w:tcW w:w="111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r>
      <w:tr>
        <w:trPr>
          <w:trHeight w:val="439"/>
        </w:trPr>
        <w:tc>
          <w:tcPr>
            <w:tcW w:w="851" w:type="dxa"/>
            <w:textDirection w:val="lrTb"/>
            <w:noWrap w:val="false"/>
          </w:tcPr>
          <w:p>
            <w:pPr>
              <w:rPr>
                <w:highlight w:val="none"/>
              </w:rPr>
            </w:pPr>
            <w:r>
              <w:rPr>
                <w:highlight w:val="none"/>
              </w:rPr>
            </w:r>
            <w:r/>
          </w:p>
        </w:tc>
        <w:tc>
          <w:tcPr>
            <w:tcW w:w="1742" w:type="dxa"/>
            <w:textDirection w:val="lrTb"/>
            <w:noWrap w:val="false"/>
          </w:tcPr>
          <w:p>
            <w:pPr>
              <w:rPr>
                <w:highlight w:val="none"/>
              </w:rPr>
            </w:pPr>
            <w:r>
              <w:rPr>
                <w:highlight w:val="none"/>
              </w:rPr>
            </w:r>
            <w:r/>
          </w:p>
        </w:tc>
        <w:tc>
          <w:tcPr>
            <w:tcW w:w="1445" w:type="dxa"/>
            <w:textDirection w:val="lrTb"/>
            <w:noWrap w:val="false"/>
          </w:tcPr>
          <w:p>
            <w:pPr>
              <w:rPr>
                <w:highlight w:val="none"/>
              </w:rPr>
            </w:pPr>
            <w:r>
              <w:rPr>
                <w:highlight w:val="none"/>
              </w:rPr>
            </w:r>
            <w:r/>
          </w:p>
        </w:tc>
        <w:tc>
          <w:tcPr>
            <w:tcW w:w="1391" w:type="dxa"/>
            <w:textDirection w:val="lrTb"/>
            <w:noWrap w:val="false"/>
          </w:tcPr>
          <w:p>
            <w:pPr>
              <w:rPr>
                <w:highlight w:val="none"/>
              </w:rPr>
            </w:pPr>
            <w:r>
              <w:rPr>
                <w:highlight w:val="none"/>
              </w:rPr>
            </w:r>
            <w:r/>
          </w:p>
        </w:tc>
        <w:tc>
          <w:tcPr>
            <w:tcW w:w="1528" w:type="dxa"/>
            <w:textDirection w:val="lrTb"/>
            <w:noWrap w:val="false"/>
          </w:tcPr>
          <w:p>
            <w:pPr>
              <w:rPr>
                <w:highlight w:val="none"/>
              </w:rPr>
            </w:pPr>
            <w:r>
              <w:rPr>
                <w:highlight w:val="none"/>
              </w:rPr>
            </w:r>
            <w:r/>
          </w:p>
        </w:tc>
        <w:tc>
          <w:tcPr>
            <w:tcW w:w="111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r>
      <w:tr>
        <w:trPr>
          <w:trHeight w:val="389"/>
        </w:trPr>
        <w:tc>
          <w:tcPr>
            <w:tcW w:w="851" w:type="dxa"/>
            <w:textDirection w:val="lrTb"/>
            <w:noWrap w:val="false"/>
          </w:tcPr>
          <w:p>
            <w:pPr>
              <w:rPr>
                <w:highlight w:val="none"/>
              </w:rPr>
            </w:pPr>
            <w:r>
              <w:rPr>
                <w:highlight w:val="none"/>
              </w:rPr>
            </w:r>
            <w:r/>
          </w:p>
        </w:tc>
        <w:tc>
          <w:tcPr>
            <w:tcW w:w="1742" w:type="dxa"/>
            <w:textDirection w:val="lrTb"/>
            <w:noWrap w:val="false"/>
          </w:tcPr>
          <w:p>
            <w:pPr>
              <w:rPr>
                <w:highlight w:val="none"/>
              </w:rPr>
            </w:pPr>
            <w:r>
              <w:rPr>
                <w:highlight w:val="none"/>
              </w:rPr>
            </w:r>
            <w:r/>
          </w:p>
        </w:tc>
        <w:tc>
          <w:tcPr>
            <w:tcW w:w="1445" w:type="dxa"/>
            <w:textDirection w:val="lrTb"/>
            <w:noWrap w:val="false"/>
          </w:tcPr>
          <w:p>
            <w:pPr>
              <w:rPr>
                <w:highlight w:val="none"/>
              </w:rPr>
            </w:pPr>
            <w:r>
              <w:rPr>
                <w:highlight w:val="none"/>
              </w:rPr>
            </w:r>
            <w:r/>
          </w:p>
        </w:tc>
        <w:tc>
          <w:tcPr>
            <w:tcW w:w="1391" w:type="dxa"/>
            <w:textDirection w:val="lrTb"/>
            <w:noWrap w:val="false"/>
          </w:tcPr>
          <w:p>
            <w:pPr>
              <w:rPr>
                <w:highlight w:val="none"/>
              </w:rPr>
            </w:pPr>
            <w:r>
              <w:rPr>
                <w:highlight w:val="none"/>
              </w:rPr>
            </w:r>
            <w:r/>
          </w:p>
        </w:tc>
        <w:tc>
          <w:tcPr>
            <w:tcW w:w="1528" w:type="dxa"/>
            <w:textDirection w:val="lrTb"/>
            <w:noWrap w:val="false"/>
          </w:tcPr>
          <w:p>
            <w:pPr>
              <w:rPr>
                <w:highlight w:val="none"/>
              </w:rPr>
            </w:pPr>
            <w:r>
              <w:rPr>
                <w:highlight w:val="none"/>
              </w:rPr>
            </w:r>
            <w:r/>
          </w:p>
        </w:tc>
        <w:tc>
          <w:tcPr>
            <w:tcW w:w="111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r>
      <w:tr>
        <w:trPr>
          <w:trHeight w:val="386"/>
        </w:trPr>
        <w:tc>
          <w:tcPr>
            <w:tcW w:w="851" w:type="dxa"/>
            <w:textDirection w:val="lrTb"/>
            <w:noWrap w:val="false"/>
          </w:tcPr>
          <w:p>
            <w:pPr>
              <w:rPr>
                <w:highlight w:val="none"/>
              </w:rPr>
            </w:pPr>
            <w:r>
              <w:rPr>
                <w:highlight w:val="none"/>
              </w:rPr>
            </w:r>
            <w:r/>
          </w:p>
        </w:tc>
        <w:tc>
          <w:tcPr>
            <w:tcW w:w="1742" w:type="dxa"/>
            <w:textDirection w:val="lrTb"/>
            <w:noWrap w:val="false"/>
          </w:tcPr>
          <w:p>
            <w:pPr>
              <w:rPr>
                <w:highlight w:val="none"/>
              </w:rPr>
            </w:pPr>
            <w:r>
              <w:rPr>
                <w:highlight w:val="none"/>
              </w:rPr>
            </w:r>
            <w:r/>
          </w:p>
        </w:tc>
        <w:tc>
          <w:tcPr>
            <w:tcW w:w="1445" w:type="dxa"/>
            <w:textDirection w:val="lrTb"/>
            <w:noWrap w:val="false"/>
          </w:tcPr>
          <w:p>
            <w:pPr>
              <w:rPr>
                <w:highlight w:val="none"/>
              </w:rPr>
            </w:pPr>
            <w:r>
              <w:rPr>
                <w:highlight w:val="none"/>
              </w:rPr>
            </w:r>
            <w:r/>
          </w:p>
        </w:tc>
        <w:tc>
          <w:tcPr>
            <w:tcW w:w="1391" w:type="dxa"/>
            <w:textDirection w:val="lrTb"/>
            <w:noWrap w:val="false"/>
          </w:tcPr>
          <w:p>
            <w:pPr>
              <w:rPr>
                <w:highlight w:val="none"/>
              </w:rPr>
            </w:pPr>
            <w:r>
              <w:rPr>
                <w:highlight w:val="none"/>
              </w:rPr>
            </w:r>
            <w:r/>
          </w:p>
        </w:tc>
        <w:tc>
          <w:tcPr>
            <w:tcW w:w="1528" w:type="dxa"/>
            <w:textDirection w:val="lrTb"/>
            <w:noWrap w:val="false"/>
          </w:tcPr>
          <w:p>
            <w:pPr>
              <w:rPr>
                <w:highlight w:val="none"/>
              </w:rPr>
            </w:pPr>
            <w:r>
              <w:rPr>
                <w:highlight w:val="none"/>
              </w:rPr>
            </w:r>
            <w:r/>
          </w:p>
        </w:tc>
        <w:tc>
          <w:tcPr>
            <w:tcW w:w="111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r>
      <w:tr>
        <w:trPr>
          <w:trHeight w:val="389"/>
        </w:trPr>
        <w:tc>
          <w:tcPr>
            <w:tcW w:w="851" w:type="dxa"/>
            <w:textDirection w:val="lrTb"/>
            <w:noWrap w:val="false"/>
          </w:tcPr>
          <w:p>
            <w:pPr>
              <w:rPr>
                <w:highlight w:val="none"/>
              </w:rPr>
            </w:pPr>
            <w:r>
              <w:rPr>
                <w:highlight w:val="none"/>
              </w:rPr>
            </w:r>
            <w:r/>
          </w:p>
        </w:tc>
        <w:tc>
          <w:tcPr>
            <w:tcW w:w="1742" w:type="dxa"/>
            <w:textDirection w:val="lrTb"/>
            <w:noWrap w:val="false"/>
          </w:tcPr>
          <w:p>
            <w:pPr>
              <w:rPr>
                <w:highlight w:val="none"/>
              </w:rPr>
            </w:pPr>
            <w:r>
              <w:rPr>
                <w:highlight w:val="none"/>
              </w:rPr>
            </w:r>
            <w:r/>
          </w:p>
        </w:tc>
        <w:tc>
          <w:tcPr>
            <w:tcW w:w="1445" w:type="dxa"/>
            <w:textDirection w:val="lrTb"/>
            <w:noWrap w:val="false"/>
          </w:tcPr>
          <w:p>
            <w:pPr>
              <w:rPr>
                <w:highlight w:val="none"/>
              </w:rPr>
            </w:pPr>
            <w:r>
              <w:rPr>
                <w:highlight w:val="none"/>
              </w:rPr>
            </w:r>
            <w:r/>
          </w:p>
        </w:tc>
        <w:tc>
          <w:tcPr>
            <w:tcW w:w="1391" w:type="dxa"/>
            <w:textDirection w:val="lrTb"/>
            <w:noWrap w:val="false"/>
          </w:tcPr>
          <w:p>
            <w:pPr>
              <w:rPr>
                <w:highlight w:val="none"/>
              </w:rPr>
            </w:pPr>
            <w:r>
              <w:rPr>
                <w:highlight w:val="none"/>
              </w:rPr>
            </w:r>
            <w:r/>
          </w:p>
        </w:tc>
        <w:tc>
          <w:tcPr>
            <w:tcW w:w="1528" w:type="dxa"/>
            <w:textDirection w:val="lrTb"/>
            <w:noWrap w:val="false"/>
          </w:tcPr>
          <w:p>
            <w:pPr>
              <w:rPr>
                <w:highlight w:val="none"/>
              </w:rPr>
            </w:pPr>
            <w:r>
              <w:rPr>
                <w:highlight w:val="none"/>
              </w:rPr>
            </w:r>
            <w:r/>
          </w:p>
        </w:tc>
        <w:tc>
          <w:tcPr>
            <w:tcW w:w="111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r>
      <w:tr>
        <w:trPr>
          <w:trHeight w:val="389"/>
        </w:trPr>
        <w:tc>
          <w:tcPr>
            <w:tcW w:w="851" w:type="dxa"/>
            <w:textDirection w:val="lrTb"/>
            <w:noWrap w:val="false"/>
          </w:tcPr>
          <w:p>
            <w:pPr>
              <w:rPr>
                <w:highlight w:val="none"/>
              </w:rPr>
            </w:pPr>
            <w:r>
              <w:rPr>
                <w:highlight w:val="none"/>
              </w:rPr>
            </w:r>
            <w:r/>
          </w:p>
        </w:tc>
        <w:tc>
          <w:tcPr>
            <w:tcW w:w="1742" w:type="dxa"/>
            <w:textDirection w:val="lrTb"/>
            <w:noWrap w:val="false"/>
          </w:tcPr>
          <w:p>
            <w:pPr>
              <w:rPr>
                <w:highlight w:val="none"/>
              </w:rPr>
            </w:pPr>
            <w:r>
              <w:rPr>
                <w:highlight w:val="none"/>
              </w:rPr>
            </w:r>
            <w:r/>
          </w:p>
        </w:tc>
        <w:tc>
          <w:tcPr>
            <w:tcW w:w="1445" w:type="dxa"/>
            <w:textDirection w:val="lrTb"/>
            <w:noWrap w:val="false"/>
          </w:tcPr>
          <w:p>
            <w:pPr>
              <w:rPr>
                <w:highlight w:val="none"/>
              </w:rPr>
            </w:pPr>
            <w:r>
              <w:rPr>
                <w:highlight w:val="none"/>
              </w:rPr>
            </w:r>
            <w:r/>
          </w:p>
        </w:tc>
        <w:tc>
          <w:tcPr>
            <w:tcW w:w="1391" w:type="dxa"/>
            <w:textDirection w:val="lrTb"/>
            <w:noWrap w:val="false"/>
          </w:tcPr>
          <w:p>
            <w:pPr>
              <w:rPr>
                <w:highlight w:val="none"/>
              </w:rPr>
            </w:pPr>
            <w:r>
              <w:rPr>
                <w:highlight w:val="none"/>
              </w:rPr>
            </w:r>
            <w:r/>
          </w:p>
        </w:tc>
        <w:tc>
          <w:tcPr>
            <w:tcW w:w="1528" w:type="dxa"/>
            <w:textDirection w:val="lrTb"/>
            <w:noWrap w:val="false"/>
          </w:tcPr>
          <w:p>
            <w:pPr>
              <w:rPr>
                <w:highlight w:val="none"/>
              </w:rPr>
            </w:pPr>
            <w:r>
              <w:rPr>
                <w:highlight w:val="none"/>
              </w:rPr>
            </w:r>
            <w:r/>
          </w:p>
        </w:tc>
        <w:tc>
          <w:tcPr>
            <w:tcW w:w="111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r>
      <w:tr>
        <w:trPr>
          <w:trHeight w:val="389"/>
        </w:trPr>
        <w:tc>
          <w:tcPr>
            <w:tcW w:w="851" w:type="dxa"/>
            <w:textDirection w:val="lrTb"/>
            <w:noWrap w:val="false"/>
          </w:tcPr>
          <w:p>
            <w:pPr>
              <w:rPr>
                <w:highlight w:val="none"/>
              </w:rPr>
            </w:pPr>
            <w:r>
              <w:rPr>
                <w:highlight w:val="none"/>
              </w:rPr>
            </w:r>
            <w:r/>
          </w:p>
        </w:tc>
        <w:tc>
          <w:tcPr>
            <w:tcW w:w="1742" w:type="dxa"/>
            <w:textDirection w:val="lrTb"/>
            <w:noWrap w:val="false"/>
          </w:tcPr>
          <w:p>
            <w:pPr>
              <w:rPr>
                <w:highlight w:val="none"/>
              </w:rPr>
            </w:pPr>
            <w:r>
              <w:rPr>
                <w:highlight w:val="none"/>
              </w:rPr>
            </w:r>
            <w:r/>
          </w:p>
        </w:tc>
        <w:tc>
          <w:tcPr>
            <w:tcW w:w="1445" w:type="dxa"/>
            <w:textDirection w:val="lrTb"/>
            <w:noWrap w:val="false"/>
          </w:tcPr>
          <w:p>
            <w:pPr>
              <w:rPr>
                <w:highlight w:val="none"/>
              </w:rPr>
            </w:pPr>
            <w:r>
              <w:rPr>
                <w:highlight w:val="none"/>
              </w:rPr>
            </w:r>
            <w:r/>
          </w:p>
        </w:tc>
        <w:tc>
          <w:tcPr>
            <w:tcW w:w="1391" w:type="dxa"/>
            <w:textDirection w:val="lrTb"/>
            <w:noWrap w:val="false"/>
          </w:tcPr>
          <w:p>
            <w:pPr>
              <w:rPr>
                <w:highlight w:val="none"/>
              </w:rPr>
            </w:pPr>
            <w:r>
              <w:rPr>
                <w:highlight w:val="none"/>
              </w:rPr>
            </w:r>
            <w:r/>
          </w:p>
        </w:tc>
        <w:tc>
          <w:tcPr>
            <w:tcW w:w="1528" w:type="dxa"/>
            <w:textDirection w:val="lrTb"/>
            <w:noWrap w:val="false"/>
          </w:tcPr>
          <w:p>
            <w:pPr>
              <w:rPr>
                <w:highlight w:val="none"/>
              </w:rPr>
            </w:pPr>
            <w:r>
              <w:rPr>
                <w:highlight w:val="none"/>
              </w:rPr>
            </w:r>
            <w:r/>
          </w:p>
        </w:tc>
        <w:tc>
          <w:tcPr>
            <w:tcW w:w="111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r>
      <w:tr>
        <w:trPr>
          <w:trHeight w:val="389"/>
        </w:trPr>
        <w:tc>
          <w:tcPr>
            <w:tcW w:w="851" w:type="dxa"/>
            <w:textDirection w:val="lrTb"/>
            <w:noWrap w:val="false"/>
          </w:tcPr>
          <w:p>
            <w:pPr>
              <w:rPr>
                <w:highlight w:val="none"/>
              </w:rPr>
            </w:pPr>
            <w:r>
              <w:rPr>
                <w:highlight w:val="none"/>
              </w:rPr>
            </w:r>
            <w:r/>
          </w:p>
        </w:tc>
        <w:tc>
          <w:tcPr>
            <w:tcW w:w="1742" w:type="dxa"/>
            <w:textDirection w:val="lrTb"/>
            <w:noWrap w:val="false"/>
          </w:tcPr>
          <w:p>
            <w:pPr>
              <w:rPr>
                <w:highlight w:val="none"/>
              </w:rPr>
            </w:pPr>
            <w:r>
              <w:rPr>
                <w:highlight w:val="none"/>
              </w:rPr>
            </w:r>
            <w:r/>
          </w:p>
        </w:tc>
        <w:tc>
          <w:tcPr>
            <w:tcW w:w="1445" w:type="dxa"/>
            <w:textDirection w:val="lrTb"/>
            <w:noWrap w:val="false"/>
          </w:tcPr>
          <w:p>
            <w:pPr>
              <w:rPr>
                <w:highlight w:val="none"/>
              </w:rPr>
            </w:pPr>
            <w:r>
              <w:rPr>
                <w:highlight w:val="none"/>
              </w:rPr>
            </w:r>
            <w:r/>
          </w:p>
        </w:tc>
        <w:tc>
          <w:tcPr>
            <w:tcW w:w="1391" w:type="dxa"/>
            <w:textDirection w:val="lrTb"/>
            <w:noWrap w:val="false"/>
          </w:tcPr>
          <w:p>
            <w:pPr>
              <w:rPr>
                <w:highlight w:val="none"/>
              </w:rPr>
            </w:pPr>
            <w:r>
              <w:rPr>
                <w:highlight w:val="none"/>
              </w:rPr>
            </w:r>
            <w:r/>
          </w:p>
        </w:tc>
        <w:tc>
          <w:tcPr>
            <w:tcW w:w="1528" w:type="dxa"/>
            <w:textDirection w:val="lrTb"/>
            <w:noWrap w:val="false"/>
          </w:tcPr>
          <w:p>
            <w:pPr>
              <w:rPr>
                <w:highlight w:val="none"/>
              </w:rPr>
            </w:pPr>
            <w:r>
              <w:rPr>
                <w:highlight w:val="none"/>
              </w:rPr>
            </w:r>
            <w:r/>
          </w:p>
        </w:tc>
        <w:tc>
          <w:tcPr>
            <w:tcW w:w="111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r>
      <w:tr>
        <w:trPr>
          <w:trHeight w:val="389"/>
        </w:trPr>
        <w:tc>
          <w:tcPr>
            <w:tcW w:w="851" w:type="dxa"/>
            <w:textDirection w:val="lrTb"/>
            <w:noWrap w:val="false"/>
          </w:tcPr>
          <w:p>
            <w:pPr>
              <w:rPr>
                <w:highlight w:val="none"/>
              </w:rPr>
            </w:pPr>
            <w:r>
              <w:rPr>
                <w:highlight w:val="none"/>
              </w:rPr>
            </w:r>
            <w:r/>
          </w:p>
        </w:tc>
        <w:tc>
          <w:tcPr>
            <w:tcW w:w="1742" w:type="dxa"/>
            <w:textDirection w:val="lrTb"/>
            <w:noWrap w:val="false"/>
          </w:tcPr>
          <w:p>
            <w:pPr>
              <w:rPr>
                <w:highlight w:val="none"/>
              </w:rPr>
            </w:pPr>
            <w:r>
              <w:rPr>
                <w:highlight w:val="none"/>
              </w:rPr>
            </w:r>
            <w:r/>
          </w:p>
        </w:tc>
        <w:tc>
          <w:tcPr>
            <w:tcW w:w="1445" w:type="dxa"/>
            <w:textDirection w:val="lrTb"/>
            <w:noWrap w:val="false"/>
          </w:tcPr>
          <w:p>
            <w:pPr>
              <w:rPr>
                <w:highlight w:val="none"/>
              </w:rPr>
            </w:pPr>
            <w:r>
              <w:rPr>
                <w:highlight w:val="none"/>
              </w:rPr>
            </w:r>
            <w:r/>
          </w:p>
        </w:tc>
        <w:tc>
          <w:tcPr>
            <w:tcW w:w="1391" w:type="dxa"/>
            <w:textDirection w:val="lrTb"/>
            <w:noWrap w:val="false"/>
          </w:tcPr>
          <w:p>
            <w:pPr>
              <w:rPr>
                <w:highlight w:val="none"/>
              </w:rPr>
            </w:pPr>
            <w:r>
              <w:rPr>
                <w:highlight w:val="none"/>
              </w:rPr>
            </w:r>
            <w:r/>
          </w:p>
        </w:tc>
        <w:tc>
          <w:tcPr>
            <w:tcW w:w="1528" w:type="dxa"/>
            <w:textDirection w:val="lrTb"/>
            <w:noWrap w:val="false"/>
          </w:tcPr>
          <w:p>
            <w:pPr>
              <w:rPr>
                <w:highlight w:val="none"/>
              </w:rPr>
            </w:pPr>
            <w:r>
              <w:rPr>
                <w:highlight w:val="none"/>
              </w:rPr>
            </w:r>
            <w:r/>
          </w:p>
        </w:tc>
        <w:tc>
          <w:tcPr>
            <w:tcW w:w="111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r>
      <w:tr>
        <w:trPr>
          <w:trHeight w:val="389"/>
        </w:trPr>
        <w:tc>
          <w:tcPr>
            <w:tcW w:w="851" w:type="dxa"/>
            <w:textDirection w:val="lrTb"/>
            <w:noWrap w:val="false"/>
          </w:tcPr>
          <w:p>
            <w:pPr>
              <w:rPr>
                <w:highlight w:val="none"/>
              </w:rPr>
            </w:pPr>
            <w:r>
              <w:rPr>
                <w:highlight w:val="none"/>
              </w:rPr>
            </w:r>
            <w:r/>
          </w:p>
        </w:tc>
        <w:tc>
          <w:tcPr>
            <w:tcW w:w="1742" w:type="dxa"/>
            <w:textDirection w:val="lrTb"/>
            <w:noWrap w:val="false"/>
          </w:tcPr>
          <w:p>
            <w:pPr>
              <w:rPr>
                <w:highlight w:val="none"/>
              </w:rPr>
            </w:pPr>
            <w:r>
              <w:rPr>
                <w:highlight w:val="none"/>
              </w:rPr>
            </w:r>
            <w:r/>
          </w:p>
        </w:tc>
        <w:tc>
          <w:tcPr>
            <w:tcW w:w="1445" w:type="dxa"/>
            <w:textDirection w:val="lrTb"/>
            <w:noWrap w:val="false"/>
          </w:tcPr>
          <w:p>
            <w:pPr>
              <w:rPr>
                <w:highlight w:val="none"/>
              </w:rPr>
            </w:pPr>
            <w:r>
              <w:rPr>
                <w:highlight w:val="none"/>
              </w:rPr>
            </w:r>
            <w:r/>
          </w:p>
        </w:tc>
        <w:tc>
          <w:tcPr>
            <w:tcW w:w="1391" w:type="dxa"/>
            <w:textDirection w:val="lrTb"/>
            <w:noWrap w:val="false"/>
          </w:tcPr>
          <w:p>
            <w:pPr>
              <w:rPr>
                <w:highlight w:val="none"/>
              </w:rPr>
            </w:pPr>
            <w:r>
              <w:rPr>
                <w:highlight w:val="none"/>
              </w:rPr>
            </w:r>
            <w:r/>
          </w:p>
        </w:tc>
        <w:tc>
          <w:tcPr>
            <w:tcW w:w="1528" w:type="dxa"/>
            <w:textDirection w:val="lrTb"/>
            <w:noWrap w:val="false"/>
          </w:tcPr>
          <w:p>
            <w:pPr>
              <w:rPr>
                <w:highlight w:val="none"/>
              </w:rPr>
            </w:pPr>
            <w:r>
              <w:rPr>
                <w:highlight w:val="none"/>
              </w:rPr>
            </w:r>
            <w:r/>
          </w:p>
        </w:tc>
        <w:tc>
          <w:tcPr>
            <w:tcW w:w="111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r>
      <w:tr>
        <w:trPr>
          <w:trHeight w:val="389"/>
        </w:trPr>
        <w:tc>
          <w:tcPr>
            <w:tcW w:w="851" w:type="dxa"/>
            <w:textDirection w:val="lrTb"/>
            <w:noWrap w:val="false"/>
          </w:tcPr>
          <w:p>
            <w:pPr>
              <w:rPr>
                <w:highlight w:val="none"/>
              </w:rPr>
            </w:pPr>
            <w:r>
              <w:rPr>
                <w:highlight w:val="none"/>
              </w:rPr>
            </w:r>
            <w:r/>
          </w:p>
        </w:tc>
        <w:tc>
          <w:tcPr>
            <w:tcW w:w="1742" w:type="dxa"/>
            <w:textDirection w:val="lrTb"/>
            <w:noWrap w:val="false"/>
          </w:tcPr>
          <w:p>
            <w:pPr>
              <w:rPr>
                <w:highlight w:val="none"/>
              </w:rPr>
            </w:pPr>
            <w:r>
              <w:rPr>
                <w:highlight w:val="none"/>
              </w:rPr>
            </w:r>
            <w:r/>
          </w:p>
        </w:tc>
        <w:tc>
          <w:tcPr>
            <w:tcW w:w="1445" w:type="dxa"/>
            <w:textDirection w:val="lrTb"/>
            <w:noWrap w:val="false"/>
          </w:tcPr>
          <w:p>
            <w:pPr>
              <w:rPr>
                <w:highlight w:val="none"/>
              </w:rPr>
            </w:pPr>
            <w:r>
              <w:rPr>
                <w:highlight w:val="none"/>
              </w:rPr>
            </w:r>
            <w:r/>
          </w:p>
        </w:tc>
        <w:tc>
          <w:tcPr>
            <w:tcW w:w="1391" w:type="dxa"/>
            <w:textDirection w:val="lrTb"/>
            <w:noWrap w:val="false"/>
          </w:tcPr>
          <w:p>
            <w:pPr>
              <w:rPr>
                <w:highlight w:val="none"/>
              </w:rPr>
            </w:pPr>
            <w:r>
              <w:rPr>
                <w:highlight w:val="none"/>
              </w:rPr>
            </w:r>
            <w:r/>
          </w:p>
        </w:tc>
        <w:tc>
          <w:tcPr>
            <w:tcW w:w="1528" w:type="dxa"/>
            <w:textDirection w:val="lrTb"/>
            <w:noWrap w:val="false"/>
          </w:tcPr>
          <w:p>
            <w:pPr>
              <w:rPr>
                <w:highlight w:val="none"/>
              </w:rPr>
            </w:pPr>
            <w:r>
              <w:rPr>
                <w:highlight w:val="none"/>
              </w:rPr>
            </w:r>
            <w:r/>
          </w:p>
        </w:tc>
        <w:tc>
          <w:tcPr>
            <w:tcW w:w="111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r>
      <w:tr>
        <w:trPr>
          <w:trHeight w:val="400"/>
        </w:trPr>
        <w:tc>
          <w:tcPr>
            <w:tcW w:w="851" w:type="dxa"/>
            <w:textDirection w:val="lrTb"/>
            <w:noWrap w:val="false"/>
          </w:tcPr>
          <w:p>
            <w:pPr>
              <w:rPr>
                <w:highlight w:val="none"/>
              </w:rPr>
            </w:pPr>
            <w:r>
              <w:rPr>
                <w:highlight w:val="none"/>
              </w:rPr>
            </w:r>
            <w:r/>
          </w:p>
        </w:tc>
        <w:tc>
          <w:tcPr>
            <w:tcW w:w="1742" w:type="dxa"/>
            <w:textDirection w:val="lrTb"/>
            <w:noWrap w:val="false"/>
          </w:tcPr>
          <w:p>
            <w:pPr>
              <w:rPr>
                <w:highlight w:val="none"/>
              </w:rPr>
            </w:pPr>
            <w:r>
              <w:rPr>
                <w:highlight w:val="none"/>
              </w:rPr>
            </w:r>
            <w:r/>
          </w:p>
        </w:tc>
        <w:tc>
          <w:tcPr>
            <w:tcW w:w="1445" w:type="dxa"/>
            <w:textDirection w:val="lrTb"/>
            <w:noWrap w:val="false"/>
          </w:tcPr>
          <w:p>
            <w:pPr>
              <w:rPr>
                <w:highlight w:val="none"/>
              </w:rPr>
            </w:pPr>
            <w:r>
              <w:rPr>
                <w:highlight w:val="none"/>
              </w:rPr>
            </w:r>
            <w:r/>
          </w:p>
        </w:tc>
        <w:tc>
          <w:tcPr>
            <w:tcW w:w="1391" w:type="dxa"/>
            <w:textDirection w:val="lrTb"/>
            <w:noWrap w:val="false"/>
          </w:tcPr>
          <w:p>
            <w:pPr>
              <w:rPr>
                <w:highlight w:val="none"/>
              </w:rPr>
            </w:pPr>
            <w:r>
              <w:rPr>
                <w:highlight w:val="none"/>
              </w:rPr>
            </w:r>
            <w:r/>
          </w:p>
        </w:tc>
        <w:tc>
          <w:tcPr>
            <w:tcW w:w="1528" w:type="dxa"/>
            <w:textDirection w:val="lrTb"/>
            <w:noWrap w:val="false"/>
          </w:tcPr>
          <w:p>
            <w:pPr>
              <w:rPr>
                <w:highlight w:val="none"/>
              </w:rPr>
            </w:pPr>
            <w:r>
              <w:rPr>
                <w:highlight w:val="none"/>
              </w:rPr>
            </w:r>
            <w:r/>
          </w:p>
        </w:tc>
        <w:tc>
          <w:tcPr>
            <w:tcW w:w="111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r>
    </w:tbl>
    <w:p>
      <w:pPr>
        <w:rPr>
          <w:highlight w:val="none"/>
          <w:lang w:val="zh-CN"/>
        </w:rPr>
      </w:pPr>
      <w:r>
        <w:rPr>
          <w:highlight w:val="none"/>
          <w:lang w:val="zh-CN"/>
        </w:rPr>
      </w:r>
      <w:r/>
    </w:p>
    <w:p>
      <w:pPr>
        <w:rPr>
          <w:highlight w:val="none"/>
          <w:lang w:val="zh-CN"/>
        </w:rPr>
      </w:pPr>
      <w:r>
        <w:rPr>
          <w:highlight w:val="none"/>
          <w:lang w:val="zh-CN"/>
        </w:rPr>
      </w:r>
      <w:r/>
    </w:p>
    <w:p>
      <w:pPr>
        <w:rPr>
          <w:highlight w:val="none"/>
          <w:lang w:val="zh-CN"/>
        </w:rPr>
      </w:pPr>
      <w:r>
        <w:rPr>
          <w:highlight w:val="none"/>
          <w:lang w:val="zh-CN"/>
        </w:rPr>
      </w:r>
      <w:r/>
    </w:p>
    <w:p>
      <w:pPr>
        <w:rPr>
          <w:highlight w:val="none"/>
          <w:lang w:val="zh-CN"/>
        </w:rPr>
      </w:pPr>
      <w:r>
        <w:rPr>
          <w:highlight w:val="none"/>
          <w:lang w:val="zh-CN"/>
        </w:rPr>
      </w:r>
      <w:r/>
    </w:p>
    <w:p>
      <w:pPr>
        <w:rPr>
          <w:highlight w:val="none"/>
          <w:lang w:val="zh-CN"/>
        </w:rPr>
      </w:pPr>
      <w:r>
        <w:rPr>
          <w:highlight w:val="none"/>
          <w:lang w:val="zh-CN"/>
        </w:rPr>
      </w:r>
      <w:r/>
    </w:p>
    <w:p>
      <w:pPr>
        <w:rPr>
          <w:highlight w:val="none"/>
          <w:lang w:val="zh-CN"/>
        </w:rPr>
      </w:pPr>
      <w:r>
        <w:rPr>
          <w:highlight w:val="none"/>
          <w:lang w:val="zh-CN"/>
        </w:rPr>
      </w:r>
      <w:r/>
    </w:p>
    <w:p>
      <w:pPr>
        <w:rPr>
          <w:highlight w:val="none"/>
          <w:lang w:val="zh-CN"/>
        </w:rPr>
      </w:pPr>
      <w:r>
        <w:rPr>
          <w:highlight w:val="none"/>
          <w:lang w:val="zh-CN"/>
        </w:rPr>
      </w:r>
      <w:r/>
    </w:p>
    <w:p>
      <w:pPr>
        <w:rPr>
          <w:highlight w:val="none"/>
          <w:lang w:val="zh-CN"/>
        </w:rPr>
      </w:pPr>
      <w:r>
        <w:rPr>
          <w:highlight w:val="none"/>
          <w:lang w:val="zh-CN"/>
        </w:rPr>
      </w:r>
      <w:r/>
    </w:p>
    <w:p>
      <w:pPr>
        <w:rPr>
          <w:highlight w:val="none"/>
          <w:lang w:val="zh-CN"/>
        </w:rPr>
      </w:pPr>
      <w:r>
        <w:rPr>
          <w:highlight w:val="none"/>
          <w:lang w:val="zh-CN"/>
        </w:rPr>
      </w:r>
      <w:r/>
    </w:p>
    <w:p>
      <w:pPr>
        <w:rPr>
          <w:highlight w:val="none"/>
          <w:lang w:val="zh-CN"/>
        </w:rPr>
      </w:pPr>
      <w:r>
        <w:rPr>
          <w:highlight w:val="none"/>
          <w:lang w:val="zh-CN"/>
        </w:rPr>
      </w:r>
      <w:r/>
    </w:p>
    <w:p>
      <w:pPr>
        <w:rPr>
          <w:highlight w:val="none"/>
          <w:lang w:val="zh-CN"/>
        </w:rPr>
      </w:pPr>
      <w:r>
        <w:rPr>
          <w:highlight w:val="none"/>
          <w:lang w:val="zh-CN"/>
        </w:rPr>
      </w:r>
      <w:r/>
    </w:p>
    <w:p>
      <w:pPr>
        <w:rPr>
          <w:highlight w:val="none"/>
          <w:lang w:val="zh-CN"/>
        </w:rPr>
      </w:pPr>
      <w:r>
        <w:rPr>
          <w:rFonts w:hint="eastAsia"/>
          <w:highlight w:val="none"/>
          <w:lang w:val="zh-CN"/>
        </w:rPr>
        <w:br w:type="page" w:clear="all"/>
      </w:r>
      <w:r/>
    </w:p>
    <w:p>
      <w:pPr>
        <w:rPr>
          <w:highlight w:val="none"/>
        </w:rPr>
      </w:pPr>
      <w:r>
        <w:rPr>
          <w:rFonts w:hint="eastAsia"/>
          <w:highlight w:val="none"/>
          <w:lang w:val="zh-CN"/>
        </w:rPr>
        <w:t xml:space="preserve">附件：</w:t>
      </w:r>
      <w:r>
        <w:rPr>
          <w:rFonts w:hint="eastAsia"/>
          <w:highlight w:val="none"/>
        </w:rPr>
        <w:t xml:space="preserve">1</w:t>
      </w:r>
      <w:r>
        <w:rPr>
          <w:rFonts w:hint="eastAsia"/>
          <w:highlight w:val="none"/>
          <w:lang w:val="en-US" w:eastAsia="zh-CN"/>
        </w:rPr>
        <w:t xml:space="preserve">6</w:t>
      </w:r>
      <w:r>
        <w:rPr>
          <w:rFonts w:hint="eastAsia"/>
          <w:highlight w:val="none"/>
        </w:rPr>
        <w:t xml:space="preserve">                     能力项目</w:t>
      </w:r>
      <w:r>
        <w:rPr>
          <w:highlight w:val="none"/>
        </w:rPr>
        <w:t xml:space="preserve">情况表</w:t>
      </w:r>
      <w:r/>
    </w:p>
    <w:p>
      <w:pPr>
        <w:rPr>
          <w:highlight w:val="none"/>
        </w:rPr>
      </w:pPr>
      <w:r>
        <w:rPr>
          <w:highlight w:val="none"/>
        </w:rPr>
      </w:r>
      <w:r/>
    </w:p>
    <w:tbl>
      <w:tblPr>
        <w:tblStyle w:val="903"/>
        <w:tblW w:w="920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1578"/>
        <w:gridCol w:w="1609"/>
        <w:gridCol w:w="3328"/>
        <w:gridCol w:w="1077"/>
        <w:gridCol w:w="764"/>
      </w:tblGrid>
      <w:tr>
        <w:trPr>
          <w:trHeight w:val="624"/>
        </w:trPr>
        <w:tc>
          <w:tcPr>
            <w:tcW w:w="851" w:type="dxa"/>
            <w:vAlign w:val="center"/>
            <w:textDirection w:val="lrTb"/>
            <w:noWrap w:val="false"/>
          </w:tcPr>
          <w:p>
            <w:pPr>
              <w:rPr>
                <w:highlight w:val="none"/>
              </w:rPr>
            </w:pPr>
            <w:r>
              <w:rPr>
                <w:rFonts w:hint="eastAsia"/>
                <w:highlight w:val="none"/>
              </w:rPr>
              <w:t xml:space="preserve">序号</w:t>
            </w:r>
            <w:r/>
          </w:p>
        </w:tc>
        <w:tc>
          <w:tcPr>
            <w:tcW w:w="1578" w:type="dxa"/>
            <w:vAlign w:val="center"/>
            <w:textDirection w:val="lrTb"/>
            <w:noWrap w:val="false"/>
          </w:tcPr>
          <w:p>
            <w:pPr>
              <w:rPr>
                <w:highlight w:val="none"/>
              </w:rPr>
            </w:pPr>
            <w:r>
              <w:rPr>
                <w:rFonts w:hint="eastAsia"/>
                <w:highlight w:val="none"/>
              </w:rPr>
              <w:t xml:space="preserve">类别</w:t>
            </w:r>
            <w:r/>
          </w:p>
        </w:tc>
        <w:tc>
          <w:tcPr>
            <w:tcW w:w="1609" w:type="dxa"/>
            <w:vAlign w:val="center"/>
            <w:textDirection w:val="lrTb"/>
            <w:noWrap w:val="false"/>
          </w:tcPr>
          <w:p>
            <w:pPr>
              <w:rPr>
                <w:highlight w:val="none"/>
              </w:rPr>
            </w:pPr>
            <w:r>
              <w:rPr>
                <w:rFonts w:hint="eastAsia"/>
                <w:highlight w:val="none"/>
              </w:rPr>
              <w:t xml:space="preserve">监测项目</w:t>
            </w:r>
            <w:r/>
          </w:p>
        </w:tc>
        <w:tc>
          <w:tcPr>
            <w:tcW w:w="3328" w:type="dxa"/>
            <w:vAlign w:val="center"/>
            <w:textDirection w:val="lrTb"/>
            <w:noWrap w:val="false"/>
          </w:tcPr>
          <w:p>
            <w:pPr>
              <w:rPr>
                <w:highlight w:val="none"/>
              </w:rPr>
            </w:pPr>
            <w:r>
              <w:rPr>
                <w:rFonts w:hint="eastAsia"/>
                <w:highlight w:val="none"/>
              </w:rPr>
              <w:t xml:space="preserve">检测标准（方法）名称及编号（含年号）</w:t>
            </w:r>
            <w:r/>
          </w:p>
        </w:tc>
        <w:tc>
          <w:tcPr>
            <w:tcW w:w="1077" w:type="dxa"/>
            <w:vAlign w:val="center"/>
            <w:textDirection w:val="lrTb"/>
            <w:noWrap w:val="false"/>
          </w:tcPr>
          <w:p>
            <w:pPr>
              <w:rPr>
                <w:highlight w:val="none"/>
              </w:rPr>
            </w:pPr>
            <w:r>
              <w:rPr>
                <w:rFonts w:hint="eastAsia"/>
                <w:highlight w:val="none"/>
              </w:rPr>
              <w:t xml:space="preserve">检出限</w:t>
            </w:r>
            <w:r/>
          </w:p>
        </w:tc>
        <w:tc>
          <w:tcPr>
            <w:tcW w:w="764" w:type="dxa"/>
            <w:vAlign w:val="center"/>
            <w:textDirection w:val="lrTb"/>
            <w:noWrap w:val="false"/>
          </w:tcPr>
          <w:p>
            <w:pPr>
              <w:rPr>
                <w:highlight w:val="none"/>
              </w:rPr>
            </w:pPr>
            <w:r>
              <w:rPr>
                <w:rFonts w:hint="eastAsia"/>
                <w:highlight w:val="none"/>
              </w:rPr>
              <w:t xml:space="preserve">证明材料页码</w:t>
            </w:r>
            <w:r/>
          </w:p>
        </w:tc>
      </w:tr>
      <w:tr>
        <w:trPr>
          <w:trHeight w:val="436"/>
        </w:trPr>
        <w:tc>
          <w:tcPr>
            <w:tcW w:w="851" w:type="dxa"/>
            <w:textDirection w:val="lrTb"/>
            <w:noWrap w:val="false"/>
          </w:tcPr>
          <w:p>
            <w:pPr>
              <w:rPr>
                <w:highlight w:val="none"/>
              </w:rPr>
            </w:pPr>
            <w:r>
              <w:rPr>
                <w:highlight w:val="none"/>
              </w:rPr>
            </w:r>
            <w:r/>
          </w:p>
        </w:tc>
        <w:tc>
          <w:tcPr>
            <w:tcW w:w="1578" w:type="dxa"/>
            <w:textDirection w:val="lrTb"/>
            <w:noWrap w:val="false"/>
          </w:tcPr>
          <w:p>
            <w:pPr>
              <w:rPr>
                <w:highlight w:val="none"/>
              </w:rPr>
            </w:pPr>
            <w:r>
              <w:rPr>
                <w:highlight w:val="none"/>
              </w:rPr>
            </w:r>
            <w:r/>
          </w:p>
        </w:tc>
        <w:tc>
          <w:tcPr>
            <w:tcW w:w="1609" w:type="dxa"/>
            <w:textDirection w:val="lrTb"/>
            <w:noWrap w:val="false"/>
          </w:tcPr>
          <w:p>
            <w:pPr>
              <w:rPr>
                <w:highlight w:val="none"/>
              </w:rPr>
            </w:pPr>
            <w:r>
              <w:rPr>
                <w:highlight w:val="none"/>
              </w:rPr>
            </w:r>
            <w:r/>
          </w:p>
        </w:tc>
        <w:tc>
          <w:tcPr>
            <w:tcW w:w="332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c>
          <w:tcPr>
            <w:tcW w:w="764" w:type="dxa"/>
            <w:textDirection w:val="lrTb"/>
            <w:noWrap w:val="false"/>
          </w:tcPr>
          <w:p>
            <w:pPr>
              <w:rPr>
                <w:highlight w:val="none"/>
              </w:rPr>
            </w:pPr>
            <w:r>
              <w:rPr>
                <w:highlight w:val="none"/>
              </w:rPr>
            </w:r>
            <w:r/>
          </w:p>
        </w:tc>
      </w:tr>
      <w:tr>
        <w:trPr>
          <w:trHeight w:val="439"/>
        </w:trPr>
        <w:tc>
          <w:tcPr>
            <w:tcW w:w="851" w:type="dxa"/>
            <w:textDirection w:val="lrTb"/>
            <w:noWrap w:val="false"/>
          </w:tcPr>
          <w:p>
            <w:pPr>
              <w:rPr>
                <w:highlight w:val="none"/>
              </w:rPr>
            </w:pPr>
            <w:r>
              <w:rPr>
                <w:highlight w:val="none"/>
              </w:rPr>
            </w:r>
            <w:r/>
          </w:p>
        </w:tc>
        <w:tc>
          <w:tcPr>
            <w:tcW w:w="1578" w:type="dxa"/>
            <w:textDirection w:val="lrTb"/>
            <w:noWrap w:val="false"/>
          </w:tcPr>
          <w:p>
            <w:pPr>
              <w:rPr>
                <w:highlight w:val="none"/>
              </w:rPr>
            </w:pPr>
            <w:r>
              <w:rPr>
                <w:highlight w:val="none"/>
              </w:rPr>
            </w:r>
            <w:r/>
          </w:p>
        </w:tc>
        <w:tc>
          <w:tcPr>
            <w:tcW w:w="1609" w:type="dxa"/>
            <w:textDirection w:val="lrTb"/>
            <w:noWrap w:val="false"/>
          </w:tcPr>
          <w:p>
            <w:pPr>
              <w:rPr>
                <w:highlight w:val="none"/>
              </w:rPr>
            </w:pPr>
            <w:r>
              <w:rPr>
                <w:highlight w:val="none"/>
              </w:rPr>
            </w:r>
            <w:r/>
          </w:p>
        </w:tc>
        <w:tc>
          <w:tcPr>
            <w:tcW w:w="332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c>
          <w:tcPr>
            <w:tcW w:w="764" w:type="dxa"/>
            <w:textDirection w:val="lrTb"/>
            <w:noWrap w:val="false"/>
          </w:tcPr>
          <w:p>
            <w:pPr>
              <w:rPr>
                <w:highlight w:val="none"/>
              </w:rPr>
            </w:pPr>
            <w:r>
              <w:rPr>
                <w:highlight w:val="none"/>
              </w:rPr>
            </w:r>
            <w:r/>
          </w:p>
        </w:tc>
      </w:tr>
      <w:tr>
        <w:trPr>
          <w:trHeight w:val="389"/>
        </w:trPr>
        <w:tc>
          <w:tcPr>
            <w:tcW w:w="851" w:type="dxa"/>
            <w:textDirection w:val="lrTb"/>
            <w:noWrap w:val="false"/>
          </w:tcPr>
          <w:p>
            <w:pPr>
              <w:rPr>
                <w:highlight w:val="none"/>
              </w:rPr>
            </w:pPr>
            <w:r>
              <w:rPr>
                <w:highlight w:val="none"/>
              </w:rPr>
            </w:r>
            <w:r/>
          </w:p>
        </w:tc>
        <w:tc>
          <w:tcPr>
            <w:tcW w:w="1578" w:type="dxa"/>
            <w:textDirection w:val="lrTb"/>
            <w:noWrap w:val="false"/>
          </w:tcPr>
          <w:p>
            <w:pPr>
              <w:rPr>
                <w:highlight w:val="none"/>
              </w:rPr>
            </w:pPr>
            <w:r>
              <w:rPr>
                <w:highlight w:val="none"/>
              </w:rPr>
            </w:r>
            <w:r/>
          </w:p>
        </w:tc>
        <w:tc>
          <w:tcPr>
            <w:tcW w:w="1609" w:type="dxa"/>
            <w:textDirection w:val="lrTb"/>
            <w:noWrap w:val="false"/>
          </w:tcPr>
          <w:p>
            <w:pPr>
              <w:rPr>
                <w:highlight w:val="none"/>
              </w:rPr>
            </w:pPr>
            <w:r>
              <w:rPr>
                <w:highlight w:val="none"/>
              </w:rPr>
            </w:r>
            <w:r/>
          </w:p>
        </w:tc>
        <w:tc>
          <w:tcPr>
            <w:tcW w:w="332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c>
          <w:tcPr>
            <w:tcW w:w="764" w:type="dxa"/>
            <w:textDirection w:val="lrTb"/>
            <w:noWrap w:val="false"/>
          </w:tcPr>
          <w:p>
            <w:pPr>
              <w:rPr>
                <w:highlight w:val="none"/>
              </w:rPr>
            </w:pPr>
            <w:r>
              <w:rPr>
                <w:highlight w:val="none"/>
              </w:rPr>
            </w:r>
            <w:r/>
          </w:p>
        </w:tc>
      </w:tr>
      <w:tr>
        <w:trPr>
          <w:trHeight w:val="386"/>
        </w:trPr>
        <w:tc>
          <w:tcPr>
            <w:tcW w:w="851" w:type="dxa"/>
            <w:textDirection w:val="lrTb"/>
            <w:noWrap w:val="false"/>
          </w:tcPr>
          <w:p>
            <w:pPr>
              <w:rPr>
                <w:highlight w:val="none"/>
              </w:rPr>
            </w:pPr>
            <w:r>
              <w:rPr>
                <w:highlight w:val="none"/>
              </w:rPr>
            </w:r>
            <w:r/>
          </w:p>
        </w:tc>
        <w:tc>
          <w:tcPr>
            <w:tcW w:w="1578" w:type="dxa"/>
            <w:textDirection w:val="lrTb"/>
            <w:noWrap w:val="false"/>
          </w:tcPr>
          <w:p>
            <w:pPr>
              <w:rPr>
                <w:highlight w:val="none"/>
              </w:rPr>
            </w:pPr>
            <w:r>
              <w:rPr>
                <w:highlight w:val="none"/>
              </w:rPr>
            </w:r>
            <w:r/>
          </w:p>
        </w:tc>
        <w:tc>
          <w:tcPr>
            <w:tcW w:w="1609" w:type="dxa"/>
            <w:textDirection w:val="lrTb"/>
            <w:noWrap w:val="false"/>
          </w:tcPr>
          <w:p>
            <w:pPr>
              <w:rPr>
                <w:highlight w:val="none"/>
              </w:rPr>
            </w:pPr>
            <w:r>
              <w:rPr>
                <w:highlight w:val="none"/>
              </w:rPr>
            </w:r>
            <w:r/>
          </w:p>
        </w:tc>
        <w:tc>
          <w:tcPr>
            <w:tcW w:w="332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c>
          <w:tcPr>
            <w:tcW w:w="764" w:type="dxa"/>
            <w:textDirection w:val="lrTb"/>
            <w:noWrap w:val="false"/>
          </w:tcPr>
          <w:p>
            <w:pPr>
              <w:rPr>
                <w:highlight w:val="none"/>
              </w:rPr>
            </w:pPr>
            <w:r>
              <w:rPr>
                <w:highlight w:val="none"/>
              </w:rPr>
            </w:r>
            <w:r/>
          </w:p>
        </w:tc>
      </w:tr>
      <w:tr>
        <w:trPr>
          <w:trHeight w:val="389"/>
        </w:trPr>
        <w:tc>
          <w:tcPr>
            <w:tcW w:w="851" w:type="dxa"/>
            <w:textDirection w:val="lrTb"/>
            <w:noWrap w:val="false"/>
          </w:tcPr>
          <w:p>
            <w:pPr>
              <w:rPr>
                <w:highlight w:val="none"/>
              </w:rPr>
            </w:pPr>
            <w:r>
              <w:rPr>
                <w:highlight w:val="none"/>
              </w:rPr>
            </w:r>
            <w:r/>
          </w:p>
        </w:tc>
        <w:tc>
          <w:tcPr>
            <w:tcW w:w="1578" w:type="dxa"/>
            <w:textDirection w:val="lrTb"/>
            <w:noWrap w:val="false"/>
          </w:tcPr>
          <w:p>
            <w:pPr>
              <w:rPr>
                <w:highlight w:val="none"/>
              </w:rPr>
            </w:pPr>
            <w:r>
              <w:rPr>
                <w:highlight w:val="none"/>
              </w:rPr>
            </w:r>
            <w:r/>
          </w:p>
        </w:tc>
        <w:tc>
          <w:tcPr>
            <w:tcW w:w="1609" w:type="dxa"/>
            <w:textDirection w:val="lrTb"/>
            <w:noWrap w:val="false"/>
          </w:tcPr>
          <w:p>
            <w:pPr>
              <w:rPr>
                <w:highlight w:val="none"/>
              </w:rPr>
            </w:pPr>
            <w:r>
              <w:rPr>
                <w:highlight w:val="none"/>
              </w:rPr>
            </w:r>
            <w:r/>
          </w:p>
        </w:tc>
        <w:tc>
          <w:tcPr>
            <w:tcW w:w="332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c>
          <w:tcPr>
            <w:tcW w:w="764" w:type="dxa"/>
            <w:textDirection w:val="lrTb"/>
            <w:noWrap w:val="false"/>
          </w:tcPr>
          <w:p>
            <w:pPr>
              <w:rPr>
                <w:highlight w:val="none"/>
              </w:rPr>
            </w:pPr>
            <w:r>
              <w:rPr>
                <w:highlight w:val="none"/>
              </w:rPr>
            </w:r>
            <w:r/>
          </w:p>
        </w:tc>
      </w:tr>
      <w:tr>
        <w:trPr>
          <w:trHeight w:val="389"/>
        </w:trPr>
        <w:tc>
          <w:tcPr>
            <w:tcW w:w="851" w:type="dxa"/>
            <w:textDirection w:val="lrTb"/>
            <w:noWrap w:val="false"/>
          </w:tcPr>
          <w:p>
            <w:pPr>
              <w:rPr>
                <w:highlight w:val="none"/>
              </w:rPr>
            </w:pPr>
            <w:r>
              <w:rPr>
                <w:highlight w:val="none"/>
              </w:rPr>
            </w:r>
            <w:r/>
          </w:p>
        </w:tc>
        <w:tc>
          <w:tcPr>
            <w:tcW w:w="1578" w:type="dxa"/>
            <w:textDirection w:val="lrTb"/>
            <w:noWrap w:val="false"/>
          </w:tcPr>
          <w:p>
            <w:pPr>
              <w:rPr>
                <w:highlight w:val="none"/>
              </w:rPr>
            </w:pPr>
            <w:r>
              <w:rPr>
                <w:highlight w:val="none"/>
              </w:rPr>
            </w:r>
            <w:r/>
          </w:p>
        </w:tc>
        <w:tc>
          <w:tcPr>
            <w:tcW w:w="1609" w:type="dxa"/>
            <w:textDirection w:val="lrTb"/>
            <w:noWrap w:val="false"/>
          </w:tcPr>
          <w:p>
            <w:pPr>
              <w:rPr>
                <w:highlight w:val="none"/>
              </w:rPr>
            </w:pPr>
            <w:r>
              <w:rPr>
                <w:highlight w:val="none"/>
              </w:rPr>
            </w:r>
            <w:r/>
          </w:p>
        </w:tc>
        <w:tc>
          <w:tcPr>
            <w:tcW w:w="332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c>
          <w:tcPr>
            <w:tcW w:w="764" w:type="dxa"/>
            <w:textDirection w:val="lrTb"/>
            <w:noWrap w:val="false"/>
          </w:tcPr>
          <w:p>
            <w:pPr>
              <w:rPr>
                <w:highlight w:val="none"/>
              </w:rPr>
            </w:pPr>
            <w:r>
              <w:rPr>
                <w:highlight w:val="none"/>
              </w:rPr>
            </w:r>
            <w:r/>
          </w:p>
        </w:tc>
      </w:tr>
      <w:tr>
        <w:trPr>
          <w:trHeight w:val="389"/>
        </w:trPr>
        <w:tc>
          <w:tcPr>
            <w:tcW w:w="851" w:type="dxa"/>
            <w:textDirection w:val="lrTb"/>
            <w:noWrap w:val="false"/>
          </w:tcPr>
          <w:p>
            <w:pPr>
              <w:rPr>
                <w:highlight w:val="none"/>
              </w:rPr>
            </w:pPr>
            <w:r>
              <w:rPr>
                <w:highlight w:val="none"/>
              </w:rPr>
            </w:r>
            <w:r/>
          </w:p>
        </w:tc>
        <w:tc>
          <w:tcPr>
            <w:tcW w:w="1578" w:type="dxa"/>
            <w:textDirection w:val="lrTb"/>
            <w:noWrap w:val="false"/>
          </w:tcPr>
          <w:p>
            <w:pPr>
              <w:rPr>
                <w:highlight w:val="none"/>
              </w:rPr>
            </w:pPr>
            <w:r>
              <w:rPr>
                <w:highlight w:val="none"/>
              </w:rPr>
            </w:r>
            <w:r/>
          </w:p>
        </w:tc>
        <w:tc>
          <w:tcPr>
            <w:tcW w:w="1609" w:type="dxa"/>
            <w:textDirection w:val="lrTb"/>
            <w:noWrap w:val="false"/>
          </w:tcPr>
          <w:p>
            <w:pPr>
              <w:rPr>
                <w:highlight w:val="none"/>
              </w:rPr>
            </w:pPr>
            <w:r>
              <w:rPr>
                <w:highlight w:val="none"/>
              </w:rPr>
            </w:r>
            <w:r/>
          </w:p>
        </w:tc>
        <w:tc>
          <w:tcPr>
            <w:tcW w:w="332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c>
          <w:tcPr>
            <w:tcW w:w="764" w:type="dxa"/>
            <w:textDirection w:val="lrTb"/>
            <w:noWrap w:val="false"/>
          </w:tcPr>
          <w:p>
            <w:pPr>
              <w:rPr>
                <w:highlight w:val="none"/>
              </w:rPr>
            </w:pPr>
            <w:r>
              <w:rPr>
                <w:highlight w:val="none"/>
              </w:rPr>
            </w:r>
            <w:r/>
          </w:p>
        </w:tc>
      </w:tr>
      <w:tr>
        <w:trPr>
          <w:trHeight w:val="389"/>
        </w:trPr>
        <w:tc>
          <w:tcPr>
            <w:tcW w:w="851" w:type="dxa"/>
            <w:textDirection w:val="lrTb"/>
            <w:noWrap w:val="false"/>
          </w:tcPr>
          <w:p>
            <w:pPr>
              <w:rPr>
                <w:highlight w:val="none"/>
              </w:rPr>
            </w:pPr>
            <w:r>
              <w:rPr>
                <w:highlight w:val="none"/>
              </w:rPr>
            </w:r>
            <w:r/>
          </w:p>
        </w:tc>
        <w:tc>
          <w:tcPr>
            <w:tcW w:w="1578" w:type="dxa"/>
            <w:textDirection w:val="lrTb"/>
            <w:noWrap w:val="false"/>
          </w:tcPr>
          <w:p>
            <w:pPr>
              <w:rPr>
                <w:highlight w:val="none"/>
              </w:rPr>
            </w:pPr>
            <w:r>
              <w:rPr>
                <w:highlight w:val="none"/>
              </w:rPr>
            </w:r>
            <w:r/>
          </w:p>
        </w:tc>
        <w:tc>
          <w:tcPr>
            <w:tcW w:w="1609" w:type="dxa"/>
            <w:textDirection w:val="lrTb"/>
            <w:noWrap w:val="false"/>
          </w:tcPr>
          <w:p>
            <w:pPr>
              <w:rPr>
                <w:highlight w:val="none"/>
              </w:rPr>
            </w:pPr>
            <w:r>
              <w:rPr>
                <w:highlight w:val="none"/>
              </w:rPr>
            </w:r>
            <w:r/>
          </w:p>
        </w:tc>
        <w:tc>
          <w:tcPr>
            <w:tcW w:w="332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c>
          <w:tcPr>
            <w:tcW w:w="764" w:type="dxa"/>
            <w:textDirection w:val="lrTb"/>
            <w:noWrap w:val="false"/>
          </w:tcPr>
          <w:p>
            <w:pPr>
              <w:rPr>
                <w:highlight w:val="none"/>
              </w:rPr>
            </w:pPr>
            <w:r>
              <w:rPr>
                <w:highlight w:val="none"/>
              </w:rPr>
            </w:r>
            <w:r/>
          </w:p>
        </w:tc>
      </w:tr>
      <w:tr>
        <w:trPr>
          <w:trHeight w:val="389"/>
        </w:trPr>
        <w:tc>
          <w:tcPr>
            <w:tcW w:w="851" w:type="dxa"/>
            <w:textDirection w:val="lrTb"/>
            <w:noWrap w:val="false"/>
          </w:tcPr>
          <w:p>
            <w:pPr>
              <w:rPr>
                <w:highlight w:val="none"/>
              </w:rPr>
            </w:pPr>
            <w:r>
              <w:rPr>
                <w:highlight w:val="none"/>
              </w:rPr>
            </w:r>
            <w:r/>
          </w:p>
        </w:tc>
        <w:tc>
          <w:tcPr>
            <w:tcW w:w="1578" w:type="dxa"/>
            <w:textDirection w:val="lrTb"/>
            <w:noWrap w:val="false"/>
          </w:tcPr>
          <w:p>
            <w:pPr>
              <w:rPr>
                <w:highlight w:val="none"/>
              </w:rPr>
            </w:pPr>
            <w:r>
              <w:rPr>
                <w:highlight w:val="none"/>
              </w:rPr>
            </w:r>
            <w:r/>
          </w:p>
        </w:tc>
        <w:tc>
          <w:tcPr>
            <w:tcW w:w="1609" w:type="dxa"/>
            <w:textDirection w:val="lrTb"/>
            <w:noWrap w:val="false"/>
          </w:tcPr>
          <w:p>
            <w:pPr>
              <w:rPr>
                <w:highlight w:val="none"/>
              </w:rPr>
            </w:pPr>
            <w:r>
              <w:rPr>
                <w:highlight w:val="none"/>
              </w:rPr>
            </w:r>
            <w:r/>
          </w:p>
        </w:tc>
        <w:tc>
          <w:tcPr>
            <w:tcW w:w="332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c>
          <w:tcPr>
            <w:tcW w:w="764" w:type="dxa"/>
            <w:textDirection w:val="lrTb"/>
            <w:noWrap w:val="false"/>
          </w:tcPr>
          <w:p>
            <w:pPr>
              <w:rPr>
                <w:highlight w:val="none"/>
              </w:rPr>
            </w:pPr>
            <w:r>
              <w:rPr>
                <w:highlight w:val="none"/>
              </w:rPr>
            </w:r>
            <w:r/>
          </w:p>
        </w:tc>
      </w:tr>
      <w:tr>
        <w:trPr>
          <w:trHeight w:val="389"/>
        </w:trPr>
        <w:tc>
          <w:tcPr>
            <w:tcW w:w="851" w:type="dxa"/>
            <w:textDirection w:val="lrTb"/>
            <w:noWrap w:val="false"/>
          </w:tcPr>
          <w:p>
            <w:pPr>
              <w:rPr>
                <w:highlight w:val="none"/>
              </w:rPr>
            </w:pPr>
            <w:r>
              <w:rPr>
                <w:highlight w:val="none"/>
              </w:rPr>
            </w:r>
            <w:r/>
          </w:p>
        </w:tc>
        <w:tc>
          <w:tcPr>
            <w:tcW w:w="1578" w:type="dxa"/>
            <w:textDirection w:val="lrTb"/>
            <w:noWrap w:val="false"/>
          </w:tcPr>
          <w:p>
            <w:pPr>
              <w:rPr>
                <w:highlight w:val="none"/>
              </w:rPr>
            </w:pPr>
            <w:r>
              <w:rPr>
                <w:highlight w:val="none"/>
              </w:rPr>
            </w:r>
            <w:r/>
          </w:p>
        </w:tc>
        <w:tc>
          <w:tcPr>
            <w:tcW w:w="1609" w:type="dxa"/>
            <w:textDirection w:val="lrTb"/>
            <w:noWrap w:val="false"/>
          </w:tcPr>
          <w:p>
            <w:pPr>
              <w:rPr>
                <w:highlight w:val="none"/>
              </w:rPr>
            </w:pPr>
            <w:r>
              <w:rPr>
                <w:highlight w:val="none"/>
              </w:rPr>
            </w:r>
            <w:r/>
          </w:p>
        </w:tc>
        <w:tc>
          <w:tcPr>
            <w:tcW w:w="332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c>
          <w:tcPr>
            <w:tcW w:w="764" w:type="dxa"/>
            <w:textDirection w:val="lrTb"/>
            <w:noWrap w:val="false"/>
          </w:tcPr>
          <w:p>
            <w:pPr>
              <w:rPr>
                <w:highlight w:val="none"/>
              </w:rPr>
            </w:pPr>
            <w:r>
              <w:rPr>
                <w:highlight w:val="none"/>
              </w:rPr>
            </w:r>
            <w:r/>
          </w:p>
        </w:tc>
      </w:tr>
      <w:tr>
        <w:trPr>
          <w:trHeight w:val="389"/>
        </w:trPr>
        <w:tc>
          <w:tcPr>
            <w:tcW w:w="851" w:type="dxa"/>
            <w:textDirection w:val="lrTb"/>
            <w:noWrap w:val="false"/>
          </w:tcPr>
          <w:p>
            <w:pPr>
              <w:rPr>
                <w:highlight w:val="none"/>
              </w:rPr>
            </w:pPr>
            <w:r>
              <w:rPr>
                <w:highlight w:val="none"/>
              </w:rPr>
            </w:r>
            <w:r/>
          </w:p>
        </w:tc>
        <w:tc>
          <w:tcPr>
            <w:tcW w:w="1578" w:type="dxa"/>
            <w:textDirection w:val="lrTb"/>
            <w:noWrap w:val="false"/>
          </w:tcPr>
          <w:p>
            <w:pPr>
              <w:rPr>
                <w:highlight w:val="none"/>
              </w:rPr>
            </w:pPr>
            <w:r>
              <w:rPr>
                <w:highlight w:val="none"/>
              </w:rPr>
            </w:r>
            <w:r/>
          </w:p>
        </w:tc>
        <w:tc>
          <w:tcPr>
            <w:tcW w:w="1609" w:type="dxa"/>
            <w:textDirection w:val="lrTb"/>
            <w:noWrap w:val="false"/>
          </w:tcPr>
          <w:p>
            <w:pPr>
              <w:rPr>
                <w:highlight w:val="none"/>
              </w:rPr>
            </w:pPr>
            <w:r>
              <w:rPr>
                <w:highlight w:val="none"/>
              </w:rPr>
            </w:r>
            <w:r/>
          </w:p>
        </w:tc>
        <w:tc>
          <w:tcPr>
            <w:tcW w:w="332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c>
          <w:tcPr>
            <w:tcW w:w="764" w:type="dxa"/>
            <w:textDirection w:val="lrTb"/>
            <w:noWrap w:val="false"/>
          </w:tcPr>
          <w:p>
            <w:pPr>
              <w:rPr>
                <w:highlight w:val="none"/>
              </w:rPr>
            </w:pPr>
            <w:r>
              <w:rPr>
                <w:highlight w:val="none"/>
              </w:rPr>
            </w:r>
            <w:r/>
          </w:p>
        </w:tc>
      </w:tr>
      <w:tr>
        <w:trPr>
          <w:trHeight w:val="400"/>
        </w:trPr>
        <w:tc>
          <w:tcPr>
            <w:tcW w:w="851" w:type="dxa"/>
            <w:textDirection w:val="lrTb"/>
            <w:noWrap w:val="false"/>
          </w:tcPr>
          <w:p>
            <w:pPr>
              <w:rPr>
                <w:highlight w:val="none"/>
              </w:rPr>
            </w:pPr>
            <w:r>
              <w:rPr>
                <w:highlight w:val="none"/>
              </w:rPr>
            </w:r>
            <w:r/>
          </w:p>
        </w:tc>
        <w:tc>
          <w:tcPr>
            <w:tcW w:w="1578" w:type="dxa"/>
            <w:textDirection w:val="lrTb"/>
            <w:noWrap w:val="false"/>
          </w:tcPr>
          <w:p>
            <w:pPr>
              <w:rPr>
                <w:highlight w:val="none"/>
              </w:rPr>
            </w:pPr>
            <w:r>
              <w:rPr>
                <w:highlight w:val="none"/>
              </w:rPr>
            </w:r>
            <w:r/>
          </w:p>
        </w:tc>
        <w:tc>
          <w:tcPr>
            <w:tcW w:w="1609" w:type="dxa"/>
            <w:textDirection w:val="lrTb"/>
            <w:noWrap w:val="false"/>
          </w:tcPr>
          <w:p>
            <w:pPr>
              <w:rPr>
                <w:highlight w:val="none"/>
              </w:rPr>
            </w:pPr>
            <w:r>
              <w:rPr>
                <w:highlight w:val="none"/>
              </w:rPr>
            </w:r>
            <w:r/>
          </w:p>
        </w:tc>
        <w:tc>
          <w:tcPr>
            <w:tcW w:w="332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c>
          <w:tcPr>
            <w:tcW w:w="764" w:type="dxa"/>
            <w:textDirection w:val="lrTb"/>
            <w:noWrap w:val="false"/>
          </w:tcPr>
          <w:p>
            <w:pPr>
              <w:rPr>
                <w:highlight w:val="none"/>
              </w:rPr>
            </w:pPr>
            <w:r>
              <w:rPr>
                <w:highlight w:val="none"/>
              </w:rPr>
            </w:r>
            <w:r/>
          </w:p>
        </w:tc>
      </w:tr>
    </w:tbl>
    <w:p>
      <w:pPr>
        <w:rPr>
          <w:highlight w:val="none"/>
          <w:lang w:val="zh-CN"/>
        </w:rPr>
      </w:pPr>
      <w:r>
        <w:rPr>
          <w:highlight w:val="none"/>
          <w:lang w:val="zh-CN"/>
        </w:rPr>
      </w:r>
      <w:r/>
    </w:p>
    <w:p>
      <w:pPr>
        <w:rPr>
          <w:rFonts w:ascii="宋体" w:hAnsi="宋体" w:cs="宋体"/>
          <w:szCs w:val="24"/>
          <w:highlight w:val="none"/>
          <w:lang w:val="zh-CN"/>
        </w:rPr>
      </w:pPr>
      <w:r>
        <w:rPr>
          <w:rFonts w:hint="eastAsia" w:ascii="宋体" w:hAnsi="宋体" w:cs="宋体"/>
          <w:szCs w:val="24"/>
          <w:highlight w:val="none"/>
          <w:lang w:val="zh-CN"/>
        </w:rPr>
        <w:br w:type="page" w:clear="all"/>
      </w:r>
      <w:r/>
    </w:p>
    <w:p>
      <w:pPr>
        <w:ind w:firstLine="480"/>
        <w:spacing w:line="460" w:lineRule="exact"/>
        <w:rPr>
          <w:rFonts w:hint="eastAsia" w:ascii="宋体" w:hAnsi="宋体" w:eastAsia="宋体" w:cs="宋体"/>
          <w:szCs w:val="24"/>
          <w:highlight w:val="none"/>
          <w:lang w:eastAsia="zh-CN"/>
        </w:rPr>
      </w:pPr>
      <w:r>
        <w:rPr>
          <w:rFonts w:hint="eastAsia" w:ascii="宋体" w:hAnsi="宋体" w:cs="宋体"/>
          <w:szCs w:val="24"/>
          <w:highlight w:val="none"/>
          <w:lang w:val="zh-CN"/>
        </w:rPr>
        <w:t xml:space="preserve">附件</w:t>
      </w:r>
      <w:r>
        <w:rPr>
          <w:rFonts w:hint="eastAsia" w:ascii="宋体" w:hAnsi="宋体" w:cs="宋体"/>
          <w:szCs w:val="24"/>
          <w:highlight w:val="none"/>
        </w:rPr>
        <w:t xml:space="preserve">1</w:t>
      </w:r>
      <w:r>
        <w:rPr>
          <w:rFonts w:hint="eastAsia" w:ascii="宋体" w:hAnsi="宋体" w:cs="宋体"/>
          <w:szCs w:val="24"/>
          <w:highlight w:val="none"/>
          <w:lang w:val="en-US" w:eastAsia="zh-CN"/>
        </w:rPr>
        <w:t xml:space="preserve">7</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质疑函范本</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一、质疑供应商基本信息</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质疑供应商：</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地址：邮编：</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联系人：联系电话：</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授权代表：</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联系电话：</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地址：邮编：</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二、质疑项目基本情况</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质疑项目的名称：</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质疑项目的编号：包号：</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采购人名称：</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采购文件获取日期：</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三、质疑事项具体内容</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质疑事项1：</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事实依据：</w:t>
      </w:r>
      <w:r/>
    </w:p>
    <w:p>
      <w:pPr>
        <w:ind w:firstLine="480"/>
        <w:spacing w:line="460" w:lineRule="exact"/>
        <w:rPr>
          <w:rFonts w:ascii="宋体" w:hAnsi="宋体" w:cs="宋体"/>
          <w:szCs w:val="24"/>
          <w:highlight w:val="none"/>
          <w:lang w:val="zh-CN"/>
        </w:rPr>
      </w:pPr>
      <w:r>
        <w:rPr>
          <w:rFonts w:ascii="宋体" w:hAnsi="宋体" w:cs="宋体"/>
          <w:szCs w:val="24"/>
          <w:highlight w:val="none"/>
          <w:lang w:val="zh-CN"/>
        </w:rPr>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法律依据：</w:t>
      </w:r>
      <w:r/>
    </w:p>
    <w:p>
      <w:pPr>
        <w:ind w:firstLine="480"/>
        <w:spacing w:line="460" w:lineRule="exact"/>
        <w:rPr>
          <w:rFonts w:ascii="宋体" w:hAnsi="宋体" w:cs="宋体"/>
          <w:szCs w:val="24"/>
          <w:highlight w:val="none"/>
          <w:lang w:val="zh-CN"/>
        </w:rPr>
      </w:pPr>
      <w:r>
        <w:rPr>
          <w:rFonts w:ascii="宋体" w:hAnsi="宋体" w:cs="宋体"/>
          <w:szCs w:val="24"/>
          <w:highlight w:val="none"/>
          <w:lang w:val="zh-CN"/>
        </w:rPr>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质疑事项2</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四、与质疑事项相关的质疑请求</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请求：</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签字(签章)：                   公章：                      </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日期：    </w:t>
      </w:r>
      <w:r/>
    </w:p>
    <w:p>
      <w:pPr>
        <w:ind w:firstLine="480"/>
        <w:spacing w:line="460" w:lineRule="exact"/>
        <w:rPr>
          <w:rFonts w:ascii="宋体" w:hAnsi="宋体" w:cs="宋体"/>
          <w:szCs w:val="24"/>
          <w:highlight w:val="none"/>
          <w:lang w:val="zh-CN"/>
        </w:rPr>
      </w:pPr>
      <w:r>
        <w:rPr>
          <w:rFonts w:ascii="宋体" w:hAnsi="宋体" w:cs="宋体"/>
          <w:szCs w:val="24"/>
          <w:highlight w:val="none"/>
          <w:lang w:val="zh-CN"/>
        </w:rPr>
      </w:r>
      <w:r/>
    </w:p>
    <w:p>
      <w:pPr>
        <w:ind w:firstLine="480"/>
        <w:spacing w:line="460" w:lineRule="exact"/>
        <w:rPr>
          <w:rFonts w:ascii="宋体" w:hAnsi="宋体" w:cs="宋体"/>
          <w:szCs w:val="24"/>
          <w:highlight w:val="none"/>
          <w:lang w:val="zh-CN"/>
        </w:rPr>
      </w:pPr>
      <w:r>
        <w:rPr>
          <w:rFonts w:ascii="宋体" w:hAnsi="宋体" w:cs="宋体"/>
          <w:szCs w:val="24"/>
          <w:highlight w:val="none"/>
          <w:lang w:val="zh-CN"/>
        </w:rPr>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质疑函制作说明：</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1.供应商提出质疑时，应提交质疑函和必要的证明材料。</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3.质疑供应商若对项目的某一分包进行质疑，质疑函中应列明具体分包号。</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4.质疑函的质疑事项应具体、明确，并有必要的事实依据和法律依据。</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5.质疑函的质疑请求应与质疑事项相关。</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6.质疑供应商为自然人的，质疑函应由本人签字；质疑供应商为法人或者其他组织的，质疑函应由法定代表人、主要负责人，或者其授权代表签字或者盖章，并加盖公章。</w:t>
      </w:r>
      <w:r/>
    </w:p>
    <w:p>
      <w:pPr>
        <w:ind w:firstLine="480"/>
        <w:spacing w:line="460" w:lineRule="exact"/>
        <w:rPr>
          <w:rFonts w:ascii="宋体" w:hAnsi="宋体" w:cs="宋体"/>
          <w:szCs w:val="24"/>
          <w:highlight w:val="none"/>
          <w:lang w:val="zh-CN"/>
        </w:rPr>
      </w:pPr>
      <w:r>
        <w:rPr>
          <w:rFonts w:ascii="宋体" w:hAnsi="宋体" w:cs="宋体"/>
          <w:szCs w:val="24"/>
          <w:highlight w:val="none"/>
          <w:lang w:val="zh-CN"/>
        </w:rPr>
      </w:r>
      <w:r/>
    </w:p>
    <w:p>
      <w:pPr>
        <w:ind w:firstLine="480"/>
        <w:spacing w:line="460" w:lineRule="exact"/>
        <w:rPr>
          <w:rFonts w:ascii="宋体" w:hAnsi="宋体" w:cs="宋体"/>
          <w:szCs w:val="24"/>
          <w:highlight w:val="none"/>
          <w:lang w:val="zh-CN"/>
        </w:rPr>
      </w:pPr>
      <w:r>
        <w:rPr>
          <w:rFonts w:ascii="宋体" w:hAnsi="宋体" w:cs="宋体"/>
          <w:szCs w:val="24"/>
          <w:highlight w:val="none"/>
          <w:lang w:val="zh-CN"/>
        </w:rPr>
      </w:r>
      <w:r/>
    </w:p>
    <w:p>
      <w:pPr>
        <w:ind w:firstLine="4410"/>
        <w:rPr>
          <w:rFonts w:ascii="宋体" w:hAnsi="宋体" w:cs="宋体"/>
          <w:szCs w:val="24"/>
          <w:highlight w:val="none"/>
        </w:rPr>
      </w:pPr>
      <w:r>
        <w:rPr>
          <w:rFonts w:ascii="宋体" w:hAnsi="宋体" w:cs="宋体"/>
          <w:szCs w:val="24"/>
          <w:highlight w:val="none"/>
        </w:rPr>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sectPr>
      <w:headerReference w:type="default" r:id="rId12"/>
      <w:footerReference w:type="default" r:id="rId19"/>
      <w:footnotePr/>
      <w:endnotePr/>
      <w:type w:val="nextPage"/>
      <w:pgSz w:w="11906" w:h="16838" w:orient="portrait"/>
      <w:pgMar w:top="1361" w:right="1361" w:bottom="1361" w:left="136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ymbol">
    <w:panose1 w:val="05050102010706020507"/>
  </w:font>
  <w:font w:name="方正仿宋_GBK">
    <w:panose1 w:val="020B0503020202020204"/>
  </w:font>
  <w:font w:name="Wingdings">
    <w:panose1 w:val="05000000000000000000"/>
  </w:font>
  <w:font w:name="方正黑体简体">
    <w:panose1 w:val="020B0503020202020204"/>
  </w:font>
  <w:font w:name="Courier New">
    <w:panose1 w:val="02070309020205020404"/>
  </w:font>
  <w:font w:name="仿宋">
    <w:panose1 w:val="02010609060101010101"/>
  </w:font>
  <w:font w:name="方正大标宋_GBK">
    <w:panose1 w:val="020B05030202020202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1"/>
                          </w:pPr>
                          <w:r>
                            <w:fldChar w:fldCharType="begin"/>
                          </w:r>
                          <w:r>
                            <w:instrText xml:space="preserve"> PAGE  \* MERGEFORMAT </w:instrText>
                          </w:r>
                          <w:r>
                            <w:fldChar w:fldCharType="separate"/>
                          </w:r>
                          <w:r>
                            <w:t xml:space="preserve">- 19 -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1"/>
                    </w:pPr>
                    <w:r>
                      <w:fldChar w:fldCharType="begin"/>
                    </w:r>
                    <w:r>
                      <w:instrText xml:space="preserve"> PAGE  \* MERGEFORMAT </w:instrText>
                    </w:r>
                    <w:r>
                      <w:fldChar w:fldCharType="separate"/>
                    </w:r>
                    <w:r>
                      <w:t xml:space="preserve">- 19 -</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81"/>
                            <w:jc w:val="center"/>
                          </w:pPr>
                          <w:r>
                            <w:fldChar w:fldCharType="begin"/>
                          </w:r>
                          <w:r>
                            <w:instrText xml:space="preserve"> PAGE   \* MERGEFORMAT </w:instrText>
                          </w:r>
                          <w:r>
                            <w:fldChar w:fldCharType="separate"/>
                          </w:r>
                          <w:r>
                            <w:rPr>
                              <w:lang w:val="zh-CN"/>
                            </w:rPr>
                            <w:t xml:space="preserve">50</w:t>
                          </w:r>
                          <w:r>
                            <w:rPr>
                              <w:lang w:val="zh-CN"/>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1"/>
                      <w:jc w:val="center"/>
                    </w:pPr>
                    <w:r>
                      <w:fldChar w:fldCharType="begin"/>
                    </w:r>
                    <w:r>
                      <w:instrText xml:space="preserve"> PAGE   \* MERGEFORMAT </w:instrText>
                    </w:r>
                    <w:r>
                      <w:fldChar w:fldCharType="separate"/>
                    </w:r>
                    <w:r>
                      <w:rPr>
                        <w:lang w:val="zh-CN"/>
                      </w:rPr>
                      <w:t xml:space="preserve">50</w:t>
                    </w:r>
                    <w:r>
                      <w:rPr>
                        <w:lang w:val="zh-CN"/>
                      </w:rPr>
                      <w:fldChar w:fldCharType="end"/>
                    </w:r>
                    <w:r/>
                  </w:p>
                </w:txbxContent>
              </v:textbox>
            </v:shape>
          </w:pict>
        </mc:Fallback>
      </mc:AlternateContent>
    </w:r>
    <w:r/>
  </w:p>
  <w:p>
    <w:pPr>
      <w:pStyle w:val="88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ind w:firstLine="9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1"/>
                          </w:pPr>
                          <w:r>
                            <w:fldChar w:fldCharType="begin"/>
                          </w:r>
                          <w:r>
                            <w:instrText xml:space="preserve"> PAGE  \* MERGEFORMAT </w:instrText>
                          </w:r>
                          <w:r>
                            <w:fldChar w:fldCharType="separate"/>
                          </w:r>
                          <w:r>
                            <w:t xml:space="preserve">- 31 -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1"/>
                    </w:pPr>
                    <w:r>
                      <w:fldChar w:fldCharType="begin"/>
                    </w:r>
                    <w:r>
                      <w:instrText xml:space="preserve"> PAGE  \* MERGEFORMAT </w:instrText>
                    </w:r>
                    <w:r>
                      <w:fldChar w:fldCharType="separate"/>
                    </w:r>
                    <w:r>
                      <w:t xml:space="preserve">- 31 -</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66005"/>
      <w:rPr/>
    </w:sdtPr>
    <w:sdtContent>
      <w:p>
        <w:pPr>
          <w:pStyle w:val="881"/>
        </w:pPr>
        <w:r>
          <w:fldChar w:fldCharType="begin"/>
        </w:r>
        <w:r>
          <w:instrText xml:space="preserve"> PAGE   \* MERGEFORMAT </w:instrText>
        </w:r>
        <w:r>
          <w:fldChar w:fldCharType="separate"/>
        </w:r>
        <w:r>
          <w:rPr>
            <w:lang w:val="zh-CN"/>
          </w:rPr>
          <w:t xml:space="preserve">9</w:t>
        </w:r>
        <w:r>
          <w:rPr>
            <w:lang w:val="zh-CN"/>
          </w:rPr>
          <w:fldChar w:fldCharType="end"/>
        </w:r>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t xml:space="preserve">76</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1"/>
                          </w:pPr>
                          <w:r>
                            <w:fldChar w:fldCharType="begin"/>
                          </w:r>
                          <w:r>
                            <w:instrText xml:space="preserve"> PAGE  \* MERGEFORMAT </w:instrText>
                          </w:r>
                          <w:r>
                            <w:fldChar w:fldCharType="separate"/>
                          </w:r>
                          <w:r>
                            <w:t xml:space="preserve">- 41 -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1"/>
                    </w:pPr>
                    <w:r>
                      <w:fldChar w:fldCharType="begin"/>
                    </w:r>
                    <w:r>
                      <w:instrText xml:space="preserve"> PAGE  \* MERGEFORMAT </w:instrText>
                    </w:r>
                    <w:r>
                      <w:fldChar w:fldCharType="separate"/>
                    </w:r>
                    <w:r>
                      <w:t xml:space="preserve">- 41 -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360" w:lineRule="auto"/>
      <w:tabs>
        <w:tab w:val="left" w:pos="5760" w:leader="none"/>
        <w:tab w:val="left" w:pos="6300" w:leader="none"/>
      </w:tabs>
      <w:rPr>
        <w:sz w:val="8"/>
        <w:szCs w:val="8"/>
        <w:u w:val="single"/>
      </w:rPr>
    </w:pPr>
    <w:r>
      <w:rPr>
        <w:rFonts w:hint="eastAsia" w:ascii="宋体" w:hAnsi="宋体" w:cs="宋体"/>
        <w:szCs w:val="21"/>
        <w:highlight w:val="none"/>
        <w:u w:val="single"/>
        <w:lang w:eastAsia="zh-CN"/>
      </w:rPr>
      <w:t xml:space="preserve">南通市生态环境监测站2026年度监测技术支撑项目</w:t>
    </w:r>
    <w:r>
      <w:rPr>
        <w:rFonts w:hint="eastAsia" w:ascii="宋体" w:hAnsi="宋体" w:cs="宋体"/>
        <w:szCs w:val="21"/>
        <w:highlight w:val="none"/>
        <w:u w:val="single"/>
        <w:lang w:val="en-US" w:eastAsia="zh-CN"/>
      </w:rPr>
      <w:t xml:space="preserve">                         </w:t>
    </w:r>
    <w:r>
      <w:rPr>
        <w:rFonts w:hint="eastAsia" w:ascii="宋体" w:hAnsi="宋体" w:cs="宋体"/>
        <w:szCs w:val="21"/>
        <w:u w:val="single"/>
      </w:rPr>
      <w:t xml:space="preserve">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left"/>
      <w:tabs>
        <w:tab w:val="left" w:pos="1046" w:leader="none"/>
      </w:tabs>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ind w:firstLine="36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9"/>
      <w:numFmt w:val="decimal"/>
      <w:isLgl w:val="false"/>
      <w:suff w:val="nothing"/>
      <w:lvlText w:val="%1、"/>
      <w:lvlJc w:val="left"/>
      <w:pPr>
        <w:ind w:left="3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901"/>
      <w:isLgl w:val="false"/>
      <w:suff w:val="tab"/>
      <w:lvlText w:val="%1、"/>
      <w:lvlJc w:val="left"/>
      <w:pPr>
        <w:ind w:left="425" w:hanging="425"/>
      </w:pPr>
      <w:rPr>
        <w:rFonts w:hint="eastAsia"/>
      </w:rPr>
    </w:lvl>
    <w:lvl w:ilvl="1">
      <w:start w:val="1"/>
      <w:numFmt w:val="chineseCountingThousand"/>
      <w:isLgl w:val="false"/>
      <w:suff w:val="tab"/>
      <w:lvlText w:val="(%2) "/>
      <w:lvlJc w:val="left"/>
      <w:pPr>
        <w:ind w:left="0" w:firstLine="0"/>
      </w:pPr>
      <w:rPr>
        <w:rFonts w:hint="eastAsia"/>
      </w:rPr>
    </w:lvl>
    <w:lvl w:ilvl="2">
      <w:start w:val="1"/>
      <w:numFmt w:val="decimal"/>
      <w:isLgl w:val="false"/>
      <w:suff w:val="tab"/>
      <w:lvlText w:val="%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6"/>
  </w:num>
  <w:num w:numId="3">
    <w:abstractNumId w:val="8"/>
  </w:num>
  <w:num w:numId="4">
    <w:abstractNumId w:val="0"/>
  </w:num>
  <w:num w:numId="5">
    <w:abstractNumId w:val="9"/>
  </w:num>
  <w:num w:numId="6">
    <w:abstractNumId w:val="5"/>
  </w:num>
  <w:num w:numId="7">
    <w:abstractNumId w:val="7"/>
  </w:num>
  <w:num w:numId="8">
    <w:abstractNumId w:val="3"/>
  </w:num>
  <w:num w:numId="9">
    <w:abstractNumId w:val="2"/>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72"/>
    <w:link w:val="869"/>
    <w:uiPriority w:val="9"/>
    <w:rPr>
      <w:rFonts w:ascii="Arial" w:hAnsi="Arial" w:eastAsia="Arial" w:cs="Arial"/>
      <w:sz w:val="40"/>
      <w:szCs w:val="40"/>
    </w:rPr>
  </w:style>
  <w:style w:type="character" w:styleId="15">
    <w:name w:val="Heading 2 Char"/>
    <w:basedOn w:val="872"/>
    <w:link w:val="870"/>
    <w:uiPriority w:val="9"/>
    <w:rPr>
      <w:rFonts w:ascii="Arial" w:hAnsi="Arial" w:eastAsia="Arial" w:cs="Arial"/>
      <w:sz w:val="34"/>
    </w:rPr>
  </w:style>
  <w:style w:type="character" w:styleId="17">
    <w:name w:val="Heading 3 Char"/>
    <w:basedOn w:val="872"/>
    <w:link w:val="871"/>
    <w:uiPriority w:val="9"/>
    <w:rPr>
      <w:rFonts w:ascii="Arial" w:hAnsi="Arial" w:eastAsia="Arial" w:cs="Arial"/>
      <w:sz w:val="30"/>
      <w:szCs w:val="30"/>
    </w:rPr>
  </w:style>
  <w:style w:type="paragraph" w:styleId="18">
    <w:name w:val="Heading 4"/>
    <w:basedOn w:val="868"/>
    <w:next w:val="86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872"/>
    <w:link w:val="18"/>
    <w:uiPriority w:val="9"/>
    <w:rPr>
      <w:rFonts w:ascii="Arial" w:hAnsi="Arial" w:eastAsia="Arial" w:cs="Arial"/>
      <w:b/>
      <w:bCs/>
      <w:sz w:val="26"/>
      <w:szCs w:val="26"/>
    </w:rPr>
  </w:style>
  <w:style w:type="paragraph" w:styleId="20">
    <w:name w:val="Heading 5"/>
    <w:basedOn w:val="868"/>
    <w:next w:val="86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72"/>
    <w:link w:val="20"/>
    <w:uiPriority w:val="9"/>
    <w:rPr>
      <w:rFonts w:ascii="Arial" w:hAnsi="Arial" w:eastAsia="Arial" w:cs="Arial"/>
      <w:b/>
      <w:bCs/>
      <w:sz w:val="24"/>
      <w:szCs w:val="24"/>
    </w:rPr>
  </w:style>
  <w:style w:type="paragraph" w:styleId="22">
    <w:name w:val="Heading 6"/>
    <w:basedOn w:val="868"/>
    <w:next w:val="86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72"/>
    <w:link w:val="22"/>
    <w:uiPriority w:val="9"/>
    <w:rPr>
      <w:rFonts w:ascii="Arial" w:hAnsi="Arial" w:eastAsia="Arial" w:cs="Arial"/>
      <w:b/>
      <w:bCs/>
      <w:sz w:val="22"/>
      <w:szCs w:val="22"/>
    </w:rPr>
  </w:style>
  <w:style w:type="paragraph" w:styleId="24">
    <w:name w:val="Heading 7"/>
    <w:basedOn w:val="868"/>
    <w:next w:val="86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72"/>
    <w:link w:val="24"/>
    <w:uiPriority w:val="9"/>
    <w:rPr>
      <w:rFonts w:ascii="Arial" w:hAnsi="Arial" w:eastAsia="Arial" w:cs="Arial"/>
      <w:b/>
      <w:bCs/>
      <w:i/>
      <w:iCs/>
      <w:sz w:val="22"/>
      <w:szCs w:val="22"/>
    </w:rPr>
  </w:style>
  <w:style w:type="paragraph" w:styleId="26">
    <w:name w:val="Heading 8"/>
    <w:basedOn w:val="868"/>
    <w:next w:val="86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72"/>
    <w:link w:val="26"/>
    <w:uiPriority w:val="9"/>
    <w:rPr>
      <w:rFonts w:ascii="Arial" w:hAnsi="Arial" w:eastAsia="Arial" w:cs="Arial"/>
      <w:i/>
      <w:iCs/>
      <w:sz w:val="22"/>
      <w:szCs w:val="22"/>
    </w:rPr>
  </w:style>
  <w:style w:type="paragraph" w:styleId="28">
    <w:name w:val="Heading 9"/>
    <w:basedOn w:val="868"/>
    <w:next w:val="86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72"/>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68"/>
    <w:next w:val="868"/>
    <w:link w:val="34"/>
    <w:uiPriority w:val="10"/>
    <w:qFormat/>
    <w:pPr>
      <w:contextualSpacing/>
      <w:spacing w:before="300" w:after="200"/>
    </w:pPr>
    <w:rPr>
      <w:sz w:val="48"/>
      <w:szCs w:val="48"/>
    </w:rPr>
  </w:style>
  <w:style w:type="character" w:styleId="34">
    <w:name w:val="Title Char"/>
    <w:basedOn w:val="872"/>
    <w:link w:val="33"/>
    <w:uiPriority w:val="10"/>
    <w:rPr>
      <w:sz w:val="48"/>
      <w:szCs w:val="48"/>
    </w:rPr>
  </w:style>
  <w:style w:type="paragraph" w:styleId="35">
    <w:name w:val="Subtitle"/>
    <w:basedOn w:val="868"/>
    <w:next w:val="868"/>
    <w:link w:val="36"/>
    <w:uiPriority w:val="11"/>
    <w:qFormat/>
    <w:pPr>
      <w:spacing w:before="200" w:after="200"/>
    </w:pPr>
    <w:rPr>
      <w:sz w:val="24"/>
      <w:szCs w:val="24"/>
    </w:rPr>
  </w:style>
  <w:style w:type="character" w:styleId="36">
    <w:name w:val="Subtitle Char"/>
    <w:basedOn w:val="872"/>
    <w:link w:val="35"/>
    <w:uiPriority w:val="11"/>
    <w:rPr>
      <w:sz w:val="24"/>
      <w:szCs w:val="24"/>
    </w:rPr>
  </w:style>
  <w:style w:type="paragraph" w:styleId="37">
    <w:name w:val="Quote"/>
    <w:basedOn w:val="868"/>
    <w:next w:val="868"/>
    <w:link w:val="38"/>
    <w:uiPriority w:val="29"/>
    <w:qFormat/>
    <w:pPr>
      <w:ind w:left="720" w:right="720"/>
    </w:pPr>
    <w:rPr>
      <w:i/>
    </w:rPr>
  </w:style>
  <w:style w:type="character" w:styleId="38">
    <w:name w:val="Quote Char"/>
    <w:link w:val="37"/>
    <w:uiPriority w:val="29"/>
    <w:rPr>
      <w:i/>
    </w:rPr>
  </w:style>
  <w:style w:type="paragraph" w:styleId="39">
    <w:name w:val="Intense Quote"/>
    <w:basedOn w:val="868"/>
    <w:next w:val="86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72"/>
    <w:link w:val="882"/>
    <w:uiPriority w:val="99"/>
  </w:style>
  <w:style w:type="character" w:styleId="44">
    <w:name w:val="Footer Char"/>
    <w:basedOn w:val="872"/>
    <w:link w:val="881"/>
    <w:uiPriority w:val="99"/>
  </w:style>
  <w:style w:type="paragraph" w:styleId="45">
    <w:name w:val="Caption"/>
    <w:basedOn w:val="868"/>
    <w:next w:val="868"/>
    <w:uiPriority w:val="35"/>
    <w:semiHidden/>
    <w:unhideWhenUsed/>
    <w:qFormat/>
    <w:pPr>
      <w:spacing w:line="276" w:lineRule="auto"/>
    </w:pPr>
    <w:rPr>
      <w:b/>
      <w:bCs/>
      <w:color w:val="4f81bd" w:themeColor="accent1"/>
      <w:sz w:val="18"/>
      <w:szCs w:val="18"/>
    </w:rPr>
  </w:style>
  <w:style w:type="character" w:styleId="46">
    <w:name w:val="Caption Char"/>
    <w:basedOn w:val="45"/>
    <w:link w:val="881"/>
    <w:uiPriority w:val="99"/>
  </w:style>
  <w:style w:type="table" w:styleId="48">
    <w:name w:val="Table Grid Light"/>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7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7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7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7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7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7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8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7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7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7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7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8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7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7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7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7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7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7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7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7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7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7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7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7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7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7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7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7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7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7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7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87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87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87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7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87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87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87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87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87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8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7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7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7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7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7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7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7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87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87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87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8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7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87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87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87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87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87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87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7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87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87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87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87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87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87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6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72"/>
    <w:uiPriority w:val="99"/>
    <w:unhideWhenUsed/>
    <w:rPr>
      <w:vertAlign w:val="superscript"/>
    </w:rPr>
  </w:style>
  <w:style w:type="paragraph" w:styleId="177">
    <w:name w:val="endnote text"/>
    <w:basedOn w:val="86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72"/>
    <w:uiPriority w:val="99"/>
    <w:semiHidden/>
    <w:unhideWhenUsed/>
    <w:rPr>
      <w:vertAlign w:val="superscript"/>
    </w:rPr>
  </w:style>
  <w:style w:type="paragraph" w:styleId="181">
    <w:name w:val="toc 2"/>
    <w:basedOn w:val="868"/>
    <w:next w:val="868"/>
    <w:uiPriority w:val="39"/>
    <w:unhideWhenUsed/>
    <w:pPr>
      <w:ind w:left="283" w:right="0" w:firstLine="0"/>
      <w:spacing w:after="57"/>
    </w:pPr>
  </w:style>
  <w:style w:type="paragraph" w:styleId="182">
    <w:name w:val="toc 3"/>
    <w:basedOn w:val="868"/>
    <w:next w:val="868"/>
    <w:uiPriority w:val="39"/>
    <w:unhideWhenUsed/>
    <w:pPr>
      <w:ind w:left="567" w:right="0" w:firstLine="0"/>
      <w:spacing w:after="57"/>
    </w:pPr>
  </w:style>
  <w:style w:type="paragraph" w:styleId="183">
    <w:name w:val="toc 4"/>
    <w:basedOn w:val="868"/>
    <w:next w:val="868"/>
    <w:uiPriority w:val="39"/>
    <w:unhideWhenUsed/>
    <w:pPr>
      <w:ind w:left="850" w:right="0" w:firstLine="0"/>
      <w:spacing w:after="57"/>
    </w:pPr>
  </w:style>
  <w:style w:type="paragraph" w:styleId="184">
    <w:name w:val="toc 5"/>
    <w:basedOn w:val="868"/>
    <w:next w:val="868"/>
    <w:uiPriority w:val="39"/>
    <w:unhideWhenUsed/>
    <w:pPr>
      <w:ind w:left="1134" w:right="0" w:firstLine="0"/>
      <w:spacing w:after="57"/>
    </w:pPr>
  </w:style>
  <w:style w:type="paragraph" w:styleId="185">
    <w:name w:val="toc 6"/>
    <w:basedOn w:val="868"/>
    <w:next w:val="868"/>
    <w:uiPriority w:val="39"/>
    <w:unhideWhenUsed/>
    <w:pPr>
      <w:ind w:left="1417" w:right="0" w:firstLine="0"/>
      <w:spacing w:after="57"/>
    </w:pPr>
  </w:style>
  <w:style w:type="paragraph" w:styleId="186">
    <w:name w:val="toc 7"/>
    <w:basedOn w:val="868"/>
    <w:next w:val="868"/>
    <w:uiPriority w:val="39"/>
    <w:unhideWhenUsed/>
    <w:pPr>
      <w:ind w:left="1701" w:right="0" w:firstLine="0"/>
      <w:spacing w:after="57"/>
    </w:pPr>
  </w:style>
  <w:style w:type="paragraph" w:styleId="187">
    <w:name w:val="toc 8"/>
    <w:basedOn w:val="868"/>
    <w:next w:val="868"/>
    <w:uiPriority w:val="39"/>
    <w:unhideWhenUsed/>
    <w:pPr>
      <w:ind w:left="1984" w:right="0" w:firstLine="0"/>
      <w:spacing w:after="57"/>
    </w:pPr>
  </w:style>
  <w:style w:type="paragraph" w:styleId="188">
    <w:name w:val="toc 9"/>
    <w:basedOn w:val="868"/>
    <w:next w:val="868"/>
    <w:uiPriority w:val="39"/>
    <w:unhideWhenUsed/>
    <w:pPr>
      <w:ind w:left="2268" w:right="0" w:firstLine="0"/>
      <w:spacing w:after="57"/>
    </w:pPr>
  </w:style>
  <w:style w:type="paragraph" w:styleId="189">
    <w:name w:val="TOC Heading"/>
    <w:uiPriority w:val="39"/>
    <w:unhideWhenUsed/>
  </w:style>
  <w:style w:type="paragraph" w:styleId="190">
    <w:name w:val="table of figures"/>
    <w:basedOn w:val="868"/>
    <w:next w:val="868"/>
    <w:uiPriority w:val="99"/>
    <w:unhideWhenUsed/>
    <w:pPr>
      <w:spacing w:after="0" w:afterAutospacing="0"/>
    </w:pPr>
  </w:style>
  <w:style w:type="paragraph" w:styleId="868"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69">
    <w:name w:val="Heading 1"/>
    <w:basedOn w:val="868"/>
    <w:next w:val="868"/>
    <w:uiPriority w:val="0"/>
    <w:qFormat/>
    <w:pPr>
      <w:keepLines/>
      <w:keepNext/>
      <w:spacing w:before="340" w:after="330" w:line="578" w:lineRule="auto"/>
      <w:outlineLvl w:val="0"/>
    </w:pPr>
    <w:rPr>
      <w:rFonts w:eastAsia="楷体_GB2312"/>
      <w:b/>
      <w:sz w:val="44"/>
    </w:rPr>
  </w:style>
  <w:style w:type="paragraph" w:styleId="870">
    <w:name w:val="Heading 2"/>
    <w:basedOn w:val="868"/>
    <w:next w:val="868"/>
    <w:uiPriority w:val="9"/>
    <w:qFormat/>
    <w:pPr>
      <w:keepLines/>
      <w:keepNext/>
      <w:spacing w:before="260" w:after="260" w:line="415" w:lineRule="auto"/>
      <w:outlineLvl w:val="1"/>
    </w:pPr>
    <w:rPr>
      <w:rFonts w:ascii="Arial" w:hAnsi="Arial" w:eastAsia="黑体"/>
      <w:b/>
      <w:bCs/>
      <w:sz w:val="32"/>
      <w:szCs w:val="32"/>
    </w:rPr>
  </w:style>
  <w:style w:type="paragraph" w:styleId="871">
    <w:name w:val="Heading 3"/>
    <w:basedOn w:val="868"/>
    <w:next w:val="868"/>
    <w:uiPriority w:val="9"/>
    <w:qFormat/>
    <w:pPr>
      <w:ind w:left="220"/>
      <w:outlineLvl w:val="2"/>
    </w:pPr>
    <w:rPr>
      <w:rFonts w:ascii="仿宋" w:hAnsi="仿宋" w:eastAsia="仿宋" w:cs="仿宋"/>
      <w:b/>
      <w:bCs/>
      <w:sz w:val="28"/>
      <w:szCs w:val="28"/>
    </w:rPr>
  </w:style>
  <w:style w:type="character" w:styleId="872" w:default="1">
    <w:name w:val="Default Paragraph Font"/>
    <w:uiPriority w:val="1"/>
    <w:semiHidden/>
    <w:unhideWhenUsed/>
    <w:qFormat/>
  </w:style>
  <w:style w:type="table" w:styleId="873" w:default="1">
    <w:name w:val="Normal Table"/>
    <w:uiPriority w:val="99"/>
    <w:semiHidden/>
    <w:unhideWhenUsed/>
    <w:qFormat/>
    <w:tblPr>
      <w:tblCellMar>
        <w:left w:w="108" w:type="dxa"/>
        <w:top w:w="0" w:type="dxa"/>
        <w:right w:w="108" w:type="dxa"/>
        <w:bottom w:w="0" w:type="dxa"/>
      </w:tblCellMar>
    </w:tblPr>
  </w:style>
  <w:style w:type="paragraph" w:styleId="874">
    <w:name w:val="Normal Indent"/>
    <w:basedOn w:val="868"/>
    <w:uiPriority w:val="0"/>
    <w:qFormat/>
    <w:pPr>
      <w:ind w:firstLine="420"/>
      <w:jc w:val="left"/>
    </w:pPr>
    <w:rPr>
      <w:rFonts w:eastAsia="楷体_GB2312"/>
      <w:sz w:val="24"/>
    </w:rPr>
  </w:style>
  <w:style w:type="paragraph" w:styleId="875">
    <w:name w:val="toa heading"/>
    <w:basedOn w:val="868"/>
    <w:next w:val="868"/>
    <w:uiPriority w:val="0"/>
    <w:qFormat/>
    <w:pPr>
      <w:jc w:val="center"/>
      <w:spacing w:before="200" w:line="360" w:lineRule="atLeast"/>
    </w:pPr>
    <w:rPr>
      <w:rFonts w:ascii="Arial" w:hAnsi="Arial" w:eastAsia="黑体"/>
      <w:sz w:val="44"/>
    </w:rPr>
  </w:style>
  <w:style w:type="paragraph" w:styleId="876">
    <w:name w:val="annotation text"/>
    <w:basedOn w:val="868"/>
    <w:uiPriority w:val="0"/>
    <w:qFormat/>
    <w:pPr>
      <w:jc w:val="left"/>
    </w:pPr>
  </w:style>
  <w:style w:type="paragraph" w:styleId="877">
    <w:name w:val="Body Text"/>
    <w:basedOn w:val="868"/>
    <w:uiPriority w:val="0"/>
    <w:qFormat/>
    <w:pPr>
      <w:spacing w:after="120"/>
    </w:pPr>
  </w:style>
  <w:style w:type="paragraph" w:styleId="878">
    <w:name w:val="Body Text Indent"/>
    <w:basedOn w:val="868"/>
    <w:next w:val="879"/>
    <w:uiPriority w:val="99"/>
    <w:unhideWhenUsed/>
    <w:qFormat/>
    <w:pPr>
      <w:ind w:left="420"/>
      <w:spacing w:after="120"/>
    </w:pPr>
    <w:rPr>
      <w:szCs w:val="24"/>
    </w:rPr>
  </w:style>
  <w:style w:type="paragraph" w:styleId="879">
    <w:name w:val="envelope return"/>
    <w:basedOn w:val="868"/>
    <w:uiPriority w:val="99"/>
    <w:unhideWhenUsed/>
    <w:qFormat/>
    <w:rPr>
      <w:rFonts w:ascii="Arial" w:hAnsi="Arial"/>
    </w:rPr>
  </w:style>
  <w:style w:type="paragraph" w:styleId="880">
    <w:name w:val="Body Text Indent 2"/>
    <w:basedOn w:val="868"/>
    <w:uiPriority w:val="0"/>
    <w:semiHidden/>
    <w:unhideWhenUsed/>
    <w:qFormat/>
    <w:pPr>
      <w:ind w:firstLine="560"/>
      <w:spacing w:line="500" w:lineRule="exact"/>
    </w:pPr>
    <w:rPr>
      <w:rFonts w:eastAsia="仿宋_GB2312"/>
      <w:sz w:val="28"/>
    </w:rPr>
  </w:style>
  <w:style w:type="paragraph" w:styleId="881">
    <w:name w:val="Footer"/>
    <w:basedOn w:val="868"/>
    <w:uiPriority w:val="0"/>
    <w:qFormat/>
    <w:pPr>
      <w:jc w:val="left"/>
      <w:tabs>
        <w:tab w:val="center" w:pos="4153" w:leader="none"/>
        <w:tab w:val="right" w:pos="8306" w:leader="none"/>
      </w:tabs>
    </w:pPr>
    <w:rPr>
      <w:sz w:val="18"/>
      <w:szCs w:val="18"/>
    </w:rPr>
  </w:style>
  <w:style w:type="paragraph" w:styleId="882">
    <w:name w:val="Header"/>
    <w:basedOn w:val="868"/>
    <w:uiPriority w:val="0"/>
    <w:qFormat/>
    <w:pPr>
      <w:jc w:val="center"/>
      <w:tabs>
        <w:tab w:val="center" w:pos="4153" w:leader="none"/>
        <w:tab w:val="right" w:pos="8306" w:leader="none"/>
      </w:tabs>
      <w:pBdr>
        <w:bottom w:val="single" w:color="auto" w:sz="6" w:space="1"/>
      </w:pBdr>
    </w:pPr>
    <w:rPr>
      <w:sz w:val="18"/>
      <w:szCs w:val="18"/>
    </w:rPr>
  </w:style>
  <w:style w:type="paragraph" w:styleId="883">
    <w:name w:val="toc 1"/>
    <w:basedOn w:val="868"/>
    <w:next w:val="868"/>
    <w:uiPriority w:val="0"/>
    <w:qFormat/>
    <w:pPr>
      <w:jc w:val="left"/>
    </w:pPr>
    <w:rPr>
      <w:rFonts w:eastAsia="楷体_GB2312"/>
      <w:sz w:val="24"/>
    </w:rPr>
  </w:style>
  <w:style w:type="paragraph" w:styleId="884">
    <w:name w:val="Body Text Indent 3"/>
    <w:basedOn w:val="868"/>
    <w:next w:val="875"/>
    <w:uiPriority w:val="0"/>
    <w:qFormat/>
    <w:pPr>
      <w:ind w:firstLine="539"/>
      <w:spacing w:line="520" w:lineRule="exact"/>
    </w:pPr>
    <w:rPr>
      <w:rFonts w:ascii="宋体"/>
      <w:b/>
      <w:spacing w:val="6"/>
      <w:sz w:val="28"/>
    </w:rPr>
  </w:style>
  <w:style w:type="paragraph" w:styleId="885">
    <w:name w:val="Body Text 2"/>
    <w:basedOn w:val="868"/>
    <w:uiPriority w:val="0"/>
    <w:qFormat/>
    <w:pPr>
      <w:spacing w:line="440" w:lineRule="exact"/>
    </w:pPr>
    <w:rPr>
      <w:rFonts w:ascii="楷体_GB2312" w:eastAsia="楷体_GB2312"/>
      <w:sz w:val="28"/>
    </w:rPr>
  </w:style>
  <w:style w:type="paragraph" w:styleId="886">
    <w:name w:val="Normal (Web)"/>
    <w:basedOn w:val="868"/>
    <w:uiPriority w:val="0"/>
    <w:qFormat/>
    <w:pPr>
      <w:ind w:left="0" w:right="0"/>
      <w:jc w:val="left"/>
      <w:spacing w:before="0" w:beforeAutospacing="1" w:after="0" w:afterAutospacing="1"/>
    </w:pPr>
    <w:rPr>
      <w:sz w:val="24"/>
      <w:lang w:val="en-US" w:eastAsia="zh-CN" w:bidi="ar"/>
    </w:rPr>
  </w:style>
  <w:style w:type="paragraph" w:styleId="887">
    <w:name w:val="Body Text First Indent"/>
    <w:basedOn w:val="877"/>
    <w:next w:val="888"/>
    <w:uiPriority w:val="0"/>
    <w:qFormat/>
    <w:pPr>
      <w:ind w:firstLine="420"/>
    </w:pPr>
    <w:rPr>
      <w:sz w:val="24"/>
    </w:rPr>
  </w:style>
  <w:style w:type="paragraph" w:styleId="888">
    <w:name w:val="Body Text First Indent 2"/>
    <w:basedOn w:val="878"/>
    <w:next w:val="868"/>
    <w:uiPriority w:val="99"/>
    <w:unhideWhenUsed/>
    <w:qFormat/>
    <w:pPr>
      <w:ind w:firstLine="200"/>
    </w:pPr>
  </w:style>
  <w:style w:type="table" w:styleId="889">
    <w:name w:val="Table Grid"/>
    <w:basedOn w:val="87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0">
    <w:name w:val="Hyperlink"/>
    <w:uiPriority w:val="0"/>
    <w:qFormat/>
    <w:rPr>
      <w:color w:val="333333"/>
      <w:u w:val="none"/>
    </w:rPr>
  </w:style>
  <w:style w:type="paragraph" w:styleId="891" w:customStyle="1">
    <w:name w:val="style4"/>
    <w:basedOn w:val="868"/>
    <w:next w:val="892"/>
    <w:uiPriority w:val="0"/>
    <w:qFormat/>
    <w:pPr>
      <w:spacing w:before="280" w:after="280"/>
      <w:widowControl/>
    </w:pPr>
    <w:rPr>
      <w:rFonts w:ascii="宋体"/>
      <w:sz w:val="18"/>
    </w:rPr>
  </w:style>
  <w:style w:type="paragraph" w:styleId="892" w:customStyle="1">
    <w:name w:val="2"/>
    <w:next w:val="868"/>
    <w:uiPriority w:val="99"/>
    <w:qFormat/>
    <w:pPr>
      <w:jc w:val="both"/>
      <w:widowControl w:val="off"/>
    </w:pPr>
    <w:rPr>
      <w:rFonts w:ascii="Times New Roman" w:hAnsi="Times New Roman" w:eastAsia="宋体" w:cs="Times New Roman"/>
      <w:sz w:val="21"/>
      <w:szCs w:val="21"/>
      <w:lang w:val="en-US" w:eastAsia="zh-CN" w:bidi="ar-SA"/>
    </w:rPr>
  </w:style>
  <w:style w:type="paragraph" w:styleId="893" w:customStyle="1">
    <w:name w:val="正文缩进1"/>
    <w:basedOn w:val="868"/>
    <w:uiPriority w:val="0"/>
    <w:qFormat/>
    <w:pPr>
      <w:ind w:firstLine="420"/>
    </w:pPr>
  </w:style>
  <w:style w:type="paragraph" w:styleId="894" w:customStyle="1">
    <w:name w:val="正文首行缩进 21"/>
    <w:basedOn w:val="878"/>
    <w:uiPriority w:val="99"/>
    <w:unhideWhenUsed/>
    <w:qFormat/>
    <w:pPr>
      <w:ind w:firstLine="200"/>
    </w:pPr>
  </w:style>
  <w:style w:type="character" w:styleId="895" w:customStyle="1">
    <w:name w:val="NormalCharacter"/>
    <w:uiPriority w:val="0"/>
    <w:qFormat/>
  </w:style>
  <w:style w:type="paragraph" w:styleId="896">
    <w:name w:val="List Paragraph"/>
    <w:basedOn w:val="868"/>
    <w:uiPriority w:val="34"/>
    <w:qFormat/>
    <w:pPr>
      <w:ind w:firstLine="420"/>
    </w:pPr>
    <w:rPr>
      <w:szCs w:val="22"/>
    </w:rPr>
  </w:style>
  <w:style w:type="paragraph" w:styleId="897" w:customStyle="1">
    <w:name w:val="正文缩进2格"/>
    <w:basedOn w:val="868"/>
    <w:uiPriority w:val="0"/>
    <w:qFormat/>
    <w:pPr>
      <w:ind w:firstLine="639"/>
      <w:spacing w:line="600" w:lineRule="exact"/>
    </w:pPr>
    <w:rPr>
      <w:rFonts w:ascii="仿宋_GB2312" w:hAnsi="宋体" w:eastAsia="仿宋_GB2312"/>
      <w:sz w:val="31"/>
      <w:szCs w:val="28"/>
    </w:rPr>
  </w:style>
  <w:style w:type="paragraph" w:styleId="898" w:customStyle="1">
    <w:name w:val="msonormalcxspmiddle"/>
    <w:basedOn w:val="868"/>
    <w:uiPriority w:val="0"/>
    <w:qFormat/>
    <w:pPr>
      <w:jc w:val="left"/>
      <w:spacing w:before="100" w:beforeAutospacing="1" w:after="100" w:afterAutospacing="1"/>
      <w:widowControl/>
    </w:pPr>
    <w:rPr>
      <w:rFonts w:ascii="宋体" w:hAnsi="宋体" w:cs="宋体"/>
      <w:sz w:val="24"/>
    </w:rPr>
  </w:style>
  <w:style w:type="paragraph" w:styleId="899"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900" w:customStyle="1">
    <w:name w:val="纯文本1"/>
    <w:basedOn w:val="868"/>
    <w:uiPriority w:val="0"/>
    <w:qFormat/>
    <w:rPr>
      <w:rFonts w:ascii="宋体" w:hAnsi="Courier New" w:cs="Courier New"/>
      <w:szCs w:val="21"/>
    </w:rPr>
  </w:style>
  <w:style w:type="paragraph" w:styleId="901" w:customStyle="1">
    <w:name w:val="TITLE 1"/>
    <w:basedOn w:val="868"/>
    <w:next w:val="868"/>
    <w:uiPriority w:val="0"/>
    <w:qFormat/>
    <w:pPr>
      <w:numPr>
        <w:ilvl w:val="0"/>
        <w:numId w:val="1"/>
      </w:numPr>
      <w:ind w:firstLine="0"/>
      <w:jc w:val="left"/>
      <w:outlineLvl w:val="0"/>
    </w:pPr>
    <w:rPr>
      <w:rFonts w:eastAsia="方正黑体简体"/>
    </w:rPr>
  </w:style>
  <w:style w:type="character" w:styleId="902" w:customStyle="1">
    <w:name w:val="font31"/>
    <w:uiPriority w:val="0"/>
    <w:qFormat/>
    <w:rPr>
      <w:rFonts w:hint="default" w:ascii="方正仿宋_GBK" w:hAnsi="方正仿宋_GBK" w:eastAsia="方正仿宋_GBK" w:cs="方正仿宋_GBK"/>
      <w:color w:val="000000"/>
      <w:sz w:val="22"/>
      <w:szCs w:val="22"/>
      <w:u w:val="none"/>
    </w:rPr>
  </w:style>
  <w:style w:type="table" w:styleId="903" w:customStyle="1">
    <w:name w:val="Table Normal"/>
    <w:uiPriority w:val="2"/>
    <w:unhideWhenUsed/>
    <w:qFormat/>
    <w:tblPr>
      <w:tblCellMar>
        <w:left w:w="0" w:type="dxa"/>
        <w:top w:w="0" w:type="dxa"/>
        <w:right w:w="0" w:type="dxa"/>
        <w:bottom w:w="0" w:type="dxa"/>
      </w:tblCellMar>
    </w:tblPr>
  </w:style>
  <w:style w:type="paragraph" w:styleId="904" w:customStyle="1">
    <w:name w:val="普通正文"/>
    <w:basedOn w:val="868"/>
    <w:uiPriority w:val="0"/>
    <w:qFormat/>
    <w:pPr>
      <w:ind w:firstLine="480"/>
      <w:jc w:val="left"/>
      <w:spacing w:before="120" w:after="120" w:line="360" w:lineRule="auto"/>
    </w:pPr>
    <w:rPr>
      <w:rFonts w:ascii="Arial" w:hAnsi="Arial"/>
      <w:sz w:val="24"/>
      <w:szCs w:val="24"/>
    </w:rPr>
  </w:style>
  <w:style w:type="numbering" w:styleId="143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郑佳佳</cp:lastModifiedBy>
  <cp:revision>5</cp:revision>
  <dcterms:created xsi:type="dcterms:W3CDTF">2024-07-26T06:55:00Z</dcterms:created>
  <dcterms:modified xsi:type="dcterms:W3CDTF">2026-05-11T03:28:01Z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EF256B296BAC4DC7803BD0B917E4C83A_13</vt:lpwstr>
  </property>
  <property fmtid="{D5CDD505-2E9C-101B-9397-08002B2CF9AE}" pid="4" name="KSOTemplateDocerSaveRecord">
    <vt:lpwstr>eyJoZGlkIjoiNTVkMTk0NDllYWQwOTYyMTMxMWRiNjI1MTRjOGFjNDgiLCJ1c2VySWQiOiIxMDc1NjAyNjIzIn0=</vt:lpwstr>
  </property>
</Properties>
</file>