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5"/>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45"/>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45"/>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45"/>
        <w:jc w:val="center"/>
        <w:spacing w:line="360" w:lineRule="auto"/>
        <w:rPr>
          <w:rFonts w:hint="eastAsia" w:ascii="宋体" w:hAnsi="宋体" w:eastAsia="宋体" w:cs="宋体"/>
          <w:bCs/>
          <w:color w:val="000000"/>
          <w:sz w:val="84"/>
          <w:szCs w:val="84"/>
          <w:highlight w:val="none"/>
        </w:rPr>
      </w:pPr>
      <w:r>
        <w:rPr>
          <w:rFonts w:hint="eastAsia" w:ascii="宋体" w:hAnsi="宋体" w:eastAsia="宋体" w:cs="宋体"/>
          <w:bCs/>
          <w:color w:val="000000"/>
          <w:sz w:val="84"/>
          <w:szCs w:val="84"/>
          <w:highlight w:val="none"/>
        </w:rPr>
        <w:t xml:space="preserve">苏州市政府采购</w:t>
      </w:r>
      <w:r>
        <w:rPr>
          <w:rFonts w:hint="eastAsia" w:ascii="宋体" w:hAnsi="宋体" w:eastAsia="宋体" w:cs="宋体"/>
          <w:bCs/>
          <w:color w:val="000000"/>
          <w:sz w:val="84"/>
          <w:szCs w:val="84"/>
          <w:highlight w:val="none"/>
        </w:rPr>
      </w:r>
      <w:r/>
    </w:p>
    <w:p>
      <w:pPr>
        <w:pStyle w:val="945"/>
        <w:jc w:val="center"/>
        <w:spacing w:line="36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84"/>
          <w:szCs w:val="84"/>
          <w:highlight w:val="none"/>
        </w:rPr>
        <w:t xml:space="preserve">竞争性磋商文件</w:t>
      </w:r>
      <w:r>
        <w:rPr>
          <w:rFonts w:hint="eastAsia" w:ascii="宋体" w:hAnsi="宋体" w:eastAsia="宋体" w:cs="宋体"/>
          <w:bCs/>
          <w:color w:val="000000"/>
          <w:sz w:val="32"/>
          <w:szCs w:val="32"/>
          <w:highlight w:val="none"/>
        </w:rPr>
      </w:r>
      <w:r/>
    </w:p>
    <w:p>
      <w:pPr>
        <w:pStyle w:val="945"/>
        <w:jc w:val="center"/>
        <w:spacing w:line="36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945"/>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mc:AlternateContent>
          <mc:Choice Requires="wpg">
            <w:drawing>
              <wp:inline xmlns:wp="http://schemas.openxmlformats.org/drawingml/2006/wordprocessingDrawing" distT="0" distB="0" distL="0" distR="0">
                <wp:extent cx="1364742" cy="1370838"/>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364742" cy="137083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07.5pt;height:107.9pt;mso-wrap-distance-left:0.0pt;mso-wrap-distance-top:0.0pt;mso-wrap-distance-right:0.0pt;mso-wrap-distance-bottom:0.0pt;" stroked="f">
                <v:path textboxrect="0,0,0,0"/>
                <v:imagedata r:id="rId16" o:title=""/>
              </v:shape>
            </w:pict>
          </mc:Fallback>
        </mc:AlternateContent>
      </w:r>
      <w:r>
        <w:rPr>
          <w:rFonts w:hint="eastAsia" w:ascii="宋体" w:hAnsi="宋体" w:eastAsia="宋体" w:cs="宋体"/>
          <w:bCs/>
          <w:color w:val="000000"/>
          <w:sz w:val="21"/>
          <w:szCs w:val="21"/>
          <w:highlight w:val="none"/>
        </w:rPr>
      </w:r>
      <w:r/>
    </w:p>
    <w:p>
      <w:pPr>
        <w:pStyle w:val="945"/>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45"/>
        <w:spacing w:line="36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945"/>
        <w:ind w:firstLine="1500"/>
        <w:jc w:val="both"/>
        <w:spacing w:line="360" w:lineRule="auto"/>
        <w:rPr>
          <w:rFonts w:hint="eastAsia" w:ascii="宋体" w:hAnsi="宋体" w:eastAsia="宋体" w:cs="宋体"/>
          <w:bCs/>
          <w:color w:val="000000"/>
          <w:sz w:val="30"/>
          <w:szCs w:val="30"/>
          <w:highlight w:val="none"/>
          <w:lang w:eastAsia="zh-CN"/>
        </w:rPr>
      </w:pPr>
      <w:r>
        <w:rPr>
          <w:rFonts w:hint="eastAsia" w:ascii="宋体" w:hAnsi="宋体" w:eastAsia="宋体" w:cs="宋体"/>
          <w:bCs/>
          <w:color w:val="000000"/>
          <w:sz w:val="30"/>
          <w:szCs w:val="30"/>
          <w:highlight w:val="none"/>
        </w:rPr>
        <w:t xml:space="preserve">采 购 人：</w:t>
      </w:r>
      <w:r>
        <w:rPr>
          <w:rFonts w:hint="eastAsia" w:ascii="宋体" w:hAnsi="宋体" w:eastAsia="宋体" w:cs="宋体"/>
          <w:bCs/>
          <w:color w:val="000000"/>
          <w:sz w:val="30"/>
          <w:szCs w:val="30"/>
          <w:highlight w:val="none"/>
          <w:lang w:eastAsia="zh-CN"/>
        </w:rPr>
        <w:t xml:space="preserve">苏州市体育监管保障中心</w:t>
      </w:r>
      <w:r>
        <w:rPr>
          <w:rFonts w:hint="eastAsia" w:ascii="宋体" w:hAnsi="宋体" w:eastAsia="宋体" w:cs="宋体"/>
          <w:bCs/>
          <w:color w:val="000000"/>
          <w:sz w:val="30"/>
          <w:szCs w:val="30"/>
          <w:highlight w:val="none"/>
          <w:lang w:eastAsia="zh-CN"/>
        </w:rPr>
      </w:r>
      <w:r/>
    </w:p>
    <w:p>
      <w:pPr>
        <w:pStyle w:val="945"/>
        <w:ind w:firstLine="1500"/>
        <w:jc w:val="both"/>
        <w:spacing w:line="360" w:lineRule="auto"/>
        <w:rPr>
          <w:rFonts w:hint="eastAsia" w:ascii="宋体" w:hAnsi="宋体" w:eastAsia="宋体" w:cs="宋体"/>
          <w:bCs/>
          <w:color w:val="000000"/>
          <w:sz w:val="30"/>
          <w:szCs w:val="30"/>
          <w:highlight w:val="none"/>
          <w:lang w:eastAsia="zh-CN"/>
        </w:rPr>
      </w:pPr>
      <w:r>
        <w:rPr>
          <w:rFonts w:hint="eastAsia" w:ascii="宋体" w:hAnsi="宋体" w:eastAsia="宋体" w:cs="宋体"/>
          <w:bCs/>
          <w:color w:val="000000"/>
          <w:sz w:val="30"/>
          <w:szCs w:val="30"/>
          <w:highlight w:val="none"/>
        </w:rPr>
        <w:t xml:space="preserve">项目编号：</w:t>
      </w:r>
      <w:r>
        <w:rPr>
          <w:rFonts w:hint="eastAsia" w:ascii="宋体" w:hAnsi="宋体" w:eastAsia="宋体" w:cs="宋体"/>
          <w:bCs/>
          <w:color w:val="000000"/>
          <w:sz w:val="30"/>
          <w:szCs w:val="30"/>
          <w:highlight w:val="none"/>
          <w:lang w:eastAsia="zh-CN"/>
        </w:rPr>
        <w:t xml:space="preserve">JSZC-320500-SZZJ-C2026-0015</w:t>
      </w:r>
      <w:r>
        <w:rPr>
          <w:rFonts w:hint="eastAsia" w:ascii="宋体" w:hAnsi="宋体" w:eastAsia="宋体" w:cs="宋体"/>
          <w:bCs/>
          <w:color w:val="000000"/>
          <w:sz w:val="30"/>
          <w:szCs w:val="30"/>
          <w:highlight w:val="none"/>
          <w:lang w:eastAsia="zh-CN"/>
        </w:rPr>
      </w:r>
      <w:r/>
    </w:p>
    <w:p>
      <w:pPr>
        <w:pStyle w:val="945"/>
        <w:ind w:firstLine="1500"/>
        <w:spacing w:line="360" w:lineRule="auto"/>
        <w:rPr>
          <w:rFonts w:hint="eastAsia" w:ascii="宋体" w:hAnsi="宋体" w:eastAsia="宋体" w:cs="宋体"/>
          <w:bCs/>
          <w:color w:val="000000"/>
          <w:sz w:val="30"/>
          <w:szCs w:val="30"/>
          <w:highlight w:val="none"/>
          <w:lang w:eastAsia="zh-CN"/>
        </w:rPr>
      </w:pPr>
      <w:r>
        <w:rPr>
          <w:rFonts w:hint="eastAsia" w:ascii="宋体" w:hAnsi="宋体" w:eastAsia="宋体" w:cs="宋体"/>
          <w:bCs/>
          <w:color w:val="000000"/>
          <w:sz w:val="30"/>
          <w:szCs w:val="30"/>
          <w:highlight w:val="none"/>
        </w:rPr>
        <w:t xml:space="preserve">项目名称：</w:t>
      </w:r>
      <w:r>
        <w:rPr>
          <w:rFonts w:hint="eastAsia" w:ascii="宋体" w:hAnsi="宋体" w:eastAsia="宋体" w:cs="宋体"/>
          <w:bCs/>
          <w:color w:val="000000"/>
          <w:sz w:val="30"/>
          <w:szCs w:val="30"/>
          <w:highlight w:val="none"/>
          <w:lang w:eastAsia="zh-CN"/>
        </w:rPr>
        <w:t xml:space="preserve">苏州市体育监管保障中心专项仪器购置</w:t>
      </w:r>
      <w:r>
        <w:rPr>
          <w:rFonts w:hint="eastAsia" w:ascii="宋体" w:hAnsi="宋体" w:eastAsia="宋体" w:cs="宋体"/>
          <w:bCs/>
          <w:color w:val="000000"/>
          <w:sz w:val="30"/>
          <w:szCs w:val="30"/>
          <w:highlight w:val="none"/>
          <w:lang w:eastAsia="zh-CN"/>
        </w:rPr>
      </w:r>
      <w:r/>
    </w:p>
    <w:p>
      <w:pPr>
        <w:pStyle w:val="945"/>
        <w:ind w:firstLine="1500"/>
        <w:jc w:val="left"/>
        <w:spacing w:line="360" w:lineRule="auto"/>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采购类别：</w:t>
      </w:r>
      <w:r>
        <w:rPr>
          <w:rFonts w:hint="eastAsia" w:ascii="宋体" w:hAnsi="宋体" w:eastAsia="宋体" w:cs="宋体"/>
          <w:bCs/>
          <w:color w:val="000000"/>
          <w:sz w:val="30"/>
          <w:szCs w:val="30"/>
          <w:highlight w:val="none"/>
          <w:lang w:val="en-US" w:eastAsia="zh-CN"/>
        </w:rPr>
        <w:t xml:space="preserve">货物</w:t>
      </w:r>
      <w:r>
        <w:rPr>
          <w:rFonts w:hint="eastAsia" w:ascii="宋体" w:hAnsi="宋体" w:eastAsia="宋体" w:cs="宋体"/>
          <w:bCs/>
          <w:color w:val="000000"/>
          <w:sz w:val="30"/>
          <w:szCs w:val="30"/>
          <w:highlight w:val="none"/>
        </w:rPr>
        <w:t xml:space="preserve">类</w:t>
      </w:r>
      <w:r>
        <w:rPr>
          <w:rFonts w:hint="eastAsia" w:ascii="宋体" w:hAnsi="宋体" w:eastAsia="宋体" w:cs="宋体"/>
          <w:bCs/>
          <w:color w:val="000000"/>
          <w:sz w:val="30"/>
          <w:szCs w:val="30"/>
          <w:highlight w:val="none"/>
        </w:rPr>
      </w:r>
      <w:r/>
    </w:p>
    <w:p>
      <w:pPr>
        <w:pStyle w:val="945"/>
        <w:jc w:val="center"/>
        <w:spacing w:line="360" w:lineRule="auto"/>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r>
      <w:r/>
    </w:p>
    <w:p>
      <w:pPr>
        <w:pStyle w:val="945"/>
        <w:jc w:val="center"/>
        <w:spacing w:line="360" w:lineRule="auto"/>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r>
      <w:r/>
    </w:p>
    <w:p>
      <w:pPr>
        <w:pStyle w:val="945"/>
        <w:jc w:val="center"/>
        <w:spacing w:line="360" w:lineRule="auto"/>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r>
      <w:r/>
    </w:p>
    <w:p>
      <w:pPr>
        <w:pStyle w:val="945"/>
        <w:jc w:val="center"/>
        <w:spacing w:line="360" w:lineRule="auto"/>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苏州正杰招投标咨询服务有限公司</w:t>
      </w:r>
      <w:r>
        <w:rPr>
          <w:rFonts w:hint="eastAsia" w:ascii="宋体" w:hAnsi="宋体" w:eastAsia="宋体" w:cs="宋体"/>
          <w:bCs/>
          <w:color w:val="000000"/>
          <w:sz w:val="30"/>
          <w:szCs w:val="30"/>
          <w:highlight w:val="none"/>
        </w:rPr>
      </w:r>
      <w:r/>
    </w:p>
    <w:p>
      <w:pPr>
        <w:pStyle w:val="969"/>
        <w:ind w:firstLine="0"/>
        <w:jc w:val="center"/>
        <w:spacing w:line="360" w:lineRule="auto"/>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2026年</w:t>
      </w:r>
      <w:r>
        <w:rPr>
          <w:rFonts w:hint="eastAsia" w:ascii="宋体" w:hAnsi="宋体" w:eastAsia="宋体" w:cs="宋体"/>
          <w:bCs/>
          <w:color w:val="000000"/>
          <w:sz w:val="30"/>
          <w:szCs w:val="30"/>
          <w:highlight w:val="none"/>
          <w:lang w:val="en-US" w:eastAsia="zh-CN"/>
        </w:rPr>
        <w:t xml:space="preserve">5</w:t>
      </w:r>
      <w:r>
        <w:rPr>
          <w:rFonts w:hint="eastAsia" w:ascii="宋体" w:hAnsi="宋体" w:eastAsia="宋体" w:cs="宋体"/>
          <w:bCs/>
          <w:color w:val="000000"/>
          <w:sz w:val="30"/>
          <w:szCs w:val="30"/>
          <w:highlight w:val="none"/>
        </w:rPr>
        <w:t xml:space="preserve">月</w:t>
      </w:r>
      <w:r>
        <w:rPr>
          <w:rFonts w:hint="eastAsia" w:ascii="宋体" w:hAnsi="宋体" w:eastAsia="宋体" w:cs="宋体"/>
          <w:bCs/>
          <w:color w:val="000000"/>
          <w:sz w:val="30"/>
          <w:szCs w:val="30"/>
          <w:highlight w:val="none"/>
        </w:rPr>
      </w:r>
      <w:r/>
    </w:p>
    <w:p>
      <w:pPr>
        <w:pStyle w:val="969"/>
        <w:ind w:firstLine="0"/>
        <w:jc w:val="center"/>
        <w:spacing w:line="360" w:lineRule="auto"/>
        <w:rPr>
          <w:rFonts w:hint="eastAsia" w:ascii="宋体" w:hAnsi="宋体" w:eastAsia="宋体" w:cs="宋体"/>
          <w:b/>
          <w:color w:val="000000"/>
          <w:sz w:val="32"/>
          <w:szCs w:val="32"/>
          <w:highlight w:val="none"/>
        </w:rPr>
        <w:sectPr>
          <w:headerReference w:type="default" r:id="rId9"/>
          <w:headerReference w:type="even" r:id="rId10"/>
          <w:footerReference w:type="default" r:id="rId11"/>
          <w:footerReference w:type="even" r:id="rId12"/>
          <w:footnotePr/>
          <w:endnotePr/>
          <w:type w:val="nextPage"/>
          <w:pgSz w:w="11906" w:h="16838" w:orient="portrait"/>
          <w:pgMar w:top="1134" w:right="1134" w:bottom="1134" w:left="1134" w:header="851" w:footer="567" w:gutter="0"/>
          <w:cols w:num="1" w:sep="0" w:space="1701" w:equalWidth="1"/>
          <w:docGrid w:linePitch="360"/>
          <w:titlePg/>
        </w:sectPr>
      </w:pPr>
      <w:r>
        <w:rPr>
          <w:rFonts w:hint="eastAsia" w:ascii="宋体" w:hAnsi="宋体" w:eastAsia="宋体" w:cs="宋体"/>
          <w:b/>
          <w:color w:val="000000"/>
          <w:sz w:val="32"/>
          <w:szCs w:val="32"/>
          <w:highlight w:val="none"/>
        </w:rPr>
      </w:r>
      <w:r/>
    </w:p>
    <w:p>
      <w:pPr>
        <w:pStyle w:val="969"/>
        <w:ind w:firstLine="0"/>
        <w:jc w:val="center"/>
        <w:spacing w:line="360" w:lineRule="auto"/>
        <w:rPr>
          <w:rFonts w:hint="eastAsia" w:ascii="宋体" w:hAnsi="宋体" w:eastAsia="宋体" w:cs="宋体"/>
          <w:b/>
          <w:color w:val="000000"/>
          <w:sz w:val="52"/>
          <w:szCs w:val="52"/>
          <w:highlight w:val="none"/>
        </w:rPr>
      </w:pPr>
      <w:r>
        <w:rPr>
          <w:rFonts w:hint="eastAsia" w:ascii="宋体" w:hAnsi="宋体" w:eastAsia="宋体" w:cs="宋体"/>
          <w:b/>
          <w:color w:val="000000"/>
          <w:sz w:val="52"/>
          <w:szCs w:val="52"/>
          <w:highlight w:val="none"/>
        </w:rPr>
        <w:t xml:space="preserve">目  录</w:t>
      </w:r>
      <w:r>
        <w:rPr>
          <w:rFonts w:hint="eastAsia" w:ascii="宋体" w:hAnsi="宋体" w:eastAsia="宋体" w:cs="宋体"/>
          <w:b/>
          <w:color w:val="000000"/>
          <w:sz w:val="52"/>
          <w:szCs w:val="52"/>
          <w:highlight w:val="none"/>
        </w:rPr>
      </w:r>
      <w:r/>
    </w:p>
    <w:p>
      <w:pPr>
        <w:pStyle w:val="969"/>
        <w:ind w:firstLine="0"/>
        <w:jc w:val="center"/>
        <w:spacing w:line="36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1001"/>
        <w:ind w:firstLine="0"/>
        <w:jc w:val="center"/>
        <w:tabs>
          <w:tab w:val="right" w:pos="9538" w:leader="dot"/>
        </w:tabs>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fldChar w:fldCharType="begin"/>
      </w:r>
      <w:r>
        <w:rPr>
          <w:rFonts w:hint="eastAsia" w:ascii="宋体" w:hAnsi="宋体" w:eastAsia="宋体" w:cs="宋体"/>
          <w:bCs/>
          <w:color w:val="000000"/>
          <w:sz w:val="32"/>
          <w:szCs w:val="32"/>
          <w:highlight w:val="none"/>
        </w:rPr>
        <w:instrText xml:space="preserve"> TOC \o "1-1" </w:instrText>
      </w:r>
      <w:r>
        <w:rPr>
          <w:rFonts w:hint="eastAsia" w:ascii="宋体" w:hAnsi="宋体" w:eastAsia="宋体" w:cs="宋体"/>
          <w:bCs/>
          <w:color w:val="000000"/>
          <w:sz w:val="32"/>
          <w:szCs w:val="32"/>
          <w:highlight w:val="none"/>
        </w:rPr>
        <w:fldChar w:fldCharType="separate"/>
      </w:r>
      <w:r>
        <w:rPr>
          <w:rFonts w:hint="eastAsia" w:ascii="宋体" w:hAnsi="宋体" w:eastAsia="宋体" w:cs="宋体"/>
          <w:bCs/>
          <w:color w:val="000000"/>
          <w:sz w:val="32"/>
          <w:szCs w:val="32"/>
          <w:highlight w:val="none"/>
        </w:rPr>
        <w:t xml:space="preserve">第一章 竞争性磋商邀请函</w:t>
      </w:r>
      <w:r>
        <w:rPr>
          <w:rFonts w:hint="eastAsia" w:ascii="宋体" w:hAnsi="宋体" w:eastAsia="宋体" w:cs="宋体"/>
          <w:bCs/>
          <w:color w:val="000000"/>
          <w:sz w:val="32"/>
          <w:szCs w:val="32"/>
          <w:highlight w:val="none"/>
        </w:rPr>
        <w:tab/>
      </w:r>
      <w:r>
        <w:rPr>
          <w:rFonts w:hint="eastAsia" w:ascii="宋体" w:hAnsi="宋体" w:eastAsia="宋体" w:cs="宋体"/>
          <w:bCs/>
          <w:color w:val="000000"/>
          <w:sz w:val="32"/>
          <w:szCs w:val="32"/>
          <w:highlight w:val="none"/>
        </w:rPr>
      </w:r>
      <w:r/>
    </w:p>
    <w:p>
      <w:pPr>
        <w:pStyle w:val="1001"/>
        <w:ind w:firstLine="0"/>
        <w:jc w:val="center"/>
        <w:tabs>
          <w:tab w:val="right" w:pos="9538" w:leader="dot"/>
        </w:tabs>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第二章 响应须知</w:t>
      </w:r>
      <w:r>
        <w:rPr>
          <w:rFonts w:hint="eastAsia" w:ascii="宋体" w:hAnsi="宋体" w:eastAsia="宋体" w:cs="宋体"/>
          <w:bCs/>
          <w:color w:val="000000"/>
          <w:sz w:val="32"/>
          <w:szCs w:val="32"/>
          <w:highlight w:val="none"/>
        </w:rPr>
        <w:tab/>
      </w:r>
      <w:r>
        <w:rPr>
          <w:rFonts w:hint="eastAsia" w:ascii="宋体" w:hAnsi="宋体" w:eastAsia="宋体" w:cs="宋体"/>
          <w:bCs/>
          <w:color w:val="000000"/>
          <w:sz w:val="32"/>
          <w:szCs w:val="32"/>
          <w:highlight w:val="none"/>
        </w:rPr>
      </w:r>
      <w:r/>
    </w:p>
    <w:p>
      <w:pPr>
        <w:pStyle w:val="1001"/>
        <w:ind w:firstLine="0"/>
        <w:jc w:val="center"/>
        <w:tabs>
          <w:tab w:val="right" w:pos="9538" w:leader="dot"/>
        </w:tabs>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第三章 响应文件格式</w:t>
      </w:r>
      <w:r>
        <w:rPr>
          <w:rFonts w:hint="eastAsia" w:ascii="宋体" w:hAnsi="宋体" w:eastAsia="宋体" w:cs="宋体"/>
          <w:bCs/>
          <w:color w:val="000000"/>
          <w:sz w:val="32"/>
          <w:szCs w:val="32"/>
          <w:highlight w:val="none"/>
        </w:rPr>
        <w:tab/>
      </w:r>
      <w:r>
        <w:rPr>
          <w:rFonts w:hint="eastAsia" w:ascii="宋体" w:hAnsi="宋体" w:eastAsia="宋体" w:cs="宋体"/>
          <w:bCs/>
          <w:color w:val="000000"/>
          <w:sz w:val="32"/>
          <w:szCs w:val="32"/>
          <w:highlight w:val="none"/>
        </w:rPr>
      </w:r>
      <w:r/>
    </w:p>
    <w:p>
      <w:pPr>
        <w:pStyle w:val="1001"/>
        <w:ind w:firstLine="0"/>
        <w:jc w:val="center"/>
        <w:tabs>
          <w:tab w:val="right" w:pos="9538" w:leader="dot"/>
        </w:tabs>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第四章 采购需求</w:t>
      </w:r>
      <w:r>
        <w:rPr>
          <w:rFonts w:hint="eastAsia" w:ascii="宋体" w:hAnsi="宋体" w:eastAsia="宋体" w:cs="宋体"/>
          <w:bCs/>
          <w:color w:val="000000"/>
          <w:sz w:val="32"/>
          <w:szCs w:val="32"/>
          <w:highlight w:val="none"/>
        </w:rPr>
        <w:tab/>
      </w:r>
      <w:r>
        <w:rPr>
          <w:rFonts w:hint="eastAsia" w:ascii="宋体" w:hAnsi="宋体" w:eastAsia="宋体" w:cs="宋体"/>
          <w:bCs/>
          <w:color w:val="000000"/>
          <w:sz w:val="32"/>
          <w:szCs w:val="32"/>
          <w:highlight w:val="none"/>
        </w:rPr>
      </w:r>
      <w:r/>
    </w:p>
    <w:p>
      <w:pPr>
        <w:pStyle w:val="1001"/>
        <w:ind w:firstLine="0"/>
        <w:jc w:val="center"/>
        <w:tabs>
          <w:tab w:val="right" w:pos="9538" w:leader="dot"/>
        </w:tabs>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第五章 合同文本</w:t>
      </w:r>
      <w:r>
        <w:rPr>
          <w:rFonts w:hint="eastAsia" w:ascii="宋体" w:hAnsi="宋体" w:eastAsia="宋体" w:cs="宋体"/>
          <w:bCs/>
          <w:color w:val="000000"/>
          <w:sz w:val="32"/>
          <w:szCs w:val="32"/>
          <w:highlight w:val="none"/>
        </w:rPr>
        <w:tab/>
      </w:r>
      <w:r>
        <w:rPr>
          <w:rFonts w:hint="eastAsia" w:ascii="宋体" w:hAnsi="宋体" w:eastAsia="宋体" w:cs="宋体"/>
          <w:bCs/>
          <w:color w:val="000000"/>
          <w:sz w:val="32"/>
          <w:szCs w:val="32"/>
          <w:highlight w:val="none"/>
        </w:rPr>
      </w:r>
      <w:r/>
    </w:p>
    <w:p>
      <w:pPr>
        <w:pStyle w:val="1001"/>
        <w:ind w:firstLine="0"/>
        <w:jc w:val="center"/>
        <w:tabs>
          <w:tab w:val="right" w:pos="9538" w:leader="dot"/>
        </w:tabs>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第六章 评审方法及评审标准</w:t>
      </w:r>
      <w:r>
        <w:rPr>
          <w:rFonts w:hint="eastAsia" w:ascii="宋体" w:hAnsi="宋体" w:eastAsia="宋体" w:cs="宋体"/>
          <w:bCs/>
          <w:color w:val="000000"/>
          <w:sz w:val="32"/>
          <w:szCs w:val="32"/>
          <w:highlight w:val="none"/>
        </w:rPr>
        <w:tab/>
      </w:r>
      <w:r>
        <w:rPr>
          <w:rFonts w:hint="eastAsia" w:ascii="宋体" w:hAnsi="宋体" w:eastAsia="宋体" w:cs="宋体"/>
          <w:bCs/>
          <w:color w:val="000000"/>
          <w:sz w:val="32"/>
          <w:szCs w:val="32"/>
          <w:highlight w:val="none"/>
        </w:rPr>
      </w:r>
      <w:r/>
    </w:p>
    <w:p>
      <w:pPr>
        <w:pStyle w:val="945"/>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32"/>
          <w:szCs w:val="32"/>
          <w:highlight w:val="none"/>
        </w:rPr>
        <w:fldChar w:fldCharType="end"/>
      </w:r>
      <w:r>
        <w:rPr>
          <w:rFonts w:hint="eastAsia" w:ascii="宋体" w:hAnsi="宋体" w:eastAsia="宋体" w:cs="宋体"/>
          <w:bCs/>
          <w:color w:val="000000"/>
          <w:sz w:val="21"/>
          <w:szCs w:val="21"/>
          <w:highlight w:val="none"/>
        </w:rPr>
      </w:r>
      <w:r/>
    </w:p>
    <w:p>
      <w:pPr>
        <w:pStyle w:val="945"/>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45"/>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45"/>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45"/>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45"/>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45"/>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45"/>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45"/>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45"/>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45"/>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45"/>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45"/>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45"/>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45"/>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45"/>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46"/>
        <w:jc w:val="center"/>
        <w:spacing w:line="360" w:lineRule="auto"/>
        <w:rPr>
          <w:rFonts w:hint="eastAsia" w:ascii="宋体" w:hAnsi="宋体" w:eastAsia="宋体" w:cs="宋体"/>
          <w:b w:val="0"/>
          <w:bCs/>
          <w:color w:val="000000"/>
          <w:sz w:val="52"/>
          <w:szCs w:val="52"/>
          <w:highlight w:val="none"/>
        </w:rPr>
        <w:sectPr>
          <w:footerReference w:type="default" r:id="rId13"/>
          <w:footerReference w:type="first" r:id="rId14"/>
          <w:footnotePr/>
          <w:endnotePr/>
          <w:type w:val="nextPage"/>
          <w:pgSz w:w="11906" w:h="16838" w:orient="portrait"/>
          <w:pgMar w:top="1134" w:right="1134" w:bottom="1134" w:left="1134" w:header="851" w:footer="567" w:gutter="0"/>
          <w:pgNumType w:start="1"/>
          <w:cols w:num="1" w:sep="0" w:space="1701" w:equalWidth="1"/>
          <w:docGrid w:linePitch="360"/>
        </w:sectPr>
      </w:pPr>
      <w:r/>
      <w:bookmarkStart w:id="0" w:name="_第一章_谈判邀请函"/>
      <w:r/>
      <w:bookmarkEnd w:id="0"/>
      <w:r/>
      <w:bookmarkStart w:id="1" w:name="_Toc301856546"/>
      <w:r>
        <w:rPr>
          <w:rFonts w:hint="eastAsia" w:ascii="宋体" w:hAnsi="宋体" w:eastAsia="宋体" w:cs="宋体"/>
          <w:b w:val="0"/>
          <w:bCs/>
          <w:color w:val="000000"/>
          <w:sz w:val="52"/>
          <w:szCs w:val="52"/>
          <w:highlight w:val="none"/>
        </w:rPr>
      </w:r>
      <w:r/>
    </w:p>
    <w:p>
      <w:pPr>
        <w:pStyle w:val="945"/>
        <w:ind w:firstLine="482"/>
        <w:jc w:val="center"/>
        <w:spacing w:line="360" w:lineRule="auto"/>
        <w:rPr>
          <w:rFonts w:hint="eastAsia" w:ascii="宋体" w:hAnsi="宋体" w:eastAsia="宋体" w:cs="宋体"/>
          <w:b/>
          <w:color w:val="000000"/>
          <w:sz w:val="24"/>
          <w:szCs w:val="24"/>
          <w:highlight w:val="none"/>
        </w:rPr>
      </w:pPr>
      <w:r/>
      <w:bookmarkEnd w:id="1"/>
      <w:r>
        <w:rPr>
          <w:rFonts w:hint="eastAsia" w:ascii="宋体" w:hAnsi="宋体" w:eastAsia="宋体" w:cs="宋体"/>
          <w:b/>
          <w:color w:val="000000"/>
          <w:sz w:val="24"/>
          <w:szCs w:val="24"/>
          <w:highlight w:val="none"/>
        </w:rPr>
        <w:t xml:space="preserve">第一章 竞争性磋商邀请函</w:t>
      </w:r>
      <w:r>
        <w:rPr>
          <w:rFonts w:hint="eastAsia" w:ascii="宋体" w:hAnsi="宋体" w:eastAsia="宋体" w:cs="宋体"/>
          <w:b/>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苏州正杰招投标咨询服务有限公司受</w:t>
      </w:r>
      <w:r>
        <w:rPr>
          <w:rFonts w:hint="eastAsia" w:ascii="宋体" w:hAnsi="宋体" w:eastAsia="宋体" w:cs="宋体"/>
          <w:color w:val="000000"/>
          <w:sz w:val="24"/>
          <w:szCs w:val="24"/>
          <w:highlight w:val="none"/>
          <w:lang w:eastAsia="zh-CN"/>
        </w:rPr>
        <w:t xml:space="preserve">苏州市体育监管保障中心</w:t>
      </w:r>
      <w:r>
        <w:rPr>
          <w:rFonts w:hint="eastAsia" w:ascii="宋体" w:hAnsi="宋体" w:eastAsia="宋体" w:cs="宋体"/>
          <w:color w:val="000000"/>
          <w:sz w:val="24"/>
          <w:szCs w:val="24"/>
          <w:highlight w:val="none"/>
        </w:rPr>
        <w:t xml:space="preserve">的委托，就其所需的</w:t>
      </w:r>
      <w:r>
        <w:rPr>
          <w:rFonts w:hint="eastAsia" w:ascii="宋体" w:hAnsi="宋体" w:eastAsia="宋体" w:cs="宋体"/>
          <w:color w:val="000000"/>
          <w:sz w:val="24"/>
          <w:szCs w:val="24"/>
          <w:highlight w:val="none"/>
          <w:lang w:eastAsia="zh-CN"/>
        </w:rPr>
        <w:t xml:space="preserve">苏州市体育监管保障中心专项仪器购置</w:t>
      </w:r>
      <w:r>
        <w:rPr>
          <w:rFonts w:hint="eastAsia" w:ascii="宋体" w:hAnsi="宋体" w:eastAsia="宋体" w:cs="宋体"/>
          <w:color w:val="000000"/>
          <w:sz w:val="24"/>
          <w:szCs w:val="24"/>
          <w:highlight w:val="none"/>
        </w:rPr>
        <w:t xml:space="preserve">项目以竞争性磋商方式组织政府采购，欢迎符合条件的供应商参加。</w:t>
      </w:r>
      <w:r>
        <w:rPr>
          <w:rFonts w:hint="eastAsia" w:ascii="宋体" w:hAnsi="宋体" w:eastAsia="宋体" w:cs="宋体"/>
          <w:color w:val="000000"/>
          <w:sz w:val="24"/>
          <w:szCs w:val="24"/>
          <w:highlight w:val="none"/>
        </w:rPr>
      </w:r>
      <w:r/>
    </w:p>
    <w:p>
      <w:pPr>
        <w:pStyle w:val="945"/>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一、项目基本情况</w:t>
      </w:r>
      <w:r>
        <w:rPr>
          <w:rFonts w:hint="eastAsia" w:ascii="宋体" w:hAnsi="宋体" w:eastAsia="宋体" w:cs="宋体"/>
          <w:b/>
          <w:bCs/>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lang w:eastAsia="zh-CN"/>
        </w:rPr>
        <w:t xml:space="preserve">JSZC-320500-SZZJ-C2026-0015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lang w:eastAsia="zh-CN"/>
        </w:rPr>
        <w:t xml:space="preserve">苏州市体育监管保障中心专项仪器购置</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采购方式：竞争性磋商。</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预算金额：人民币1929000.00元。（其中第一标段：</w:t>
      </w:r>
      <w:r>
        <w:rPr>
          <w:rFonts w:hint="eastAsia" w:ascii="宋体" w:hAnsi="宋体" w:eastAsia="宋体" w:cs="宋体"/>
          <w:color w:val="000000"/>
          <w:sz w:val="24"/>
          <w:szCs w:val="24"/>
          <w:highlight w:val="none"/>
          <w:lang w:eastAsia="zh-CN"/>
        </w:rPr>
        <w:t xml:space="preserve">理疗设备</w:t>
      </w:r>
      <w:r>
        <w:rPr>
          <w:rFonts w:hint="eastAsia" w:ascii="宋体" w:hAnsi="宋体" w:eastAsia="宋体" w:cs="宋体"/>
          <w:color w:val="000000"/>
          <w:sz w:val="24"/>
          <w:szCs w:val="24"/>
          <w:highlight w:val="none"/>
        </w:rPr>
        <w:t xml:space="preserve">、机能监控设备、训练评估设备，预算：1628000.00元；第二标段：体质监测设备，预算301000.00元）。</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最高限价：人民币1929000.00元。（其中第一标段：</w:t>
      </w:r>
      <w:r>
        <w:rPr>
          <w:rFonts w:hint="eastAsia" w:ascii="宋体" w:hAnsi="宋体" w:eastAsia="宋体" w:cs="宋体"/>
          <w:color w:val="000000"/>
          <w:sz w:val="24"/>
          <w:szCs w:val="24"/>
          <w:highlight w:val="none"/>
          <w:lang w:eastAsia="zh-CN"/>
        </w:rPr>
        <w:t xml:space="preserve">理疗设备</w:t>
      </w:r>
      <w:r>
        <w:rPr>
          <w:rFonts w:hint="eastAsia" w:ascii="宋体" w:hAnsi="宋体" w:eastAsia="宋体" w:cs="宋体"/>
          <w:color w:val="000000"/>
          <w:sz w:val="24"/>
          <w:szCs w:val="24"/>
          <w:highlight w:val="none"/>
        </w:rPr>
        <w:t xml:space="preserve">、机能监控设备、训练评估设备，预算：1628000.00元；第二标段：体质监测设备，预算301000.00元）。</w:t>
      </w:r>
      <w:r>
        <w:rPr>
          <w:rFonts w:hint="eastAsia" w:ascii="宋体" w:hAnsi="宋体" w:eastAsia="宋体" w:cs="宋体"/>
          <w:color w:val="000000"/>
          <w:sz w:val="24"/>
          <w:szCs w:val="24"/>
          <w:highlight w:val="none"/>
        </w:rPr>
      </w:r>
      <w:r/>
    </w:p>
    <w:p>
      <w:pPr>
        <w:pStyle w:val="945"/>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注：每标段</w:t>
      </w:r>
      <w:r>
        <w:rPr>
          <w:rFonts w:hint="eastAsia" w:ascii="宋体" w:hAnsi="宋体" w:eastAsia="宋体" w:cs="宋体"/>
          <w:color w:val="000000"/>
          <w:sz w:val="24"/>
          <w:szCs w:val="24"/>
          <w:highlight w:val="none"/>
          <w:lang w:eastAsia="zh-CN"/>
        </w:rPr>
        <w:t xml:space="preserve">成交</w:t>
      </w:r>
      <w:r>
        <w:rPr>
          <w:rFonts w:hint="eastAsia" w:ascii="宋体" w:hAnsi="宋体" w:eastAsia="宋体" w:cs="宋体"/>
          <w:color w:val="000000"/>
          <w:sz w:val="24"/>
          <w:szCs w:val="24"/>
          <w:highlight w:val="none"/>
        </w:rPr>
        <w:t xml:space="preserve">单位数量：1家。</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采购需求：</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1、标的的名称：</w:t>
      </w:r>
      <w:r>
        <w:rPr>
          <w:rFonts w:hint="eastAsia" w:ascii="宋体" w:hAnsi="宋体" w:eastAsia="宋体" w:cs="宋体"/>
          <w:color w:val="000000"/>
          <w:sz w:val="24"/>
          <w:szCs w:val="24"/>
          <w:highlight w:val="none"/>
          <w:lang w:eastAsia="zh-CN"/>
        </w:rPr>
        <w:t xml:space="preserve">苏州市体育监管保障中心专项仪器购置</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2、数量：1项。</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3、简要技术需求或服务要求等：实验室需要购置运动队训练、备战省运会等比赛需要的专项理疗、监控仪器设备和国民体质监测检测专项仪器。（第一标段：</w:t>
      </w:r>
      <w:r>
        <w:rPr>
          <w:rFonts w:hint="eastAsia" w:ascii="宋体" w:hAnsi="宋体" w:eastAsia="宋体" w:cs="宋体"/>
          <w:color w:val="000000"/>
          <w:sz w:val="24"/>
          <w:szCs w:val="24"/>
          <w:highlight w:val="none"/>
          <w:lang w:eastAsia="zh-CN"/>
        </w:rPr>
        <w:t xml:space="preserve">理疗设备</w:t>
      </w:r>
      <w:r>
        <w:rPr>
          <w:rFonts w:hint="eastAsia" w:ascii="宋体" w:hAnsi="宋体" w:eastAsia="宋体" w:cs="宋体"/>
          <w:color w:val="000000"/>
          <w:sz w:val="24"/>
          <w:szCs w:val="24"/>
          <w:highlight w:val="none"/>
        </w:rPr>
        <w:t xml:space="preserve">、机能监控设备、训练评估设备。第二标段：体质监测设备。）具体详见</w:t>
      </w:r>
      <w:r>
        <w:rPr>
          <w:rFonts w:hint="eastAsia" w:ascii="宋体" w:hAnsi="宋体" w:eastAsia="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采购需求。</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注：本项目分2个标段采购，允许一个响应单位报名多个标段，但一个响应单位最多只能就其中一个标段</w:t>
      </w:r>
      <w:r>
        <w:rPr>
          <w:rFonts w:hint="eastAsia" w:ascii="宋体" w:hAnsi="宋体" w:eastAsia="宋体" w:cs="宋体"/>
          <w:color w:val="000000"/>
          <w:sz w:val="24"/>
          <w:szCs w:val="24"/>
          <w:highlight w:val="none"/>
          <w:lang w:eastAsia="zh-CN"/>
        </w:rPr>
        <w:t xml:space="preserve">成交</w:t>
      </w:r>
      <w:r>
        <w:rPr>
          <w:rFonts w:hint="eastAsia" w:ascii="宋体" w:hAnsi="宋体" w:eastAsia="宋体" w:cs="宋体"/>
          <w:color w:val="000000"/>
          <w:sz w:val="24"/>
          <w:szCs w:val="24"/>
          <w:highlight w:val="none"/>
        </w:rPr>
        <w:t xml:space="preserve">，已确定为前标段</w:t>
      </w:r>
      <w:r>
        <w:rPr>
          <w:rFonts w:hint="eastAsia" w:ascii="宋体" w:hAnsi="宋体" w:eastAsia="宋体" w:cs="宋体"/>
          <w:color w:val="000000"/>
          <w:sz w:val="24"/>
          <w:szCs w:val="24"/>
          <w:highlight w:val="none"/>
          <w:lang w:eastAsia="zh-CN"/>
        </w:rPr>
        <w:t xml:space="preserve">成交</w:t>
      </w:r>
      <w:r>
        <w:rPr>
          <w:rFonts w:hint="eastAsia" w:ascii="宋体" w:hAnsi="宋体" w:eastAsia="宋体" w:cs="宋体"/>
          <w:color w:val="000000"/>
          <w:sz w:val="24"/>
          <w:szCs w:val="24"/>
          <w:highlight w:val="none"/>
        </w:rPr>
        <w:t xml:space="preserve">单位的响应单位自动失去后续标段的</w:t>
      </w:r>
      <w:r>
        <w:rPr>
          <w:rFonts w:hint="eastAsia" w:ascii="宋体" w:hAnsi="宋体" w:eastAsia="宋体" w:cs="宋体"/>
          <w:color w:val="000000"/>
          <w:sz w:val="24"/>
          <w:szCs w:val="24"/>
          <w:highlight w:val="none"/>
          <w:lang w:eastAsia="zh-CN"/>
        </w:rPr>
        <w:t xml:space="preserve">成交</w:t>
      </w:r>
      <w:r>
        <w:rPr>
          <w:rFonts w:hint="eastAsia" w:ascii="宋体" w:hAnsi="宋体" w:eastAsia="宋体" w:cs="宋体"/>
          <w:color w:val="000000"/>
          <w:sz w:val="24"/>
          <w:szCs w:val="24"/>
          <w:highlight w:val="none"/>
        </w:rPr>
        <w:t xml:space="preserve">资格。进入每个标段评审的实质性响应且具有得标权的供应商不得少于三家，如不足三家，认定该标段招标失败。标段开标顺序按标段号顺序确定，评审时将按标段自然顺序进行评审，按先开先中的原则，确定各标段的</w:t>
      </w:r>
      <w:r>
        <w:rPr>
          <w:rFonts w:hint="eastAsia" w:ascii="宋体" w:hAnsi="宋体" w:eastAsia="宋体" w:cs="宋体"/>
          <w:color w:val="000000"/>
          <w:sz w:val="24"/>
          <w:szCs w:val="24"/>
          <w:highlight w:val="none"/>
          <w:lang w:eastAsia="zh-CN"/>
        </w:rPr>
        <w:t xml:space="preserve">成交</w:t>
      </w:r>
      <w:r>
        <w:rPr>
          <w:rFonts w:hint="eastAsia" w:ascii="宋体" w:hAnsi="宋体" w:eastAsia="宋体" w:cs="宋体"/>
          <w:color w:val="000000"/>
          <w:sz w:val="24"/>
          <w:szCs w:val="24"/>
          <w:highlight w:val="none"/>
        </w:rPr>
        <w:t xml:space="preserve">单位。</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本项目的标段开标顺序为标段一、标段二（依次进行）。</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4、合同履行期限：自合同签订之日起30日内交货，且通过采购人验收合格后正常使用。</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本项不接受联合体投标、不接受进口产品、不允许分包转包。</w:t>
      </w:r>
      <w:r>
        <w:rPr>
          <w:rFonts w:hint="eastAsia" w:ascii="宋体" w:hAnsi="宋体" w:eastAsia="宋体" w:cs="宋体"/>
          <w:color w:val="000000"/>
          <w:sz w:val="24"/>
          <w:szCs w:val="24"/>
          <w:highlight w:val="none"/>
        </w:rPr>
      </w:r>
      <w:r/>
    </w:p>
    <w:p>
      <w:pPr>
        <w:pStyle w:val="945"/>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二、申请人的资格要求：</w:t>
      </w:r>
      <w:r>
        <w:rPr>
          <w:rFonts w:hint="eastAsia" w:ascii="宋体" w:hAnsi="宋体" w:eastAsia="宋体" w:cs="宋体"/>
          <w:b/>
          <w:bCs/>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1、满足《中华人民共和国政府采购法》第二十二条规定：</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（1）具有独立承担民事责任的能力；</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（2）具有良好的商业信誉和健全的财务会计制度；</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（3）具有履行合同所必需的设备和专业技术能力；</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（4）有依法缴纳税收和社会保障资金的良好记录；</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（5）参加政府采购活动前三年内，在经营活动中没有重大违法记录；</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（6）法律、行政法规规定的其他条件。</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2、落实政府采购政策需满足的资格要求：</w:t>
      </w:r>
      <w:r>
        <w:rPr>
          <w:rFonts w:hint="eastAsia" w:ascii="宋体" w:hAnsi="宋体" w:eastAsia="宋体" w:cs="宋体"/>
          <w:b w:val="0"/>
          <w:bCs w:val="0"/>
          <w:color w:val="000000"/>
          <w:sz w:val="24"/>
          <w:szCs w:val="24"/>
          <w:highlight w:val="none"/>
          <w:lang w:val="en-US" w:eastAsia="zh-CN"/>
        </w:rPr>
        <w:t xml:space="preserve">无。</w:t>
      </w:r>
      <w:r>
        <w:rPr>
          <w:rFonts w:hint="eastAsia" w:ascii="宋体" w:hAnsi="宋体" w:eastAsia="宋体" w:cs="宋体"/>
          <w:color w:val="000000"/>
          <w:sz w:val="24"/>
          <w:szCs w:val="24"/>
          <w:highlight w:val="none"/>
          <w:lang w:eastAsia="zh-CN"/>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3、本项目的特定资格要求：</w:t>
      </w:r>
      <w:r>
        <w:rPr>
          <w:rFonts w:hint="eastAsia" w:ascii="宋体" w:hAnsi="宋体" w:eastAsia="宋体" w:cs="宋体"/>
          <w:color w:val="000000"/>
          <w:sz w:val="24"/>
          <w:szCs w:val="24"/>
          <w:highlight w:val="none"/>
          <w:lang w:val="en-US" w:eastAsia="zh-CN"/>
        </w:rPr>
        <w:t xml:space="preserve">第一标段须</w:t>
      </w:r>
      <w:r>
        <w:rPr>
          <w:rFonts w:hint="eastAsia" w:ascii="宋体" w:hAnsi="宋体" w:eastAsia="宋体" w:cs="宋体"/>
          <w:bCs/>
          <w:color w:val="000000"/>
          <w:sz w:val="24"/>
          <w:szCs w:val="24"/>
          <w:highlight w:val="none"/>
        </w:rPr>
        <w:t xml:space="preserve">具有所投产品的医疗器械经营资格（二类医疗器械备案、三类医疗器械经营许可证）。</w:t>
      </w:r>
      <w:r>
        <w:rPr>
          <w:rFonts w:hint="eastAsia" w:ascii="宋体" w:hAnsi="宋体" w:eastAsia="宋体" w:cs="宋体"/>
          <w:color w:val="000000"/>
          <w:sz w:val="24"/>
          <w:szCs w:val="24"/>
          <w:highlight w:val="none"/>
        </w:rPr>
      </w:r>
      <w:r/>
    </w:p>
    <w:p>
      <w:pPr>
        <w:pStyle w:val="945"/>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三、获取采购文件</w:t>
      </w:r>
      <w:r>
        <w:rPr>
          <w:rFonts w:hint="eastAsia" w:ascii="宋体" w:hAnsi="宋体" w:eastAsia="宋体" w:cs="宋体"/>
          <w:b/>
          <w:bCs/>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时间：自磋商文件公告发布之日起5个工作日。</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地点：“苏采云”系统自行下载采购文件。</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方式（网上报名）：</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（1）CA办理：</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（2）参与采购活动：</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eastAsia="宋体" w:cs="宋体"/>
          <w:color w:val="000000"/>
          <w:sz w:val="24"/>
          <w:szCs w:val="24"/>
          <w:highlight w:val="none"/>
        </w:rPr>
      </w:r>
      <w:r/>
    </w:p>
    <w:p>
      <w:pPr>
        <w:pStyle w:val="969"/>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（3）电子投标准备：</w:t>
      </w:r>
      <w:r>
        <w:rPr>
          <w:rFonts w:hint="eastAsia" w:ascii="宋体" w:hAnsi="宋体" w:eastAsia="宋体" w:cs="宋体"/>
          <w:color w:val="000000"/>
          <w:szCs w:val="24"/>
          <w:highlight w:val="none"/>
        </w:rPr>
      </w:r>
      <w:r/>
    </w:p>
    <w:p>
      <w:pPr>
        <w:pStyle w:val="969"/>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rFonts w:hint="eastAsia" w:ascii="宋体" w:hAnsi="宋体" w:eastAsia="宋体" w:cs="宋体"/>
          <w:color w:val="000000"/>
          <w:szCs w:val="24"/>
          <w:highlight w:val="none"/>
        </w:rPr>
      </w:r>
      <w:r/>
    </w:p>
    <w:p>
      <w:pPr>
        <w:pStyle w:val="969"/>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在系统操作过程中如有疑问，请按以下方式联系：</w:t>
      </w:r>
      <w:r>
        <w:rPr>
          <w:rFonts w:hint="eastAsia" w:ascii="宋体" w:hAnsi="宋体" w:eastAsia="宋体" w:cs="宋体"/>
          <w:color w:val="000000"/>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注册咨询：13914088964；</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CA技术咨询服务电话：400-608-6099；</w:t>
      </w:r>
      <w:r>
        <w:rPr>
          <w:rFonts w:hint="eastAsia" w:ascii="宋体" w:hAnsi="宋体" w:eastAsia="宋体" w:cs="宋体"/>
          <w:color w:val="000000"/>
          <w:sz w:val="24"/>
          <w:szCs w:val="24"/>
          <w:highlight w:val="none"/>
        </w:rPr>
      </w:r>
      <w:r/>
    </w:p>
    <w:p>
      <w:pPr>
        <w:pStyle w:val="94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电子签章技术咨询服务电话025-83633811、025-83633812、15380932027、15371015030；</w:t>
      </w:r>
      <w:r>
        <w:rPr>
          <w:rFonts w:hint="eastAsia" w:ascii="宋体" w:hAnsi="宋体" w:eastAsia="宋体" w:cs="宋体"/>
          <w:color w:val="000000"/>
          <w:sz w:val="24"/>
          <w:szCs w:val="24"/>
          <w:highlight w:val="none"/>
        </w:rPr>
      </w:r>
      <w:r/>
    </w:p>
    <w:p>
      <w:pPr>
        <w:pStyle w:val="94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苏州市及区县“苏采云”系统使用指导与咨询：联系电话：13914088964、0512-69820854；智能客服：登录苏采云系统后，联系系统右下方智能客服图标进行咨询。</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售价：本项目免费下载电子采购文件。</w:t>
      </w:r>
      <w:r>
        <w:rPr>
          <w:rFonts w:hint="eastAsia" w:ascii="宋体" w:hAnsi="宋体" w:eastAsia="宋体" w:cs="宋体"/>
          <w:color w:val="000000"/>
          <w:sz w:val="24"/>
          <w:szCs w:val="24"/>
          <w:highlight w:val="none"/>
        </w:rPr>
      </w:r>
      <w:r/>
    </w:p>
    <w:p>
      <w:pPr>
        <w:pStyle w:val="945"/>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四、响应文件提交</w:t>
      </w:r>
      <w:r>
        <w:rPr>
          <w:rFonts w:hint="eastAsia" w:ascii="宋体" w:hAnsi="宋体" w:eastAsia="宋体" w:cs="宋体"/>
          <w:b/>
          <w:bCs/>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1、截止时间：</w:t>
      </w:r>
      <w:r>
        <w:rPr>
          <w:rFonts w:hint="eastAsia" w:ascii="宋体" w:hAnsi="宋体" w:eastAsia="宋体" w:cs="宋体"/>
          <w:b/>
          <w:bCs/>
          <w:color w:val="000000"/>
          <w:sz w:val="24"/>
          <w:szCs w:val="24"/>
          <w:highlight w:val="none"/>
        </w:rPr>
        <w:t xml:space="preserve">2026年5</w:t>
      </w:r>
      <w:r>
        <w:rPr>
          <w:rFonts w:hint="eastAsia" w:ascii="宋体" w:hAnsi="宋体" w:eastAsia="宋体" w:cs="宋体"/>
          <w:b/>
          <w:bCs/>
          <w:color w:val="000000"/>
          <w:sz w:val="24"/>
          <w:szCs w:val="24"/>
          <w:highlight w:val="none"/>
        </w:rPr>
        <w:t xml:space="preserve">月18</w:t>
      </w:r>
      <w:r>
        <w:rPr>
          <w:rFonts w:hint="eastAsia" w:ascii="宋体" w:hAnsi="宋体" w:eastAsia="宋体" w:cs="宋体"/>
          <w:b/>
          <w:bCs/>
          <w:color w:val="000000"/>
          <w:sz w:val="24"/>
          <w:szCs w:val="24"/>
          <w:highlight w:val="none"/>
        </w:rPr>
        <w:t xml:space="preserve">日13点30分</w:t>
      </w:r>
      <w:r>
        <w:rPr>
          <w:rFonts w:hint="eastAsia" w:ascii="宋体" w:hAnsi="宋体" w:eastAsia="宋体" w:cs="宋体"/>
          <w:b/>
          <w:color w:val="000000"/>
          <w:sz w:val="24"/>
          <w:szCs w:val="24"/>
          <w:highlight w:val="none"/>
        </w:rPr>
        <w:t xml:space="preserve">（北京时间）。</w:t>
      </w:r>
      <w:r>
        <w:rPr>
          <w:rFonts w:hint="eastAsia" w:ascii="宋体" w:hAnsi="宋体" w:eastAsia="宋体" w:cs="宋体"/>
          <w:color w:val="000000"/>
          <w:sz w:val="24"/>
          <w:szCs w:val="24"/>
          <w:highlight w:val="none"/>
        </w:rPr>
      </w:r>
      <w:r/>
    </w:p>
    <w:p>
      <w:pPr>
        <w:pStyle w:val="969"/>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2、地点：“苏采云”系统（网址：</w:t>
      </w:r>
      <w:r>
        <w:rPr>
          <w:rFonts w:hint="eastAsia" w:ascii="宋体" w:hAnsi="宋体" w:eastAsia="宋体" w:cs="宋体"/>
          <w:color w:val="000000"/>
          <w:szCs w:val="24"/>
          <w:highlight w:val="none"/>
        </w:rPr>
        <w:fldChar w:fldCharType="begin"/>
      </w:r>
      <w:r>
        <w:rPr>
          <w:rFonts w:hint="eastAsia" w:ascii="宋体" w:hAnsi="宋体" w:eastAsia="宋体" w:cs="宋体"/>
          <w:color w:val="000000"/>
          <w:szCs w:val="24"/>
          <w:highlight w:val="none"/>
        </w:rPr>
        <w:instrText xml:space="preserve"> HYPERLINK "http://jszfcg.jsczt.cn/）\“开标大厅\”。" </w:instrText>
      </w:r>
      <w:r>
        <w:rPr>
          <w:rFonts w:hint="eastAsia" w:ascii="宋体" w:hAnsi="宋体" w:eastAsia="宋体" w:cs="宋体"/>
          <w:color w:val="000000"/>
          <w:szCs w:val="24"/>
          <w:highlight w:val="none"/>
        </w:rPr>
        <w:fldChar w:fldCharType="separate"/>
      </w:r>
      <w:r>
        <w:rPr>
          <w:rFonts w:hint="eastAsia" w:ascii="宋体" w:hAnsi="宋体" w:eastAsia="宋体" w:cs="宋体"/>
          <w:color w:val="000000"/>
          <w:szCs w:val="24"/>
          <w:highlight w:val="none"/>
        </w:rPr>
        <w:t xml:space="preserve">http：//jszfcg.jsczt.cn/）。</w:t>
      </w:r>
      <w:r>
        <w:rPr>
          <w:rFonts w:hint="eastAsia" w:ascii="宋体" w:hAnsi="宋体" w:eastAsia="宋体" w:cs="宋体"/>
          <w:color w:val="000000"/>
          <w:szCs w:val="24"/>
          <w:highlight w:val="none"/>
        </w:rPr>
        <w:fldChar w:fldCharType="end"/>
      </w:r>
      <w:r>
        <w:rPr>
          <w:rFonts w:hint="eastAsia" w:ascii="宋体" w:hAnsi="宋体" w:eastAsia="宋体" w:cs="宋体"/>
          <w:color w:val="000000"/>
          <w:szCs w:val="24"/>
          <w:highlight w:val="none"/>
        </w:rPr>
      </w:r>
      <w:r/>
    </w:p>
    <w:p>
      <w:pPr>
        <w:pStyle w:val="969"/>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3、方式：响应文件网上递交，不需要现场参加采购活动。</w:t>
      </w:r>
      <w:r>
        <w:rPr>
          <w:rFonts w:hint="eastAsia" w:ascii="宋体" w:hAnsi="宋体" w:eastAsia="宋体" w:cs="宋体"/>
          <w:color w:val="000000"/>
          <w:szCs w:val="24"/>
          <w:highlight w:val="none"/>
        </w:rPr>
      </w:r>
      <w:r/>
    </w:p>
    <w:p>
      <w:pPr>
        <w:pStyle w:val="969"/>
        <w:ind w:firstLine="482"/>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t xml:space="preserve">五、开启</w:t>
      </w:r>
      <w:r>
        <w:rPr>
          <w:rFonts w:hint="eastAsia" w:ascii="宋体" w:hAnsi="宋体" w:eastAsia="宋体" w:cs="宋体"/>
          <w:b/>
          <w:color w:val="000000"/>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1、时间：</w:t>
      </w:r>
      <w:r>
        <w:rPr>
          <w:rFonts w:hint="eastAsia" w:ascii="宋体" w:hAnsi="宋体" w:eastAsia="宋体" w:cs="宋体"/>
          <w:b/>
          <w:bCs/>
          <w:color w:val="000000"/>
          <w:sz w:val="24"/>
          <w:szCs w:val="24"/>
          <w:highlight w:val="none"/>
        </w:rPr>
        <w:t xml:space="preserve">2026年5</w:t>
      </w:r>
      <w:r>
        <w:rPr>
          <w:rFonts w:hint="eastAsia" w:ascii="宋体" w:hAnsi="宋体" w:eastAsia="宋体" w:cs="宋体"/>
          <w:b/>
          <w:bCs/>
          <w:color w:val="000000"/>
          <w:sz w:val="24"/>
          <w:szCs w:val="24"/>
          <w:highlight w:val="none"/>
        </w:rPr>
        <w:t xml:space="preserve">月18</w:t>
      </w:r>
      <w:r>
        <w:rPr>
          <w:rFonts w:hint="eastAsia" w:ascii="宋体" w:hAnsi="宋体" w:eastAsia="宋体" w:cs="宋体"/>
          <w:b/>
          <w:bCs/>
          <w:color w:val="000000"/>
          <w:sz w:val="24"/>
          <w:szCs w:val="24"/>
          <w:highlight w:val="none"/>
        </w:rPr>
        <w:t xml:space="preserve">日</w:t>
      </w:r>
      <w:r>
        <w:rPr>
          <w:rFonts w:hint="eastAsia" w:ascii="宋体" w:hAnsi="宋体" w:eastAsia="宋体" w:cs="宋体"/>
          <w:b/>
          <w:bCs/>
          <w:color w:val="000000"/>
          <w:sz w:val="24"/>
          <w:szCs w:val="24"/>
          <w:highlight w:val="none"/>
        </w:rPr>
        <w:t xml:space="preserve">13点30分</w:t>
      </w:r>
      <w:r>
        <w:rPr>
          <w:rFonts w:hint="eastAsia" w:ascii="宋体" w:hAnsi="宋体" w:eastAsia="宋体" w:cs="宋体"/>
          <w:b/>
          <w:color w:val="000000"/>
          <w:sz w:val="24"/>
          <w:szCs w:val="24"/>
          <w:highlight w:val="none"/>
        </w:rPr>
        <w:t xml:space="preserve">（北京时间）</w:t>
      </w:r>
      <w:r>
        <w:rPr>
          <w:rFonts w:hint="eastAsia" w:ascii="宋体" w:hAnsi="宋体" w:eastAsia="宋体" w:cs="宋体"/>
          <w:color w:val="000000"/>
          <w:sz w:val="24"/>
          <w:szCs w:val="24"/>
          <w:highlight w:val="none"/>
        </w:rPr>
      </w:r>
      <w:r/>
    </w:p>
    <w:p>
      <w:pPr>
        <w:pStyle w:val="969"/>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2、地点：“苏采云”系统（网址：http：//jszfcg.jsczt.cn/）</w:t>
      </w:r>
      <w:r>
        <w:rPr>
          <w:rFonts w:hint="eastAsia" w:ascii="宋体" w:hAnsi="宋体" w:eastAsia="宋体" w:cs="宋体"/>
          <w:color w:val="000000"/>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3、线上参加开标（开启）会方式：供应商登录“苏采云”系统，点击“开标大厅”，选择对应项目，点击进入不见面开标系统。 </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本项目为不见面开标（开启）项目，</w:t>
      </w:r>
      <w:r>
        <w:rPr>
          <w:rFonts w:hint="eastAsia" w:ascii="宋体" w:hAnsi="宋体" w:eastAsia="宋体" w:cs="宋体"/>
          <w:b/>
          <w:bCs/>
          <w:color w:val="000000"/>
          <w:sz w:val="24"/>
          <w:szCs w:val="24"/>
          <w:highlight w:val="none"/>
        </w:rPr>
        <w:t xml:space="preserve">开启阶段供应商在【解密环节】必须使用 CA证书解密电子投标（响应）文件，如在“苏采云”系统规定的时间内未能成功解密的视为放弃参与本项目，投标无效。 </w:t>
      </w:r>
      <w:r>
        <w:rPr>
          <w:rFonts w:hint="eastAsia" w:ascii="宋体" w:hAnsi="宋体" w:eastAsia="宋体" w:cs="宋体"/>
          <w:b/>
          <w:bCs/>
          <w:color w:val="000000"/>
          <w:sz w:val="24"/>
          <w:szCs w:val="24"/>
          <w:highlight w:val="none"/>
        </w:rPr>
      </w:r>
      <w:r/>
    </w:p>
    <w:p>
      <w:pPr>
        <w:pStyle w:val="969"/>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请供应商确保电脑、系统及其他设备（视频输入输出设备等）无误，且开启直至项目结束始终保持系统在线状态。</w:t>
      </w:r>
      <w:r>
        <w:rPr>
          <w:rFonts w:hint="eastAsia" w:ascii="宋体" w:hAnsi="宋体" w:eastAsia="宋体" w:cs="宋体"/>
          <w:color w:val="000000"/>
          <w:szCs w:val="24"/>
          <w:highlight w:val="none"/>
        </w:rPr>
      </w:r>
      <w:r/>
    </w:p>
    <w:p>
      <w:pPr>
        <w:pStyle w:val="945"/>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六、公告期限</w:t>
      </w:r>
      <w:r>
        <w:rPr>
          <w:rFonts w:hint="eastAsia" w:ascii="宋体" w:hAnsi="宋体" w:eastAsia="宋体" w:cs="宋体"/>
          <w:b/>
          <w:bCs/>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自本公告发布之日起3个工作日。</w:t>
      </w:r>
      <w:r>
        <w:rPr>
          <w:rFonts w:hint="eastAsia" w:ascii="宋体" w:hAnsi="宋体" w:eastAsia="宋体" w:cs="宋体"/>
          <w:color w:val="000000"/>
          <w:sz w:val="24"/>
          <w:szCs w:val="24"/>
          <w:highlight w:val="none"/>
        </w:rPr>
      </w:r>
      <w:r/>
    </w:p>
    <w:p>
      <w:pPr>
        <w:pStyle w:val="945"/>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七、其他补充事宜</w:t>
      </w:r>
      <w:r>
        <w:rPr>
          <w:rFonts w:hint="eastAsia" w:ascii="宋体" w:hAnsi="宋体" w:eastAsia="宋体" w:cs="宋体"/>
          <w:b/>
          <w:bCs/>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1、采购项目需要落实的政府采购政策：</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政府采购促进中小企业发展管理办法》（财库〔2020〕46号）、《关于做好政府采购支持企业发展有关事项的通知》（苏财购〔2020〕52号）及《关于印发＜苏州市政府采购促进中小企业发展实施意见&gt;的通知》（苏财购〔2022〕16号）的规定。</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《关于政府采购支持监狱企业发展有关问题的通知》（财库〔2014〕68号）。</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《关于促进残疾人就业政府采购政策的通知》（财库〔2017〕141号）。</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开评标过程中如有问题采购代理机构工作人员会及时通过报名时在投标确认函模块留存的手机号与供应商联系。此号码在开标截止之前可修改，以响应文件中投标函保存的最新号码为准，请供应商确保该手机号开评标当日通讯畅通，否则导致的对供应商不利的后果由供应商自行承担。</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3、如不同供应商使用同一台电脑制作的电子响应文件的，双方“文件制作机器码”一致的，则其响应文件将被认定为无效响应。</w:t>
      </w:r>
      <w:r>
        <w:rPr>
          <w:rFonts w:hint="eastAsia" w:ascii="宋体" w:hAnsi="宋体" w:eastAsia="宋体" w:cs="宋体"/>
          <w:color w:val="000000"/>
          <w:sz w:val="24"/>
          <w:szCs w:val="24"/>
          <w:highlight w:val="none"/>
          <w:lang w:val="zh-CN"/>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4、本项目获取采购文件截止日期之后仍可以下载采购文件，但截止日期之后下载的采购文件，视为非有效方式且不作为供应商权益受到损害的证明材料和依据。</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5、政府采购监督电话：0512-68616651。</w:t>
      </w:r>
      <w:r>
        <w:rPr>
          <w:rFonts w:hint="eastAsia" w:ascii="宋体" w:hAnsi="宋体" w:eastAsia="宋体" w:cs="宋体"/>
          <w:b/>
          <w:bCs/>
          <w:color w:val="000000"/>
          <w:sz w:val="24"/>
          <w:szCs w:val="24"/>
          <w:highlight w:val="none"/>
        </w:rPr>
      </w:r>
      <w:r/>
    </w:p>
    <w:p>
      <w:pPr>
        <w:pStyle w:val="945"/>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八、凡对本次采购提出询问，请按以下方式联系。</w:t>
      </w:r>
      <w:r>
        <w:rPr>
          <w:rFonts w:hint="eastAsia" w:ascii="宋体" w:hAnsi="宋体" w:eastAsia="宋体" w:cs="宋体"/>
          <w:b/>
          <w:bCs/>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1、采购人信息：</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名称：</w:t>
      </w:r>
      <w:r>
        <w:rPr>
          <w:rFonts w:hint="eastAsia" w:ascii="宋体" w:hAnsi="宋体" w:eastAsia="宋体" w:cs="宋体"/>
          <w:bCs/>
          <w:color w:val="000000"/>
          <w:sz w:val="24"/>
          <w:szCs w:val="24"/>
          <w:highlight w:val="none"/>
        </w:rPr>
        <w:t xml:space="preserve">苏州市体育监管保障中心</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olor w:val="000000"/>
          <w:sz w:val="24"/>
          <w:szCs w:val="24"/>
          <w:highlight w:val="none"/>
        </w:rPr>
        <w:t xml:space="preserve">苏州市姑苏区五卅路91号</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联系方式：电话</w:t>
      </w:r>
      <w:r>
        <w:rPr>
          <w:rFonts w:hint="eastAsia" w:ascii="宋体" w:hAnsi="宋体" w:eastAsia="宋体" w:cs="仿宋_GB2312"/>
          <w:color w:val="000000"/>
          <w:sz w:val="24"/>
          <w:szCs w:val="24"/>
          <w:highlight w:val="none"/>
        </w:rPr>
        <w:t xml:space="preserve">18913158910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2、采购代理机构信息：</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名称：苏州正杰招投标咨询服务有限公司。</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地址：苏州市平泷路251号苏州城市生活广场B座1557室。</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联系方式：电话0512-62826523。</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3、项目联系方式</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（1）采购人：</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项目联系人：</w:t>
      </w:r>
      <w:r>
        <w:rPr>
          <w:rFonts w:hint="eastAsia" w:ascii="宋体" w:hAnsi="宋体" w:eastAsia="宋体" w:cs="仿宋_GB2312"/>
          <w:color w:val="000000"/>
          <w:sz w:val="24"/>
          <w:szCs w:val="24"/>
          <w:highlight w:val="none"/>
        </w:rPr>
        <w:t xml:space="preserve">夏华</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w:t>
      </w:r>
      <w:r>
        <w:rPr>
          <w:rFonts w:hint="eastAsia" w:ascii="宋体" w:hAnsi="宋体" w:eastAsia="宋体" w:cs="仿宋_GB2312"/>
          <w:color w:val="000000"/>
          <w:sz w:val="24"/>
          <w:szCs w:val="24"/>
          <w:highlight w:val="none"/>
        </w:rPr>
        <w:t xml:space="preserve">18913158910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（2）采购代理机构：</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项目联系人：徐杰、沈鹰、陈晓梦、刘木兰。</w:t>
      </w:r>
      <w:r>
        <w:rPr>
          <w:rFonts w:hint="eastAsia" w:ascii="宋体" w:hAnsi="宋体" w:eastAsia="宋体" w:cs="宋体"/>
          <w:color w:val="000000"/>
          <w:sz w:val="24"/>
          <w:szCs w:val="24"/>
          <w:highlight w:val="none"/>
        </w:rPr>
      </w:r>
      <w:r/>
    </w:p>
    <w:p>
      <w:pPr>
        <w:pStyle w:val="977"/>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电话：0512-62826523。</w:t>
      </w:r>
      <w:r>
        <w:rPr>
          <w:rFonts w:hint="eastAsia" w:ascii="宋体" w:hAnsi="宋体" w:eastAsia="宋体" w:cs="宋体"/>
          <w:b/>
          <w:bCs/>
          <w:color w:val="000000"/>
          <w:sz w:val="24"/>
          <w:szCs w:val="24"/>
          <w:highlight w:val="none"/>
        </w:rPr>
      </w:r>
      <w:r/>
    </w:p>
    <w:p>
      <w:pPr>
        <w:pStyle w:val="977"/>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77"/>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77"/>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77"/>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77"/>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77"/>
        <w:numPr>
          <w:ilvl w:val="0"/>
          <w:numId w:val="1"/>
        </w:num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br w:type="page" w:clear="all"/>
      </w:r>
      <w:r>
        <w:rPr>
          <w:rFonts w:hint="eastAsia" w:ascii="宋体" w:hAnsi="宋体" w:eastAsia="宋体" w:cs="宋体"/>
          <w:b/>
          <w:bCs/>
          <w:color w:val="000000"/>
          <w:sz w:val="24"/>
          <w:szCs w:val="24"/>
          <w:highlight w:val="none"/>
        </w:rPr>
        <w:t xml:space="preserve">响应须知</w:t>
      </w:r>
      <w:r>
        <w:rPr>
          <w:rFonts w:hint="eastAsia" w:ascii="宋体" w:hAnsi="宋体" w:eastAsia="宋体" w:cs="宋体"/>
          <w:b/>
          <w:bCs/>
          <w:color w:val="000000"/>
          <w:sz w:val="24"/>
          <w:szCs w:val="24"/>
          <w:highlight w:val="none"/>
        </w:rPr>
      </w:r>
      <w:r/>
    </w:p>
    <w:p>
      <w:pPr>
        <w:pStyle w:val="977"/>
        <w:ind w:firstLine="482"/>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1、总则</w:t>
      </w:r>
      <w:r>
        <w:rPr>
          <w:rFonts w:hint="eastAsia" w:ascii="宋体" w:hAnsi="宋体" w:eastAsia="宋体" w:cs="宋体"/>
          <w:b/>
          <w:bCs/>
          <w:color w:val="000000"/>
          <w:sz w:val="24"/>
          <w:szCs w:val="24"/>
          <w:highlight w:val="none"/>
        </w:rPr>
      </w:r>
      <w:r/>
    </w:p>
    <w:p>
      <w:pPr>
        <w:pStyle w:val="945"/>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1.1响应单位资格要求</w:t>
      </w:r>
      <w:r>
        <w:rPr>
          <w:rFonts w:hint="eastAsia" w:ascii="宋体" w:hAnsi="宋体" w:eastAsia="宋体" w:cs="宋体"/>
          <w:b/>
          <w:bCs/>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1.1.1详见第一章</w:t>
      </w:r>
      <w:r>
        <w:rPr>
          <w:rFonts w:hint="eastAsia" w:ascii="宋体" w:hAnsi="宋体" w:eastAsia="宋体" w:cs="宋体"/>
          <w:bCs/>
          <w:color w:val="000000"/>
          <w:sz w:val="24"/>
          <w:szCs w:val="24"/>
          <w:highlight w:val="none"/>
        </w:rPr>
        <w:t xml:space="preserve">竞争性磋商邀请函</w:t>
      </w:r>
      <w:r>
        <w:rPr>
          <w:rFonts w:hint="eastAsia" w:ascii="宋体" w:hAnsi="宋体" w:eastAsia="宋体" w:cs="宋体"/>
          <w:color w:val="000000"/>
          <w:sz w:val="24"/>
          <w:szCs w:val="24"/>
          <w:highlight w:val="none"/>
        </w:rPr>
        <w:t xml:space="preserve">中“二、申请人的资格要求”。</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1.1.2响应单位不得存在下列情形之一：</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（1）苏州市财政局《关于印发苏州市市级政府采购信用记录查询和使用工作试行办法的通知》（苏财购（2017）11号）文件规定应拒绝的失信信息。</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（2）为采购项目提供整体设计、规范编制或者项目管理、监理、监测等服务的供应商，不得再参加该采购项目的其他采购活动；本项目的此类供应商是：无。</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（3）单位负责人为同一人或者存在直接控股、管理关系的不同供应商，不得参加同一合同项下的政府采购活动。</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1.1.3联合体投标：若第一章竞争性磋商邀请函规定接受联合体投标的，联合体除应符合上述资格要求外，还应遵守以下规定：</w:t>
      </w:r>
      <w:r>
        <w:rPr>
          <w:rFonts w:hint="eastAsia" w:ascii="宋体" w:hAnsi="宋体" w:eastAsia="宋体" w:cs="宋体"/>
          <w:color w:val="000000"/>
          <w:sz w:val="24"/>
          <w:szCs w:val="24"/>
          <w:highlight w:val="none"/>
        </w:rPr>
      </w:r>
      <w:r/>
    </w:p>
    <w:p>
      <w:pPr>
        <w:pStyle w:val="945"/>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（1）联合体各方应当向采购人提交联合体协议书，载明联合体各方承担的工作和义务，否则投标无效。</w:t>
      </w:r>
      <w:r>
        <w:rPr>
          <w:rFonts w:hint="eastAsia" w:ascii="宋体" w:hAnsi="宋体" w:eastAsia="宋体" w:cs="宋体"/>
          <w:b/>
          <w:bCs/>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（2）联合体中有同类资质的供应商按照联合体分工承担相同工作的，应当按照资质等级较低的供应商确定资质等级。</w:t>
      </w:r>
      <w:r>
        <w:rPr>
          <w:rFonts w:hint="eastAsia" w:ascii="宋体" w:hAnsi="宋体" w:eastAsia="宋体" w:cs="宋体"/>
          <w:color w:val="000000"/>
          <w:sz w:val="24"/>
          <w:szCs w:val="24"/>
          <w:highlight w:val="none"/>
        </w:rPr>
      </w:r>
      <w:r/>
    </w:p>
    <w:p>
      <w:pPr>
        <w:pStyle w:val="945"/>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（3）联合体各方不得再单独参加或者与其他供应商另外组成联合体参加同一合同项下的政府采购活动，否则各相关投标均无效。</w:t>
      </w:r>
      <w:r>
        <w:rPr>
          <w:rFonts w:hint="eastAsia" w:ascii="宋体" w:hAnsi="宋体" w:eastAsia="宋体" w:cs="宋体"/>
          <w:b/>
          <w:bCs/>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（4）联合体各方应当共同与采购人签订采购合同，就采购合同约定的事项对采购人承担连带责任。</w:t>
      </w:r>
      <w:r>
        <w:rPr>
          <w:rFonts w:hint="eastAsia" w:ascii="宋体" w:hAnsi="宋体" w:eastAsia="宋体" w:cs="宋体"/>
          <w:color w:val="000000"/>
          <w:sz w:val="24"/>
          <w:szCs w:val="24"/>
          <w:highlight w:val="none"/>
        </w:rPr>
      </w:r>
      <w:r/>
    </w:p>
    <w:p>
      <w:pPr>
        <w:pStyle w:val="945"/>
        <w:ind w:left="525"/>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1.2 </w:t>
      </w:r>
      <w:r>
        <w:rPr>
          <w:rFonts w:hint="eastAsia" w:ascii="宋体" w:hAnsi="宋体" w:eastAsia="宋体" w:cs="宋体"/>
          <w:b/>
          <w:bCs/>
          <w:color w:val="000000"/>
          <w:sz w:val="24"/>
          <w:szCs w:val="24"/>
          <w:highlight w:val="none"/>
        </w:rPr>
        <w:t xml:space="preserve">分包、转包</w:t>
      </w:r>
      <w:r>
        <w:rPr>
          <w:rFonts w:hint="eastAsia" w:ascii="宋体" w:hAnsi="宋体" w:eastAsia="宋体" w:cs="宋体"/>
          <w:b/>
          <w:bCs/>
          <w:color w:val="000000"/>
          <w:sz w:val="24"/>
          <w:szCs w:val="24"/>
          <w:highlight w:val="none"/>
        </w:rPr>
      </w:r>
      <w:r/>
    </w:p>
    <w:p>
      <w:pPr>
        <w:pStyle w:val="945"/>
        <w:ind w:left="525"/>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本项目不允许分包或转包。</w:t>
      </w:r>
      <w:r>
        <w:rPr>
          <w:rFonts w:hint="eastAsia" w:ascii="宋体" w:hAnsi="宋体" w:eastAsia="宋体" w:cs="宋体"/>
          <w:color w:val="000000"/>
          <w:sz w:val="24"/>
          <w:szCs w:val="24"/>
          <w:highlight w:val="none"/>
        </w:rPr>
      </w:r>
      <w:r/>
    </w:p>
    <w:p>
      <w:pPr>
        <w:pStyle w:val="945"/>
        <w:ind w:left="525"/>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1.3投标费用</w:t>
      </w:r>
      <w:r>
        <w:rPr>
          <w:rFonts w:hint="eastAsia" w:ascii="宋体" w:hAnsi="宋体" w:eastAsia="宋体" w:cs="宋体"/>
          <w:b/>
          <w:bCs/>
          <w:color w:val="000000"/>
          <w:sz w:val="24"/>
          <w:szCs w:val="24"/>
          <w:highlight w:val="none"/>
        </w:rPr>
      </w:r>
      <w:r/>
    </w:p>
    <w:p>
      <w:pPr>
        <w:pStyle w:val="945"/>
        <w:ind w:left="525"/>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1.3.1供应商应自行承担所有准备及参加投标的相关费用。</w:t>
      </w:r>
      <w:r>
        <w:rPr>
          <w:rFonts w:hint="eastAsia" w:ascii="宋体" w:hAnsi="宋体" w:eastAsia="宋体" w:cs="宋体"/>
          <w:color w:val="000000"/>
          <w:sz w:val="24"/>
          <w:szCs w:val="24"/>
          <w:highlight w:val="none"/>
        </w:rPr>
      </w:r>
      <w:r/>
    </w:p>
    <w:p>
      <w:pPr>
        <w:pStyle w:val="945"/>
        <w:ind w:left="525"/>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1.4 保密</w:t>
      </w:r>
      <w:r>
        <w:rPr>
          <w:rFonts w:hint="eastAsia" w:ascii="宋体" w:hAnsi="宋体" w:eastAsia="宋体" w:cs="宋体"/>
          <w:b/>
          <w:bCs/>
          <w:color w:val="000000"/>
          <w:sz w:val="24"/>
          <w:szCs w:val="24"/>
          <w:highlight w:val="none"/>
        </w:rPr>
      </w:r>
      <w:r/>
    </w:p>
    <w:p>
      <w:pPr>
        <w:pStyle w:val="94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参与采购活动的各方应对采购文件和响应文件中的商业和技术等秘密保密，否则应承担相应的法律责任。</w:t>
      </w:r>
      <w:r>
        <w:rPr>
          <w:rFonts w:hint="eastAsia" w:ascii="宋体" w:hAnsi="宋体" w:eastAsia="宋体" w:cs="宋体"/>
          <w:color w:val="000000"/>
          <w:sz w:val="24"/>
          <w:szCs w:val="24"/>
          <w:highlight w:val="none"/>
        </w:rPr>
      </w:r>
      <w:r/>
    </w:p>
    <w:p>
      <w:pPr>
        <w:pStyle w:val="945"/>
        <w:ind w:left="525"/>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1.5 语言文字</w:t>
      </w:r>
      <w:r>
        <w:rPr>
          <w:rFonts w:hint="eastAsia" w:ascii="宋体" w:hAnsi="宋体" w:eastAsia="宋体" w:cs="宋体"/>
          <w:b/>
          <w:bCs/>
          <w:color w:val="000000"/>
          <w:sz w:val="24"/>
          <w:szCs w:val="24"/>
          <w:highlight w:val="none"/>
        </w:rPr>
      </w:r>
      <w:r/>
    </w:p>
    <w:p>
      <w:pPr>
        <w:pStyle w:val="94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采购文件响应文件使用的语言文字为中文。使用外文的，应附有中文注释或译本，对不同文本响应文件的解释发生异议的，以中文文本为准。因未附注释或译本引起的对供应商不利的后果由供应商自行承担。</w:t>
      </w:r>
      <w:r>
        <w:rPr>
          <w:rFonts w:hint="eastAsia" w:ascii="宋体" w:hAnsi="宋体" w:eastAsia="宋体" w:cs="宋体"/>
          <w:color w:val="000000"/>
          <w:sz w:val="24"/>
          <w:szCs w:val="24"/>
          <w:highlight w:val="none"/>
        </w:rPr>
      </w:r>
      <w:r/>
    </w:p>
    <w:p>
      <w:pPr>
        <w:pStyle w:val="945"/>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1.6计量单位</w:t>
      </w:r>
      <w:r>
        <w:rPr>
          <w:rFonts w:hint="eastAsia" w:ascii="宋体" w:hAnsi="宋体" w:eastAsia="宋体" w:cs="宋体"/>
          <w:b/>
          <w:bCs/>
          <w:color w:val="000000"/>
          <w:sz w:val="24"/>
          <w:szCs w:val="24"/>
          <w:highlight w:val="none"/>
        </w:rPr>
      </w:r>
      <w:r/>
    </w:p>
    <w:p>
      <w:pPr>
        <w:pStyle w:val="94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除采购文件有特殊要求外，所有计量均采用中华人民共和国法定计量单位。</w:t>
      </w:r>
      <w:r>
        <w:rPr>
          <w:rFonts w:hint="eastAsia" w:ascii="宋体" w:hAnsi="宋体" w:eastAsia="宋体" w:cs="宋体"/>
          <w:color w:val="000000"/>
          <w:sz w:val="24"/>
          <w:szCs w:val="24"/>
          <w:highlight w:val="none"/>
        </w:rPr>
      </w:r>
      <w:r/>
    </w:p>
    <w:p>
      <w:pPr>
        <w:pStyle w:val="945"/>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1.7知识产权</w:t>
      </w:r>
      <w:r>
        <w:rPr>
          <w:rFonts w:hint="eastAsia" w:ascii="宋体" w:hAnsi="宋体" w:eastAsia="宋体" w:cs="宋体"/>
          <w:b/>
          <w:bCs/>
          <w:color w:val="000000"/>
          <w:sz w:val="24"/>
          <w:szCs w:val="24"/>
          <w:highlight w:val="none"/>
        </w:rPr>
      </w:r>
      <w:r/>
    </w:p>
    <w:p>
      <w:pPr>
        <w:pStyle w:val="94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rPr>
          <w:rFonts w:hint="eastAsia" w:ascii="宋体" w:hAnsi="宋体" w:eastAsia="宋体" w:cs="宋体"/>
          <w:color w:val="000000"/>
          <w:sz w:val="24"/>
          <w:szCs w:val="24"/>
          <w:highlight w:val="none"/>
        </w:rPr>
      </w:r>
      <w:r/>
    </w:p>
    <w:p>
      <w:pPr>
        <w:pStyle w:val="945"/>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2.采购文件的说明</w:t>
      </w:r>
      <w:r>
        <w:rPr>
          <w:rFonts w:hint="eastAsia" w:ascii="宋体" w:hAnsi="宋体" w:eastAsia="宋体" w:cs="宋体"/>
          <w:b/>
          <w:bCs/>
          <w:color w:val="000000"/>
          <w:sz w:val="24"/>
          <w:szCs w:val="24"/>
          <w:highlight w:val="none"/>
        </w:rPr>
      </w:r>
      <w:r/>
    </w:p>
    <w:p>
      <w:pPr>
        <w:pStyle w:val="945"/>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2.1采购文件的获取</w:t>
      </w:r>
      <w:r>
        <w:rPr>
          <w:rFonts w:hint="eastAsia" w:ascii="宋体" w:hAnsi="宋体" w:eastAsia="宋体" w:cs="宋体"/>
          <w:b/>
          <w:bCs/>
          <w:color w:val="000000"/>
          <w:sz w:val="24"/>
          <w:szCs w:val="24"/>
          <w:highlight w:val="none"/>
        </w:rPr>
      </w:r>
      <w:r/>
    </w:p>
    <w:p>
      <w:pPr>
        <w:pStyle w:val="94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见第一章竞争性磋商邀请函。</w:t>
      </w:r>
      <w:r>
        <w:rPr>
          <w:rFonts w:hint="eastAsia" w:ascii="宋体" w:hAnsi="宋体" w:eastAsia="宋体" w:cs="宋体"/>
          <w:color w:val="000000"/>
          <w:sz w:val="24"/>
          <w:szCs w:val="24"/>
          <w:highlight w:val="none"/>
        </w:rPr>
      </w:r>
      <w:r/>
    </w:p>
    <w:p>
      <w:pPr>
        <w:pStyle w:val="945"/>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2.2采购文件的询问</w:t>
      </w:r>
      <w:r>
        <w:rPr>
          <w:rFonts w:hint="eastAsia" w:ascii="宋体" w:hAnsi="宋体" w:eastAsia="宋体" w:cs="宋体"/>
          <w:b/>
          <w:bCs/>
          <w:color w:val="000000"/>
          <w:sz w:val="24"/>
          <w:szCs w:val="24"/>
          <w:highlight w:val="none"/>
        </w:rPr>
      </w:r>
      <w:r/>
    </w:p>
    <w:p>
      <w:pPr>
        <w:pStyle w:val="94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供应商在收到磋商文件后，若有问题需要询问，应于下载磋商文件后，可通过公告中的联系方式及时提出，采购人或采购代理机构将予以解答。</w:t>
      </w:r>
      <w:r>
        <w:rPr>
          <w:rFonts w:hint="eastAsia" w:ascii="宋体" w:hAnsi="宋体" w:eastAsia="宋体" w:cs="宋体"/>
          <w:color w:val="000000"/>
          <w:sz w:val="24"/>
          <w:szCs w:val="24"/>
          <w:highlight w:val="none"/>
        </w:rPr>
      </w:r>
      <w:r/>
    </w:p>
    <w:p>
      <w:pPr>
        <w:pStyle w:val="945"/>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2.3采购文件的澄清或修改</w:t>
      </w:r>
      <w:r>
        <w:rPr>
          <w:rFonts w:hint="eastAsia" w:ascii="宋体" w:hAnsi="宋体" w:eastAsia="宋体" w:cs="宋体"/>
          <w:b/>
          <w:bCs/>
          <w:color w:val="000000"/>
          <w:sz w:val="24"/>
          <w:szCs w:val="24"/>
          <w:highlight w:val="none"/>
        </w:rPr>
      </w:r>
      <w:r/>
    </w:p>
    <w:p>
      <w:pPr>
        <w:pStyle w:val="94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2.3.1采购人或采购代理机构无论出于自己的考虑，还是出于对供应商提问的澄清，均可对已发出的采购文件用补充通知（包括更正公告）的方式进行澄清或者修改，并通过苏州市政府采购网对外进行发布，但不得改变采购标的和资格条件。澄清或者修改的内容作为采购文件的组成部分，对所有供应商具有约束力。</w:t>
      </w:r>
      <w:r>
        <w:rPr>
          <w:rFonts w:hint="eastAsia" w:ascii="宋体" w:hAnsi="宋体" w:eastAsia="宋体" w:cs="宋体"/>
          <w:color w:val="000000"/>
          <w:sz w:val="24"/>
          <w:szCs w:val="24"/>
          <w:highlight w:val="none"/>
        </w:rPr>
      </w:r>
      <w:r/>
    </w:p>
    <w:p>
      <w:pPr>
        <w:pStyle w:val="94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2.3.2为保证供应商有足够时间修正响应文件，或出于其他合理原因，采购人或采购代理机构可依法顺延响应截止时间和开启时间。</w:t>
      </w:r>
      <w:r>
        <w:rPr>
          <w:rFonts w:hint="eastAsia" w:ascii="宋体" w:hAnsi="宋体" w:eastAsia="宋体" w:cs="宋体"/>
          <w:color w:val="000000"/>
          <w:sz w:val="24"/>
          <w:szCs w:val="24"/>
          <w:highlight w:val="none"/>
        </w:rPr>
      </w:r>
      <w:r/>
    </w:p>
    <w:p>
      <w:pPr>
        <w:pStyle w:val="94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2.3.3供应商应及时关注“苏州市政府采购网”发布的补充通知（包括更正公告），同时可以在“苏采云”系统中下载更正（补充）资料，如有遗漏（包括但不限于文件未下载或下载不完整），可能无法解密投标（响应）文件，由此所造成的投标失败或损失由供应商自行负责。</w:t>
      </w:r>
      <w:r>
        <w:rPr>
          <w:rFonts w:hint="eastAsia" w:ascii="宋体" w:hAnsi="宋体" w:eastAsia="宋体" w:cs="宋体"/>
          <w:color w:val="000000"/>
          <w:sz w:val="24"/>
          <w:szCs w:val="24"/>
          <w:highlight w:val="none"/>
        </w:rPr>
      </w:r>
      <w:r/>
    </w:p>
    <w:p>
      <w:pPr>
        <w:pStyle w:val="94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2.3.4采购文件的澄清、修改、补充等内容均以苏州市政府采购网上发布的内容为准。</w:t>
      </w:r>
      <w:r>
        <w:rPr>
          <w:rFonts w:hint="eastAsia" w:ascii="宋体" w:hAnsi="宋体" w:eastAsia="宋体" w:cs="宋体"/>
          <w:color w:val="000000"/>
          <w:sz w:val="24"/>
          <w:szCs w:val="24"/>
          <w:highlight w:val="none"/>
        </w:rPr>
      </w:r>
      <w:r/>
    </w:p>
    <w:p>
      <w:pPr>
        <w:pStyle w:val="945"/>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3.响应文件说明</w:t>
      </w:r>
      <w:r>
        <w:rPr>
          <w:rFonts w:hint="eastAsia" w:ascii="宋体" w:hAnsi="宋体" w:eastAsia="宋体" w:cs="宋体"/>
          <w:b/>
          <w:bCs/>
          <w:color w:val="000000"/>
          <w:sz w:val="24"/>
          <w:szCs w:val="24"/>
          <w:highlight w:val="none"/>
        </w:rPr>
      </w:r>
      <w:r/>
    </w:p>
    <w:p>
      <w:pPr>
        <w:pStyle w:val="94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响应单位应详细阅读采购文件的全部内容，不按采购文件的要求提供的响应文件和资料，其风险由响应单位自行承担，并根据有关条款规定，可能导致响应无效。</w:t>
      </w:r>
      <w:r>
        <w:rPr>
          <w:rFonts w:hint="eastAsia" w:ascii="宋体" w:hAnsi="宋体" w:eastAsia="宋体" w:cs="宋体"/>
          <w:color w:val="000000"/>
          <w:sz w:val="24"/>
          <w:szCs w:val="24"/>
          <w:highlight w:val="none"/>
        </w:rPr>
      </w:r>
      <w:r/>
    </w:p>
    <w:p>
      <w:pPr>
        <w:pStyle w:val="945"/>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3.1磋商保证金：无。</w:t>
      </w:r>
      <w:r>
        <w:rPr>
          <w:rFonts w:hint="eastAsia" w:ascii="宋体" w:hAnsi="宋体" w:eastAsia="宋体" w:cs="宋体"/>
          <w:b/>
          <w:bCs/>
          <w:color w:val="000000"/>
          <w:sz w:val="24"/>
          <w:szCs w:val="24"/>
          <w:highlight w:val="none"/>
        </w:rPr>
      </w:r>
      <w:r/>
    </w:p>
    <w:p>
      <w:pPr>
        <w:pStyle w:val="945"/>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3.2响应文件的组成</w:t>
      </w:r>
      <w:r>
        <w:rPr>
          <w:rFonts w:hint="eastAsia" w:ascii="宋体" w:hAnsi="宋体" w:eastAsia="宋体" w:cs="宋体"/>
          <w:b/>
          <w:bCs/>
          <w:color w:val="000000"/>
          <w:sz w:val="24"/>
          <w:szCs w:val="24"/>
          <w:highlight w:val="none"/>
        </w:rPr>
      </w:r>
      <w:r/>
    </w:p>
    <w:p>
      <w:pPr>
        <w:pStyle w:val="94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3.2.1封面；</w:t>
      </w:r>
      <w:r>
        <w:rPr>
          <w:rFonts w:hint="eastAsia" w:ascii="宋体" w:hAnsi="宋体" w:eastAsia="宋体" w:cs="宋体"/>
          <w:color w:val="000000"/>
          <w:sz w:val="24"/>
          <w:szCs w:val="24"/>
          <w:highlight w:val="none"/>
        </w:rPr>
      </w:r>
      <w:r/>
    </w:p>
    <w:p>
      <w:pPr>
        <w:pStyle w:val="94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3.2.2开标一览表（格式见第三章）；</w:t>
      </w:r>
      <w:r>
        <w:rPr>
          <w:rFonts w:hint="eastAsia" w:ascii="宋体" w:hAnsi="宋体" w:eastAsia="宋体" w:cs="宋体"/>
          <w:color w:val="000000"/>
          <w:sz w:val="24"/>
          <w:szCs w:val="24"/>
          <w:highlight w:val="none"/>
        </w:rPr>
      </w:r>
      <w:r/>
    </w:p>
    <w:p>
      <w:pPr>
        <w:pStyle w:val="94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3.2.3磋商响应明细报价表（格式见第三章）；</w:t>
      </w:r>
      <w:r>
        <w:rPr>
          <w:rFonts w:hint="eastAsia" w:ascii="宋体" w:hAnsi="宋体" w:eastAsia="宋体" w:cs="宋体"/>
          <w:color w:val="000000"/>
          <w:sz w:val="24"/>
          <w:szCs w:val="24"/>
          <w:highlight w:val="none"/>
        </w:rPr>
      </w:r>
      <w:r/>
    </w:p>
    <w:p>
      <w:pPr>
        <w:pStyle w:val="945"/>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3.2.4资格审查响应文件：</w:t>
      </w:r>
      <w:r>
        <w:rPr>
          <w:rFonts w:hint="eastAsia" w:ascii="宋体" w:hAnsi="宋体" w:eastAsia="宋体" w:cs="宋体"/>
          <w:b/>
          <w:bCs/>
          <w:color w:val="000000"/>
          <w:sz w:val="24"/>
          <w:szCs w:val="24"/>
          <w:highlight w:val="none"/>
        </w:rPr>
      </w:r>
      <w:r/>
    </w:p>
    <w:p>
      <w:pPr>
        <w:pStyle w:val="94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3.2.4.1供应商的资格要求：</w:t>
      </w:r>
      <w:r>
        <w:rPr>
          <w:rFonts w:hint="eastAsia" w:ascii="宋体" w:hAnsi="宋体" w:eastAsia="宋体" w:cs="宋体"/>
          <w:color w:val="000000"/>
          <w:sz w:val="24"/>
          <w:szCs w:val="24"/>
          <w:highlight w:val="none"/>
        </w:rPr>
      </w:r>
      <w:r/>
    </w:p>
    <w:p>
      <w:pPr>
        <w:pStyle w:val="94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（1）具有独立承担民事责任的能力的材料复印件：包括法人或者其他组织的营业执照等证明文件，自然人的身份证明；</w:t>
      </w:r>
      <w:r>
        <w:rPr>
          <w:rFonts w:hint="eastAsia" w:ascii="宋体" w:hAnsi="宋体" w:eastAsia="宋体" w:cs="宋体"/>
          <w:color w:val="000000"/>
          <w:sz w:val="24"/>
          <w:szCs w:val="24"/>
          <w:highlight w:val="none"/>
        </w:rPr>
      </w:r>
      <w:r/>
    </w:p>
    <w:p>
      <w:pPr>
        <w:pStyle w:val="94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（2）具有良好的商业信誉和健全的财务会计制度的材料：包括但不限于法人提供2024年度或2025年度经审计的财务报告或基本开户银行在本年度内出具的资信证明复印件；</w:t>
      </w:r>
      <w:r>
        <w:rPr>
          <w:rFonts w:hint="eastAsia" w:ascii="宋体" w:hAnsi="宋体" w:eastAsia="宋体" w:cs="宋体"/>
          <w:color w:val="000000"/>
          <w:sz w:val="24"/>
          <w:szCs w:val="24"/>
          <w:highlight w:val="none"/>
        </w:rPr>
      </w:r>
      <w:r/>
    </w:p>
    <w:p>
      <w:pPr>
        <w:pStyle w:val="94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（3）具有履行合同所必需的设备和专业技术能力的证明材料复印件或承诺；</w:t>
      </w:r>
      <w:r>
        <w:rPr>
          <w:rFonts w:hint="eastAsia" w:ascii="宋体" w:hAnsi="宋体" w:eastAsia="宋体" w:cs="宋体"/>
          <w:color w:val="000000"/>
          <w:sz w:val="24"/>
          <w:szCs w:val="24"/>
          <w:highlight w:val="none"/>
        </w:rPr>
      </w:r>
      <w:r/>
    </w:p>
    <w:p>
      <w:pPr>
        <w:pStyle w:val="94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具有依法缴纳税收和社会保障资金的良好记录的材料：供应商上一税收申报日缴纳增值税或企业所得税的凭据及上一社保申报日缴纳的社会保险的凭据（专用收据或社会保险缴纳清单），依法免税或不需要缴纳的供应商，应提供对应证明文件复印件；</w:t>
      </w:r>
      <w:r>
        <w:rPr>
          <w:rFonts w:hint="eastAsia" w:ascii="宋体" w:hAnsi="宋体" w:eastAsia="宋体" w:cs="宋体"/>
          <w:color w:val="000000"/>
          <w:sz w:val="24"/>
          <w:szCs w:val="24"/>
          <w:highlight w:val="none"/>
        </w:rPr>
      </w:r>
      <w:r/>
    </w:p>
    <w:p>
      <w:pPr>
        <w:pStyle w:val="94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（5）参加政府采购活动前三年内，在经营活动中没有出现重大违法记录的书面声明函；</w:t>
      </w:r>
      <w:r>
        <w:rPr>
          <w:rFonts w:hint="eastAsia" w:ascii="宋体" w:hAnsi="宋体" w:eastAsia="宋体" w:cs="宋体"/>
          <w:color w:val="000000"/>
          <w:sz w:val="24"/>
          <w:szCs w:val="24"/>
          <w:highlight w:val="none"/>
        </w:rPr>
      </w:r>
      <w:r/>
    </w:p>
    <w:p>
      <w:pPr>
        <w:pStyle w:val="94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（6）按照相关法律法规参与本项目所必须取得国家有关主管部门的行政许可证明资料复印件（如有须提供）；</w:t>
      </w:r>
      <w:r>
        <w:rPr>
          <w:rFonts w:hint="eastAsia" w:ascii="宋体" w:hAnsi="宋体" w:eastAsia="宋体" w:cs="宋体"/>
          <w:color w:val="000000"/>
          <w:sz w:val="24"/>
          <w:szCs w:val="24"/>
          <w:highlight w:val="none"/>
        </w:rPr>
      </w:r>
      <w:r/>
    </w:p>
    <w:p>
      <w:pPr>
        <w:pStyle w:val="94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val="en-US" w:eastAsia="zh-CN"/>
        </w:rPr>
        <w:t xml:space="preserve">第一标段须</w:t>
      </w:r>
      <w:r>
        <w:rPr>
          <w:rFonts w:hint="eastAsia" w:ascii="宋体" w:hAnsi="宋体" w:eastAsia="宋体" w:cs="宋体"/>
          <w:bCs/>
          <w:color w:val="000000"/>
          <w:sz w:val="24"/>
          <w:szCs w:val="24"/>
          <w:highlight w:val="none"/>
        </w:rPr>
        <w:t xml:space="preserve">具有所投产品的医疗器械经营资格（二类医疗器械备案、三类医疗器械经营许可证）</w:t>
      </w:r>
      <w:r>
        <w:rPr>
          <w:rFonts w:hint="eastAsia" w:ascii="宋体" w:hAnsi="宋体" w:eastAsia="宋体"/>
          <w:color w:val="000000"/>
          <w:sz w:val="24"/>
          <w:szCs w:val="24"/>
          <w:highlight w:val="none"/>
        </w:rPr>
        <w:t xml:space="preserve">。</w:t>
      </w:r>
      <w:r>
        <w:rPr>
          <w:rFonts w:hint="eastAsia" w:ascii="宋体" w:hAnsi="宋体" w:eastAsia="宋体" w:cs="宋体"/>
          <w:color w:val="000000"/>
          <w:sz w:val="24"/>
          <w:szCs w:val="24"/>
          <w:highlight w:val="none"/>
        </w:rPr>
      </w:r>
      <w:r/>
    </w:p>
    <w:p>
      <w:pPr>
        <w:pStyle w:val="94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3.2.4.2其他有关资格证明的文件（若有）。</w:t>
      </w:r>
      <w:r>
        <w:rPr>
          <w:rFonts w:hint="eastAsia" w:ascii="宋体" w:hAnsi="宋体" w:eastAsia="宋体" w:cs="宋体"/>
          <w:color w:val="000000"/>
          <w:sz w:val="24"/>
          <w:szCs w:val="24"/>
          <w:highlight w:val="none"/>
        </w:rPr>
      </w:r>
      <w:r/>
    </w:p>
    <w:p>
      <w:pPr>
        <w:pStyle w:val="945"/>
        <w:ind w:left="5" w:firstLine="520"/>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3.2.5符合性审查响应文件：</w:t>
      </w:r>
      <w:r>
        <w:rPr>
          <w:rFonts w:hint="eastAsia" w:ascii="宋体" w:hAnsi="宋体" w:eastAsia="宋体" w:cs="宋体"/>
          <w:color w:val="000000"/>
          <w:sz w:val="24"/>
          <w:szCs w:val="24"/>
          <w:highlight w:val="none"/>
        </w:rPr>
      </w:r>
      <w:r/>
    </w:p>
    <w:p>
      <w:pPr>
        <w:pStyle w:val="94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3.2.5.1磋商响应函（格式见第三章）；</w:t>
      </w:r>
      <w:r>
        <w:rPr>
          <w:rFonts w:hint="eastAsia" w:ascii="宋体" w:hAnsi="宋体" w:eastAsia="宋体" w:cs="宋体"/>
          <w:color w:val="000000"/>
          <w:sz w:val="24"/>
          <w:szCs w:val="24"/>
          <w:highlight w:val="none"/>
        </w:rPr>
      </w:r>
      <w:r/>
    </w:p>
    <w:p>
      <w:pPr>
        <w:pStyle w:val="94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3.2.5.2关于资格文件的声明函（格式见第三章）；</w:t>
      </w:r>
      <w:r>
        <w:rPr>
          <w:rFonts w:hint="eastAsia" w:ascii="宋体" w:hAnsi="宋体" w:eastAsia="宋体" w:cs="宋体"/>
          <w:color w:val="000000"/>
          <w:sz w:val="24"/>
          <w:szCs w:val="24"/>
          <w:highlight w:val="none"/>
        </w:rPr>
      </w:r>
      <w:r/>
    </w:p>
    <w:p>
      <w:pPr>
        <w:pStyle w:val="94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3.2.5.3法定代表人身份证复印件；</w:t>
      </w:r>
      <w:r>
        <w:rPr>
          <w:rFonts w:hint="eastAsia" w:ascii="宋体" w:hAnsi="宋体" w:eastAsia="宋体" w:cs="宋体"/>
          <w:color w:val="000000"/>
          <w:sz w:val="24"/>
          <w:szCs w:val="24"/>
          <w:highlight w:val="none"/>
        </w:rPr>
      </w:r>
      <w:r/>
    </w:p>
    <w:p>
      <w:pPr>
        <w:pStyle w:val="94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3.2.5.4法定代表人授权委托书及授权委托人身份证复印件（如有授权，格式见第三章）；</w:t>
      </w:r>
      <w:r>
        <w:rPr>
          <w:rFonts w:hint="eastAsia" w:ascii="宋体" w:hAnsi="宋体" w:eastAsia="宋体" w:cs="宋体"/>
          <w:color w:val="000000"/>
          <w:sz w:val="24"/>
          <w:szCs w:val="24"/>
          <w:highlight w:val="none"/>
        </w:rPr>
      </w:r>
      <w:r/>
    </w:p>
    <w:p>
      <w:pPr>
        <w:pStyle w:val="945"/>
        <w:ind w:left="5" w:firstLine="518"/>
        <w:spacing w:line="360" w:lineRule="auto"/>
        <w:tabs>
          <w:tab w:val="left" w:pos="851"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3.2.5.5</w:t>
      </w:r>
      <w:r>
        <w:rPr>
          <w:rFonts w:hint="eastAsia" w:ascii="宋体" w:hAnsi="宋体" w:eastAsia="宋体" w:cs="宋体"/>
          <w:color w:val="000000"/>
          <w:sz w:val="24"/>
          <w:szCs w:val="24"/>
          <w:highlight w:val="none"/>
        </w:rPr>
        <w:t xml:space="preserve">投标货物和服务数量、品牌、规格、制造商明细表（格式见第三章）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5"/>
        <w:ind w:left="5" w:firstLine="518"/>
        <w:spacing w:line="360" w:lineRule="auto"/>
        <w:tabs>
          <w:tab w:val="left" w:pos="851"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3.2.5.6</w:t>
      </w:r>
      <w:r>
        <w:rPr>
          <w:rFonts w:hint="eastAsia" w:ascii="宋体" w:hAnsi="宋体" w:eastAsia="宋体" w:cs="宋体"/>
          <w:color w:val="000000"/>
          <w:sz w:val="24"/>
          <w:szCs w:val="24"/>
          <w:highlight w:val="none"/>
        </w:rPr>
        <w:t xml:space="preserve">技术参数响应及偏离表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商务条款响应及偏离表（格式见第三章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5"/>
        <w:ind w:left="5" w:firstLine="518"/>
        <w:spacing w:line="360" w:lineRule="auto"/>
        <w:tabs>
          <w:tab w:val="left" w:pos="851"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3.2.5.</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未被“信用中国”及“中国政府采购网”列入失信被执行人、重大税收违法案件当事人名单、政府采购严重失信行为记录名单的查询记录页面截图</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3.2.5.</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对属于《节能产品政府采购品目清单》政府强制采购产品的，须提供该产品有效期内的认证等相关证明材料（若有）。</w:t>
      </w:r>
      <w:r>
        <w:rPr>
          <w:rFonts w:hint="eastAsia" w:ascii="宋体" w:hAnsi="宋体" w:eastAsia="宋体" w:cs="宋体"/>
          <w:color w:val="000000"/>
          <w:sz w:val="24"/>
          <w:szCs w:val="24"/>
          <w:highlight w:val="none"/>
        </w:rPr>
      </w:r>
      <w:r/>
    </w:p>
    <w:p>
      <w:pPr>
        <w:pStyle w:val="94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3.2.5.</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《中小企业声明函》或《残疾人福利性单位声明函》或由省级以上监狱管理局、戒毒管理局（含新疆生产建设兵团）出具的属于监狱企业的证明文件；</w:t>
      </w:r>
      <w:r>
        <w:rPr>
          <w:rFonts w:hint="eastAsia" w:ascii="宋体" w:hAnsi="宋体" w:eastAsia="宋体" w:cs="宋体"/>
          <w:color w:val="000000"/>
          <w:sz w:val="24"/>
          <w:szCs w:val="24"/>
          <w:highlight w:val="none"/>
        </w:rPr>
      </w:r>
      <w:r/>
    </w:p>
    <w:p>
      <w:pPr>
        <w:pStyle w:val="94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3.2.5.</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其他有关符合性证明的文件（若有）；</w:t>
      </w:r>
      <w:r>
        <w:rPr>
          <w:rFonts w:hint="eastAsia" w:ascii="宋体" w:hAnsi="宋体" w:eastAsia="宋体" w:cs="宋体"/>
          <w:color w:val="000000"/>
          <w:sz w:val="24"/>
          <w:szCs w:val="24"/>
          <w:highlight w:val="none"/>
        </w:rPr>
      </w:r>
      <w:r/>
    </w:p>
    <w:p>
      <w:pPr>
        <w:pStyle w:val="945"/>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3.2.6综合评审响应文件（见第六章）；</w:t>
      </w:r>
      <w:r>
        <w:rPr>
          <w:rFonts w:hint="eastAsia" w:ascii="宋体" w:hAnsi="宋体" w:eastAsia="宋体" w:cs="宋体"/>
          <w:b/>
          <w:bCs/>
          <w:color w:val="000000"/>
          <w:sz w:val="24"/>
          <w:szCs w:val="24"/>
          <w:highlight w:val="none"/>
        </w:rPr>
      </w:r>
      <w:r/>
    </w:p>
    <w:p>
      <w:pPr>
        <w:pStyle w:val="94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3.2.7与本次采购相关的其他证明材料。</w:t>
      </w:r>
      <w:r>
        <w:rPr>
          <w:rFonts w:hint="eastAsia" w:ascii="宋体" w:hAnsi="宋体" w:eastAsia="宋体" w:cs="宋体"/>
          <w:color w:val="000000"/>
          <w:sz w:val="24"/>
          <w:szCs w:val="24"/>
          <w:highlight w:val="none"/>
        </w:rPr>
      </w:r>
      <w:r/>
    </w:p>
    <w:p>
      <w:pPr>
        <w:pStyle w:val="945"/>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注：</w:t>
      </w:r>
      <w:r>
        <w:rPr>
          <w:rFonts w:hint="eastAsia" w:ascii="宋体" w:hAnsi="宋体" w:eastAsia="宋体" w:cs="宋体"/>
          <w:b/>
          <w:bCs/>
          <w:color w:val="000000"/>
          <w:sz w:val="24"/>
          <w:szCs w:val="24"/>
          <w:highlight w:val="none"/>
        </w:rPr>
      </w:r>
      <w:r/>
    </w:p>
    <w:p>
      <w:pPr>
        <w:pStyle w:val="945"/>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以上3.2.2-3.2.3项为供应商报价的依据，响应供应商必须提供并加盖电子公章，否则，磋商响应文件将被认定为未实质性响应。</w:t>
      </w:r>
      <w:r>
        <w:rPr>
          <w:rFonts w:hint="eastAsia" w:ascii="宋体" w:hAnsi="宋体" w:eastAsia="宋体" w:cs="宋体"/>
          <w:b/>
          <w:bCs/>
          <w:color w:val="000000"/>
          <w:sz w:val="24"/>
          <w:szCs w:val="24"/>
          <w:highlight w:val="none"/>
        </w:rPr>
      </w:r>
      <w:r/>
    </w:p>
    <w:p>
      <w:pPr>
        <w:pStyle w:val="945"/>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以上3.2.4.1-3.2.4.2项为资格审查提供的资料，是作为对供应商资格审查、质疑身份认定的依据，响应供应商必须提供并加盖电子公章，否则，磋商响应文件将被认定为不符合资格审查要求。</w:t>
      </w:r>
      <w:r>
        <w:rPr>
          <w:rFonts w:hint="eastAsia" w:ascii="宋体" w:hAnsi="宋体" w:eastAsia="宋体" w:cs="宋体"/>
          <w:b/>
          <w:bCs/>
          <w:color w:val="000000"/>
          <w:sz w:val="24"/>
          <w:szCs w:val="24"/>
          <w:highlight w:val="none"/>
        </w:rPr>
      </w:r>
      <w:r/>
    </w:p>
    <w:p>
      <w:pPr>
        <w:pStyle w:val="945"/>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以上3.2.5.1-3.2.5.4为符合性审查必须提供的资料，响应供应商必须提供并加盖电子公章，否则，磋商响应文件将被认定为未实质性响应。</w:t>
      </w:r>
      <w:r>
        <w:rPr>
          <w:rFonts w:hint="eastAsia" w:ascii="宋体" w:hAnsi="宋体" w:eastAsia="宋体" w:cs="宋体"/>
          <w:b/>
          <w:bCs/>
          <w:color w:val="000000"/>
          <w:sz w:val="24"/>
          <w:szCs w:val="24"/>
          <w:highlight w:val="none"/>
        </w:rPr>
      </w:r>
      <w:r/>
    </w:p>
    <w:p>
      <w:pPr>
        <w:pStyle w:val="945"/>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制作电子响应文件时需与响应文件制作软件目录一一对应，将相关资料上传至相应模块。</w:t>
      </w:r>
      <w:r>
        <w:rPr>
          <w:rFonts w:hint="eastAsia" w:ascii="宋体" w:hAnsi="宋体" w:eastAsia="宋体" w:cs="宋体"/>
          <w:b/>
          <w:bCs/>
          <w:color w:val="000000"/>
          <w:sz w:val="24"/>
          <w:szCs w:val="24"/>
          <w:highlight w:val="none"/>
        </w:rPr>
      </w:r>
      <w:r/>
    </w:p>
    <w:p>
      <w:pPr>
        <w:pStyle w:val="945"/>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供应商应保证上传的响应文件完整、清晰可辨认，若因上传资料过小或模糊不清等无法辨认的都视为该资料未提供。</w:t>
      </w:r>
      <w:r>
        <w:rPr>
          <w:rFonts w:hint="eastAsia" w:ascii="宋体" w:hAnsi="宋体" w:eastAsia="宋体" w:cs="宋体"/>
          <w:b/>
          <w:bCs/>
          <w:color w:val="000000"/>
          <w:sz w:val="24"/>
          <w:szCs w:val="24"/>
          <w:highlight w:val="none"/>
        </w:rPr>
      </w:r>
      <w:r/>
    </w:p>
    <w:p>
      <w:pPr>
        <w:pStyle w:val="945"/>
        <w:ind w:firstLine="472"/>
        <w:spacing w:line="360" w:lineRule="auto"/>
        <w:tabs>
          <w:tab w:val="left" w:pos="540" w:leader="none"/>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如供应商响应文件中某些条款不响应磋商文件提出的全部服务内容与要求，须在响应文件中逐条列出，未列出的视同响应。</w:t>
      </w:r>
      <w:r>
        <w:rPr>
          <w:rFonts w:hint="eastAsia" w:ascii="宋体" w:hAnsi="宋体" w:eastAsia="宋体" w:cs="宋体"/>
          <w:b/>
          <w:bCs/>
          <w:color w:val="000000"/>
          <w:sz w:val="24"/>
          <w:szCs w:val="24"/>
          <w:highlight w:val="none"/>
        </w:rPr>
      </w:r>
      <w:r/>
    </w:p>
    <w:p>
      <w:pPr>
        <w:pStyle w:val="945"/>
        <w:ind w:firstLine="482"/>
        <w:spacing w:line="360" w:lineRule="auto"/>
        <w:tabs>
          <w:tab w:val="left" w:pos="142" w:leader="none"/>
          <w:tab w:val="left" w:pos="600" w:leader="none"/>
        </w:tabs>
        <w:rPr>
          <w:rFonts w:hint="eastAsia" w:ascii="宋体" w:hAnsi="宋体" w:eastAsia="宋体" w:cs="宋体"/>
          <w:color w:val="000000"/>
          <w:highlight w:val="none"/>
        </w:rPr>
      </w:pPr>
      <w:r>
        <w:rPr>
          <w:rFonts w:hint="eastAsia" w:ascii="宋体" w:hAnsi="宋体" w:eastAsia="宋体" w:cs="宋体"/>
          <w:b/>
          <w:color w:val="000000"/>
          <w:sz w:val="24"/>
          <w:szCs w:val="24"/>
          <w:highlight w:val="none"/>
        </w:rPr>
        <w:t xml:space="preserve">如不同供应商使用同一台电脑制作的电子响应文件的，双方“文件制作机器码”一致的，则其响应文件将被认定为无效响应。</w:t>
      </w:r>
      <w:r>
        <w:rPr>
          <w:rFonts w:hint="eastAsia" w:ascii="宋体" w:hAnsi="宋体" w:eastAsia="宋体" w:cs="宋体"/>
          <w:color w:val="000000"/>
          <w:highlight w:val="none"/>
        </w:rPr>
      </w:r>
      <w:r/>
    </w:p>
    <w:p>
      <w:pPr>
        <w:pStyle w:val="945"/>
        <w:ind w:left="525"/>
        <w:spacing w:line="360" w:lineRule="auto"/>
        <w:tabs>
          <w:tab w:val="left" w:pos="142" w:leader="none"/>
          <w:tab w:val="left" w:pos="600" w:leader="none"/>
        </w:tabs>
        <w:rPr>
          <w:rFonts w:hint="eastAsia" w:ascii="宋体" w:hAnsi="宋体" w:eastAsia="宋体" w:cs="宋体"/>
          <w:bCs/>
          <w:color w:val="000000"/>
          <w:sz w:val="24"/>
          <w:szCs w:val="24"/>
          <w:highlight w:val="none"/>
        </w:rPr>
      </w:pPr>
      <w:r>
        <w:rPr>
          <w:rFonts w:hint="eastAsia" w:ascii="宋体" w:hAnsi="宋体" w:eastAsia="宋体" w:cs="宋体"/>
          <w:b/>
          <w:color w:val="000000"/>
          <w:sz w:val="24"/>
          <w:szCs w:val="24"/>
          <w:highlight w:val="none"/>
        </w:rPr>
        <w:t xml:space="preserve">3.3响应报价</w:t>
      </w:r>
      <w:r>
        <w:rPr>
          <w:rFonts w:hint="eastAsia" w:ascii="宋体" w:hAnsi="宋体" w:eastAsia="宋体" w:cs="宋体"/>
          <w:bCs/>
          <w:color w:val="000000"/>
          <w:sz w:val="24"/>
          <w:szCs w:val="24"/>
          <w:highlight w:val="none"/>
        </w:rPr>
      </w:r>
      <w:r/>
    </w:p>
    <w:p>
      <w:pPr>
        <w:pStyle w:val="94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3.3.1响应报价应包括完成本采购项目全部内容的一切费用，除非合同条款中另有规定，响应单位所报价格在合同实施期间不因市场变化因素而变动。</w:t>
      </w:r>
      <w:r>
        <w:rPr>
          <w:rFonts w:hint="eastAsia" w:ascii="宋体" w:hAnsi="宋体" w:eastAsia="宋体" w:cs="宋体"/>
          <w:color w:val="000000"/>
          <w:sz w:val="24"/>
          <w:szCs w:val="24"/>
          <w:highlight w:val="none"/>
        </w:rPr>
      </w:r>
      <w:r/>
    </w:p>
    <w:p>
      <w:pPr>
        <w:pStyle w:val="94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3.3.2如果采购文件要求分标段投标的，则供应商可以根据自身经营许可范围，选择响应其中部分或者全部标段，但各标段应分别计算填写单价和总价。</w:t>
      </w:r>
      <w:r>
        <w:rPr>
          <w:rFonts w:hint="eastAsia" w:ascii="宋体" w:hAnsi="宋体" w:eastAsia="宋体" w:cs="宋体"/>
          <w:color w:val="000000"/>
          <w:sz w:val="24"/>
          <w:szCs w:val="24"/>
          <w:highlight w:val="none"/>
        </w:rPr>
      </w:r>
      <w:r/>
    </w:p>
    <w:p>
      <w:pPr>
        <w:pStyle w:val="94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3.3.3供应商应对所投项目的全部内容进行报价，只对其中部分内容报价的，其响应无效。</w:t>
      </w:r>
      <w:r>
        <w:rPr>
          <w:rFonts w:hint="eastAsia" w:ascii="宋体" w:hAnsi="宋体" w:eastAsia="宋体" w:cs="宋体"/>
          <w:color w:val="000000"/>
          <w:sz w:val="24"/>
          <w:szCs w:val="24"/>
          <w:highlight w:val="none"/>
        </w:rPr>
      </w:r>
      <w:r/>
    </w:p>
    <w:p>
      <w:pPr>
        <w:pStyle w:val="94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3.3.4一项采购内容只允许一个报价，任何有选择性响应报价的，其响应无效。</w:t>
      </w:r>
      <w:r>
        <w:rPr>
          <w:rFonts w:hint="eastAsia" w:ascii="宋体" w:hAnsi="宋体" w:eastAsia="宋体" w:cs="宋体"/>
          <w:color w:val="000000"/>
          <w:sz w:val="24"/>
          <w:szCs w:val="24"/>
          <w:highlight w:val="none"/>
        </w:rPr>
      </w:r>
      <w:r/>
    </w:p>
    <w:p>
      <w:pPr>
        <w:pStyle w:val="94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3.2.5响应文件报价中的单价和总价全部采用人民币表示，除非另有规定。</w:t>
      </w:r>
      <w:r>
        <w:rPr>
          <w:rFonts w:hint="eastAsia" w:ascii="宋体" w:hAnsi="宋体" w:eastAsia="宋体" w:cs="宋体"/>
          <w:color w:val="000000"/>
          <w:sz w:val="24"/>
          <w:szCs w:val="24"/>
          <w:highlight w:val="none"/>
        </w:rPr>
      </w:r>
      <w:r/>
    </w:p>
    <w:p>
      <w:pPr>
        <w:pStyle w:val="945"/>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3.3.6任意一次报价（包括首次报价、最后报价）超过磋商文件中规定的预算金额或者最高限价的，其响应文件按无效文件处理。</w:t>
      </w:r>
      <w:r>
        <w:rPr>
          <w:rFonts w:hint="eastAsia" w:ascii="宋体" w:hAnsi="宋体" w:eastAsia="宋体" w:cs="宋体"/>
          <w:b/>
          <w:bCs/>
          <w:color w:val="000000"/>
          <w:sz w:val="24"/>
          <w:szCs w:val="24"/>
          <w:highlight w:val="none"/>
        </w:rPr>
      </w:r>
      <w:r/>
    </w:p>
    <w:p>
      <w:pPr>
        <w:pStyle w:val="945"/>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3.3.7除因磋商文件修改导致成本增加外，供应商最后报价超过首次报价的（响应文件中的报价），其响应文件按无效文件处理。</w:t>
      </w:r>
      <w:r>
        <w:rPr>
          <w:rFonts w:hint="eastAsia" w:ascii="宋体" w:hAnsi="宋体" w:eastAsia="宋体" w:cs="宋体"/>
          <w:b/>
          <w:bCs/>
          <w:color w:val="000000"/>
          <w:sz w:val="24"/>
          <w:szCs w:val="24"/>
          <w:highlight w:val="none"/>
        </w:rPr>
      </w:r>
      <w:r/>
    </w:p>
    <w:p>
      <w:pPr>
        <w:pStyle w:val="94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3.3.8报价的大写金额和小写金额不一致的，以大写金额为准。</w:t>
      </w:r>
      <w:r>
        <w:rPr>
          <w:rFonts w:hint="eastAsia" w:ascii="宋体" w:hAnsi="宋体" w:eastAsia="宋体" w:cs="宋体"/>
          <w:color w:val="000000"/>
          <w:sz w:val="24"/>
          <w:szCs w:val="24"/>
          <w:highlight w:val="none"/>
        </w:rPr>
      </w:r>
      <w:r/>
    </w:p>
    <w:p>
      <w:pPr>
        <w:pStyle w:val="94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3.3.9单价金额小数点或者百分比有明显错位的，以该次报价总价为准。</w:t>
      </w:r>
      <w:r>
        <w:rPr>
          <w:rFonts w:hint="eastAsia" w:ascii="宋体" w:hAnsi="宋体" w:eastAsia="宋体" w:cs="宋体"/>
          <w:color w:val="000000"/>
          <w:sz w:val="24"/>
          <w:szCs w:val="24"/>
          <w:highlight w:val="none"/>
        </w:rPr>
      </w:r>
      <w:r/>
    </w:p>
    <w:p>
      <w:pPr>
        <w:pStyle w:val="94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3.3.10总价金额与按单价汇总金额不一致的，以单价金额计算结果为准。</w:t>
      </w:r>
      <w:r>
        <w:rPr>
          <w:rFonts w:hint="eastAsia" w:ascii="宋体" w:hAnsi="宋体" w:eastAsia="宋体" w:cs="宋体"/>
          <w:color w:val="000000"/>
          <w:sz w:val="24"/>
          <w:szCs w:val="24"/>
          <w:highlight w:val="none"/>
        </w:rPr>
      </w:r>
      <w:r/>
    </w:p>
    <w:p>
      <w:pPr>
        <w:pStyle w:val="945"/>
        <w:ind w:left="525"/>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3.4电子响应文件的编制与提交</w:t>
      </w:r>
      <w:r>
        <w:rPr>
          <w:rFonts w:hint="eastAsia" w:ascii="宋体" w:hAnsi="宋体" w:eastAsia="宋体" w:cs="宋体"/>
          <w:b/>
          <w:color w:val="000000"/>
          <w:sz w:val="24"/>
          <w:szCs w:val="24"/>
          <w:highlight w:val="none"/>
        </w:rPr>
      </w:r>
      <w:r/>
    </w:p>
    <w:p>
      <w:pPr>
        <w:pStyle w:val="945"/>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3.4.1响应文件编制要求：本项目为网上招投标项目，请供应商插入CA 证书登录“苏采云”系统下载客户端（参与项目页面可下载客户端及客户端使用说明），在客户端编制电子响应文件并进行CA加密。操作步骤详见“苏采云”系统页面提示和《操作手册》。</w:t>
      </w:r>
      <w:r>
        <w:rPr>
          <w:rFonts w:hint="eastAsia" w:ascii="宋体" w:hAnsi="宋体" w:eastAsia="宋体" w:cs="宋体"/>
          <w:color w:val="000000"/>
          <w:sz w:val="24"/>
          <w:szCs w:val="24"/>
          <w:highlight w:val="none"/>
        </w:rPr>
      </w:r>
      <w:r/>
    </w:p>
    <w:p>
      <w:pPr>
        <w:pStyle w:val="94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3.4.2电子响应文件递交：供应商应当按照《操作手册》指引，在响应文件提交截止时间前完成电子响应文件的上传，未按要求成功上传的响应文件视为未递交。供应商应充分考虑到网络环境、网络带宽等风险因素，如因供应商自身原因造成的电子响应文件上传不成功由供应商自行承担全部责任。</w:t>
      </w:r>
      <w:r>
        <w:rPr>
          <w:rFonts w:hint="eastAsia" w:ascii="宋体" w:hAnsi="宋体" w:eastAsia="宋体" w:cs="宋体"/>
          <w:color w:val="000000"/>
          <w:sz w:val="24"/>
          <w:szCs w:val="24"/>
          <w:highlight w:val="none"/>
        </w:rPr>
      </w:r>
      <w:r/>
    </w:p>
    <w:p>
      <w:pPr>
        <w:pStyle w:val="94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注：（1）请供应商务必保管好编制递交电子响应文件时使用的CA，如因丢失、损坏等原因更换CA锁时，需重新制作电子响应文件并递交，否则可能无法解密，因此导致的响应失败等不利后果由供应商自行承担。</w:t>
      </w:r>
      <w:r>
        <w:rPr>
          <w:rFonts w:hint="eastAsia" w:ascii="宋体" w:hAnsi="宋体" w:eastAsia="宋体" w:cs="宋体"/>
          <w:color w:val="000000"/>
          <w:sz w:val="24"/>
          <w:szCs w:val="24"/>
          <w:highlight w:val="none"/>
        </w:rPr>
      </w:r>
      <w:r/>
    </w:p>
    <w:p>
      <w:pPr>
        <w:pStyle w:val="94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如本项目在政府采购信息发布媒体上发布了更正（补充）公告，请供应商务必在“苏采云”系统中下载更正（补充）资料，根据更正后的采购文件重新编制电子响应文件并递交，否则可能无法解密，因此导致的响应失败等不利后果由供应商自行承担。</w:t>
      </w:r>
      <w:r>
        <w:rPr>
          <w:rFonts w:hint="eastAsia" w:ascii="宋体" w:hAnsi="宋体" w:eastAsia="宋体" w:cs="宋体"/>
          <w:color w:val="000000"/>
          <w:sz w:val="24"/>
          <w:szCs w:val="24"/>
          <w:highlight w:val="none"/>
        </w:rPr>
      </w:r>
      <w:r/>
    </w:p>
    <w:p>
      <w:pPr>
        <w:pStyle w:val="94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3.4.3响应文件未按照磋商文件要求加盖CA电子公章的，响应无效。</w:t>
      </w:r>
      <w:r>
        <w:rPr>
          <w:rFonts w:hint="eastAsia" w:ascii="宋体" w:hAnsi="宋体" w:eastAsia="宋体" w:cs="宋体"/>
          <w:color w:val="000000"/>
          <w:sz w:val="24"/>
          <w:szCs w:val="24"/>
          <w:highlight w:val="none"/>
        </w:rPr>
      </w:r>
      <w:r/>
    </w:p>
    <w:p>
      <w:pPr>
        <w:pStyle w:val="94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3.5响应文件的开启（解密）</w:t>
      </w:r>
      <w:r>
        <w:rPr>
          <w:rFonts w:hint="eastAsia" w:ascii="宋体" w:hAnsi="宋体" w:eastAsia="宋体" w:cs="宋体"/>
          <w:color w:val="000000"/>
          <w:sz w:val="24"/>
          <w:szCs w:val="24"/>
          <w:highlight w:val="none"/>
        </w:rPr>
      </w:r>
      <w:r/>
    </w:p>
    <w:p>
      <w:pPr>
        <w:pStyle w:val="94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3.5.1线上参加（观看）开标（开启）会方式：登录苏采云系统，点击“开标大厅”，选择对应项目。</w:t>
      </w:r>
      <w:r>
        <w:rPr>
          <w:rFonts w:hint="eastAsia" w:ascii="宋体" w:hAnsi="宋体" w:eastAsia="宋体" w:cs="宋体"/>
          <w:color w:val="000000"/>
          <w:sz w:val="24"/>
          <w:szCs w:val="24"/>
          <w:highlight w:val="none"/>
        </w:rPr>
      </w:r>
      <w:r/>
    </w:p>
    <w:p>
      <w:pPr>
        <w:pStyle w:val="945"/>
        <w:ind w:left="5" w:firstLine="518"/>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3.5.2供应商应当按照《操作手册》规定，在苏采云系统规定的时间内对磋商响应文件进行解密。等待开标流程进入“解锁环境”，点击“点击立即解密”进行标书解密，解锁完成后及时关注开标大厅，等待后续报价、答疑澄清等提示，</w:t>
      </w:r>
      <w:r>
        <w:rPr>
          <w:rFonts w:hint="eastAsia" w:ascii="宋体" w:hAnsi="宋体" w:eastAsia="宋体" w:cs="宋体"/>
          <w:b/>
          <w:bCs/>
          <w:color w:val="000000"/>
          <w:sz w:val="24"/>
          <w:szCs w:val="24"/>
          <w:highlight w:val="none"/>
        </w:rPr>
        <w:t xml:space="preserve">否则导致的对供应商不利的后果由供应商自行承担。</w:t>
      </w:r>
      <w:r>
        <w:rPr>
          <w:rFonts w:hint="eastAsia" w:ascii="宋体" w:hAnsi="宋体" w:eastAsia="宋体" w:cs="宋体"/>
          <w:b/>
          <w:bCs/>
          <w:color w:val="000000"/>
          <w:sz w:val="24"/>
          <w:szCs w:val="24"/>
          <w:highlight w:val="none"/>
        </w:rPr>
      </w:r>
      <w:r/>
    </w:p>
    <w:p>
      <w:pPr>
        <w:pStyle w:val="945"/>
        <w:ind w:left="5" w:firstLine="520"/>
        <w:spacing w:line="360" w:lineRule="auto"/>
        <w:tabs>
          <w:tab w:val="left" w:pos="851" w:leader="none"/>
        </w:tabs>
        <w:rPr>
          <w:rFonts w:hint="eastAsia" w:ascii="宋体" w:hAnsi="宋体" w:eastAsia="宋体" w:cs="宋体"/>
          <w:b/>
          <w:bCs/>
          <w:color w:val="000000"/>
          <w:sz w:val="24"/>
          <w:szCs w:val="24"/>
          <w:highlight w:val="none"/>
        </w:rPr>
      </w:pPr>
      <w:r/>
      <w:bookmarkStart w:id="2" w:name="_Hlk154589874"/>
      <w:r>
        <w:rPr>
          <w:rFonts w:hint="eastAsia" w:ascii="宋体" w:hAnsi="宋体" w:eastAsia="宋体" w:cs="宋体"/>
          <w:b/>
          <w:bCs/>
          <w:color w:val="000000"/>
          <w:sz w:val="24"/>
          <w:szCs w:val="24"/>
          <w:highlight w:val="none"/>
        </w:rPr>
        <w:t xml:space="preserve">3.5.3供应商在苏采云系统规定的时间内未成功解密电子响应文件的，响应无效。</w:t>
      </w:r>
      <w:r>
        <w:rPr>
          <w:rFonts w:hint="eastAsia" w:ascii="宋体" w:hAnsi="宋体" w:eastAsia="宋体" w:cs="宋体"/>
          <w:b/>
          <w:bCs/>
          <w:color w:val="000000"/>
          <w:sz w:val="24"/>
          <w:szCs w:val="24"/>
          <w:highlight w:val="none"/>
        </w:rPr>
      </w:r>
      <w:r/>
    </w:p>
    <w:p>
      <w:pPr>
        <w:pStyle w:val="945"/>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供应商在制作、上传、解密电子标书过程中若遇到问题，请及时联系CA技术人员或“苏采云”系统客服热线，否则由此产生的后果由供应商自行负责。</w:t>
      </w:r>
      <w:r>
        <w:rPr>
          <w:rFonts w:hint="eastAsia" w:ascii="宋体" w:hAnsi="宋体" w:eastAsia="宋体" w:cs="宋体"/>
          <w:b/>
          <w:bCs/>
          <w:color w:val="000000"/>
          <w:sz w:val="24"/>
          <w:szCs w:val="24"/>
          <w:highlight w:val="none"/>
        </w:rPr>
      </w:r>
      <w:r/>
    </w:p>
    <w:p>
      <w:pPr>
        <w:pStyle w:val="94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3.5.4供应商电脑环境最低要求：谷歌浏览器，版本可直接网上下载最新版本即可。如需收听现场语音需配置放音设备，如视频直播、互动交流使用异常，请刷新网页，如仍无法解决，请联系技术支持。</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bookmarkEnd w:id="2"/>
      <w:r>
        <w:rPr>
          <w:rFonts w:hint="eastAsia" w:ascii="宋体" w:hAnsi="宋体" w:eastAsia="宋体" w:cs="宋体"/>
          <w:color w:val="000000"/>
          <w:sz w:val="24"/>
          <w:szCs w:val="24"/>
          <w:highlight w:val="none"/>
        </w:rPr>
        <w:t xml:space="preserve">3.5.5 CA技术咨询服务电话：400-608-6099；</w:t>
      </w:r>
      <w:r>
        <w:rPr>
          <w:rFonts w:hint="eastAsia" w:ascii="宋体" w:hAnsi="宋体" w:eastAsia="宋体" w:cs="宋体"/>
          <w:color w:val="000000"/>
          <w:sz w:val="24"/>
          <w:szCs w:val="24"/>
          <w:highlight w:val="none"/>
        </w:rPr>
      </w:r>
      <w:r/>
    </w:p>
    <w:p>
      <w:pPr>
        <w:pStyle w:val="94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电子签章技术咨询服务电话025-83633811、025-83633812、15380932027、15371015030；</w:t>
      </w:r>
      <w:r>
        <w:rPr>
          <w:rFonts w:hint="eastAsia" w:ascii="宋体" w:hAnsi="宋体" w:eastAsia="宋体" w:cs="宋体"/>
          <w:color w:val="000000"/>
          <w:sz w:val="24"/>
          <w:szCs w:val="24"/>
          <w:highlight w:val="none"/>
        </w:rPr>
      </w:r>
      <w:r/>
    </w:p>
    <w:p>
      <w:pPr>
        <w:pStyle w:val="945"/>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苏州市及区县“苏采云”系统使用指导与咨询：联系电话：13914088964、0512-69820854；智能客服：登录苏采云系统后，联系系统右下方智能客服图标进行咨询。</w:t>
      </w:r>
      <w:r>
        <w:rPr>
          <w:rFonts w:hint="eastAsia" w:ascii="宋体" w:hAnsi="宋体" w:eastAsia="宋体" w:cs="宋体"/>
          <w:color w:val="000000"/>
          <w:sz w:val="24"/>
          <w:szCs w:val="24"/>
          <w:highlight w:val="none"/>
        </w:rPr>
      </w:r>
      <w:r/>
    </w:p>
    <w:p>
      <w:pPr>
        <w:pStyle w:val="945"/>
        <w:ind w:firstLine="482"/>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3.6响应文件的修改和撤回</w:t>
      </w:r>
      <w:r>
        <w:rPr>
          <w:rFonts w:hint="eastAsia" w:ascii="宋体" w:hAnsi="宋体" w:eastAsia="宋体" w:cs="宋体"/>
          <w:b/>
          <w:color w:val="000000"/>
          <w:sz w:val="24"/>
          <w:szCs w:val="24"/>
          <w:highlight w:val="none"/>
        </w:rPr>
      </w:r>
      <w:r/>
    </w:p>
    <w:p>
      <w:pPr>
        <w:pStyle w:val="108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3.6.1供应商在提交响应文件截止时间前，可以对所递交的响应文件进行补充、修改或者撤回，具体操作方法见《操作手册》。提交响应文件截止时间后供应商不得撤回响应文件。</w:t>
      </w:r>
      <w:r>
        <w:rPr>
          <w:rFonts w:hint="eastAsia" w:ascii="宋体" w:hAnsi="宋体" w:eastAsia="宋体" w:cs="宋体"/>
          <w:color w:val="000000"/>
          <w:sz w:val="24"/>
          <w:szCs w:val="24"/>
          <w:highlight w:val="none"/>
        </w:rPr>
      </w:r>
      <w:r/>
    </w:p>
    <w:p>
      <w:pPr>
        <w:pStyle w:val="945"/>
        <w:ind w:firstLine="482"/>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4.磋商程序</w:t>
      </w:r>
      <w:r>
        <w:rPr>
          <w:rFonts w:hint="eastAsia" w:ascii="宋体" w:hAnsi="宋体" w:eastAsia="宋体" w:cs="宋体"/>
          <w:b/>
          <w:color w:val="000000"/>
          <w:sz w:val="24"/>
          <w:szCs w:val="24"/>
          <w:highlight w:val="none"/>
        </w:rPr>
      </w:r>
      <w:r/>
    </w:p>
    <w:p>
      <w:pPr>
        <w:pStyle w:val="945"/>
        <w:ind w:firstLine="482"/>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4.1磋商小组</w:t>
      </w:r>
      <w:r>
        <w:rPr>
          <w:rFonts w:hint="eastAsia" w:ascii="宋体" w:hAnsi="宋体" w:eastAsia="宋体" w:cs="宋体"/>
          <w:b/>
          <w:color w:val="000000"/>
          <w:sz w:val="24"/>
          <w:szCs w:val="24"/>
          <w:highlight w:val="none"/>
        </w:rPr>
      </w:r>
      <w:r/>
    </w:p>
    <w:p>
      <w:pPr>
        <w:pStyle w:val="108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4.1.1采购代理机构负责组织评审工作；磋商小组由相关专家及采购人代表组成，负责具体评审事务，并独立履行法律、法规规定的职责。</w:t>
      </w:r>
      <w:r>
        <w:rPr>
          <w:rFonts w:hint="eastAsia" w:ascii="宋体" w:hAnsi="宋体" w:eastAsia="宋体" w:cs="宋体"/>
          <w:color w:val="000000"/>
          <w:sz w:val="24"/>
          <w:szCs w:val="24"/>
          <w:highlight w:val="none"/>
        </w:rPr>
      </w:r>
      <w:r/>
    </w:p>
    <w:p>
      <w:pPr>
        <w:pStyle w:val="108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4.1.2磋商小组与参加采购活动的供应商存在下列利害关系之一的，应当回避：</w:t>
      </w:r>
      <w:r>
        <w:rPr>
          <w:rFonts w:hint="eastAsia" w:ascii="宋体" w:hAnsi="宋体" w:eastAsia="宋体" w:cs="宋体"/>
          <w:color w:val="000000"/>
          <w:sz w:val="24"/>
          <w:szCs w:val="24"/>
          <w:highlight w:val="none"/>
        </w:rPr>
      </w:r>
      <w:r/>
    </w:p>
    <w:p>
      <w:pPr>
        <w:pStyle w:val="945"/>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（一）参加采购活动前三年内，与供应商存在劳动关系，或者担任过供应商的董事、监事，或者是供应商的控股股东或实际控制人；</w:t>
      </w:r>
      <w:r>
        <w:rPr>
          <w:rFonts w:hint="eastAsia" w:ascii="宋体" w:hAnsi="宋体" w:eastAsia="宋体" w:cs="宋体"/>
          <w:color w:val="000000"/>
          <w:sz w:val="24"/>
          <w:szCs w:val="24"/>
          <w:highlight w:val="none"/>
        </w:rPr>
      </w:r>
      <w:r/>
    </w:p>
    <w:p>
      <w:pPr>
        <w:pStyle w:val="945"/>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（二）与供应商的法定代表人或者负责人有夫妻、直系血亲、三代以内旁系血亲或者近姻亲关系；</w:t>
      </w:r>
      <w:r>
        <w:rPr>
          <w:rFonts w:hint="eastAsia" w:ascii="宋体" w:hAnsi="宋体" w:eastAsia="宋体" w:cs="宋体"/>
          <w:color w:val="000000"/>
          <w:sz w:val="24"/>
          <w:szCs w:val="24"/>
          <w:highlight w:val="none"/>
        </w:rPr>
      </w:r>
      <w:r/>
    </w:p>
    <w:p>
      <w:pPr>
        <w:pStyle w:val="945"/>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（三）与供应商有其他可能影响政府采购活动公平、公正进行的关系。</w:t>
      </w:r>
      <w:r>
        <w:rPr>
          <w:rFonts w:hint="eastAsia" w:ascii="宋体" w:hAnsi="宋体" w:eastAsia="宋体" w:cs="宋体"/>
          <w:color w:val="000000"/>
          <w:sz w:val="24"/>
          <w:szCs w:val="24"/>
          <w:highlight w:val="none"/>
        </w:rPr>
      </w:r>
      <w:r/>
    </w:p>
    <w:p>
      <w:pPr>
        <w:pStyle w:val="945"/>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磋商小组发现本人与参加采购活动的供应商有利害关系的，应当主动提出回避。采购人或者采购代理机构发现磋商小组与参加采购活动的供应商有利害关系的，应当要求其回避。</w:t>
      </w:r>
      <w:r>
        <w:rPr>
          <w:rFonts w:hint="eastAsia" w:ascii="宋体" w:hAnsi="宋体" w:eastAsia="宋体" w:cs="宋体"/>
          <w:color w:val="000000"/>
          <w:sz w:val="24"/>
          <w:szCs w:val="24"/>
          <w:highlight w:val="none"/>
        </w:rPr>
      </w:r>
      <w:r/>
    </w:p>
    <w:p>
      <w:pPr>
        <w:pStyle w:val="108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4.1.3评审专家应当遵守评审工作纪律，不得泄露评审文件、评审情况和评审中获悉的商业秘密。磋商小组在评审过程中发现供应商有行贿、提供虚假材料或者串通等违法行为的，应当及时向财政部门报告。政府采购评审专家在评审过程中受到非法干预的，应当及时向财政、监察等部门举报。</w:t>
      </w:r>
      <w:r>
        <w:rPr>
          <w:rFonts w:hint="eastAsia" w:ascii="宋体" w:hAnsi="宋体" w:eastAsia="宋体" w:cs="宋体"/>
          <w:color w:val="000000"/>
          <w:sz w:val="24"/>
          <w:szCs w:val="24"/>
          <w:highlight w:val="none"/>
        </w:rPr>
      </w:r>
      <w:r/>
    </w:p>
    <w:p>
      <w:pPr>
        <w:pStyle w:val="108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4.1.4磋商小组成员应当按照客观、公正、审慎的原则，根据采购文件规定的评审程序、评审方法和评审标准进行独立评审。</w:t>
      </w:r>
      <w:r>
        <w:rPr>
          <w:rFonts w:hint="eastAsia" w:ascii="宋体" w:hAnsi="宋体" w:eastAsia="宋体" w:cs="宋体"/>
          <w:color w:val="000000"/>
          <w:sz w:val="24"/>
          <w:szCs w:val="24"/>
          <w:highlight w:val="none"/>
        </w:rPr>
      </w:r>
      <w:r/>
    </w:p>
    <w:p>
      <w:pPr>
        <w:pStyle w:val="945"/>
        <w:ind w:firstLine="482"/>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4.2资格审查</w:t>
      </w:r>
      <w:r>
        <w:rPr>
          <w:rFonts w:hint="eastAsia" w:ascii="宋体" w:hAnsi="宋体" w:eastAsia="宋体" w:cs="宋体"/>
          <w:b/>
          <w:color w:val="000000"/>
          <w:sz w:val="24"/>
          <w:szCs w:val="24"/>
          <w:highlight w:val="none"/>
        </w:rPr>
      </w:r>
      <w:r/>
    </w:p>
    <w:p>
      <w:pPr>
        <w:pStyle w:val="108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4.2.1由磋商小组按磋商文件的资格条件进行资格性审查，</w:t>
      </w:r>
      <w:r>
        <w:rPr>
          <w:rFonts w:hint="eastAsia" w:ascii="宋体" w:hAnsi="宋体" w:eastAsia="宋体" w:cs="宋体"/>
          <w:b/>
          <w:color w:val="000000"/>
          <w:sz w:val="24"/>
          <w:szCs w:val="24"/>
          <w:highlight w:val="none"/>
        </w:rPr>
        <w:t xml:space="preserve">未通过资格审查的响应无效。</w:t>
      </w:r>
      <w:r>
        <w:rPr>
          <w:rFonts w:hint="eastAsia" w:ascii="宋体" w:hAnsi="宋体" w:eastAsia="宋体" w:cs="宋体"/>
          <w:color w:val="000000"/>
          <w:sz w:val="24"/>
          <w:szCs w:val="24"/>
          <w:highlight w:val="none"/>
        </w:rPr>
      </w:r>
      <w:r/>
    </w:p>
    <w:p>
      <w:pPr>
        <w:pStyle w:val="108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4.2.2根据政府采购法及相关法规，以及苏州市财政局《关于印发苏州市市级政府采购信用记录查询和使用工作试行办法的通知》（苏财购（2017）11号）文件的规定，将对供应商进行信用查询。</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（1）查询时间：响应文件递交截止时间。</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（2）查询渠道：通过“信用中国”及“中国政府采购网” 上的信用信息查询供应商的信用记录。</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查询证据留存方式：采购人、采购代理机构工作人员等应按照相关管理办法查询相关主体的信用记录，并保存好相关证据材料，信用查询记录及相关证据应当归入采购档案妥善保管。采购代理机构工作人员应登录到来源网站页面进行复核并打印，作为证据留存。</w:t>
      </w:r>
      <w:r>
        <w:rPr>
          <w:rFonts w:hint="eastAsia" w:ascii="宋体" w:hAnsi="宋体" w:eastAsia="宋体" w:cs="宋体"/>
          <w:color w:val="000000"/>
          <w:sz w:val="24"/>
          <w:szCs w:val="24"/>
          <w:highlight w:val="none"/>
        </w:rPr>
      </w:r>
      <w:r/>
    </w:p>
    <w:p>
      <w:pPr>
        <w:pStyle w:val="945"/>
        <w:ind w:firstLine="42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（4）信用记录使用规则：评审小组在对供应商进行资格性审查时，应根据查询结果对供应商的不良信用记录逐项甄别确认。按照《中华人民共和国政府采购法》第二十二条规定，</w:t>
      </w:r>
      <w:r>
        <w:rPr>
          <w:rFonts w:hint="eastAsia" w:ascii="宋体" w:hAnsi="宋体" w:eastAsia="宋体" w:cs="宋体"/>
          <w:b/>
          <w:bCs/>
          <w:color w:val="000000"/>
          <w:sz w:val="24"/>
          <w:szCs w:val="24"/>
          <w:highlight w:val="none"/>
        </w:rPr>
        <w:t xml:space="preserve">信用记录属于应依法拒绝供应商参加政府采购的失信信息，存在此类失信信息</w:t>
      </w:r>
      <w:r>
        <w:rPr>
          <w:rFonts w:hint="eastAsia" w:ascii="宋体" w:hAnsi="宋体" w:eastAsia="宋体" w:cs="宋体"/>
          <w:b/>
          <w:color w:val="000000"/>
          <w:sz w:val="24"/>
          <w:szCs w:val="24"/>
          <w:highlight w:val="none"/>
        </w:rPr>
        <w:t xml:space="preserve">的供应商的响应文件应按无效文件处理。</w:t>
      </w:r>
      <w:r>
        <w:rPr>
          <w:rFonts w:hint="eastAsia" w:ascii="宋体" w:hAnsi="宋体" w:eastAsia="宋体" w:cs="宋体"/>
          <w:b/>
          <w:color w:val="000000"/>
          <w:sz w:val="24"/>
          <w:szCs w:val="24"/>
          <w:highlight w:val="none"/>
        </w:rPr>
      </w:r>
      <w:r/>
    </w:p>
    <w:p>
      <w:pPr>
        <w:pStyle w:val="108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4.2.3磋商小组应当对响应文件进行评审，并根据磋商文件规定的程序、评定成交的标准等事项与实质性响应磋商文件要求的供应商进行磋商。未实质性响应磋商文件的响应文件按无效处理，磋商小组应当告知有关供应商。</w:t>
      </w:r>
      <w:r>
        <w:rPr>
          <w:rFonts w:hint="eastAsia" w:ascii="宋体" w:hAnsi="宋体" w:eastAsia="宋体" w:cs="宋体"/>
          <w:color w:val="000000"/>
          <w:sz w:val="24"/>
          <w:szCs w:val="24"/>
          <w:highlight w:val="none"/>
        </w:rPr>
      </w:r>
      <w:r/>
    </w:p>
    <w:p>
      <w:pPr>
        <w:pStyle w:val="945"/>
        <w:ind w:firstLine="482"/>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4.3磋商</w:t>
      </w:r>
      <w:r>
        <w:rPr>
          <w:rFonts w:hint="eastAsia" w:ascii="宋体" w:hAnsi="宋体" w:eastAsia="宋体" w:cs="宋体"/>
          <w:b/>
          <w:color w:val="000000"/>
          <w:sz w:val="24"/>
          <w:szCs w:val="24"/>
          <w:highlight w:val="none"/>
        </w:rPr>
      </w:r>
      <w:r/>
    </w:p>
    <w:p>
      <w:pPr>
        <w:pStyle w:val="108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4.3.1本项目采用线上磋商，磋商小组通过苏采云系统向供应商发布“磋商函”，供应商可通过查看【磋商响应】菜单中的待办信息，应当按照要求在苏采云系统提交“磋商响应函”并加盖CA电子公章，</w:t>
      </w:r>
      <w:r>
        <w:rPr>
          <w:rFonts w:hint="eastAsia" w:ascii="宋体" w:hAnsi="宋体" w:eastAsia="宋体" w:cs="宋体"/>
          <w:color w:val="000000"/>
          <w:sz w:val="24"/>
          <w:szCs w:val="24"/>
          <w:highlight w:val="none"/>
          <w:lang w:val="zh-CN"/>
        </w:rPr>
        <w:t xml:space="preserve">具体操作方式见《操作手册》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8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4.3.2</w:t>
      </w:r>
      <w:r>
        <w:rPr>
          <w:rFonts w:hint="eastAsia" w:ascii="宋体" w:hAnsi="宋体" w:eastAsia="宋体" w:cs="宋体"/>
          <w:color w:val="000000"/>
          <w:sz w:val="24"/>
          <w:szCs w:val="24"/>
          <w:highlight w:val="none"/>
          <w:lang w:val="zh-CN"/>
        </w:rPr>
        <w:t xml:space="preserve">磋商小组认为有必要与供应商进行磋商的，</w:t>
      </w:r>
      <w:r>
        <w:rPr>
          <w:rFonts w:hint="eastAsia" w:ascii="宋体" w:hAnsi="宋体" w:eastAsia="宋体" w:cs="宋体"/>
          <w:color w:val="000000"/>
          <w:sz w:val="24"/>
          <w:szCs w:val="24"/>
          <w:highlight w:val="none"/>
        </w:rPr>
        <w:t xml:space="preserve">磋商供应商按顺序进行磋商。磋商小组所有成员应当集中与单一供应商分别进行磋商，并给予所有参加磋商的供应商平等的磋商机会。</w:t>
      </w:r>
      <w:r>
        <w:rPr>
          <w:rFonts w:hint="eastAsia" w:ascii="宋体" w:hAnsi="宋体" w:eastAsia="宋体" w:cs="宋体"/>
          <w:color w:val="000000"/>
          <w:sz w:val="24"/>
          <w:szCs w:val="24"/>
          <w:highlight w:val="none"/>
        </w:rPr>
      </w:r>
      <w:r/>
    </w:p>
    <w:p>
      <w:pPr>
        <w:pStyle w:val="108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4.3.3在磋商过程中，磋商小组可以根据磋商文件和磋商情况实质性变动采购需求中的技术、服务要求以及合同草案条款，但不得变动磋商文件中的其他内容。实质性变动的内容，须经采购人代表确认。</w:t>
      </w:r>
      <w:r>
        <w:rPr>
          <w:rFonts w:hint="eastAsia" w:ascii="宋体" w:hAnsi="宋体" w:eastAsia="宋体" w:cs="宋体"/>
          <w:color w:val="000000"/>
          <w:sz w:val="24"/>
          <w:szCs w:val="24"/>
          <w:highlight w:val="none"/>
        </w:rPr>
      </w:r>
      <w:r/>
    </w:p>
    <w:p>
      <w:pPr>
        <w:pStyle w:val="108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4.3.4对磋商文件作出的实质性变动是磋商文件的有效组成部分，磋商小组应以书面形式记录具体变动内容并经采购人代表签字确认后及时以书面形式（通过苏采云系统）同时通知所有参加磋商的供应商。</w:t>
      </w:r>
      <w:r>
        <w:rPr>
          <w:rFonts w:hint="eastAsia" w:ascii="宋体" w:hAnsi="宋体" w:eastAsia="宋体" w:cs="宋体"/>
          <w:color w:val="000000"/>
          <w:sz w:val="24"/>
          <w:szCs w:val="24"/>
          <w:highlight w:val="none"/>
        </w:rPr>
      </w:r>
      <w:r/>
    </w:p>
    <w:p>
      <w:pPr>
        <w:pStyle w:val="108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4.3.5供应商应当在规定时间内按照磋商文件的变动情况和磋商小组的要求在苏采云系统中重新提交响应文件，并加盖CA电子公章。重新提交的响应文件按磋商文件进行评审。</w:t>
      </w:r>
      <w:r>
        <w:rPr>
          <w:rFonts w:hint="eastAsia" w:ascii="宋体" w:hAnsi="宋体" w:eastAsia="宋体" w:cs="宋体"/>
          <w:color w:val="000000"/>
          <w:sz w:val="24"/>
          <w:szCs w:val="24"/>
          <w:highlight w:val="none"/>
          <w:lang w:val="zh-CN"/>
        </w:rPr>
        <w:t xml:space="preserve">未按要求重新提交响应文件的按响应无效处理。</w:t>
      </w:r>
      <w:r>
        <w:rPr>
          <w:rFonts w:hint="eastAsia" w:ascii="宋体" w:hAnsi="宋体" w:eastAsia="宋体" w:cs="宋体"/>
          <w:color w:val="000000"/>
          <w:sz w:val="24"/>
          <w:szCs w:val="24"/>
          <w:highlight w:val="none"/>
        </w:rPr>
      </w:r>
      <w:r/>
    </w:p>
    <w:p>
      <w:pPr>
        <w:pStyle w:val="945"/>
        <w:ind w:firstLine="482"/>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4.4澄清</w:t>
      </w:r>
      <w:r>
        <w:rPr>
          <w:rFonts w:hint="eastAsia" w:ascii="宋体" w:hAnsi="宋体" w:eastAsia="宋体" w:cs="宋体"/>
          <w:b/>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s="宋体"/>
          <w:color w:val="000000"/>
          <w:sz w:val="24"/>
          <w:szCs w:val="24"/>
          <w:highlight w:val="none"/>
        </w:rPr>
      </w:r>
      <w:r/>
    </w:p>
    <w:p>
      <w:pPr>
        <w:pStyle w:val="108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4.4.1本项目采用线上澄清。</w:t>
      </w:r>
      <w:r>
        <w:rPr>
          <w:rFonts w:hint="eastAsia" w:ascii="宋体" w:hAnsi="宋体" w:eastAsia="宋体" w:cs="宋体"/>
          <w:color w:val="000000"/>
          <w:sz w:val="24"/>
          <w:szCs w:val="24"/>
          <w:highlight w:val="none"/>
        </w:rPr>
      </w:r>
      <w:r/>
    </w:p>
    <w:p>
      <w:pPr>
        <w:pStyle w:val="108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4.4.2</w:t>
      </w:r>
      <w:r>
        <w:rPr>
          <w:rFonts w:hint="eastAsia" w:ascii="宋体" w:hAnsi="宋体" w:eastAsia="宋体" w:cs="宋体"/>
          <w:color w:val="000000"/>
          <w:sz w:val="24"/>
          <w:szCs w:val="24"/>
          <w:highlight w:val="none"/>
          <w:lang w:val="zh-CN"/>
        </w:rPr>
        <w:t xml:space="preserve">线上澄清答复的方式：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rPr>
          <w:rFonts w:hint="eastAsia" w:ascii="宋体" w:hAnsi="宋体" w:eastAsia="宋体" w:cs="宋体"/>
          <w:color w:val="000000"/>
          <w:sz w:val="24"/>
          <w:szCs w:val="24"/>
          <w:highlight w:val="none"/>
        </w:rPr>
      </w:r>
      <w:r/>
    </w:p>
    <w:p>
      <w:pPr>
        <w:pStyle w:val="108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4.4.3接到磋商小组澄清、说明和更正要求的供应商如未按规定做出澄清、说明和更正，其风险由供应商自行承担。</w:t>
      </w:r>
      <w:r>
        <w:rPr>
          <w:rFonts w:hint="eastAsia" w:ascii="宋体" w:hAnsi="宋体" w:eastAsia="宋体" w:cs="宋体"/>
          <w:color w:val="000000"/>
          <w:sz w:val="24"/>
          <w:szCs w:val="24"/>
          <w:highlight w:val="none"/>
        </w:rPr>
      </w:r>
      <w:r/>
    </w:p>
    <w:p>
      <w:pPr>
        <w:pStyle w:val="945"/>
        <w:ind w:left="525"/>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4.5最后报价</w:t>
      </w:r>
      <w:r>
        <w:rPr>
          <w:rFonts w:hint="eastAsia" w:ascii="宋体" w:hAnsi="宋体" w:eastAsia="宋体" w:cs="宋体"/>
          <w:b/>
          <w:color w:val="000000"/>
          <w:sz w:val="24"/>
          <w:szCs w:val="24"/>
          <w:highlight w:val="none"/>
        </w:rPr>
      </w:r>
      <w:r/>
    </w:p>
    <w:p>
      <w:pPr>
        <w:pStyle w:val="945"/>
        <w:ind w:left="5" w:firstLine="518"/>
        <w:spacing w:line="360" w:lineRule="auto"/>
        <w:tabs>
          <w:tab w:val="left" w:pos="0"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4.5.1磋商结束后，磋商小组应当要求所有继续参加磋商的供应商在规定时间内提交最后报价，最后报价作为评审价格（各磋商供应商可提供最后报价总价或最后报价总价的明细报价；若未提供明细报价的则合同单价按最终报价与第一次报价总价的下浮比例同比例下浮）。</w:t>
      </w:r>
      <w:r>
        <w:rPr>
          <w:rFonts w:hint="eastAsia" w:ascii="宋体" w:hAnsi="宋体" w:eastAsia="宋体" w:cs="宋体"/>
          <w:color w:val="000000"/>
          <w:sz w:val="24"/>
          <w:szCs w:val="24"/>
          <w:highlight w:val="none"/>
          <w:lang w:val="zh-CN"/>
        </w:rPr>
        <w:t xml:space="preserve">最后报价是供应商响应文件的有效组成部分。</w:t>
      </w:r>
      <w:r>
        <w:rPr>
          <w:rFonts w:hint="eastAsia" w:ascii="宋体" w:hAnsi="宋体" w:eastAsia="宋体" w:cs="宋体"/>
          <w:color w:val="000000"/>
          <w:sz w:val="24"/>
          <w:szCs w:val="24"/>
          <w:highlight w:val="none"/>
          <w:lang w:val="zh-CN"/>
        </w:rPr>
      </w:r>
      <w:r/>
    </w:p>
    <w:p>
      <w:pPr>
        <w:pStyle w:val="945"/>
        <w:ind w:left="5" w:firstLine="518"/>
        <w:spacing w:line="360" w:lineRule="auto"/>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4.5.2本项目采用线上最后报价：磋商小组将在苏采云系统中向符合条件的供应商发布“最后报价要求函”及分项报价表，要求其在规定时间内提交最后报价。因供应商自身原因导致线上报价失败的后果由供应商自行承担。</w:t>
      </w:r>
      <w:r>
        <w:rPr>
          <w:rFonts w:hint="eastAsia" w:ascii="宋体" w:hAnsi="宋体" w:eastAsia="宋体" w:cs="宋体"/>
          <w:b/>
          <w:bCs/>
          <w:color w:val="000000"/>
          <w:sz w:val="24"/>
          <w:szCs w:val="24"/>
          <w:highlight w:val="none"/>
        </w:rPr>
        <w:t xml:space="preserve">供应商未在磋商小组规定的时间内在苏采云系统中提交最后报价的视为放弃磋商，其响应文件按无效响应处理，提交最后报价须加盖CA电子公章，否则视为未提交最后报价。</w:t>
      </w:r>
      <w:r>
        <w:rPr>
          <w:rFonts w:hint="eastAsia" w:ascii="宋体" w:hAnsi="宋体" w:eastAsia="宋体" w:cs="宋体"/>
          <w:color w:val="000000"/>
          <w:sz w:val="24"/>
          <w:szCs w:val="24"/>
          <w:highlight w:val="none"/>
        </w:rPr>
        <w:t xml:space="preserve">已提交响应文件的供应商，在提交最后报价之前，可以根据磋商情况退出磋商，并在苏采云系统中提交“退出磋商函”并加盖CA电子公章。</w:t>
      </w:r>
      <w:r>
        <w:rPr>
          <w:rFonts w:hint="eastAsia" w:ascii="宋体" w:hAnsi="宋体" w:eastAsia="宋体" w:cs="宋体"/>
          <w:color w:val="000000"/>
          <w:sz w:val="24"/>
          <w:szCs w:val="24"/>
          <w:highlight w:val="none"/>
        </w:rPr>
      </w:r>
      <w:r/>
    </w:p>
    <w:p>
      <w:pPr>
        <w:pStyle w:val="945"/>
        <w:ind w:left="5" w:firstLine="518"/>
        <w:spacing w:line="360" w:lineRule="auto"/>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应提前熟悉线上报价操作方法：若评审组长发起最后报价，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w:t>
      </w:r>
      <w:r>
        <w:rPr>
          <w:rFonts w:hint="eastAsia" w:ascii="宋体" w:hAnsi="宋体" w:eastAsia="宋体" w:cs="宋体"/>
          <w:color w:val="000000"/>
          <w:sz w:val="24"/>
          <w:szCs w:val="24"/>
          <w:highlight w:val="none"/>
        </w:rPr>
      </w:r>
      <w:r/>
    </w:p>
    <w:p>
      <w:pPr>
        <w:pStyle w:val="945"/>
        <w:ind w:left="5" w:firstLine="518"/>
        <w:spacing w:line="360" w:lineRule="auto"/>
        <w:tabs>
          <w:tab w:val="left" w:pos="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4.5.3</w:t>
      </w:r>
      <w:r>
        <w:rPr>
          <w:rFonts w:ascii="宋体" w:hAnsi="宋体" w:eastAsia="宋体" w:cs="宋体"/>
          <w:color w:val="000000"/>
          <w:sz w:val="24"/>
          <w:szCs w:val="24"/>
          <w:highlight w:val="none"/>
        </w:rPr>
        <w:t xml:space="preserve">评审过程中出现下列情形之一的，评审委员会</w:t>
      </w:r>
      <w:r>
        <w:rPr>
          <w:rFonts w:hint="eastAsia" w:ascii="宋体" w:hAnsi="宋体" w:eastAsia="宋体" w:cs="宋体"/>
          <w:color w:val="000000"/>
          <w:sz w:val="24"/>
          <w:szCs w:val="24"/>
          <w:highlight w:val="none"/>
        </w:rPr>
        <w:t xml:space="preserve">（磋商小组）</w:t>
      </w:r>
      <w:r>
        <w:rPr>
          <w:rFonts w:ascii="宋体" w:hAnsi="宋体" w:eastAsia="宋体" w:cs="宋体"/>
          <w:color w:val="000000"/>
          <w:sz w:val="24"/>
          <w:szCs w:val="24"/>
          <w:highlight w:val="none"/>
        </w:rPr>
        <w:t xml:space="preserve">应当启动异常低价投标（响应）审查程序：</w:t>
      </w:r>
      <w:r>
        <w:rPr>
          <w:rFonts w:ascii="宋体" w:hAnsi="宋体" w:eastAsia="宋体" w:cs="宋体"/>
          <w:color w:val="000000"/>
          <w:sz w:val="24"/>
          <w:szCs w:val="24"/>
          <w:highlight w:val="none"/>
        </w:rPr>
      </w:r>
      <w:r/>
    </w:p>
    <w:p>
      <w:pPr>
        <w:pStyle w:val="945"/>
        <w:ind w:left="5" w:firstLine="518"/>
        <w:spacing w:line="360" w:lineRule="auto"/>
        <w:tabs>
          <w:tab w:val="left" w:pos="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①投标(响应)报价低于全部通过符合性审查供应商投标(响应)报价平均值50％的，即投标(响应)报价＜全部通过符合性审查供应商投标(响应)报价平均值×50％</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945"/>
        <w:ind w:left="5" w:firstLine="518"/>
        <w:spacing w:line="360" w:lineRule="auto"/>
        <w:tabs>
          <w:tab w:val="left" w:pos="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②投标(响应)报价低于通过符合性审查的次低报价供应商投标(响应)报价50％的，即投标(响应)报价＜通过符合性审查的次低报价供应商投标(响应)报价×50％</w:t>
      </w:r>
      <w:r>
        <w:rPr>
          <w:rFonts w:ascii="宋体" w:hAnsi="宋体" w:eastAsia="宋体" w:cs="宋体"/>
          <w:color w:val="000000"/>
          <w:sz w:val="24"/>
          <w:szCs w:val="24"/>
          <w:highlight w:val="none"/>
        </w:rPr>
        <w:t xml:space="preserve">； </w:t>
      </w:r>
      <w:r>
        <w:rPr>
          <w:rFonts w:ascii="宋体" w:hAnsi="宋体" w:eastAsia="宋体" w:cs="宋体"/>
          <w:color w:val="000000"/>
          <w:sz w:val="24"/>
          <w:szCs w:val="24"/>
          <w:highlight w:val="none"/>
        </w:rPr>
      </w:r>
      <w:r/>
    </w:p>
    <w:p>
      <w:pPr>
        <w:pStyle w:val="945"/>
        <w:ind w:left="5" w:firstLine="518"/>
        <w:spacing w:line="360" w:lineRule="auto"/>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③投标(响应)报价低于采购项目最高限价45％的，即投标(响应)报价＜采购项目最高限价×45％；</w:t>
      </w:r>
      <w:r>
        <w:rPr>
          <w:rFonts w:hint="eastAsia" w:ascii="宋体" w:hAnsi="宋体" w:eastAsia="宋体" w:cs="宋体"/>
          <w:color w:val="000000"/>
          <w:sz w:val="24"/>
          <w:szCs w:val="24"/>
          <w:highlight w:val="none"/>
        </w:rPr>
      </w:r>
      <w:r/>
    </w:p>
    <w:p>
      <w:pPr>
        <w:pStyle w:val="945"/>
        <w:ind w:left="5" w:firstLine="518"/>
        <w:spacing w:line="360" w:lineRule="auto"/>
        <w:tabs>
          <w:tab w:val="left" w:pos="0"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④评审委员会</w:t>
      </w:r>
      <w:r>
        <w:rPr>
          <w:rFonts w:hint="eastAsia" w:ascii="宋体" w:hAnsi="宋体" w:eastAsia="宋体" w:cs="宋体"/>
          <w:color w:val="000000"/>
          <w:sz w:val="24"/>
          <w:szCs w:val="24"/>
          <w:highlight w:val="none"/>
        </w:rPr>
        <w:t xml:space="preserve">（磋商小组）</w:t>
      </w:r>
      <w:r>
        <w:rPr>
          <w:rFonts w:ascii="宋体" w:hAnsi="宋体" w:eastAsia="宋体" w:cs="宋体"/>
          <w:color w:val="000000"/>
          <w:sz w:val="24"/>
          <w:szCs w:val="24"/>
          <w:highlight w:val="none"/>
        </w:rPr>
        <w:t xml:space="preserve">基于专业判断，认为供应商报价过低，有可能影响产品质量或者不能诚信履约的其他情形</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945"/>
        <w:ind w:left="5" w:firstLine="518"/>
        <w:spacing w:line="360" w:lineRule="auto"/>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4.5.4启动异常低价投标审查后，评标委员会（磋商小组）应当要求相关供应商在评标现场合理的时间内对投标价格作出解释，提供项目具体成本测算等与报价合理性相关的书面说明及相关证明材料，包括但不限于原材料成本、人工成本、制造费用等，给予相关供应商的合理时间一般不少于30分钟。其中，属于4.5.3第③项情形，供应商已随投标文件一并提交相关书面说明及必要的证明材料的，在评审现场可不再重复提交。</w:t>
      </w:r>
      <w:r>
        <w:rPr>
          <w:rFonts w:hint="eastAsia" w:ascii="宋体" w:hAnsi="宋体" w:eastAsia="宋体" w:cs="宋体"/>
          <w:color w:val="000000"/>
          <w:sz w:val="24"/>
          <w:szCs w:val="24"/>
          <w:highlight w:val="none"/>
        </w:rPr>
      </w:r>
      <w:r/>
    </w:p>
    <w:p>
      <w:pPr>
        <w:pStyle w:val="108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4.5.5评标委员会（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标委员会应当将其作为无效投标处理。</w:t>
      </w:r>
      <w:r>
        <w:rPr>
          <w:rFonts w:hint="eastAsia" w:ascii="宋体" w:hAnsi="宋体" w:eastAsia="宋体" w:cs="宋体"/>
          <w:color w:val="000000"/>
          <w:sz w:val="24"/>
          <w:szCs w:val="24"/>
          <w:highlight w:val="none"/>
        </w:rPr>
      </w:r>
      <w:r/>
    </w:p>
    <w:p>
      <w:pPr>
        <w:pStyle w:val="945"/>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4.5.6异常低价投标（响应）审查的启动原因、审查意见和审查结果应当在评审报告中记录，并随供应商提供的相关书面说明及证明材料等一并归档。</w:t>
      </w:r>
      <w:r>
        <w:rPr>
          <w:rFonts w:hint="eastAsia" w:ascii="宋体" w:hAnsi="宋体" w:eastAsia="宋体" w:cs="宋体"/>
          <w:color w:val="000000"/>
          <w:sz w:val="24"/>
          <w:szCs w:val="24"/>
          <w:highlight w:val="none"/>
        </w:rPr>
      </w:r>
      <w:r/>
    </w:p>
    <w:p>
      <w:pPr>
        <w:pStyle w:val="1088"/>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4.5.7评标委员会（磋商小组）成员对需要共同认定的事项存在争议的，应当按照少数服从多数的原则作出结论。持不同意见的评标委员会成员应当在评标报告上签署不同意见及理由，否则视为同意评标报告。</w:t>
      </w:r>
      <w:r>
        <w:rPr>
          <w:rFonts w:ascii="宋体" w:hAnsi="宋体" w:eastAsia="宋体" w:cs="宋体"/>
          <w:color w:val="000000"/>
          <w:sz w:val="24"/>
          <w:szCs w:val="24"/>
          <w:highlight w:val="none"/>
        </w:rPr>
      </w:r>
      <w:r/>
    </w:p>
    <w:p>
      <w:pPr>
        <w:pStyle w:val="1088"/>
        <w:ind w:left="420"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4.5.8未在规定时间提交最后报价的，响应文件按无效处理。</w:t>
      </w:r>
      <w:r>
        <w:rPr>
          <w:rFonts w:hint="eastAsia" w:ascii="宋体" w:hAnsi="宋体" w:eastAsia="宋体" w:cs="宋体"/>
          <w:color w:val="000000"/>
          <w:sz w:val="24"/>
          <w:szCs w:val="24"/>
          <w:highlight w:val="none"/>
        </w:rPr>
      </w:r>
      <w:r/>
    </w:p>
    <w:p>
      <w:pPr>
        <w:pStyle w:val="1088"/>
        <w:ind w:left="420"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4.5.9在规定时间内提交最后报价的供应商少于3家的，项目终止。</w:t>
      </w:r>
      <w:r>
        <w:rPr>
          <w:rFonts w:hint="eastAsia" w:ascii="宋体" w:hAnsi="宋体" w:eastAsia="宋体" w:cs="宋体"/>
          <w:color w:val="000000"/>
          <w:sz w:val="24"/>
          <w:szCs w:val="24"/>
          <w:highlight w:val="none"/>
        </w:rPr>
      </w:r>
      <w:r/>
    </w:p>
    <w:p>
      <w:pPr>
        <w:pStyle w:val="10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4.5.10如磋商过程中出现本磋商文件未尽事宜，由磋商小组根据政府采购有关法律、法规讨论决定。</w:t>
      </w:r>
      <w:r>
        <w:rPr>
          <w:rFonts w:hint="eastAsia" w:ascii="宋体" w:hAnsi="宋体" w:eastAsia="宋体" w:cs="宋体"/>
          <w:color w:val="000000"/>
          <w:sz w:val="24"/>
          <w:szCs w:val="24"/>
          <w:highlight w:val="none"/>
        </w:rPr>
      </w:r>
      <w:r/>
    </w:p>
    <w:p>
      <w:pPr>
        <w:pStyle w:val="945"/>
        <w:ind w:left="525"/>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5.成交</w:t>
      </w:r>
      <w:r>
        <w:rPr>
          <w:rFonts w:hint="eastAsia" w:ascii="宋体" w:hAnsi="宋体" w:eastAsia="宋体" w:cs="宋体"/>
          <w:b/>
          <w:color w:val="000000"/>
          <w:sz w:val="24"/>
          <w:szCs w:val="24"/>
          <w:highlight w:val="none"/>
        </w:rPr>
      </w:r>
      <w:r/>
    </w:p>
    <w:p>
      <w:pPr>
        <w:pStyle w:val="108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本项目评标方法采用综合评分法，即指响应文件满足采购文件全部实质性要求，且按照评审因素的量化指标评审得分最高的供应商为成交候选人的评标方法。磋商小组应当根据综合评分情况，按照评审得分由高到底顺序推荐3名以上成交候选供应商，评审得分相同的，按照最后报价由低到高的顺序推荐，评审得分且最后报价相同的，则由磋商小组组织抽签确定成交候选人顺序。</w:t>
      </w:r>
      <w:r>
        <w:rPr>
          <w:rFonts w:hint="eastAsia" w:ascii="宋体" w:hAnsi="宋体" w:eastAsia="宋体" w:cs="宋体"/>
          <w:color w:val="000000"/>
          <w:sz w:val="24"/>
          <w:szCs w:val="24"/>
          <w:highlight w:val="none"/>
        </w:rPr>
      </w:r>
      <w:r/>
    </w:p>
    <w:p>
      <w:pPr>
        <w:pStyle w:val="10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5.2本项目由采购人书面授权磋商小组直接确定</w:t>
      </w:r>
      <w:r>
        <w:rPr>
          <w:rFonts w:hint="eastAsia" w:ascii="宋体" w:hAnsi="宋体" w:eastAsia="宋体" w:cs="宋体"/>
          <w:color w:val="000000"/>
          <w:sz w:val="24"/>
          <w:szCs w:val="24"/>
          <w:highlight w:val="none"/>
          <w:lang w:eastAsia="zh-CN"/>
        </w:rPr>
        <w:t xml:space="preserve">成交单位</w:t>
      </w:r>
      <w:r>
        <w:rPr>
          <w:rFonts w:hint="eastAsia" w:ascii="宋体" w:hAnsi="宋体" w:eastAsia="宋体" w:cs="宋体"/>
          <w:color w:val="000000"/>
          <w:sz w:val="24"/>
          <w:szCs w:val="24"/>
          <w:highlight w:val="none"/>
        </w:rPr>
        <w:t xml:space="preserve">，并将结果通知所有参加磋商的供应商。</w:t>
      </w:r>
      <w:r>
        <w:rPr>
          <w:rFonts w:hint="eastAsia" w:ascii="宋体" w:hAnsi="宋体" w:eastAsia="宋体" w:cs="宋体"/>
          <w:color w:val="000000"/>
          <w:sz w:val="24"/>
          <w:szCs w:val="24"/>
          <w:highlight w:val="none"/>
        </w:rPr>
      </w:r>
      <w:r/>
    </w:p>
    <w:p>
      <w:pPr>
        <w:pStyle w:val="10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5.3采购人或者采购代理机构应当在</w:t>
      </w:r>
      <w:r>
        <w:rPr>
          <w:rFonts w:hint="eastAsia" w:ascii="宋体" w:hAnsi="宋体" w:eastAsia="宋体" w:cs="宋体"/>
          <w:color w:val="000000"/>
          <w:sz w:val="24"/>
          <w:szCs w:val="24"/>
          <w:highlight w:val="none"/>
          <w:lang w:eastAsia="zh-CN"/>
        </w:rPr>
        <w:t xml:space="preserve">成交单位</w:t>
      </w:r>
      <w:r>
        <w:rPr>
          <w:rFonts w:hint="eastAsia" w:ascii="宋体" w:hAnsi="宋体" w:eastAsia="宋体" w:cs="宋体"/>
          <w:color w:val="000000"/>
          <w:sz w:val="24"/>
          <w:szCs w:val="24"/>
          <w:highlight w:val="none"/>
        </w:rPr>
        <w:t xml:space="preserve">确定后2个工作日内，在政府采购信息媒体上发布成交结果，成交公告期限为1个工作日。</w:t>
      </w:r>
      <w:r>
        <w:rPr>
          <w:rFonts w:hint="eastAsia" w:ascii="宋体" w:hAnsi="宋体" w:eastAsia="宋体" w:cs="宋体"/>
          <w:color w:val="000000"/>
          <w:sz w:val="24"/>
          <w:szCs w:val="24"/>
          <w:highlight w:val="none"/>
        </w:rPr>
      </w:r>
      <w:r/>
    </w:p>
    <w:p>
      <w:pPr>
        <w:pStyle w:val="10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5.4采购人或采购代理机构根据相关规定发布成交公告，成交公告发出的同时应当向</w:t>
      </w:r>
      <w:r>
        <w:rPr>
          <w:rFonts w:hint="eastAsia" w:ascii="宋体" w:hAnsi="宋体" w:eastAsia="宋体" w:cs="宋体"/>
          <w:color w:val="000000"/>
          <w:sz w:val="24"/>
          <w:szCs w:val="24"/>
          <w:highlight w:val="none"/>
          <w:lang w:eastAsia="zh-CN"/>
        </w:rPr>
        <w:t xml:space="preserve">成交单位</w:t>
      </w:r>
      <w:r>
        <w:rPr>
          <w:rFonts w:hint="eastAsia" w:ascii="宋体" w:hAnsi="宋体" w:eastAsia="宋体" w:cs="宋体"/>
          <w:color w:val="000000"/>
          <w:sz w:val="24"/>
          <w:szCs w:val="24"/>
          <w:highlight w:val="none"/>
        </w:rPr>
        <w:t xml:space="preserve">发出《成交通知书》</w:t>
      </w:r>
      <w:bookmarkStart w:id="3" w:name="_Hlk132385599"/>
      <w:r/>
      <w:bookmarkStart w:id="4" w:name="_Hlk132385577"/>
      <w:r/>
      <w:bookmarkStart w:id="5" w:name="_Hlk132389804"/>
      <w:r>
        <w:rPr>
          <w:rFonts w:hint="eastAsia" w:ascii="宋体" w:hAnsi="宋体" w:eastAsia="宋体" w:cs="宋体"/>
          <w:color w:val="000000"/>
          <w:sz w:val="24"/>
          <w:szCs w:val="24"/>
          <w:highlight w:val="none"/>
        </w:rPr>
        <w:t xml:space="preserve">。请</w:t>
      </w:r>
      <w:r>
        <w:rPr>
          <w:rFonts w:hint="eastAsia" w:ascii="宋体" w:hAnsi="宋体" w:eastAsia="宋体" w:cs="宋体"/>
          <w:color w:val="000000"/>
          <w:sz w:val="24"/>
          <w:szCs w:val="24"/>
          <w:highlight w:val="none"/>
          <w:lang w:eastAsia="zh-CN"/>
        </w:rPr>
        <w:t xml:space="preserve">成交单位</w:t>
      </w:r>
      <w:r>
        <w:rPr>
          <w:rFonts w:hint="eastAsia" w:ascii="宋体" w:hAnsi="宋体" w:eastAsia="宋体" w:cs="宋体"/>
          <w:color w:val="000000"/>
          <w:sz w:val="24"/>
          <w:szCs w:val="24"/>
          <w:highlight w:val="none"/>
        </w:rPr>
        <w:t xml:space="preserve">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w:t>
      </w:r>
      <w:r>
        <w:rPr>
          <w:rFonts w:hint="eastAsia" w:ascii="宋体" w:hAnsi="宋体" w:eastAsia="宋体" w:cs="宋体"/>
          <w:color w:val="000000"/>
          <w:sz w:val="24"/>
          <w:szCs w:val="24"/>
          <w:highlight w:val="none"/>
          <w:lang w:eastAsia="zh-CN"/>
        </w:rPr>
        <w:t xml:space="preserve">成交单位</w:t>
      </w:r>
      <w:r>
        <w:rPr>
          <w:rFonts w:hint="eastAsia" w:ascii="宋体" w:hAnsi="宋体" w:eastAsia="宋体" w:cs="宋体"/>
          <w:color w:val="000000"/>
          <w:sz w:val="24"/>
          <w:szCs w:val="24"/>
          <w:highlight w:val="none"/>
        </w:rPr>
        <w:t xml:space="preserve">自行承担）；</w:t>
      </w:r>
      <w:bookmarkEnd w:id="3"/>
      <w:r/>
      <w:bookmarkEnd w:id="4"/>
      <w:r/>
      <w:bookmarkEnd w:id="5"/>
      <w:r>
        <w:rPr>
          <w:rFonts w:hint="eastAsia" w:ascii="宋体" w:hAnsi="宋体" w:eastAsia="宋体" w:cs="宋体"/>
          <w:color w:val="000000"/>
          <w:sz w:val="24"/>
          <w:szCs w:val="24"/>
          <w:highlight w:val="none"/>
        </w:rPr>
        <w:t xml:space="preserve">对未通过资格性审查的供应商，应当告知其未通过的原因；未</w:t>
      </w:r>
      <w:r>
        <w:rPr>
          <w:rFonts w:hint="eastAsia" w:ascii="宋体" w:hAnsi="宋体" w:eastAsia="宋体" w:cs="宋体"/>
          <w:color w:val="000000"/>
          <w:sz w:val="24"/>
          <w:szCs w:val="24"/>
          <w:highlight w:val="none"/>
          <w:lang w:eastAsia="zh-CN"/>
        </w:rPr>
        <w:t xml:space="preserve">成交单位</w:t>
      </w:r>
      <w:r>
        <w:rPr>
          <w:rFonts w:hint="eastAsia" w:ascii="宋体" w:hAnsi="宋体" w:eastAsia="宋体" w:cs="宋体"/>
          <w:color w:val="000000"/>
          <w:sz w:val="24"/>
          <w:szCs w:val="24"/>
          <w:highlight w:val="none"/>
        </w:rPr>
        <w:t xml:space="preserve">须在成交公告发出之日起2个工作日内向采购代理机构另行提供用以接收《未成交通知书》的电子邮件地址，未按时提供电子邮件地址或提供信息有误的，视为自动放弃并自行承担相应后果。</w:t>
      </w:r>
      <w:r>
        <w:rPr>
          <w:rFonts w:hint="eastAsia" w:ascii="宋体" w:hAnsi="宋体" w:eastAsia="宋体" w:cs="宋体"/>
          <w:color w:val="000000"/>
          <w:sz w:val="24"/>
          <w:szCs w:val="24"/>
          <w:highlight w:val="none"/>
        </w:rPr>
      </w:r>
      <w:r/>
    </w:p>
    <w:p>
      <w:pPr>
        <w:pStyle w:val="108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5.5成交通知书发出后，采购人不得违法改变成交结果，</w:t>
      </w:r>
      <w:r>
        <w:rPr>
          <w:rFonts w:hint="eastAsia" w:ascii="宋体" w:hAnsi="宋体" w:eastAsia="宋体" w:cs="宋体"/>
          <w:color w:val="000000"/>
          <w:sz w:val="24"/>
          <w:szCs w:val="24"/>
          <w:highlight w:val="none"/>
          <w:lang w:eastAsia="zh-CN"/>
        </w:rPr>
        <w:t xml:space="preserve">成交单位</w:t>
      </w:r>
      <w:r>
        <w:rPr>
          <w:rFonts w:hint="eastAsia" w:ascii="宋体" w:hAnsi="宋体" w:eastAsia="宋体" w:cs="宋体"/>
          <w:color w:val="000000"/>
          <w:sz w:val="24"/>
          <w:szCs w:val="24"/>
          <w:highlight w:val="none"/>
        </w:rPr>
        <w:t xml:space="preserve">无正当理由不得放弃成交。</w:t>
      </w:r>
      <w:r>
        <w:rPr>
          <w:rFonts w:hint="eastAsia" w:ascii="宋体" w:hAnsi="宋体" w:eastAsia="宋体" w:cs="宋体"/>
          <w:color w:val="000000"/>
          <w:sz w:val="24"/>
          <w:szCs w:val="24"/>
          <w:highlight w:val="none"/>
        </w:rPr>
      </w:r>
      <w:r/>
    </w:p>
    <w:p>
      <w:pPr>
        <w:pStyle w:val="945"/>
        <w:ind w:firstLine="482"/>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6.履约保证金</w:t>
      </w:r>
      <w:r>
        <w:rPr>
          <w:rFonts w:hint="eastAsia" w:ascii="宋体" w:hAnsi="宋体" w:eastAsia="宋体" w:cs="宋体"/>
          <w:b/>
          <w:color w:val="000000"/>
          <w:sz w:val="24"/>
          <w:szCs w:val="24"/>
          <w:highlight w:val="none"/>
        </w:rPr>
      </w:r>
      <w:r/>
    </w:p>
    <w:p>
      <w:pPr>
        <w:pStyle w:val="945"/>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见第五章合同文本履约保证金条款。</w:t>
      </w:r>
      <w:r>
        <w:rPr>
          <w:rFonts w:hint="eastAsia" w:ascii="宋体" w:hAnsi="宋体" w:eastAsia="宋体" w:cs="宋体"/>
          <w:color w:val="000000"/>
          <w:sz w:val="24"/>
          <w:szCs w:val="24"/>
          <w:highlight w:val="none"/>
        </w:rPr>
      </w:r>
      <w:r/>
    </w:p>
    <w:p>
      <w:pPr>
        <w:pStyle w:val="945"/>
        <w:ind w:firstLine="482"/>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7.项目终止</w:t>
      </w:r>
      <w:r>
        <w:rPr>
          <w:rFonts w:hint="eastAsia" w:ascii="宋体" w:hAnsi="宋体" w:eastAsia="宋体" w:cs="宋体"/>
          <w:b/>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出现下列情形之一的，采购人或者采购代理机构应当终止竞争性磋商采购活动，发布项目终止公告并说明原因，重新开展采购活动：</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1、因情况变化，不再符合规定的竞争性磋商采购方式适用情形的；</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2、出现影响采购公正的违法、违规行为的；</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3、在采购过程中符合竞争要求的供应商或者报价未超过采购预算的供应商不足3家的，但符合《政府采购竞争性磋商采购方式管理暂行办法》第三条第四项的情形除外。</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项目终止后，采购代理机构应当将项目终止的理由告知所有供应商。</w:t>
      </w:r>
      <w:r>
        <w:rPr>
          <w:rFonts w:hint="eastAsia" w:ascii="宋体" w:hAnsi="宋体" w:eastAsia="宋体" w:cs="宋体"/>
          <w:color w:val="000000"/>
          <w:sz w:val="24"/>
          <w:szCs w:val="24"/>
          <w:highlight w:val="none"/>
        </w:rPr>
      </w:r>
      <w:r/>
    </w:p>
    <w:p>
      <w:pPr>
        <w:pStyle w:val="945"/>
        <w:ind w:firstLine="482"/>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8.合同</w:t>
      </w:r>
      <w:r>
        <w:rPr>
          <w:rFonts w:hint="eastAsia" w:ascii="宋体" w:hAnsi="宋体" w:eastAsia="宋体" w:cs="宋体"/>
          <w:b/>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8.1采购人应当自成交通知书发出之日起15日内（最迟30日内</w:t>
      </w:r>
      <w:r>
        <w:rPr>
          <w:rFonts w:hint="eastAsia" w:ascii="宋体" w:hAnsi="宋体" w:eastAsia="宋体" w:cs="宋体"/>
          <w:color w:val="000000"/>
          <w:szCs w:val="21"/>
          <w:highlight w:val="none"/>
        </w:rPr>
        <w:t xml:space="preserve">）</w:t>
      </w:r>
      <w:r>
        <w:rPr>
          <w:rFonts w:hint="eastAsia" w:ascii="宋体" w:hAnsi="宋体" w:eastAsia="宋体" w:cs="宋体"/>
          <w:color w:val="000000"/>
          <w:sz w:val="24"/>
          <w:szCs w:val="24"/>
          <w:highlight w:val="none"/>
        </w:rPr>
        <w:t xml:space="preserve">，按照采购文件及响应文件规定与成交单位签订书面合同。</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8.2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8.3 采购人不得向</w:t>
      </w:r>
      <w:r>
        <w:rPr>
          <w:rFonts w:hint="eastAsia" w:ascii="宋体" w:hAnsi="宋体" w:eastAsia="宋体" w:cs="宋体"/>
          <w:color w:val="000000"/>
          <w:sz w:val="24"/>
          <w:szCs w:val="24"/>
          <w:highlight w:val="none"/>
          <w:lang w:eastAsia="zh-CN"/>
        </w:rPr>
        <w:t xml:space="preserve">成交单位</w:t>
      </w:r>
      <w:r>
        <w:rPr>
          <w:rFonts w:hint="eastAsia" w:ascii="宋体" w:hAnsi="宋体" w:eastAsia="宋体" w:cs="宋体"/>
          <w:color w:val="000000"/>
          <w:sz w:val="24"/>
          <w:szCs w:val="24"/>
          <w:highlight w:val="none"/>
        </w:rPr>
        <w:t xml:space="preserve">提出任何不合理的要求作为签订合同的条件，不得与</w:t>
      </w:r>
      <w:r>
        <w:rPr>
          <w:rFonts w:hint="eastAsia" w:ascii="宋体" w:hAnsi="宋体" w:eastAsia="宋体" w:cs="宋体"/>
          <w:color w:val="000000"/>
          <w:sz w:val="24"/>
          <w:szCs w:val="24"/>
          <w:highlight w:val="none"/>
          <w:lang w:eastAsia="zh-CN"/>
        </w:rPr>
        <w:t xml:space="preserve">成交单位</w:t>
      </w:r>
      <w:r>
        <w:rPr>
          <w:rFonts w:hint="eastAsia" w:ascii="宋体" w:hAnsi="宋体" w:eastAsia="宋体" w:cs="宋体"/>
          <w:color w:val="000000"/>
          <w:sz w:val="24"/>
          <w:szCs w:val="24"/>
          <w:highlight w:val="none"/>
        </w:rPr>
        <w:t xml:space="preserve">私下订立背离合同实质性内容的协议。</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8.4依据《政府采购促进中小企业发展管理办法》（财库〔2020〕46号）规定，享受扶持政策获得政府采购合同的，小微企业不得将合同分包给大中型企业，中型企业不得将合同分包给大型企业。</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8.5</w:t>
      </w:r>
      <w:r>
        <w:rPr>
          <w:rFonts w:hint="eastAsia" w:ascii="宋体" w:hAnsi="宋体" w:eastAsia="宋体" w:cs="宋体"/>
          <w:color w:val="000000"/>
          <w:sz w:val="24"/>
          <w:szCs w:val="24"/>
          <w:highlight w:val="none"/>
          <w:lang w:eastAsia="zh-CN"/>
        </w:rPr>
        <w:t xml:space="preserve">成交单位</w:t>
      </w:r>
      <w:r>
        <w:rPr>
          <w:rFonts w:hint="eastAsia" w:ascii="宋体" w:hAnsi="宋体" w:eastAsia="宋体" w:cs="宋体"/>
          <w:color w:val="000000"/>
          <w:sz w:val="24"/>
          <w:szCs w:val="24"/>
          <w:highlight w:val="none"/>
        </w:rPr>
        <w:t xml:space="preserve">无正当理由不得放弃成交。</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8.6采购合同履行中，采购人需追加与合同标的相同货物、工程或者服务的，在不改变合同其他条款的前提下，可以与供应商协商签订补充合同，但所有补充合同的采购金额不得超过原合同采购金额的百分之十。</w:t>
      </w:r>
      <w:r>
        <w:rPr>
          <w:rFonts w:hint="eastAsia" w:ascii="宋体" w:hAnsi="宋体" w:eastAsia="宋体" w:cs="宋体"/>
          <w:color w:val="000000"/>
          <w:sz w:val="24"/>
          <w:szCs w:val="24"/>
          <w:highlight w:val="none"/>
        </w:rPr>
      </w:r>
      <w:r/>
    </w:p>
    <w:p>
      <w:pPr>
        <w:pStyle w:val="945"/>
        <w:ind w:firstLine="482"/>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9.质疑</w:t>
      </w:r>
      <w:r>
        <w:rPr>
          <w:rFonts w:hint="eastAsia" w:ascii="宋体" w:hAnsi="宋体" w:eastAsia="宋体" w:cs="宋体"/>
          <w:b/>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9.1质疑及答复遵守《政府采购质疑和投诉办法》（中华人民共和国财政部令第94号）规定。</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9.2供应商认为采购文件、采购过程和中标、成交结果使自己的权益受到损害的，可以在知道或者应知其权益受到损害之日起七个工作日内，根据《政府采购质疑和投诉办法》（中华人民共和国财政部令第94号）以书面形式向采购人、代理机构提出质疑。采购代理机构应当在收到供应商书面质疑函后七个工作日内作出答复。</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9.3供应商应当在法定质疑期内一次性提出针对同一采购程序环节的质疑。供应商如在法定期限内对同一采购程序环节提出多次质疑的，采购代理机构、采购人将只对供应商第一次质疑作出答复。</w:t>
      </w:r>
      <w:r>
        <w:rPr>
          <w:rFonts w:hint="eastAsia" w:ascii="宋体" w:hAnsi="宋体" w:eastAsia="宋体" w:cs="宋体"/>
          <w:color w:val="000000"/>
          <w:sz w:val="24"/>
          <w:szCs w:val="24"/>
          <w:highlight w:val="none"/>
        </w:rPr>
      </w:r>
      <w:r/>
    </w:p>
    <w:p>
      <w:pPr>
        <w:pStyle w:val="945"/>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9.4对采购文件内容质疑时，需提供在苏采云系统中下载本项目磋商文件的《投标供应商确认函》，未提供的视为未依照采购公告要求获取磋商文件的供应商，不具备对该政府采购项目提出质疑的法定权利。</w:t>
      </w:r>
      <w:r>
        <w:rPr>
          <w:rFonts w:hint="eastAsia" w:ascii="宋体" w:hAnsi="宋体" w:eastAsia="宋体" w:cs="宋体"/>
          <w:b/>
          <w:bCs/>
          <w:color w:val="000000"/>
          <w:sz w:val="24"/>
          <w:szCs w:val="24"/>
          <w:highlight w:val="none"/>
        </w:rPr>
      </w:r>
      <w:r/>
    </w:p>
    <w:p>
      <w:pPr>
        <w:pStyle w:val="945"/>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9.5接收质疑函的方式为书面形式（当场送达或邮寄方式）</w:t>
      </w:r>
      <w:r>
        <w:rPr>
          <w:rFonts w:hint="eastAsia" w:ascii="宋体" w:hAnsi="宋体" w:eastAsia="宋体" w:cs="宋体"/>
          <w:bCs/>
          <w:color w:val="000000"/>
          <w:sz w:val="24"/>
          <w:szCs w:val="24"/>
          <w:highlight w:val="none"/>
        </w:rPr>
        <w:t xml:space="preserve">向采购人、采购代理机构提出质疑，联系人、联系电话和通讯地址等信息以采购公告中本次采购活动联系事项为准</w:t>
      </w:r>
      <w:r>
        <w:rPr>
          <w:rFonts w:hint="eastAsia" w:ascii="宋体" w:hAnsi="宋体" w:eastAsia="宋体" w:cs="宋体"/>
          <w:color w:val="000000"/>
          <w:sz w:val="24"/>
          <w:szCs w:val="24"/>
          <w:highlight w:val="none"/>
        </w:rPr>
        <w:t xml:space="preserve">。供应商质疑函范本格式请参照“苏州市政府采购”网站——“下载中心”——“</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"http://czju.suzhou.gov.cn/zfcg/html/content/20180305093615738.shtml" \t "http://czju.suzhou.gov.cn/zfcg/html/channel/_blank" \o "政府采购供应商质疑函范本"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政府采购供应商质疑函范本</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45"/>
        <w:ind w:firstLine="52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10.响应文件的有效期</w:t>
      </w:r>
      <w:r>
        <w:rPr>
          <w:rFonts w:hint="eastAsia" w:ascii="宋体" w:hAnsi="宋体" w:eastAsia="宋体" w:cs="宋体"/>
          <w:b/>
          <w:color w:val="000000"/>
          <w:sz w:val="24"/>
          <w:szCs w:val="24"/>
          <w:highlight w:val="none"/>
        </w:rPr>
      </w:r>
      <w:r/>
    </w:p>
    <w:p>
      <w:pPr>
        <w:pStyle w:val="945"/>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10.1响应文件的有效期自提交响应文件的截止之日起九十天，响应文件应保持有效。响应文件的有效期不明确或短于上述规定期限的，响应文件无效。</w:t>
      </w:r>
      <w:r>
        <w:rPr>
          <w:rFonts w:hint="eastAsia" w:ascii="宋体" w:hAnsi="宋体" w:eastAsia="宋体" w:cs="宋体"/>
          <w:bCs/>
          <w:color w:val="000000"/>
          <w:sz w:val="24"/>
          <w:szCs w:val="24"/>
          <w:highlight w:val="none"/>
        </w:rPr>
      </w:r>
      <w:r/>
    </w:p>
    <w:p>
      <w:pPr>
        <w:pStyle w:val="945"/>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10.2在特殊情况下，采购人可与供应商协商延长响应文件的有效期，这种要求和答复都应以书面形式进行。</w:t>
      </w:r>
      <w:r>
        <w:rPr>
          <w:rFonts w:hint="eastAsia" w:ascii="宋体" w:hAnsi="宋体" w:eastAsia="宋体" w:cs="宋体"/>
          <w:bCs/>
          <w:color w:val="000000"/>
          <w:sz w:val="24"/>
          <w:szCs w:val="24"/>
          <w:highlight w:val="none"/>
        </w:rPr>
      </w:r>
      <w:r/>
    </w:p>
    <w:p>
      <w:pPr>
        <w:pStyle w:val="945"/>
        <w:ind w:firstLine="52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11.代理服务费：由</w:t>
      </w:r>
      <w:r>
        <w:rPr>
          <w:rFonts w:hint="eastAsia" w:ascii="宋体" w:hAnsi="宋体" w:eastAsia="宋体" w:cs="宋体"/>
          <w:b/>
          <w:color w:val="000000"/>
          <w:sz w:val="24"/>
          <w:szCs w:val="24"/>
          <w:highlight w:val="none"/>
          <w:lang w:eastAsia="zh-CN"/>
        </w:rPr>
        <w:t xml:space="preserve">成交单位</w:t>
      </w:r>
      <w:r>
        <w:rPr>
          <w:rFonts w:hint="eastAsia" w:ascii="宋体" w:hAnsi="宋体" w:eastAsia="宋体" w:cs="宋体"/>
          <w:b/>
          <w:color w:val="000000"/>
          <w:sz w:val="24"/>
          <w:szCs w:val="24"/>
          <w:highlight w:val="none"/>
        </w:rPr>
        <w:t xml:space="preserve">承担。</w:t>
      </w:r>
      <w:r>
        <w:rPr>
          <w:rFonts w:hint="eastAsia" w:ascii="宋体" w:hAnsi="宋体" w:eastAsia="宋体" w:cs="宋体"/>
          <w:b/>
          <w:color w:val="000000"/>
          <w:sz w:val="24"/>
          <w:szCs w:val="24"/>
          <w:highlight w:val="none"/>
        </w:rPr>
      </w:r>
      <w:r/>
    </w:p>
    <w:p>
      <w:pPr>
        <w:pStyle w:val="945"/>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11.1代理服务费以采购预算金额为基数依据，按如下规定的标准和差额定率累进法进行计算收取：</w:t>
      </w:r>
      <w:r>
        <w:rPr>
          <w:rFonts w:hint="eastAsia" w:ascii="宋体" w:hAnsi="宋体" w:eastAsia="宋体" w:cs="宋体"/>
          <w:bCs/>
          <w:color w:val="000000"/>
          <w:sz w:val="24"/>
          <w:szCs w:val="24"/>
          <w:highlight w:val="none"/>
        </w:rPr>
      </w:r>
      <w:r/>
    </w:p>
    <w:p>
      <w:pPr>
        <w:pStyle w:val="945"/>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预算金额100万元以下部分，费率为该部分预算金额的1.5％；</w:t>
      </w:r>
      <w:r>
        <w:rPr>
          <w:rFonts w:hint="eastAsia" w:ascii="宋体" w:hAnsi="宋体" w:eastAsia="宋体" w:cs="宋体"/>
          <w:bCs/>
          <w:color w:val="000000"/>
          <w:sz w:val="24"/>
          <w:szCs w:val="24"/>
          <w:highlight w:val="none"/>
        </w:rPr>
      </w:r>
      <w:r/>
    </w:p>
    <w:p>
      <w:pPr>
        <w:pStyle w:val="945"/>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预算金额100万元（含）－500万元部分，费率为该部分预算金额的1.1％；</w:t>
      </w:r>
      <w:r>
        <w:rPr>
          <w:rFonts w:hint="eastAsia" w:ascii="宋体" w:hAnsi="宋体" w:eastAsia="宋体" w:cs="宋体"/>
          <w:bCs/>
          <w:color w:val="000000"/>
          <w:sz w:val="24"/>
          <w:szCs w:val="24"/>
          <w:highlight w:val="none"/>
        </w:rPr>
      </w:r>
      <w:r/>
    </w:p>
    <w:p>
      <w:pPr>
        <w:pStyle w:val="945"/>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预算金额500万元（含）</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t xml:space="preserve">1000万元部分，费率为该部分预算金额的0.8％；</w:t>
      </w:r>
      <w:r>
        <w:rPr>
          <w:rFonts w:hint="eastAsia" w:ascii="宋体" w:hAnsi="宋体" w:eastAsia="宋体" w:cs="宋体"/>
          <w:bCs/>
          <w:color w:val="000000"/>
          <w:sz w:val="24"/>
          <w:szCs w:val="24"/>
          <w:highlight w:val="none"/>
        </w:rPr>
      </w:r>
      <w:r/>
    </w:p>
    <w:p>
      <w:pPr>
        <w:pStyle w:val="945"/>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预算金额1000万元（含）</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t xml:space="preserve">5000万元部分，费率为该部分预算金额的0.5％；</w:t>
      </w:r>
      <w:r>
        <w:rPr>
          <w:rFonts w:hint="eastAsia" w:ascii="宋体" w:hAnsi="宋体" w:eastAsia="宋体" w:cs="宋体"/>
          <w:bCs/>
          <w:color w:val="000000"/>
          <w:sz w:val="24"/>
          <w:szCs w:val="24"/>
          <w:highlight w:val="none"/>
        </w:rPr>
      </w:r>
      <w:r/>
    </w:p>
    <w:p>
      <w:pPr>
        <w:pStyle w:val="945"/>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预算金额5000万元以上部分，费率为该部分预算金额的0.25％。</w:t>
      </w:r>
      <w:r>
        <w:rPr>
          <w:rFonts w:hint="eastAsia" w:ascii="宋体" w:hAnsi="宋体" w:eastAsia="宋体" w:cs="宋体"/>
          <w:bCs/>
          <w:color w:val="000000"/>
          <w:sz w:val="24"/>
          <w:szCs w:val="24"/>
          <w:highlight w:val="none"/>
        </w:rPr>
      </w:r>
      <w:r/>
    </w:p>
    <w:p>
      <w:pPr>
        <w:pStyle w:val="945"/>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本项目代理服务费（人民币）：第一标段服务费：21908.00元；第</w:t>
      </w:r>
      <w:r>
        <w:rPr>
          <w:rFonts w:hint="eastAsia" w:ascii="宋体" w:hAnsi="宋体" w:eastAsia="宋体" w:cs="宋体"/>
          <w:bCs/>
          <w:color w:val="000000"/>
          <w:sz w:val="24"/>
          <w:szCs w:val="24"/>
          <w:highlight w:val="none"/>
          <w:lang w:val="en-US" w:eastAsia="zh-CN"/>
        </w:rPr>
        <w:t xml:space="preserve">二</w:t>
      </w:r>
      <w:r>
        <w:rPr>
          <w:rFonts w:hint="eastAsia" w:ascii="宋体" w:hAnsi="宋体" w:eastAsia="宋体" w:cs="宋体"/>
          <w:bCs/>
          <w:color w:val="000000"/>
          <w:sz w:val="24"/>
          <w:szCs w:val="24"/>
          <w:highlight w:val="none"/>
        </w:rPr>
        <w:t xml:space="preserve">标段服务费：4515.00元。</w:t>
      </w:r>
      <w:r>
        <w:rPr>
          <w:rFonts w:hint="eastAsia" w:ascii="宋体" w:hAnsi="宋体" w:eastAsia="宋体" w:cs="宋体"/>
          <w:bCs/>
          <w:color w:val="000000"/>
          <w:sz w:val="24"/>
          <w:szCs w:val="24"/>
          <w:highlight w:val="none"/>
        </w:rPr>
      </w:r>
      <w:r/>
    </w:p>
    <w:p>
      <w:pPr>
        <w:pStyle w:val="945"/>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11.2采购代理机构服务费账号如下：</w:t>
      </w:r>
      <w:r>
        <w:rPr>
          <w:rFonts w:hint="eastAsia" w:ascii="宋体" w:hAnsi="宋体" w:eastAsia="宋体" w:cs="宋体"/>
          <w:bCs/>
          <w:color w:val="000000"/>
          <w:sz w:val="24"/>
          <w:szCs w:val="24"/>
          <w:highlight w:val="none"/>
        </w:rPr>
      </w:r>
      <w:r/>
    </w:p>
    <w:p>
      <w:pPr>
        <w:pStyle w:val="945"/>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收款单位：苏州正杰招投标咨询服务有限公司。</w:t>
      </w:r>
      <w:r>
        <w:rPr>
          <w:rFonts w:hint="eastAsia" w:ascii="宋体" w:hAnsi="宋体" w:eastAsia="宋体" w:cs="宋体"/>
          <w:bCs/>
          <w:color w:val="000000"/>
          <w:sz w:val="24"/>
          <w:szCs w:val="24"/>
          <w:highlight w:val="none"/>
        </w:rPr>
      </w:r>
      <w:r/>
    </w:p>
    <w:p>
      <w:pPr>
        <w:pStyle w:val="945"/>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银行账号：89190154740002582。</w:t>
      </w:r>
      <w:r>
        <w:rPr>
          <w:rFonts w:hint="eastAsia" w:ascii="宋体" w:hAnsi="宋体" w:eastAsia="宋体" w:cs="宋体"/>
          <w:bCs/>
          <w:color w:val="000000"/>
          <w:sz w:val="24"/>
          <w:szCs w:val="24"/>
          <w:highlight w:val="none"/>
        </w:rPr>
      </w:r>
      <w:r/>
    </w:p>
    <w:p>
      <w:pPr>
        <w:pStyle w:val="945"/>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开户银行：上海浦东发展银行苏州姑苏支行。</w:t>
      </w:r>
      <w:r>
        <w:rPr>
          <w:rFonts w:hint="eastAsia" w:ascii="宋体" w:hAnsi="宋体" w:eastAsia="宋体" w:cs="宋体"/>
          <w:bCs/>
          <w:color w:val="000000"/>
          <w:sz w:val="24"/>
          <w:szCs w:val="24"/>
          <w:highlight w:val="none"/>
        </w:rPr>
      </w:r>
      <w:r/>
    </w:p>
    <w:p>
      <w:pPr>
        <w:pStyle w:val="945"/>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11.3</w:t>
      </w:r>
      <w:r>
        <w:rPr>
          <w:rFonts w:hint="eastAsia" w:ascii="宋体" w:hAnsi="宋体" w:eastAsia="宋体" w:cs="宋体"/>
          <w:color w:val="000000"/>
          <w:sz w:val="24"/>
          <w:szCs w:val="24"/>
          <w:highlight w:val="none"/>
        </w:rPr>
        <w:t xml:space="preserve">代理服务费由</w:t>
      </w:r>
      <w:r>
        <w:rPr>
          <w:rFonts w:hint="eastAsia" w:ascii="宋体" w:hAnsi="宋体" w:eastAsia="宋体" w:cs="宋体"/>
          <w:color w:val="000000"/>
          <w:sz w:val="24"/>
          <w:szCs w:val="24"/>
          <w:highlight w:val="none"/>
          <w:lang w:eastAsia="zh-CN"/>
        </w:rPr>
        <w:t xml:space="preserve">成交单位</w:t>
      </w:r>
      <w:r>
        <w:rPr>
          <w:rFonts w:hint="eastAsia" w:ascii="宋体" w:hAnsi="宋体" w:eastAsia="宋体" w:cs="宋体"/>
          <w:color w:val="000000"/>
          <w:sz w:val="24"/>
          <w:szCs w:val="24"/>
          <w:highlight w:val="none"/>
        </w:rPr>
        <w:t xml:space="preserve">在领取成交通知书时一次性付清并含在其响应报价中。</w:t>
      </w:r>
      <w:r>
        <w:rPr>
          <w:rFonts w:hint="eastAsia" w:ascii="宋体" w:hAnsi="宋体" w:eastAsia="宋体" w:cs="宋体"/>
          <w:bCs/>
          <w:color w:val="000000"/>
          <w:sz w:val="24"/>
          <w:szCs w:val="24"/>
          <w:highlight w:val="none"/>
        </w:rPr>
      </w:r>
      <w:r/>
    </w:p>
    <w:p>
      <w:pPr>
        <w:pStyle w:val="945"/>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11.4成交单位如果未按上述规定缴纳成交服务费，采购代理机构将保留诉讼的权利。</w:t>
      </w:r>
      <w:r>
        <w:rPr>
          <w:rFonts w:hint="eastAsia" w:ascii="宋体" w:hAnsi="宋体" w:eastAsia="宋体" w:cs="宋体"/>
          <w:bCs/>
          <w:color w:val="000000"/>
          <w:sz w:val="24"/>
          <w:szCs w:val="24"/>
          <w:highlight w:val="none"/>
        </w:rPr>
      </w:r>
      <w:r/>
    </w:p>
    <w:p>
      <w:pPr>
        <w:pStyle w:val="945"/>
        <w:ind w:firstLine="52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12.其他事项</w:t>
      </w:r>
      <w:r>
        <w:rPr>
          <w:rFonts w:hint="eastAsia" w:ascii="宋体" w:hAnsi="宋体" w:eastAsia="宋体" w:cs="宋体"/>
          <w:b/>
          <w:color w:val="000000"/>
          <w:sz w:val="24"/>
          <w:szCs w:val="24"/>
          <w:highlight w:val="none"/>
        </w:rPr>
      </w:r>
      <w:r/>
    </w:p>
    <w:p>
      <w:pPr>
        <w:pStyle w:val="945"/>
        <w:ind w:firstLine="51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按《中华人民共和国政府采购法》及其他有关法律法规的规定执行。</w:t>
      </w:r>
      <w:r>
        <w:rPr>
          <w:rFonts w:hint="eastAsia" w:ascii="宋体" w:hAnsi="宋体" w:eastAsia="宋体" w:cs="宋体"/>
          <w:color w:val="000000"/>
          <w:sz w:val="24"/>
          <w:szCs w:val="24"/>
          <w:highlight w:val="none"/>
        </w:rPr>
      </w:r>
      <w:r/>
    </w:p>
    <w:p>
      <w:pPr>
        <w:pStyle w:val="969"/>
        <w:ind w:firstLine="0"/>
        <w:jc w:val="center"/>
        <w:spacing w:line="360" w:lineRule="auto"/>
        <w:rPr>
          <w:rFonts w:hint="eastAsia" w:ascii="宋体" w:hAnsi="宋体" w:eastAsia="宋体" w:cs="宋体"/>
          <w:b/>
          <w:color w:val="000000"/>
          <w:szCs w:val="24"/>
          <w:highlight w:val="none"/>
        </w:rPr>
        <w:sectPr>
          <w:footerReference w:type="default" r:id="rId15"/>
          <w:footnotePr/>
          <w:endnotePr/>
          <w:type w:val="nextPage"/>
          <w:pgSz w:w="11906" w:h="16838" w:orient="portrait"/>
          <w:pgMar w:top="1134" w:right="1134" w:bottom="1134" w:left="1134" w:header="851" w:footer="567" w:gutter="0"/>
          <w:pgNumType w:start="1"/>
          <w:cols w:num="1" w:sep="0" w:space="1701" w:equalWidth="1"/>
          <w:docGrid w:linePitch="360"/>
        </w:sectPr>
      </w:pPr>
      <w:r>
        <w:rPr>
          <w:rFonts w:hint="eastAsia" w:ascii="宋体" w:hAnsi="宋体" w:eastAsia="宋体" w:cs="宋体"/>
          <w:b/>
          <w:color w:val="000000"/>
          <w:szCs w:val="24"/>
          <w:highlight w:val="none"/>
        </w:rPr>
      </w:r>
      <w:r/>
    </w:p>
    <w:p>
      <w:pPr>
        <w:pStyle w:val="969"/>
        <w:ind w:firstLine="0"/>
        <w:jc w:val="center"/>
        <w:spacing w:line="360" w:lineRule="auto"/>
        <w:rPr>
          <w:rFonts w:hint="eastAsia" w:ascii="宋体" w:hAnsi="宋体" w:eastAsia="宋体" w:cs="宋体"/>
          <w:b/>
          <w:color w:val="000000"/>
          <w:szCs w:val="24"/>
          <w:highlight w:val="none"/>
          <w:lang w:val="zh-CN"/>
        </w:rPr>
      </w:pPr>
      <w:r>
        <w:rPr>
          <w:rFonts w:hint="eastAsia" w:ascii="宋体" w:hAnsi="宋体" w:eastAsia="宋体" w:cs="宋体"/>
          <w:b/>
          <w:color w:val="000000"/>
          <w:szCs w:val="24"/>
          <w:highlight w:val="none"/>
        </w:rPr>
        <w:t xml:space="preserve">第三章  </w:t>
      </w:r>
      <w:r>
        <w:rPr>
          <w:rFonts w:hint="eastAsia" w:ascii="宋体" w:hAnsi="宋体" w:eastAsia="宋体" w:cs="宋体"/>
          <w:b/>
          <w:color w:val="000000"/>
          <w:szCs w:val="24"/>
          <w:highlight w:val="none"/>
          <w:lang w:val="zh-CN"/>
        </w:rPr>
        <w:t xml:space="preserve">响应文件格式</w:t>
      </w:r>
      <w:r>
        <w:rPr>
          <w:rFonts w:hint="eastAsia" w:ascii="宋体" w:hAnsi="宋体" w:eastAsia="宋体" w:cs="宋体"/>
          <w:b/>
          <w:color w:val="000000"/>
          <w:szCs w:val="24"/>
          <w:highlight w:val="none"/>
          <w:lang w:val="zh-CN"/>
        </w:rPr>
      </w:r>
      <w:r/>
    </w:p>
    <w:p>
      <w:pPr>
        <w:pStyle w:val="969"/>
        <w:ind w:firstLine="0"/>
        <w:spacing w:line="360" w:lineRule="auto"/>
        <w:rPr>
          <w:rFonts w:hint="eastAsia" w:ascii="宋体" w:hAnsi="宋体" w:eastAsia="宋体" w:cs="宋体"/>
          <w:b/>
          <w:bCs/>
          <w:color w:val="000000"/>
          <w:szCs w:val="24"/>
          <w:highlight w:val="none"/>
        </w:rPr>
      </w:pPr>
      <w:r>
        <w:rPr>
          <w:rFonts w:hint="eastAsia" w:ascii="宋体" w:hAnsi="宋体" w:eastAsia="宋体" w:cs="宋体"/>
          <w:b/>
          <w:bCs/>
          <w:color w:val="000000"/>
          <w:szCs w:val="24"/>
          <w:highlight w:val="none"/>
        </w:rPr>
        <w:t xml:space="preserve">1、磋商响应函</w:t>
      </w:r>
      <w:r>
        <w:rPr>
          <w:rFonts w:hint="eastAsia" w:ascii="宋体" w:hAnsi="宋体" w:eastAsia="宋体" w:cs="宋体"/>
          <w:b/>
          <w:bCs/>
          <w:color w:val="000000"/>
          <w:szCs w:val="24"/>
          <w:highlight w:val="none"/>
        </w:rPr>
      </w:r>
      <w:r/>
    </w:p>
    <w:p>
      <w:pPr>
        <w:pStyle w:val="1054"/>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苏州正杰招投标咨询服务有限公司：</w:t>
      </w:r>
      <w:r>
        <w:rPr>
          <w:rFonts w:hint="eastAsia" w:hAnsi="宋体" w:eastAsia="宋体" w:cs="宋体"/>
          <w:color w:val="000000"/>
          <w:sz w:val="24"/>
          <w:szCs w:val="24"/>
          <w:highlight w:val="none"/>
        </w:rPr>
      </w:r>
      <w:r/>
    </w:p>
    <w:p>
      <w:pPr>
        <w:pStyle w:val="1054"/>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    我们收到贵公司</w:t>
      </w:r>
      <w:r>
        <w:rPr>
          <w:rFonts w:hint="eastAsia" w:hAnsi="宋体" w:eastAsia="宋体" w:cs="宋体"/>
          <w:color w:val="000000"/>
          <w:sz w:val="24"/>
          <w:szCs w:val="24"/>
          <w:highlight w:val="none"/>
          <w:u w:val="single"/>
        </w:rPr>
        <w:t xml:space="preserve">      </w:t>
      </w:r>
      <w:r>
        <w:rPr>
          <w:rFonts w:hint="eastAsia" w:hAnsi="宋体" w:eastAsia="宋体" w:cs="宋体"/>
          <w:color w:val="000000"/>
          <w:sz w:val="24"/>
          <w:szCs w:val="24"/>
          <w:highlight w:val="none"/>
        </w:rPr>
        <w:t xml:space="preserve">号采购文件，经仔细阅读和研究，我们决定参加采购活动。</w:t>
      </w:r>
      <w:r>
        <w:rPr>
          <w:rFonts w:hint="eastAsia" w:hAnsi="宋体" w:eastAsia="宋体" w:cs="宋体"/>
          <w:color w:val="000000"/>
          <w:sz w:val="24"/>
          <w:szCs w:val="24"/>
          <w:highlight w:val="none"/>
        </w:rPr>
      </w:r>
      <w:r/>
    </w:p>
    <w:p>
      <w:pPr>
        <w:pStyle w:val="1054"/>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    1、我们愿意按照采购文件的一切要求，</w:t>
      </w:r>
      <w:r>
        <w:rPr>
          <w:rFonts w:hint="eastAsia" w:hAnsi="宋体" w:eastAsia="宋体" w:cs="宋体"/>
          <w:color w:val="000000"/>
          <w:sz w:val="24"/>
          <w:szCs w:val="24"/>
          <w:highlight w:val="none"/>
        </w:rPr>
        <w:t xml:space="preserve">提供完成该项目的全部内容，我们的投标报价包括投标产品、安装辅材及其备品备件和专用工具费用、税费及包装、运至最终目的地的运输、保险、安装调试、检测验收、技术支持与培训、质保和售后服务及相关劳务等所发生的全部费用以及企业利润、税金和政策性文件规定及合同包含的所有风险、责任等各项应有费用。</w:t>
      </w:r>
      <w:r>
        <w:rPr>
          <w:rFonts w:hint="eastAsia" w:hAnsi="宋体" w:eastAsia="宋体" w:cs="宋体"/>
          <w:color w:val="000000"/>
          <w:sz w:val="24"/>
          <w:szCs w:val="24"/>
          <w:highlight w:val="none"/>
        </w:rPr>
      </w:r>
      <w:r/>
    </w:p>
    <w:p>
      <w:pPr>
        <w:pStyle w:val="1054"/>
        <w:ind w:firstLine="480"/>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2、如果我们的响应文件被接受，我们将严格履行采购文件中规定的每一项要求，按期、按质、按量履行合同的义务。</w:t>
      </w:r>
      <w:r>
        <w:rPr>
          <w:rFonts w:hint="eastAsia" w:hAnsi="宋体" w:eastAsia="宋体" w:cs="宋体"/>
          <w:color w:val="000000"/>
          <w:sz w:val="24"/>
          <w:szCs w:val="24"/>
          <w:highlight w:val="none"/>
        </w:rPr>
      </w:r>
      <w:r/>
    </w:p>
    <w:p>
      <w:pPr>
        <w:pStyle w:val="1054"/>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    3、我们同意按采购文件规定，响应文件有效期限为自</w:t>
      </w:r>
      <w:r>
        <w:rPr>
          <w:rFonts w:hint="eastAsia" w:hAnsi="宋体" w:eastAsia="宋体" w:cs="宋体"/>
          <w:bCs/>
          <w:color w:val="000000"/>
          <w:sz w:val="24"/>
          <w:szCs w:val="24"/>
          <w:highlight w:val="none"/>
          <w:lang w:val="zh-CN"/>
        </w:rPr>
        <w:t xml:space="preserve">响应文件提交截止之日</w:t>
      </w:r>
      <w:r>
        <w:rPr>
          <w:rFonts w:hint="eastAsia" w:hAnsi="宋体" w:eastAsia="宋体" w:cs="宋体"/>
          <w:color w:val="000000"/>
          <w:sz w:val="24"/>
          <w:szCs w:val="24"/>
          <w:highlight w:val="none"/>
        </w:rPr>
        <w:t xml:space="preserve">起</w:t>
      </w:r>
      <w:r>
        <w:rPr>
          <w:rFonts w:hint="eastAsia" w:hAnsi="宋体" w:eastAsia="宋体" w:cs="宋体"/>
          <w:color w:val="000000"/>
          <w:sz w:val="24"/>
          <w:szCs w:val="24"/>
          <w:highlight w:val="none"/>
          <w:u w:val="single"/>
        </w:rPr>
        <w:t xml:space="preserve">    </w:t>
      </w:r>
      <w:r>
        <w:rPr>
          <w:rFonts w:hint="eastAsia" w:hAnsi="宋体" w:eastAsia="宋体" w:cs="宋体"/>
          <w:color w:val="000000"/>
          <w:sz w:val="24"/>
          <w:szCs w:val="24"/>
          <w:highlight w:val="none"/>
        </w:rPr>
        <w:t xml:space="preserve">天。如果我们在开标后规定的有效期内撤回，我们愿承担一切责任。</w:t>
      </w:r>
      <w:r>
        <w:rPr>
          <w:rFonts w:hint="eastAsia" w:hAnsi="宋体" w:eastAsia="宋体" w:cs="宋体"/>
          <w:color w:val="000000"/>
          <w:sz w:val="24"/>
          <w:szCs w:val="24"/>
          <w:highlight w:val="none"/>
        </w:rPr>
      </w:r>
      <w:r/>
    </w:p>
    <w:p>
      <w:pPr>
        <w:pStyle w:val="1054"/>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    4、我们愿意提供采购人在采购文件中要求的所有资料，也同意向贵方提供贵方可能另外要求的与其有关的任何证据或资料，并保证所提供的资料全部是真实的、有效的，若有虚假，我们愿承担一切责任。</w:t>
      </w:r>
      <w:r>
        <w:rPr>
          <w:rFonts w:hint="eastAsia" w:hAnsi="宋体" w:eastAsia="宋体" w:cs="宋体"/>
          <w:color w:val="000000"/>
          <w:sz w:val="24"/>
          <w:szCs w:val="24"/>
          <w:highlight w:val="none"/>
        </w:rPr>
      </w:r>
      <w:r/>
    </w:p>
    <w:p>
      <w:pPr>
        <w:pStyle w:val="1054"/>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    5、我们认为你们有权决定供应商，还认为你们有权接受或拒绝所有的供应商。</w:t>
      </w:r>
      <w:r>
        <w:rPr>
          <w:rFonts w:hint="eastAsia" w:hAnsi="宋体" w:eastAsia="宋体" w:cs="宋体"/>
          <w:color w:val="000000"/>
          <w:sz w:val="24"/>
          <w:szCs w:val="24"/>
          <w:highlight w:val="none"/>
        </w:rPr>
      </w:r>
      <w:r/>
    </w:p>
    <w:p>
      <w:pPr>
        <w:pStyle w:val="1054"/>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    6、我们愿意遵守采购文件中所列的收费标准。</w:t>
      </w:r>
      <w:r>
        <w:rPr>
          <w:rFonts w:hint="eastAsia" w:hAnsi="宋体" w:eastAsia="宋体" w:cs="宋体"/>
          <w:color w:val="000000"/>
          <w:sz w:val="24"/>
          <w:szCs w:val="24"/>
          <w:highlight w:val="none"/>
        </w:rPr>
      </w:r>
      <w:r/>
    </w:p>
    <w:p>
      <w:pPr>
        <w:pStyle w:val="1054"/>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    7、我们承诺本响应文件在磋商开始后的全过程中保持有效，不作任何更改和变动。我们同意</w:t>
      </w:r>
      <w:r>
        <w:rPr>
          <w:rFonts w:hint="eastAsia" w:hAnsi="宋体" w:eastAsia="宋体" w:cs="宋体"/>
          <w:color w:val="000000"/>
          <w:sz w:val="24"/>
          <w:szCs w:val="24"/>
          <w:highlight w:val="none"/>
          <w:lang w:val="zh-CN"/>
        </w:rPr>
        <w:t xml:space="preserve">成交</w:t>
      </w:r>
      <w:r>
        <w:rPr>
          <w:rFonts w:hint="eastAsia" w:hAnsi="宋体" w:eastAsia="宋体" w:cs="宋体"/>
          <w:color w:val="000000"/>
          <w:sz w:val="24"/>
          <w:szCs w:val="24"/>
          <w:highlight w:val="none"/>
        </w:rPr>
        <w:t xml:space="preserve">后若不履行响应文件的内容要求和各项承诺及义务的即被视为违约，我们愿承担一切责任。</w:t>
      </w:r>
      <w:r>
        <w:rPr>
          <w:rFonts w:hint="eastAsia" w:hAnsi="宋体" w:eastAsia="宋体" w:cs="宋体"/>
          <w:color w:val="000000"/>
          <w:sz w:val="24"/>
          <w:szCs w:val="24"/>
          <w:highlight w:val="none"/>
        </w:rPr>
      </w:r>
      <w:r/>
    </w:p>
    <w:p>
      <w:pPr>
        <w:pStyle w:val="1054"/>
        <w:ind w:firstLine="480"/>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8、如果我们成交，我们愿意在签订合同时按采购文件的规定支付成交服务费。</w:t>
      </w:r>
      <w:r>
        <w:rPr>
          <w:rFonts w:hint="eastAsia" w:hAnsi="宋体" w:eastAsia="宋体" w:cs="宋体"/>
          <w:color w:val="000000"/>
          <w:sz w:val="24"/>
          <w:szCs w:val="24"/>
          <w:highlight w:val="none"/>
        </w:rPr>
      </w:r>
      <w:r/>
    </w:p>
    <w:p>
      <w:pPr>
        <w:pStyle w:val="1054"/>
        <w:ind w:firstLine="480"/>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9、本函填写的电子邮箱为我方此次采购活动中的授权邮箱，该邮箱发至采购人或代理机构的函件无论是否签字或盖章，均视为我方的意思表示，我方均予以承认并承担相应后果。</w:t>
      </w:r>
      <w:r>
        <w:rPr>
          <w:rFonts w:hint="eastAsia" w:hAnsi="宋体" w:eastAsia="宋体" w:cs="宋体"/>
          <w:color w:val="000000"/>
          <w:sz w:val="24"/>
          <w:szCs w:val="24"/>
          <w:highlight w:val="none"/>
        </w:rPr>
      </w:r>
      <w:r/>
    </w:p>
    <w:p>
      <w:pPr>
        <w:pStyle w:val="1054"/>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    10、与本次磋商有关的通讯地址：</w:t>
      </w:r>
      <w:r>
        <w:rPr>
          <w:rFonts w:hint="eastAsia" w:hAnsi="宋体" w:eastAsia="宋体" w:cs="宋体"/>
          <w:color w:val="000000"/>
          <w:sz w:val="24"/>
          <w:szCs w:val="24"/>
          <w:highlight w:val="none"/>
        </w:rPr>
      </w:r>
      <w:r/>
    </w:p>
    <w:p>
      <w:pPr>
        <w:pStyle w:val="1054"/>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    单位名称：                                 联系人员：</w:t>
      </w:r>
      <w:r>
        <w:rPr>
          <w:rFonts w:hint="eastAsia" w:hAnsi="宋体" w:eastAsia="宋体" w:cs="宋体"/>
          <w:color w:val="000000"/>
          <w:sz w:val="24"/>
          <w:szCs w:val="24"/>
          <w:highlight w:val="none"/>
        </w:rPr>
      </w:r>
      <w:r/>
    </w:p>
    <w:p>
      <w:pPr>
        <w:pStyle w:val="1054"/>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    单位地址：                                 邮政编码：</w:t>
      </w:r>
      <w:r>
        <w:rPr>
          <w:rFonts w:hint="eastAsia" w:hAnsi="宋体" w:eastAsia="宋体" w:cs="宋体"/>
          <w:color w:val="000000"/>
          <w:sz w:val="24"/>
          <w:szCs w:val="24"/>
          <w:highlight w:val="none"/>
        </w:rPr>
      </w:r>
      <w:r/>
    </w:p>
    <w:p>
      <w:pPr>
        <w:pStyle w:val="1054"/>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    联系电话：                                 传真号码：</w:t>
      </w:r>
      <w:r>
        <w:rPr>
          <w:rFonts w:hint="eastAsia" w:hAnsi="宋体" w:eastAsia="宋体" w:cs="宋体"/>
          <w:color w:val="000000"/>
          <w:sz w:val="24"/>
          <w:szCs w:val="24"/>
          <w:highlight w:val="none"/>
        </w:rPr>
      </w:r>
      <w:r/>
    </w:p>
    <w:p>
      <w:pPr>
        <w:pStyle w:val="969"/>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供应商：（单位盖章）                       电子邮箱：</w:t>
      </w:r>
      <w:r>
        <w:rPr>
          <w:rFonts w:hint="eastAsia" w:ascii="宋体" w:hAnsi="宋体" w:eastAsia="宋体" w:cs="宋体"/>
          <w:color w:val="000000"/>
          <w:szCs w:val="24"/>
          <w:highlight w:val="none"/>
        </w:rPr>
      </w:r>
      <w:r/>
    </w:p>
    <w:p>
      <w:pPr>
        <w:pStyle w:val="969"/>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法定代表人或代理人：（签字或盖章）</w:t>
      </w:r>
      <w:r>
        <w:rPr>
          <w:rFonts w:hint="eastAsia" w:ascii="宋体" w:hAnsi="宋体" w:eastAsia="宋体" w:cs="宋体"/>
          <w:color w:val="000000"/>
          <w:szCs w:val="24"/>
          <w:highlight w:val="none"/>
        </w:rPr>
      </w:r>
      <w:r/>
    </w:p>
    <w:p>
      <w:pPr>
        <w:pStyle w:val="969"/>
        <w:ind w:right="420"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日期：     年     月     日</w:t>
      </w:r>
      <w:r>
        <w:rPr>
          <w:rFonts w:hint="eastAsia" w:ascii="宋体" w:hAnsi="宋体" w:eastAsia="宋体" w:cs="宋体"/>
          <w:color w:val="000000"/>
          <w:szCs w:val="24"/>
          <w:highlight w:val="none"/>
        </w:rPr>
      </w:r>
      <w:r/>
    </w:p>
    <w:p>
      <w:pPr>
        <w:pStyle w:val="945"/>
        <w:spacing w:line="360" w:lineRule="auto"/>
        <w:rPr>
          <w:rFonts w:hint="eastAsia" w:ascii="宋体" w:hAnsi="宋体" w:eastAsia="宋体" w:cs="宋体"/>
          <w:b/>
          <w:color w:val="000000"/>
          <w:sz w:val="24"/>
          <w:szCs w:val="24"/>
          <w:highlight w:val="none"/>
          <w:lang w:val="zh-CN"/>
        </w:rPr>
      </w:pPr>
      <w:r>
        <w:rPr>
          <w:rFonts w:hint="eastAsia" w:ascii="宋体" w:hAnsi="宋体" w:eastAsia="宋体" w:cs="宋体"/>
          <w:b/>
          <w:color w:val="000000"/>
          <w:szCs w:val="21"/>
          <w:highlight w:val="none"/>
        </w:rPr>
        <w:br w:type="page" w:clear="all"/>
      </w:r>
      <w:r>
        <w:rPr>
          <w:rFonts w:hint="eastAsia" w:ascii="宋体" w:hAnsi="宋体" w:eastAsia="宋体" w:cs="宋体"/>
          <w:b/>
          <w:color w:val="000000"/>
          <w:sz w:val="24"/>
          <w:szCs w:val="24"/>
          <w:highlight w:val="none"/>
        </w:rPr>
        <w:t xml:space="preserve">2、</w:t>
      </w:r>
      <w:r>
        <w:rPr>
          <w:rFonts w:hint="eastAsia" w:ascii="宋体" w:hAnsi="宋体" w:eastAsia="宋体" w:cs="宋体"/>
          <w:b/>
          <w:color w:val="000000"/>
          <w:sz w:val="24"/>
          <w:szCs w:val="24"/>
          <w:highlight w:val="none"/>
          <w:lang w:val="zh-CN"/>
        </w:rPr>
        <w:t xml:space="preserve">法定代表人授权委托书</w:t>
      </w:r>
      <w:r>
        <w:rPr>
          <w:rFonts w:hint="eastAsia" w:ascii="宋体" w:hAnsi="宋体" w:eastAsia="宋体" w:cs="宋体"/>
          <w:b/>
          <w:color w:val="000000"/>
          <w:sz w:val="24"/>
          <w:szCs w:val="24"/>
          <w:highlight w:val="none"/>
          <w:lang w:val="zh-CN"/>
        </w:rPr>
      </w:r>
      <w:r/>
    </w:p>
    <w:p>
      <w:pPr>
        <w:pStyle w:val="969"/>
        <w:ind w:firstLine="0"/>
        <w:jc w:val="center"/>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077"/>
        <w:ind w:firstLine="484"/>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本授权委托书声明：我</w:t>
      </w:r>
      <w:r>
        <w:rPr>
          <w:rFonts w:hint="eastAsia" w:hAnsi="宋体" w:eastAsia="宋体" w:cs="宋体"/>
          <w:color w:val="000000"/>
          <w:sz w:val="24"/>
          <w:szCs w:val="24"/>
          <w:highlight w:val="none"/>
          <w:u w:val="single"/>
        </w:rPr>
        <w:t xml:space="preserve">     </w:t>
      </w:r>
      <w:r>
        <w:rPr>
          <w:rFonts w:hint="eastAsia" w:hAnsi="宋体" w:eastAsia="宋体" w:cs="宋体"/>
          <w:color w:val="000000"/>
          <w:sz w:val="24"/>
          <w:szCs w:val="24"/>
          <w:highlight w:val="none"/>
        </w:rPr>
        <w:t xml:space="preserve">（姓名）系</w:t>
      </w:r>
      <w:r>
        <w:rPr>
          <w:rFonts w:hint="eastAsia" w:hAnsi="宋体" w:eastAsia="宋体" w:cs="宋体"/>
          <w:color w:val="000000"/>
          <w:sz w:val="24"/>
          <w:szCs w:val="24"/>
          <w:highlight w:val="none"/>
          <w:u w:val="single"/>
        </w:rPr>
        <w:t xml:space="preserve">     </w:t>
      </w:r>
      <w:r>
        <w:rPr>
          <w:rFonts w:hint="eastAsia" w:hAnsi="宋体" w:eastAsia="宋体" w:cs="宋体"/>
          <w:color w:val="000000"/>
          <w:sz w:val="24"/>
          <w:szCs w:val="24"/>
          <w:highlight w:val="none"/>
        </w:rPr>
        <w:t xml:space="preserve">（供应商名称）的法定代表人，现授权委托</w:t>
      </w:r>
      <w:r>
        <w:rPr>
          <w:rFonts w:hint="eastAsia" w:hAnsi="宋体" w:eastAsia="宋体" w:cs="宋体"/>
          <w:color w:val="000000"/>
          <w:sz w:val="24"/>
          <w:szCs w:val="24"/>
          <w:highlight w:val="none"/>
          <w:u w:val="single"/>
        </w:rPr>
        <w:t xml:space="preserve">     </w:t>
      </w:r>
      <w:r>
        <w:rPr>
          <w:rFonts w:hint="eastAsia" w:hAnsi="宋体" w:eastAsia="宋体" w:cs="宋体"/>
          <w:color w:val="000000"/>
          <w:sz w:val="24"/>
          <w:szCs w:val="24"/>
          <w:highlight w:val="none"/>
        </w:rPr>
        <w:t xml:space="preserve">（姓名为我公司代理人，以本公司的名义参加</w:t>
      </w:r>
      <w:r>
        <w:rPr>
          <w:rFonts w:hint="eastAsia" w:hAnsi="宋体" w:eastAsia="宋体" w:cs="宋体"/>
          <w:color w:val="000000"/>
          <w:sz w:val="24"/>
          <w:szCs w:val="24"/>
          <w:highlight w:val="none"/>
          <w:u w:val="single"/>
        </w:rPr>
        <w:t xml:space="preserve">     </w:t>
      </w:r>
      <w:r>
        <w:rPr>
          <w:rFonts w:hint="eastAsia" w:hAnsi="宋体" w:eastAsia="宋体" w:cs="宋体"/>
          <w:color w:val="000000"/>
          <w:sz w:val="24"/>
          <w:szCs w:val="24"/>
          <w:highlight w:val="none"/>
        </w:rPr>
        <w:t xml:space="preserve">（采购人名称）组织实施的编号为</w:t>
      </w:r>
      <w:r>
        <w:rPr>
          <w:rFonts w:hint="eastAsia" w:hAnsi="宋体" w:eastAsia="宋体" w:cs="宋体"/>
          <w:color w:val="000000"/>
          <w:sz w:val="24"/>
          <w:szCs w:val="24"/>
          <w:highlight w:val="none"/>
          <w:u w:val="single"/>
        </w:rPr>
        <w:t xml:space="preserve">     </w:t>
      </w:r>
      <w:r>
        <w:rPr>
          <w:rFonts w:hint="eastAsia" w:hAnsi="宋体" w:eastAsia="宋体" w:cs="宋体"/>
          <w:color w:val="000000"/>
          <w:sz w:val="24"/>
          <w:szCs w:val="24"/>
          <w:highlight w:val="none"/>
        </w:rPr>
        <w:t xml:space="preserve">号的采购活动。代理人在投标、开标、评标、合同订立和履行过程中所签署的一切文件和处理与这有关的一切事务，我均予以承认。</w:t>
      </w:r>
      <w:r>
        <w:rPr>
          <w:rFonts w:hint="eastAsia" w:hAnsi="宋体" w:eastAsia="宋体" w:cs="宋体"/>
          <w:color w:val="000000"/>
          <w:sz w:val="24"/>
          <w:szCs w:val="24"/>
          <w:highlight w:val="none"/>
        </w:rPr>
      </w:r>
      <w:r/>
    </w:p>
    <w:p>
      <w:pPr>
        <w:pStyle w:val="1077"/>
        <w:ind w:firstLine="484"/>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代理人在授权委托书有效期内签署的所有文件不因授权委托的撤销而失效，除非有撤销授权委托的书面通知，本授权委托书自投标开始至合同履行完毕止。</w:t>
      </w:r>
      <w:r>
        <w:rPr>
          <w:rFonts w:hint="eastAsia" w:hAnsi="宋体" w:eastAsia="宋体" w:cs="宋体"/>
          <w:color w:val="000000"/>
          <w:sz w:val="24"/>
          <w:szCs w:val="24"/>
          <w:highlight w:val="none"/>
        </w:rPr>
      </w:r>
      <w:r/>
    </w:p>
    <w:p>
      <w:pPr>
        <w:pStyle w:val="1077"/>
        <w:ind w:firstLine="484"/>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代理人无转委托权。特此委托。</w:t>
      </w:r>
      <w:r>
        <w:rPr>
          <w:rFonts w:hint="eastAsia" w:hAnsi="宋体" w:eastAsia="宋体" w:cs="宋体"/>
          <w:color w:val="000000"/>
          <w:sz w:val="24"/>
          <w:szCs w:val="24"/>
          <w:highlight w:val="none"/>
        </w:rPr>
      </w:r>
      <w:r/>
    </w:p>
    <w:p>
      <w:pPr>
        <w:pStyle w:val="1077"/>
        <w:ind w:firstLine="484"/>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   </w:t>
      </w:r>
      <w:r>
        <w:rPr>
          <w:rFonts w:hint="eastAsia" w:hAnsi="宋体" w:eastAsia="宋体" w:cs="宋体"/>
          <w:color w:val="000000"/>
          <w:sz w:val="24"/>
          <w:szCs w:val="24"/>
          <w:highlight w:val="none"/>
        </w:rPr>
      </w:r>
      <w:r/>
    </w:p>
    <w:p>
      <w:pPr>
        <w:pStyle w:val="1017"/>
        <w:ind w:firstLine="480"/>
        <w:jc w:val="both"/>
        <w:spacing w:line="360" w:lineRule="auto"/>
        <w:rPr>
          <w:rFonts w:cs="宋体"/>
          <w:color w:val="000000"/>
          <w:highlight w:val="none"/>
        </w:rPr>
      </w:pPr>
      <w:r>
        <w:rPr>
          <w:rFonts w:cs="宋体"/>
          <w:color w:val="000000"/>
          <w:highlight w:val="none"/>
        </w:rPr>
        <w:t xml:space="preserve">供应商（单位盖章）：</w:t>
      </w:r>
      <w:r>
        <w:rPr>
          <w:rFonts w:cs="宋体"/>
          <w:color w:val="000000"/>
          <w:highlight w:val="none"/>
        </w:rPr>
      </w:r>
      <w:r/>
    </w:p>
    <w:p>
      <w:pPr>
        <w:pStyle w:val="1017"/>
        <w:ind w:firstLine="480"/>
        <w:jc w:val="both"/>
        <w:spacing w:line="360" w:lineRule="auto"/>
        <w:rPr>
          <w:rFonts w:cs="宋体"/>
          <w:color w:val="000000"/>
          <w:highlight w:val="none"/>
        </w:rPr>
      </w:pPr>
      <w:r>
        <w:rPr>
          <w:rFonts w:cs="宋体"/>
          <w:color w:val="000000"/>
          <w:highlight w:val="none"/>
        </w:rPr>
        <w:t xml:space="preserve">法定代表人（签字或盖章）：</w:t>
      </w:r>
      <w:r>
        <w:rPr>
          <w:rFonts w:cs="宋体"/>
          <w:color w:val="000000"/>
          <w:highlight w:val="none"/>
        </w:rPr>
      </w:r>
      <w:r/>
    </w:p>
    <w:p>
      <w:pPr>
        <w:pStyle w:val="1017"/>
        <w:ind w:firstLine="480"/>
        <w:jc w:val="both"/>
        <w:spacing w:line="360" w:lineRule="auto"/>
        <w:rPr>
          <w:rFonts w:cs="宋体"/>
          <w:color w:val="000000"/>
          <w:highlight w:val="none"/>
        </w:rPr>
      </w:pPr>
      <w:r>
        <w:rPr>
          <w:rFonts w:cs="宋体"/>
          <w:color w:val="000000"/>
          <w:highlight w:val="none"/>
        </w:rPr>
        <w:t xml:space="preserve">代理人（签字或盖章）：</w:t>
      </w:r>
      <w:r>
        <w:rPr>
          <w:rFonts w:cs="宋体"/>
          <w:color w:val="000000"/>
          <w:highlight w:val="none"/>
        </w:rPr>
      </w:r>
      <w:r/>
    </w:p>
    <w:p>
      <w:pPr>
        <w:pStyle w:val="1017"/>
        <w:ind w:firstLine="480"/>
        <w:jc w:val="both"/>
        <w:spacing w:line="360" w:lineRule="auto"/>
        <w:rPr>
          <w:rFonts w:cs="宋体"/>
          <w:color w:val="000000"/>
          <w:highlight w:val="none"/>
        </w:rPr>
      </w:pPr>
      <w:r>
        <w:rPr>
          <w:rFonts w:cs="宋体"/>
          <w:color w:val="000000"/>
          <w:highlight w:val="none"/>
        </w:rPr>
        <w:t xml:space="preserve">日 期： </w:t>
      </w:r>
      <w:r>
        <w:rPr>
          <w:rFonts w:cs="宋体"/>
          <w:color w:val="000000"/>
          <w:highlight w:val="none"/>
        </w:rPr>
      </w:r>
      <w:r/>
    </w:p>
    <w:p>
      <w:pPr>
        <w:pStyle w:val="945"/>
        <w:ind w:firstLine="52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69"/>
        <w:ind w:firstLine="482"/>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t xml:space="preserve">注：本授权委托书仅限于法人性质供应商投标，响应文件中必须提供法定代表人和代理人身份证复印件。非法人性质供应商投标，授权委托书格式自拟，但必须同时提供受托双方身份证复印件。</w:t>
      </w:r>
      <w:r>
        <w:rPr>
          <w:rFonts w:hint="eastAsia" w:ascii="宋体" w:hAnsi="宋体" w:eastAsia="宋体" w:cs="宋体"/>
          <w:b/>
          <w:color w:val="000000"/>
          <w:szCs w:val="24"/>
          <w:highlight w:val="none"/>
        </w:rPr>
      </w:r>
      <w:r/>
    </w:p>
    <w:p>
      <w:pPr>
        <w:pStyle w:val="969"/>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w:t>
      </w:r>
      <w:r>
        <w:rPr>
          <w:rFonts w:hint="eastAsia" w:ascii="宋体" w:hAnsi="宋体" w:eastAsia="宋体" w:cs="宋体"/>
          <w:color w:val="000000"/>
          <w:szCs w:val="24"/>
          <w:highlight w:val="none"/>
        </w:rPr>
      </w:r>
      <w:r/>
    </w:p>
    <w:p>
      <w:pPr>
        <w:pStyle w:val="969"/>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w:t>
      </w:r>
      <w:r>
        <w:rPr>
          <w:rFonts w:hint="eastAsia" w:ascii="宋体" w:hAnsi="宋体" w:eastAsia="宋体" w:cs="宋体"/>
          <w:color w:val="000000"/>
          <w:szCs w:val="24"/>
          <w:highlight w:val="none"/>
        </w:rPr>
      </w:r>
      <w:r/>
    </w:p>
    <w:p>
      <w:pPr>
        <w:pStyle w:val="969"/>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69"/>
        <w:ind w:right="420" w:firstLine="0"/>
        <w:spacing w:line="360" w:lineRule="auto"/>
        <w:rPr>
          <w:rFonts w:hint="eastAsia" w:ascii="宋体" w:hAnsi="宋体" w:eastAsia="宋体" w:cs="宋体"/>
          <w:b/>
          <w:bCs/>
          <w:color w:val="000000"/>
          <w:szCs w:val="24"/>
          <w:highlight w:val="none"/>
        </w:rPr>
      </w:pPr>
      <w:r>
        <w:rPr>
          <w:rFonts w:hint="eastAsia" w:ascii="宋体" w:hAnsi="宋体" w:eastAsia="宋体" w:cs="宋体"/>
          <w:b/>
          <w:bCs/>
          <w:color w:val="000000"/>
          <w:szCs w:val="24"/>
          <w:highlight w:val="none"/>
        </w:rPr>
        <w:br w:type="page" w:clear="all"/>
      </w:r>
      <w:r>
        <w:rPr>
          <w:rFonts w:hint="eastAsia" w:ascii="宋体" w:hAnsi="宋体" w:eastAsia="宋体" w:cs="宋体"/>
          <w:b/>
          <w:bCs/>
          <w:color w:val="000000"/>
          <w:szCs w:val="24"/>
          <w:highlight w:val="none"/>
        </w:rPr>
        <w:t xml:space="preserve">3、关于资格文件的声明函</w:t>
      </w:r>
      <w:r>
        <w:rPr>
          <w:rFonts w:hint="eastAsia" w:ascii="宋体" w:hAnsi="宋体" w:eastAsia="宋体" w:cs="宋体"/>
          <w:b/>
          <w:bCs/>
          <w:color w:val="000000"/>
          <w:szCs w:val="24"/>
          <w:highlight w:val="none"/>
        </w:rPr>
      </w:r>
      <w:r/>
    </w:p>
    <w:p>
      <w:pPr>
        <w:pStyle w:val="969"/>
        <w:ind w:firstLine="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苏州正杰招投标咨询服务有限公司：</w:t>
      </w:r>
      <w:r>
        <w:rPr>
          <w:rFonts w:hint="eastAsia" w:ascii="宋体" w:hAnsi="宋体" w:eastAsia="宋体" w:cs="宋体"/>
          <w:color w:val="000000"/>
          <w:szCs w:val="24"/>
          <w:highlight w:val="none"/>
        </w:rPr>
      </w:r>
      <w:r/>
    </w:p>
    <w:p>
      <w:pPr>
        <w:pStyle w:val="969"/>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本公司愿就由贵公司组织实施的项目编号为_________号的采购活动进行响应。本公司所提交的商务、技术及报价文件中所有关于资格的文件、证明和陈述均是真实的、准确的和有效的。若与事实情况不符，本公司愿意承担由此而产生的一切后果。</w:t>
      </w:r>
      <w:r>
        <w:rPr>
          <w:rFonts w:hint="eastAsia" w:ascii="宋体" w:hAnsi="宋体" w:eastAsia="宋体" w:cs="宋体"/>
          <w:color w:val="000000"/>
          <w:szCs w:val="24"/>
          <w:highlight w:val="none"/>
        </w:rPr>
      </w:r>
      <w:r/>
    </w:p>
    <w:p>
      <w:pPr>
        <w:pStyle w:val="969"/>
        <w:ind w:right="420"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供应商（单位盖章）：</w:t>
      </w:r>
      <w:r>
        <w:rPr>
          <w:rFonts w:hint="eastAsia" w:ascii="宋体" w:hAnsi="宋体" w:eastAsia="宋体" w:cs="宋体"/>
          <w:color w:val="000000"/>
          <w:szCs w:val="24"/>
          <w:highlight w:val="none"/>
        </w:rPr>
      </w:r>
      <w:r/>
    </w:p>
    <w:p>
      <w:pPr>
        <w:pStyle w:val="969"/>
        <w:ind w:right="420"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法定代表人或代理人（签字或盖章）；</w:t>
      </w:r>
      <w:r>
        <w:rPr>
          <w:rFonts w:hint="eastAsia" w:ascii="宋体" w:hAnsi="宋体" w:eastAsia="宋体" w:cs="宋体"/>
          <w:color w:val="000000"/>
          <w:szCs w:val="24"/>
          <w:highlight w:val="none"/>
        </w:rPr>
      </w:r>
      <w:r/>
    </w:p>
    <w:p>
      <w:pPr>
        <w:pStyle w:val="969"/>
        <w:ind w:right="420"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日期：     年     月     日</w:t>
      </w:r>
      <w:r>
        <w:rPr>
          <w:rFonts w:hint="eastAsia" w:ascii="宋体" w:hAnsi="宋体" w:eastAsia="宋体" w:cs="宋体"/>
          <w:color w:val="000000"/>
          <w:szCs w:val="24"/>
          <w:highlight w:val="none"/>
        </w:rPr>
      </w:r>
      <w:r/>
    </w:p>
    <w:p>
      <w:pPr>
        <w:pStyle w:val="969"/>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085"/>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1085"/>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1085"/>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1085"/>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1085"/>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1085"/>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1085"/>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1085"/>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1085"/>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1085"/>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1085"/>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1085"/>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1085"/>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1085"/>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1085"/>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1085"/>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1085"/>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1085"/>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1085"/>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969"/>
        <w:ind w:right="420" w:firstLine="0"/>
        <w:spacing w:line="360" w:lineRule="auto"/>
        <w:rPr>
          <w:rFonts w:hint="eastAsia" w:ascii="宋体" w:hAnsi="宋体" w:eastAsia="宋体" w:cs="宋体"/>
          <w:b/>
          <w:bCs/>
          <w:color w:val="000000"/>
          <w:szCs w:val="24"/>
          <w:highlight w:val="none"/>
          <w:lang w:eastAsia="zh-CN"/>
        </w:rPr>
      </w:pPr>
      <w:r>
        <w:rPr>
          <w:rFonts w:hint="eastAsia" w:ascii="宋体" w:hAnsi="宋体" w:eastAsia="宋体" w:cs="宋体"/>
          <w:b/>
          <w:bCs/>
          <w:color w:val="000000"/>
          <w:szCs w:val="24"/>
          <w:highlight w:val="none"/>
        </w:rPr>
        <w:t xml:space="preserve">4、开标一览表</w:t>
      </w:r>
      <w:r>
        <w:rPr>
          <w:rFonts w:hint="eastAsia" w:ascii="宋体" w:hAnsi="宋体" w:eastAsia="宋体" w:cs="宋体"/>
          <w:b/>
          <w:bCs/>
          <w:color w:val="000000"/>
          <w:szCs w:val="24"/>
          <w:highlight w:val="none"/>
          <w:lang w:eastAsia="zh-CN"/>
        </w:rPr>
        <w:t xml:space="preserve">（</w:t>
      </w:r>
      <w:r>
        <w:rPr>
          <w:rFonts w:hint="eastAsia" w:ascii="宋体" w:hAnsi="宋体" w:eastAsia="宋体" w:cs="宋体"/>
          <w:b/>
          <w:bCs/>
          <w:color w:val="000000"/>
          <w:szCs w:val="24"/>
          <w:highlight w:val="none"/>
        </w:rPr>
        <w:t xml:space="preserve">各标段均适用</w:t>
      </w:r>
      <w:r>
        <w:rPr>
          <w:rFonts w:hint="eastAsia" w:ascii="宋体" w:hAnsi="宋体" w:eastAsia="宋体" w:cs="宋体"/>
          <w:b/>
          <w:bCs/>
          <w:color w:val="000000"/>
          <w:szCs w:val="24"/>
          <w:highlight w:val="none"/>
          <w:lang w:eastAsia="zh-CN"/>
        </w:rPr>
        <w:t xml:space="preserve">）</w:t>
      </w:r>
      <w:r>
        <w:rPr>
          <w:rFonts w:hint="eastAsia" w:ascii="宋体" w:hAnsi="宋体" w:eastAsia="宋体" w:cs="宋体"/>
          <w:b/>
          <w:bCs/>
          <w:color w:val="000000"/>
          <w:szCs w:val="24"/>
          <w:highlight w:val="none"/>
          <w:lang w:eastAsia="zh-CN"/>
        </w:rPr>
      </w:r>
      <w:r/>
    </w:p>
    <w:p>
      <w:pPr>
        <w:pStyle w:val="945"/>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45"/>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开标一览表（投标总价）</w:t>
      </w:r>
      <w:r>
        <w:rPr>
          <w:rFonts w:hint="eastAsia" w:ascii="宋体" w:hAnsi="宋体" w:eastAsia="宋体" w:cs="宋体"/>
          <w:b/>
          <w:color w:val="000000"/>
          <w:sz w:val="24"/>
          <w:szCs w:val="24"/>
          <w:highlight w:val="none"/>
        </w:rPr>
      </w:r>
      <w:r/>
    </w:p>
    <w:tbl>
      <w:tblPr>
        <w:tblW w:w="4952" w:type="pct"/>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57"/>
        <w:gridCol w:w="7102"/>
      </w:tblGrid>
      <w:tr>
        <w:trPr>
          <w:cantSplit/>
          <w:trHeight w:val="832"/>
        </w:trPr>
        <w:tc>
          <w:tcPr>
            <w:tcW w:w="1361" w:type="dxa"/>
            <w:vAlign w:val="center"/>
            <w:textDirection w:val="lrTb"/>
            <w:noWrap w:val="false"/>
          </w:tcPr>
          <w:p>
            <w:pPr>
              <w:pStyle w:val="9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tc>
        <w:tc>
          <w:tcPr>
            <w:tcW w:w="3638" w:type="dxa"/>
            <w:vAlign w:val="center"/>
            <w:textDirection w:val="lrTb"/>
            <w:noWrap w:val="false"/>
          </w:tcPr>
          <w:p>
            <w:pPr>
              <w:pStyle w:val="94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投标总价</w:t>
            </w:r>
            <w:r>
              <w:rPr>
                <w:rFonts w:hint="eastAsia" w:ascii="宋体" w:hAnsi="宋体" w:eastAsia="宋体" w:cs="宋体"/>
                <w:color w:val="000000"/>
                <w:sz w:val="24"/>
                <w:szCs w:val="24"/>
                <w:highlight w:val="none"/>
              </w:rPr>
            </w:r>
            <w:r/>
          </w:p>
        </w:tc>
      </w:tr>
      <w:tr>
        <w:trPr>
          <w:cantSplit/>
          <w:trHeight w:val="960"/>
        </w:trPr>
        <w:tc>
          <w:tcPr>
            <w:tcW w:w="1361" w:type="dxa"/>
            <w:vAlign w:val="center"/>
            <w:textDirection w:val="lrTb"/>
            <w:noWrap w:val="false"/>
          </w:tcPr>
          <w:p>
            <w:pPr>
              <w:pStyle w:val="945"/>
              <w:spacing w:line="360" w:lineRule="auto"/>
              <w:rPr>
                <w:rFonts w:hint="eastAsia" w:ascii="宋体" w:hAnsi="宋体" w:eastAsia="宋体" w:cs="宋体"/>
                <w:color w:val="000000"/>
                <w:sz w:val="24"/>
                <w:szCs w:val="24"/>
                <w:highlight w:val="none"/>
              </w:rPr>
            </w:pPr>
            <w:r/>
            <w:bookmarkStart w:id="6" w:name="XMMC"/>
            <w:r/>
            <w:bookmarkEnd w:id="6"/>
            <w:r>
              <w:rPr>
                <w:rFonts w:hint="eastAsia" w:ascii="宋体" w:hAnsi="宋体" w:eastAsia="宋体" w:cs="宋体"/>
                <w:color w:val="000000"/>
                <w:sz w:val="24"/>
                <w:szCs w:val="24"/>
                <w:highlight w:val="none"/>
              </w:rPr>
            </w:r>
            <w:r/>
          </w:p>
        </w:tc>
        <w:tc>
          <w:tcPr>
            <w:tcW w:w="3638" w:type="dxa"/>
            <w:vAlign w:val="center"/>
            <w:textDirection w:val="lrTb"/>
            <w:noWrap w:val="false"/>
          </w:tcPr>
          <w:p>
            <w:pPr>
              <w:pStyle w:val="94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人民币小写：</w:t>
            </w:r>
            <w:bookmarkStart w:id="7" w:name="JEXX"/>
            <w:r/>
            <w:bookmarkEnd w:id="7"/>
            <w:r>
              <w:rPr>
                <w:rFonts w:hint="eastAsia" w:ascii="宋体" w:hAnsi="宋体" w:eastAsia="宋体" w:cs="宋体"/>
                <w:color w:val="000000"/>
                <w:sz w:val="24"/>
                <w:szCs w:val="24"/>
                <w:highlight w:val="none"/>
              </w:rPr>
              <w:t xml:space="preserve">                                      （元）</w:t>
            </w:r>
            <w:r>
              <w:rPr>
                <w:rFonts w:hint="eastAsia" w:ascii="宋体" w:hAnsi="宋体" w:eastAsia="宋体" w:cs="宋体"/>
                <w:color w:val="000000"/>
                <w:sz w:val="24"/>
                <w:szCs w:val="24"/>
                <w:highlight w:val="none"/>
              </w:rPr>
            </w:r>
            <w:r/>
          </w:p>
        </w:tc>
      </w:tr>
    </w:tbl>
    <w:p>
      <w:pPr>
        <w:pStyle w:val="94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6"/>
        <w:ind w:firstLine="480"/>
        <w:jc w:val="left"/>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供应商（单位盖章）：</w:t>
      </w:r>
      <w:r>
        <w:rPr>
          <w:rFonts w:hint="eastAsia" w:hAnsi="宋体" w:eastAsia="宋体" w:cs="宋体"/>
          <w:color w:val="000000"/>
          <w:sz w:val="24"/>
          <w:szCs w:val="24"/>
          <w:highlight w:val="none"/>
        </w:rPr>
      </w:r>
      <w:r/>
    </w:p>
    <w:p>
      <w:pPr>
        <w:pStyle w:val="986"/>
        <w:ind w:firstLine="480"/>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法定代表人或代理人（签字或盖章）：</w:t>
      </w:r>
      <w:r>
        <w:rPr>
          <w:rFonts w:hint="eastAsia" w:hAnsi="宋体" w:eastAsia="宋体" w:cs="宋体"/>
          <w:color w:val="000000"/>
          <w:sz w:val="24"/>
          <w:szCs w:val="24"/>
          <w:highlight w:val="none"/>
        </w:rPr>
      </w:r>
      <w:r/>
    </w:p>
    <w:p>
      <w:pPr>
        <w:pStyle w:val="986"/>
        <w:ind w:firstLine="480"/>
        <w:spacing w:line="360" w:lineRule="auto"/>
        <w:rPr>
          <w:rFonts w:hint="eastAsia" w:hAnsi="宋体" w:eastAsia="宋体" w:cs="宋体"/>
          <w:color w:val="000000"/>
          <w:sz w:val="24"/>
          <w:szCs w:val="24"/>
          <w:highlight w:val="none"/>
          <w:lang w:val="zh-CN"/>
        </w:rPr>
      </w:pPr>
      <w:r>
        <w:rPr>
          <w:rFonts w:hint="eastAsia" w:hAnsi="宋体" w:eastAsia="宋体" w:cs="宋体"/>
          <w:color w:val="000000"/>
          <w:sz w:val="24"/>
          <w:szCs w:val="24"/>
          <w:highlight w:val="none"/>
        </w:rPr>
        <w:t xml:space="preserve">日期：     年     月     日</w:t>
      </w:r>
      <w:r>
        <w:rPr>
          <w:rFonts w:hint="eastAsia" w:hAnsi="宋体" w:eastAsia="宋体" w:cs="宋体"/>
          <w:color w:val="000000"/>
          <w:sz w:val="24"/>
          <w:szCs w:val="24"/>
          <w:highlight w:val="none"/>
          <w:lang w:val="zh-CN"/>
        </w:rPr>
      </w:r>
      <w:r/>
    </w:p>
    <w:p>
      <w:pPr>
        <w:pStyle w:val="1085"/>
        <w:spacing w:line="360" w:lineRule="auto"/>
        <w:rPr>
          <w:rFonts w:hint="eastAsia" w:hAnsi="宋体" w:eastAsia="宋体" w:cs="宋体"/>
          <w:b/>
          <w:bCs/>
          <w:color w:val="000000"/>
          <w:sz w:val="24"/>
          <w:szCs w:val="24"/>
          <w:highlight w:val="none"/>
        </w:rPr>
      </w:pPr>
      <w:r>
        <w:rPr>
          <w:rFonts w:hint="eastAsia" w:hAnsi="宋体" w:eastAsia="宋体" w:cs="宋体"/>
          <w:b/>
          <w:bCs/>
          <w:color w:val="000000"/>
          <w:sz w:val="24"/>
          <w:szCs w:val="24"/>
          <w:highlight w:val="none"/>
        </w:rPr>
      </w:r>
      <w:r/>
    </w:p>
    <w:p>
      <w:pPr>
        <w:pStyle w:val="1085"/>
        <w:spacing w:line="360" w:lineRule="auto"/>
        <w:rPr>
          <w:rFonts w:hint="eastAsia" w:hAnsi="宋体" w:eastAsia="宋体" w:cs="宋体"/>
          <w:b/>
          <w:bCs/>
          <w:color w:val="000000"/>
          <w:sz w:val="24"/>
          <w:szCs w:val="24"/>
          <w:highlight w:val="none"/>
        </w:rPr>
      </w:pPr>
      <w:r>
        <w:rPr>
          <w:rFonts w:hint="eastAsia" w:hAnsi="宋体" w:eastAsia="宋体" w:cs="宋体"/>
          <w:b/>
          <w:bCs/>
          <w:color w:val="000000"/>
          <w:sz w:val="24"/>
          <w:szCs w:val="24"/>
          <w:highlight w:val="none"/>
        </w:rPr>
      </w:r>
      <w:r/>
    </w:p>
    <w:p>
      <w:pPr>
        <w:pStyle w:val="1085"/>
        <w:spacing w:line="360" w:lineRule="auto"/>
        <w:rPr>
          <w:rFonts w:hint="eastAsia" w:hAnsi="宋体" w:eastAsia="宋体" w:cs="宋体"/>
          <w:b/>
          <w:bCs/>
          <w:color w:val="000000"/>
          <w:sz w:val="24"/>
          <w:szCs w:val="24"/>
          <w:highlight w:val="none"/>
        </w:rPr>
      </w:pPr>
      <w:r>
        <w:rPr>
          <w:rFonts w:hint="eastAsia" w:hAnsi="宋体" w:eastAsia="宋体" w:cs="宋体"/>
          <w:b/>
          <w:bCs/>
          <w:color w:val="000000"/>
          <w:sz w:val="24"/>
          <w:szCs w:val="24"/>
          <w:highlight w:val="none"/>
        </w:rPr>
      </w:r>
      <w:r/>
    </w:p>
    <w:p>
      <w:pPr>
        <w:pStyle w:val="1085"/>
        <w:spacing w:line="360" w:lineRule="auto"/>
        <w:rPr>
          <w:rFonts w:hint="eastAsia" w:hAnsi="宋体" w:eastAsia="宋体" w:cs="宋体"/>
          <w:b/>
          <w:bCs/>
          <w:color w:val="000000"/>
          <w:sz w:val="24"/>
          <w:szCs w:val="24"/>
          <w:highlight w:val="none"/>
        </w:rPr>
      </w:pPr>
      <w:r>
        <w:rPr>
          <w:rFonts w:hint="eastAsia" w:hAnsi="宋体" w:eastAsia="宋体" w:cs="宋体"/>
          <w:b/>
          <w:bCs/>
          <w:color w:val="000000"/>
          <w:sz w:val="24"/>
          <w:szCs w:val="24"/>
          <w:highlight w:val="none"/>
        </w:rPr>
        <w:br w:type="page" w:clear="all"/>
      </w:r>
      <w:r>
        <w:rPr>
          <w:rFonts w:hint="eastAsia" w:hAnsi="宋体" w:eastAsia="宋体" w:cs="宋体"/>
          <w:b/>
          <w:bCs/>
          <w:color w:val="000000"/>
          <w:sz w:val="24"/>
          <w:szCs w:val="24"/>
          <w:highlight w:val="none"/>
        </w:rPr>
        <w:t xml:space="preserve">5、磋商响应明细报价</w:t>
      </w:r>
      <w:r>
        <w:rPr>
          <w:rFonts w:hint="eastAsia" w:ascii="宋体" w:hAnsi="宋体" w:eastAsia="宋体" w:cs="宋体"/>
          <w:b/>
          <w:bCs/>
          <w:color w:val="000000"/>
          <w:sz w:val="24"/>
          <w:szCs w:val="24"/>
          <w:highlight w:val="none"/>
        </w:rPr>
        <w:t xml:space="preserve">表（各标段均适用</w:t>
      </w:r>
      <w:r>
        <w:rPr>
          <w:rFonts w:hint="eastAsia" w:ascii="宋体" w:hAnsi="宋体" w:eastAsia="宋体" w:cs="宋体"/>
          <w:color w:val="000000"/>
          <w:szCs w:val="24"/>
          <w:highlight w:val="none"/>
        </w:rPr>
        <w:t xml:space="preserve">）</w:t>
      </w:r>
      <w:r>
        <w:rPr>
          <w:rFonts w:hint="eastAsia" w:hAnsi="宋体" w:eastAsia="宋体" w:cs="宋体"/>
          <w:b/>
          <w:bCs/>
          <w:color w:val="000000"/>
          <w:sz w:val="24"/>
          <w:szCs w:val="24"/>
          <w:highlight w:val="none"/>
        </w:rPr>
      </w:r>
      <w:r/>
    </w:p>
    <w:p>
      <w:pPr>
        <w:pStyle w:val="1085"/>
        <w:jc w:val="center"/>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u w:val="single"/>
        </w:rPr>
        <w:t xml:space="preserve">          </w:t>
      </w:r>
      <w:r>
        <w:rPr>
          <w:rFonts w:hint="eastAsia" w:hAnsi="宋体" w:eastAsia="宋体" w:cs="宋体"/>
          <w:color w:val="000000"/>
          <w:sz w:val="24"/>
          <w:szCs w:val="24"/>
          <w:highlight w:val="none"/>
        </w:rPr>
        <w:t xml:space="preserve">项目磋商响应明细报价表</w:t>
      </w:r>
      <w:r>
        <w:rPr>
          <w:rFonts w:hint="eastAsia" w:hAnsi="宋体" w:eastAsia="宋体" w:cs="宋体"/>
          <w:color w:val="000000"/>
          <w:sz w:val="24"/>
          <w:szCs w:val="24"/>
          <w:highlight w:val="none"/>
        </w:rPr>
      </w:r>
      <w:r/>
    </w:p>
    <w:tbl>
      <w:tblPr>
        <w:tblW w:w="963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086"/>
        <w:gridCol w:w="1304"/>
        <w:gridCol w:w="1290"/>
        <w:gridCol w:w="765"/>
        <w:gridCol w:w="721"/>
        <w:gridCol w:w="1319"/>
        <w:gridCol w:w="1231"/>
        <w:gridCol w:w="963"/>
      </w:tblGrid>
      <w:tr>
        <w:trPr>
          <w:trHeight w:val="567"/>
        </w:trPr>
        <w:tc>
          <w:tcPr>
            <w:tcW w:w="959" w:type="dxa"/>
            <w:vAlign w:val="center"/>
            <w:textDirection w:val="lrTb"/>
            <w:noWrap w:val="false"/>
          </w:tcPr>
          <w:p>
            <w:pPr>
              <w:pStyle w:val="986"/>
              <w:jc w:val="center"/>
              <w:spacing w:line="360" w:lineRule="auto"/>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t xml:space="preserve">序号</w:t>
            </w:r>
            <w:r>
              <w:rPr>
                <w:rFonts w:hint="eastAsia" w:hAnsi="宋体" w:eastAsia="宋体" w:cs="宋体"/>
                <w:bCs/>
                <w:color w:val="000000"/>
                <w:sz w:val="24"/>
                <w:szCs w:val="24"/>
                <w:highlight w:val="none"/>
              </w:rPr>
            </w:r>
            <w:r/>
          </w:p>
        </w:tc>
        <w:tc>
          <w:tcPr>
            <w:tcW w:w="1086" w:type="dxa"/>
            <w:vAlign w:val="center"/>
            <w:textDirection w:val="lrTb"/>
            <w:noWrap w:val="false"/>
          </w:tcPr>
          <w:p>
            <w:pPr>
              <w:pStyle w:val="945"/>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名称</w:t>
            </w:r>
            <w:r>
              <w:rPr>
                <w:rFonts w:hint="eastAsia" w:ascii="宋体" w:hAnsi="宋体" w:eastAsia="宋体" w:cs="宋体"/>
                <w:bCs/>
                <w:color w:val="000000"/>
                <w:sz w:val="24"/>
                <w:szCs w:val="24"/>
                <w:highlight w:val="none"/>
              </w:rPr>
            </w:r>
            <w:r/>
          </w:p>
        </w:tc>
        <w:tc>
          <w:tcPr>
            <w:tcW w:w="1304" w:type="dxa"/>
            <w:vAlign w:val="center"/>
            <w:textDirection w:val="lrTb"/>
            <w:noWrap w:val="false"/>
          </w:tcPr>
          <w:p>
            <w:pPr>
              <w:pStyle w:val="945"/>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品牌、型号</w:t>
            </w:r>
            <w:r>
              <w:rPr>
                <w:rFonts w:hint="eastAsia" w:ascii="宋体" w:hAnsi="宋体" w:eastAsia="宋体" w:cs="宋体"/>
                <w:bCs/>
                <w:color w:val="000000"/>
                <w:sz w:val="24"/>
                <w:szCs w:val="24"/>
                <w:highlight w:val="none"/>
              </w:rPr>
            </w:r>
            <w:r/>
          </w:p>
        </w:tc>
        <w:tc>
          <w:tcPr>
            <w:tcW w:w="1290" w:type="dxa"/>
            <w:vAlign w:val="center"/>
            <w:textDirection w:val="lrTb"/>
            <w:noWrap w:val="false"/>
          </w:tcPr>
          <w:p>
            <w:pPr>
              <w:pStyle w:val="945"/>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生产厂家</w:t>
            </w:r>
            <w:r>
              <w:rPr>
                <w:rFonts w:hint="eastAsia" w:ascii="宋体" w:hAnsi="宋体" w:eastAsia="宋体" w:cs="宋体"/>
                <w:bCs/>
                <w:color w:val="000000"/>
                <w:sz w:val="24"/>
                <w:szCs w:val="24"/>
                <w:highlight w:val="none"/>
              </w:rPr>
            </w:r>
            <w:r/>
          </w:p>
        </w:tc>
        <w:tc>
          <w:tcPr>
            <w:tcW w:w="765" w:type="dxa"/>
            <w:vAlign w:val="center"/>
            <w:textDirection w:val="lrTb"/>
            <w:noWrap w:val="false"/>
          </w:tcPr>
          <w:p>
            <w:pPr>
              <w:pStyle w:val="945"/>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单位</w:t>
            </w:r>
            <w:r>
              <w:rPr>
                <w:rFonts w:hint="eastAsia" w:ascii="宋体" w:hAnsi="宋体" w:eastAsia="宋体" w:cs="宋体"/>
                <w:bCs/>
                <w:color w:val="000000"/>
                <w:sz w:val="24"/>
                <w:szCs w:val="24"/>
                <w:highlight w:val="none"/>
              </w:rPr>
            </w:r>
            <w:r/>
          </w:p>
        </w:tc>
        <w:tc>
          <w:tcPr>
            <w:tcW w:w="721" w:type="dxa"/>
            <w:vAlign w:val="center"/>
            <w:textDirection w:val="lrTb"/>
            <w:noWrap w:val="false"/>
          </w:tcPr>
          <w:p>
            <w:pPr>
              <w:pStyle w:val="945"/>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数量</w:t>
            </w:r>
            <w:r>
              <w:rPr>
                <w:rFonts w:hint="eastAsia" w:ascii="宋体" w:hAnsi="宋体" w:eastAsia="宋体" w:cs="宋体"/>
                <w:bCs/>
                <w:color w:val="000000"/>
                <w:sz w:val="24"/>
                <w:szCs w:val="24"/>
                <w:highlight w:val="none"/>
              </w:rPr>
            </w:r>
            <w:r/>
          </w:p>
        </w:tc>
        <w:tc>
          <w:tcPr>
            <w:tcW w:w="1319" w:type="dxa"/>
            <w:vAlign w:val="center"/>
            <w:textDirection w:val="lrTb"/>
            <w:noWrap w:val="false"/>
          </w:tcPr>
          <w:p>
            <w:pPr>
              <w:pStyle w:val="945"/>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单价（元）</w:t>
            </w:r>
            <w:r>
              <w:rPr>
                <w:rFonts w:hint="eastAsia" w:ascii="宋体" w:hAnsi="宋体" w:eastAsia="宋体" w:cs="宋体"/>
                <w:bCs/>
                <w:color w:val="000000"/>
                <w:sz w:val="24"/>
                <w:szCs w:val="24"/>
                <w:highlight w:val="none"/>
              </w:rPr>
            </w:r>
            <w:r/>
          </w:p>
        </w:tc>
        <w:tc>
          <w:tcPr>
            <w:tcW w:w="1231" w:type="dxa"/>
            <w:vAlign w:val="center"/>
            <w:textDirection w:val="lrTb"/>
            <w:noWrap w:val="false"/>
          </w:tcPr>
          <w:p>
            <w:pPr>
              <w:pStyle w:val="945"/>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总价（元）</w:t>
            </w:r>
            <w:r>
              <w:rPr>
                <w:rFonts w:hint="eastAsia" w:ascii="宋体" w:hAnsi="宋体" w:eastAsia="宋体" w:cs="宋体"/>
                <w:bCs/>
                <w:color w:val="000000"/>
                <w:sz w:val="24"/>
                <w:szCs w:val="24"/>
                <w:highlight w:val="none"/>
              </w:rPr>
            </w:r>
            <w:r/>
          </w:p>
        </w:tc>
        <w:tc>
          <w:tcPr>
            <w:tcW w:w="963" w:type="dxa"/>
            <w:vAlign w:val="center"/>
            <w:textDirection w:val="lrTb"/>
            <w:noWrap w:val="false"/>
          </w:tcPr>
          <w:p>
            <w:pPr>
              <w:pStyle w:val="945"/>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交货期</w:t>
            </w:r>
            <w:r>
              <w:rPr>
                <w:rFonts w:hint="eastAsia" w:ascii="宋体" w:hAnsi="宋体" w:eastAsia="宋体" w:cs="宋体"/>
                <w:bCs/>
                <w:color w:val="000000"/>
                <w:sz w:val="24"/>
                <w:szCs w:val="24"/>
                <w:highlight w:val="none"/>
              </w:rPr>
            </w:r>
            <w:r/>
          </w:p>
        </w:tc>
      </w:tr>
      <w:tr>
        <w:trPr>
          <w:trHeight w:val="567"/>
        </w:trPr>
        <w:tc>
          <w:tcPr>
            <w:tcW w:w="959" w:type="dxa"/>
            <w:vAlign w:val="center"/>
            <w:textDirection w:val="lrTb"/>
            <w:noWrap w:val="false"/>
          </w:tcPr>
          <w:p>
            <w:pPr>
              <w:pStyle w:val="986"/>
              <w:jc w:val="center"/>
              <w:spacing w:line="360" w:lineRule="auto"/>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t xml:space="preserve">1</w:t>
            </w:r>
            <w:r>
              <w:rPr>
                <w:rFonts w:hint="eastAsia" w:hAnsi="宋体" w:eastAsia="宋体" w:cs="宋体"/>
                <w:bCs/>
                <w:color w:val="000000"/>
                <w:sz w:val="24"/>
                <w:szCs w:val="24"/>
                <w:highlight w:val="none"/>
              </w:rPr>
            </w:r>
            <w:r/>
          </w:p>
        </w:tc>
        <w:tc>
          <w:tcPr>
            <w:tcW w:w="1086" w:type="dxa"/>
            <w:vAlign w:val="center"/>
            <w:textDirection w:val="lrTb"/>
            <w:noWrap w:val="false"/>
          </w:tcPr>
          <w:p>
            <w:pPr>
              <w:pStyle w:val="986"/>
              <w:jc w:val="center"/>
              <w:spacing w:line="360" w:lineRule="auto"/>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r>
            <w:r/>
          </w:p>
        </w:tc>
        <w:tc>
          <w:tcPr>
            <w:tcW w:w="1304" w:type="dxa"/>
            <w:vAlign w:val="center"/>
            <w:textDirection w:val="lrTb"/>
            <w:noWrap w:val="false"/>
          </w:tcPr>
          <w:p>
            <w:pPr>
              <w:pStyle w:val="986"/>
              <w:jc w:val="center"/>
              <w:spacing w:line="360" w:lineRule="auto"/>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r>
            <w:r/>
          </w:p>
        </w:tc>
        <w:tc>
          <w:tcPr>
            <w:tcW w:w="1290" w:type="dxa"/>
            <w:vAlign w:val="center"/>
            <w:textDirection w:val="lrTb"/>
            <w:noWrap w:val="false"/>
          </w:tcPr>
          <w:p>
            <w:pPr>
              <w:pStyle w:val="986"/>
              <w:jc w:val="center"/>
              <w:spacing w:line="360" w:lineRule="auto"/>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r>
            <w:r/>
          </w:p>
        </w:tc>
        <w:tc>
          <w:tcPr>
            <w:tcW w:w="765" w:type="dxa"/>
            <w:vAlign w:val="center"/>
            <w:textDirection w:val="lrTb"/>
            <w:noWrap w:val="false"/>
          </w:tcPr>
          <w:p>
            <w:pPr>
              <w:pStyle w:val="986"/>
              <w:jc w:val="center"/>
              <w:spacing w:line="360" w:lineRule="auto"/>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r>
            <w:r/>
          </w:p>
        </w:tc>
        <w:tc>
          <w:tcPr>
            <w:tcW w:w="721" w:type="dxa"/>
            <w:vAlign w:val="center"/>
            <w:textDirection w:val="lrTb"/>
            <w:noWrap w:val="false"/>
          </w:tcPr>
          <w:p>
            <w:pPr>
              <w:pStyle w:val="986"/>
              <w:jc w:val="center"/>
              <w:spacing w:line="360" w:lineRule="auto"/>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r>
            <w:r/>
          </w:p>
        </w:tc>
        <w:tc>
          <w:tcPr>
            <w:tcW w:w="1319" w:type="dxa"/>
            <w:vAlign w:val="center"/>
            <w:textDirection w:val="lrTb"/>
            <w:noWrap w:val="false"/>
          </w:tcPr>
          <w:p>
            <w:pPr>
              <w:pStyle w:val="986"/>
              <w:jc w:val="center"/>
              <w:spacing w:line="360" w:lineRule="auto"/>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r>
            <w:r/>
          </w:p>
        </w:tc>
        <w:tc>
          <w:tcPr>
            <w:tcW w:w="1231" w:type="dxa"/>
            <w:vAlign w:val="center"/>
            <w:textDirection w:val="lrTb"/>
            <w:noWrap w:val="false"/>
          </w:tcPr>
          <w:p>
            <w:pPr>
              <w:pStyle w:val="986"/>
              <w:jc w:val="center"/>
              <w:spacing w:line="360" w:lineRule="auto"/>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r>
            <w:r/>
          </w:p>
        </w:tc>
        <w:tc>
          <w:tcPr>
            <w:tcW w:w="963" w:type="dxa"/>
            <w:vAlign w:val="center"/>
            <w:textDirection w:val="lrTb"/>
            <w:noWrap w:val="false"/>
          </w:tcPr>
          <w:p>
            <w:pPr>
              <w:pStyle w:val="986"/>
              <w:jc w:val="center"/>
              <w:spacing w:line="360" w:lineRule="auto"/>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r>
            <w:r/>
          </w:p>
        </w:tc>
      </w:tr>
      <w:tr>
        <w:trPr>
          <w:trHeight w:val="567"/>
        </w:trPr>
        <w:tc>
          <w:tcPr>
            <w:tcW w:w="959" w:type="dxa"/>
            <w:vAlign w:val="center"/>
            <w:textDirection w:val="lrTb"/>
            <w:noWrap w:val="false"/>
          </w:tcPr>
          <w:p>
            <w:pPr>
              <w:pStyle w:val="986"/>
              <w:jc w:val="center"/>
              <w:spacing w:line="360" w:lineRule="auto"/>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t xml:space="preserve">2</w:t>
            </w:r>
            <w:r>
              <w:rPr>
                <w:rFonts w:hint="eastAsia" w:hAnsi="宋体" w:eastAsia="宋体" w:cs="宋体"/>
                <w:bCs/>
                <w:color w:val="000000"/>
                <w:sz w:val="24"/>
                <w:szCs w:val="24"/>
                <w:highlight w:val="none"/>
              </w:rPr>
            </w:r>
            <w:r/>
          </w:p>
        </w:tc>
        <w:tc>
          <w:tcPr>
            <w:tcW w:w="1086" w:type="dxa"/>
            <w:vAlign w:val="center"/>
            <w:textDirection w:val="lrTb"/>
            <w:noWrap w:val="false"/>
          </w:tcPr>
          <w:p>
            <w:pPr>
              <w:pStyle w:val="986"/>
              <w:jc w:val="center"/>
              <w:spacing w:line="360" w:lineRule="auto"/>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r>
            <w:r/>
          </w:p>
        </w:tc>
        <w:tc>
          <w:tcPr>
            <w:tcW w:w="1304" w:type="dxa"/>
            <w:vAlign w:val="center"/>
            <w:textDirection w:val="lrTb"/>
            <w:noWrap w:val="false"/>
          </w:tcPr>
          <w:p>
            <w:pPr>
              <w:pStyle w:val="986"/>
              <w:jc w:val="center"/>
              <w:spacing w:line="360" w:lineRule="auto"/>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r>
            <w:r/>
          </w:p>
        </w:tc>
        <w:tc>
          <w:tcPr>
            <w:tcW w:w="1290" w:type="dxa"/>
            <w:vAlign w:val="center"/>
            <w:textDirection w:val="lrTb"/>
            <w:noWrap w:val="false"/>
          </w:tcPr>
          <w:p>
            <w:pPr>
              <w:pStyle w:val="986"/>
              <w:jc w:val="center"/>
              <w:spacing w:line="360" w:lineRule="auto"/>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r>
            <w:r/>
          </w:p>
        </w:tc>
        <w:tc>
          <w:tcPr>
            <w:tcW w:w="765" w:type="dxa"/>
            <w:vAlign w:val="center"/>
            <w:textDirection w:val="lrTb"/>
            <w:noWrap w:val="false"/>
          </w:tcPr>
          <w:p>
            <w:pPr>
              <w:pStyle w:val="986"/>
              <w:jc w:val="center"/>
              <w:spacing w:line="360" w:lineRule="auto"/>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r>
            <w:r/>
          </w:p>
        </w:tc>
        <w:tc>
          <w:tcPr>
            <w:tcW w:w="721" w:type="dxa"/>
            <w:vAlign w:val="center"/>
            <w:textDirection w:val="lrTb"/>
            <w:noWrap w:val="false"/>
          </w:tcPr>
          <w:p>
            <w:pPr>
              <w:pStyle w:val="986"/>
              <w:jc w:val="center"/>
              <w:spacing w:line="360" w:lineRule="auto"/>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r>
            <w:r/>
          </w:p>
        </w:tc>
        <w:tc>
          <w:tcPr>
            <w:tcW w:w="1319" w:type="dxa"/>
            <w:vAlign w:val="center"/>
            <w:textDirection w:val="lrTb"/>
            <w:noWrap w:val="false"/>
          </w:tcPr>
          <w:p>
            <w:pPr>
              <w:pStyle w:val="986"/>
              <w:jc w:val="center"/>
              <w:spacing w:line="360" w:lineRule="auto"/>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r>
            <w:r/>
          </w:p>
        </w:tc>
        <w:tc>
          <w:tcPr>
            <w:tcW w:w="1231" w:type="dxa"/>
            <w:vAlign w:val="center"/>
            <w:textDirection w:val="lrTb"/>
            <w:noWrap w:val="false"/>
          </w:tcPr>
          <w:p>
            <w:pPr>
              <w:pStyle w:val="986"/>
              <w:jc w:val="center"/>
              <w:spacing w:line="360" w:lineRule="auto"/>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r>
            <w:r/>
          </w:p>
        </w:tc>
        <w:tc>
          <w:tcPr>
            <w:tcW w:w="963" w:type="dxa"/>
            <w:vAlign w:val="center"/>
            <w:textDirection w:val="lrTb"/>
            <w:noWrap w:val="false"/>
          </w:tcPr>
          <w:p>
            <w:pPr>
              <w:pStyle w:val="986"/>
              <w:jc w:val="center"/>
              <w:spacing w:line="360" w:lineRule="auto"/>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r>
            <w:r/>
          </w:p>
        </w:tc>
      </w:tr>
      <w:tr>
        <w:trPr>
          <w:trHeight w:val="567"/>
        </w:trPr>
        <w:tc>
          <w:tcPr>
            <w:tcW w:w="959" w:type="dxa"/>
            <w:vAlign w:val="center"/>
            <w:textDirection w:val="lrTb"/>
            <w:noWrap w:val="false"/>
          </w:tcPr>
          <w:p>
            <w:pPr>
              <w:pStyle w:val="986"/>
              <w:jc w:val="center"/>
              <w:spacing w:line="360" w:lineRule="auto"/>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t xml:space="preserve">3</w:t>
            </w:r>
            <w:r>
              <w:rPr>
                <w:rFonts w:hint="eastAsia" w:hAnsi="宋体" w:eastAsia="宋体" w:cs="宋体"/>
                <w:bCs/>
                <w:color w:val="000000"/>
                <w:sz w:val="24"/>
                <w:szCs w:val="24"/>
                <w:highlight w:val="none"/>
              </w:rPr>
            </w:r>
            <w:r/>
          </w:p>
        </w:tc>
        <w:tc>
          <w:tcPr>
            <w:tcW w:w="1086" w:type="dxa"/>
            <w:vAlign w:val="center"/>
            <w:textDirection w:val="lrTb"/>
            <w:noWrap w:val="false"/>
          </w:tcPr>
          <w:p>
            <w:pPr>
              <w:pStyle w:val="986"/>
              <w:jc w:val="center"/>
              <w:spacing w:line="360" w:lineRule="auto"/>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r>
            <w:r/>
          </w:p>
        </w:tc>
        <w:tc>
          <w:tcPr>
            <w:tcW w:w="1304" w:type="dxa"/>
            <w:vAlign w:val="center"/>
            <w:textDirection w:val="lrTb"/>
            <w:noWrap w:val="false"/>
          </w:tcPr>
          <w:p>
            <w:pPr>
              <w:pStyle w:val="986"/>
              <w:jc w:val="center"/>
              <w:spacing w:line="360" w:lineRule="auto"/>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r>
            <w:r/>
          </w:p>
        </w:tc>
        <w:tc>
          <w:tcPr>
            <w:tcW w:w="1290" w:type="dxa"/>
            <w:vAlign w:val="center"/>
            <w:textDirection w:val="lrTb"/>
            <w:noWrap w:val="false"/>
          </w:tcPr>
          <w:p>
            <w:pPr>
              <w:pStyle w:val="986"/>
              <w:jc w:val="center"/>
              <w:spacing w:line="360" w:lineRule="auto"/>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r>
            <w:r/>
          </w:p>
        </w:tc>
        <w:tc>
          <w:tcPr>
            <w:tcW w:w="765" w:type="dxa"/>
            <w:vAlign w:val="center"/>
            <w:textDirection w:val="lrTb"/>
            <w:noWrap w:val="false"/>
          </w:tcPr>
          <w:p>
            <w:pPr>
              <w:pStyle w:val="986"/>
              <w:jc w:val="center"/>
              <w:spacing w:line="360" w:lineRule="auto"/>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r>
            <w:r/>
          </w:p>
        </w:tc>
        <w:tc>
          <w:tcPr>
            <w:tcW w:w="721" w:type="dxa"/>
            <w:vAlign w:val="center"/>
            <w:textDirection w:val="lrTb"/>
            <w:noWrap w:val="false"/>
          </w:tcPr>
          <w:p>
            <w:pPr>
              <w:pStyle w:val="986"/>
              <w:jc w:val="center"/>
              <w:spacing w:line="360" w:lineRule="auto"/>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r>
            <w:r/>
          </w:p>
        </w:tc>
        <w:tc>
          <w:tcPr>
            <w:tcW w:w="1319" w:type="dxa"/>
            <w:vAlign w:val="center"/>
            <w:textDirection w:val="lrTb"/>
            <w:noWrap w:val="false"/>
          </w:tcPr>
          <w:p>
            <w:pPr>
              <w:pStyle w:val="986"/>
              <w:jc w:val="center"/>
              <w:spacing w:line="360" w:lineRule="auto"/>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r>
            <w:r/>
          </w:p>
        </w:tc>
        <w:tc>
          <w:tcPr>
            <w:tcW w:w="1231" w:type="dxa"/>
            <w:vAlign w:val="center"/>
            <w:textDirection w:val="lrTb"/>
            <w:noWrap w:val="false"/>
          </w:tcPr>
          <w:p>
            <w:pPr>
              <w:pStyle w:val="986"/>
              <w:jc w:val="center"/>
              <w:spacing w:line="360" w:lineRule="auto"/>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r>
            <w:r/>
          </w:p>
        </w:tc>
        <w:tc>
          <w:tcPr>
            <w:tcW w:w="963" w:type="dxa"/>
            <w:vAlign w:val="center"/>
            <w:textDirection w:val="lrTb"/>
            <w:noWrap w:val="false"/>
          </w:tcPr>
          <w:p>
            <w:pPr>
              <w:pStyle w:val="986"/>
              <w:jc w:val="center"/>
              <w:spacing w:line="360" w:lineRule="auto"/>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r>
            <w:r/>
          </w:p>
        </w:tc>
      </w:tr>
      <w:tr>
        <w:trPr>
          <w:trHeight w:val="567"/>
        </w:trPr>
        <w:tc>
          <w:tcPr>
            <w:tcW w:w="959" w:type="dxa"/>
            <w:vAlign w:val="center"/>
            <w:textDirection w:val="lrTb"/>
            <w:noWrap w:val="false"/>
          </w:tcPr>
          <w:p>
            <w:pPr>
              <w:pStyle w:val="986"/>
              <w:jc w:val="center"/>
              <w:spacing w:line="360" w:lineRule="auto"/>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t xml:space="preserve">4</w:t>
            </w:r>
            <w:r>
              <w:rPr>
                <w:rFonts w:hint="eastAsia" w:hAnsi="宋体" w:eastAsia="宋体" w:cs="宋体"/>
                <w:bCs/>
                <w:color w:val="000000"/>
                <w:sz w:val="24"/>
                <w:szCs w:val="24"/>
                <w:highlight w:val="none"/>
              </w:rPr>
            </w:r>
            <w:r/>
          </w:p>
        </w:tc>
        <w:tc>
          <w:tcPr>
            <w:tcW w:w="1086" w:type="dxa"/>
            <w:vAlign w:val="center"/>
            <w:textDirection w:val="lrTb"/>
            <w:noWrap w:val="false"/>
          </w:tcPr>
          <w:p>
            <w:pPr>
              <w:pStyle w:val="986"/>
              <w:jc w:val="center"/>
              <w:spacing w:line="360" w:lineRule="auto"/>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r>
            <w:r/>
          </w:p>
        </w:tc>
        <w:tc>
          <w:tcPr>
            <w:tcW w:w="1304" w:type="dxa"/>
            <w:vAlign w:val="center"/>
            <w:textDirection w:val="lrTb"/>
            <w:noWrap w:val="false"/>
          </w:tcPr>
          <w:p>
            <w:pPr>
              <w:pStyle w:val="986"/>
              <w:jc w:val="center"/>
              <w:spacing w:line="360" w:lineRule="auto"/>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r>
            <w:r/>
          </w:p>
        </w:tc>
        <w:tc>
          <w:tcPr>
            <w:tcW w:w="1290" w:type="dxa"/>
            <w:vAlign w:val="center"/>
            <w:textDirection w:val="lrTb"/>
            <w:noWrap w:val="false"/>
          </w:tcPr>
          <w:p>
            <w:pPr>
              <w:pStyle w:val="986"/>
              <w:jc w:val="center"/>
              <w:spacing w:line="360" w:lineRule="auto"/>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r>
            <w:r/>
          </w:p>
        </w:tc>
        <w:tc>
          <w:tcPr>
            <w:tcW w:w="765" w:type="dxa"/>
            <w:vAlign w:val="center"/>
            <w:textDirection w:val="lrTb"/>
            <w:noWrap w:val="false"/>
          </w:tcPr>
          <w:p>
            <w:pPr>
              <w:pStyle w:val="986"/>
              <w:jc w:val="center"/>
              <w:spacing w:line="360" w:lineRule="auto"/>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r>
            <w:r/>
          </w:p>
        </w:tc>
        <w:tc>
          <w:tcPr>
            <w:tcW w:w="721" w:type="dxa"/>
            <w:vAlign w:val="center"/>
            <w:textDirection w:val="lrTb"/>
            <w:noWrap w:val="false"/>
          </w:tcPr>
          <w:p>
            <w:pPr>
              <w:pStyle w:val="986"/>
              <w:jc w:val="center"/>
              <w:spacing w:line="360" w:lineRule="auto"/>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r>
            <w:r/>
          </w:p>
        </w:tc>
        <w:tc>
          <w:tcPr>
            <w:tcW w:w="1319" w:type="dxa"/>
            <w:vAlign w:val="center"/>
            <w:textDirection w:val="lrTb"/>
            <w:noWrap w:val="false"/>
          </w:tcPr>
          <w:p>
            <w:pPr>
              <w:pStyle w:val="986"/>
              <w:jc w:val="center"/>
              <w:spacing w:line="360" w:lineRule="auto"/>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r>
            <w:r/>
          </w:p>
        </w:tc>
        <w:tc>
          <w:tcPr>
            <w:tcW w:w="1231" w:type="dxa"/>
            <w:vAlign w:val="center"/>
            <w:textDirection w:val="lrTb"/>
            <w:noWrap w:val="false"/>
          </w:tcPr>
          <w:p>
            <w:pPr>
              <w:pStyle w:val="986"/>
              <w:jc w:val="center"/>
              <w:spacing w:line="360" w:lineRule="auto"/>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r>
            <w:r/>
          </w:p>
        </w:tc>
        <w:tc>
          <w:tcPr>
            <w:tcW w:w="963" w:type="dxa"/>
            <w:vAlign w:val="center"/>
            <w:textDirection w:val="lrTb"/>
            <w:noWrap w:val="false"/>
          </w:tcPr>
          <w:p>
            <w:pPr>
              <w:pStyle w:val="986"/>
              <w:jc w:val="center"/>
              <w:spacing w:line="360" w:lineRule="auto"/>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r>
            <w:r/>
          </w:p>
        </w:tc>
      </w:tr>
      <w:tr>
        <w:trPr>
          <w:trHeight w:val="567"/>
        </w:trPr>
        <w:tc>
          <w:tcPr>
            <w:tcW w:w="959" w:type="dxa"/>
            <w:vAlign w:val="center"/>
            <w:textDirection w:val="lrTb"/>
            <w:noWrap w:val="false"/>
          </w:tcPr>
          <w:p>
            <w:pPr>
              <w:pStyle w:val="986"/>
              <w:jc w:val="center"/>
              <w:spacing w:line="360" w:lineRule="auto"/>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t xml:space="preserve">......</w:t>
            </w:r>
            <w:r>
              <w:rPr>
                <w:rFonts w:hint="eastAsia" w:hAnsi="宋体" w:eastAsia="宋体" w:cs="宋体"/>
                <w:bCs/>
                <w:color w:val="000000"/>
                <w:sz w:val="24"/>
                <w:szCs w:val="24"/>
                <w:highlight w:val="none"/>
              </w:rPr>
            </w:r>
            <w:r/>
          </w:p>
        </w:tc>
        <w:tc>
          <w:tcPr>
            <w:tcW w:w="1086" w:type="dxa"/>
            <w:vAlign w:val="center"/>
            <w:textDirection w:val="lrTb"/>
            <w:noWrap w:val="false"/>
          </w:tcPr>
          <w:p>
            <w:pPr>
              <w:pStyle w:val="986"/>
              <w:jc w:val="center"/>
              <w:spacing w:line="360" w:lineRule="auto"/>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r>
            <w:r/>
          </w:p>
        </w:tc>
        <w:tc>
          <w:tcPr>
            <w:tcW w:w="1304" w:type="dxa"/>
            <w:vAlign w:val="center"/>
            <w:textDirection w:val="lrTb"/>
            <w:noWrap w:val="false"/>
          </w:tcPr>
          <w:p>
            <w:pPr>
              <w:pStyle w:val="986"/>
              <w:jc w:val="center"/>
              <w:spacing w:line="360" w:lineRule="auto"/>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r>
            <w:r/>
          </w:p>
        </w:tc>
        <w:tc>
          <w:tcPr>
            <w:tcW w:w="1290" w:type="dxa"/>
            <w:vAlign w:val="center"/>
            <w:textDirection w:val="lrTb"/>
            <w:noWrap w:val="false"/>
          </w:tcPr>
          <w:p>
            <w:pPr>
              <w:pStyle w:val="986"/>
              <w:jc w:val="center"/>
              <w:spacing w:line="360" w:lineRule="auto"/>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r>
            <w:r/>
          </w:p>
        </w:tc>
        <w:tc>
          <w:tcPr>
            <w:tcW w:w="765" w:type="dxa"/>
            <w:vAlign w:val="center"/>
            <w:textDirection w:val="lrTb"/>
            <w:noWrap w:val="false"/>
          </w:tcPr>
          <w:p>
            <w:pPr>
              <w:pStyle w:val="986"/>
              <w:jc w:val="center"/>
              <w:spacing w:line="360" w:lineRule="auto"/>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r>
            <w:r/>
          </w:p>
        </w:tc>
        <w:tc>
          <w:tcPr>
            <w:tcW w:w="721" w:type="dxa"/>
            <w:vAlign w:val="center"/>
            <w:textDirection w:val="lrTb"/>
            <w:noWrap w:val="false"/>
          </w:tcPr>
          <w:p>
            <w:pPr>
              <w:pStyle w:val="986"/>
              <w:jc w:val="center"/>
              <w:spacing w:line="360" w:lineRule="auto"/>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r>
            <w:r/>
          </w:p>
        </w:tc>
        <w:tc>
          <w:tcPr>
            <w:tcW w:w="1319" w:type="dxa"/>
            <w:vAlign w:val="center"/>
            <w:textDirection w:val="lrTb"/>
            <w:noWrap w:val="false"/>
          </w:tcPr>
          <w:p>
            <w:pPr>
              <w:pStyle w:val="986"/>
              <w:jc w:val="center"/>
              <w:spacing w:line="360" w:lineRule="auto"/>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r>
            <w:r/>
          </w:p>
        </w:tc>
        <w:tc>
          <w:tcPr>
            <w:tcW w:w="1231" w:type="dxa"/>
            <w:vAlign w:val="center"/>
            <w:textDirection w:val="lrTb"/>
            <w:noWrap w:val="false"/>
          </w:tcPr>
          <w:p>
            <w:pPr>
              <w:pStyle w:val="986"/>
              <w:jc w:val="center"/>
              <w:spacing w:line="360" w:lineRule="auto"/>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r>
            <w:r/>
          </w:p>
        </w:tc>
        <w:tc>
          <w:tcPr>
            <w:tcW w:w="963" w:type="dxa"/>
            <w:vAlign w:val="center"/>
            <w:textDirection w:val="lrTb"/>
            <w:noWrap w:val="false"/>
          </w:tcPr>
          <w:p>
            <w:pPr>
              <w:pStyle w:val="986"/>
              <w:jc w:val="center"/>
              <w:spacing w:line="360" w:lineRule="auto"/>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r>
            <w:r/>
          </w:p>
        </w:tc>
      </w:tr>
      <w:tr>
        <w:trPr>
          <w:trHeight w:val="567"/>
        </w:trPr>
        <w:tc>
          <w:tcPr>
            <w:gridSpan w:val="9"/>
            <w:tcW w:w="9638" w:type="dxa"/>
            <w:vAlign w:val="center"/>
            <w:textDirection w:val="lrTb"/>
            <w:noWrap w:val="false"/>
          </w:tcPr>
          <w:p>
            <w:pPr>
              <w:pStyle w:val="986"/>
              <w:jc w:val="left"/>
              <w:spacing w:line="360" w:lineRule="auto"/>
              <w:rPr>
                <w:rFonts w:hint="eastAsia" w:hAnsi="宋体" w:eastAsia="宋体" w:cs="宋体"/>
                <w:bCs/>
                <w:color w:val="000000"/>
                <w:sz w:val="24"/>
                <w:szCs w:val="24"/>
                <w:highlight w:val="none"/>
              </w:rPr>
            </w:pPr>
            <w:r>
              <w:rPr>
                <w:rFonts w:hint="eastAsia" w:hAnsi="宋体" w:eastAsia="宋体" w:cs="宋体"/>
                <w:color w:val="000000"/>
                <w:spacing w:val="20"/>
                <w:sz w:val="24"/>
                <w:szCs w:val="24"/>
                <w:highlight w:val="none"/>
              </w:rPr>
              <w:t xml:space="preserve">合计金额（人民币）</w:t>
            </w:r>
            <w:r>
              <w:rPr>
                <w:rFonts w:hint="eastAsia" w:hAnsi="宋体" w:eastAsia="宋体" w:cs="宋体"/>
                <w:color w:val="000000"/>
                <w:spacing w:val="20"/>
                <w:sz w:val="24"/>
                <w:szCs w:val="24"/>
                <w:highlight w:val="none"/>
                <w:lang w:eastAsia="zh-CN"/>
              </w:rPr>
              <w:t xml:space="preserve">：</w:t>
            </w:r>
            <w:r>
              <w:rPr>
                <w:rFonts w:hint="eastAsia" w:hAnsi="宋体" w:eastAsia="宋体" w:cs="宋体"/>
                <w:bCs/>
                <w:color w:val="000000"/>
                <w:sz w:val="24"/>
                <w:szCs w:val="24"/>
                <w:highlight w:val="none"/>
              </w:rPr>
            </w:r>
            <w:r/>
          </w:p>
        </w:tc>
      </w:tr>
      <w:tr>
        <w:trPr>
          <w:trHeight w:val="567"/>
        </w:trPr>
        <w:tc>
          <w:tcPr>
            <w:gridSpan w:val="9"/>
            <w:tcW w:w="9638" w:type="dxa"/>
            <w:vAlign w:val="center"/>
            <w:textDirection w:val="lrTb"/>
            <w:noWrap w:val="false"/>
          </w:tcPr>
          <w:p>
            <w:pPr>
              <w:pStyle w:val="986"/>
              <w:jc w:val="left"/>
              <w:spacing w:line="360" w:lineRule="auto"/>
              <w:rPr>
                <w:rFonts w:hint="eastAsia" w:hAnsi="宋体" w:eastAsia="宋体" w:cs="宋体"/>
                <w:bCs/>
                <w:color w:val="000000"/>
                <w:sz w:val="24"/>
                <w:szCs w:val="24"/>
                <w:highlight w:val="none"/>
              </w:rPr>
            </w:pPr>
            <w:r>
              <w:rPr>
                <w:rFonts w:hint="eastAsia" w:ascii="宋体" w:hAnsi="宋体" w:eastAsia="宋体" w:cs="宋体"/>
                <w:color w:val="000000"/>
                <w:spacing w:val="20"/>
                <w:sz w:val="24"/>
                <w:szCs w:val="24"/>
                <w:highlight w:val="none"/>
              </w:rPr>
              <w:t xml:space="preserve">本采购包中提供的符合本国产品标准的产品成本之和占该采购包提供的全部产品成本之和的比例为</w:t>
            </w:r>
            <w:r>
              <w:rPr>
                <w:rFonts w:hint="eastAsia" w:ascii="宋体" w:hAnsi="宋体" w:eastAsia="宋体" w:cs="宋体"/>
                <w:color w:val="000000"/>
                <w:spacing w:val="20"/>
                <w:sz w:val="24"/>
                <w:szCs w:val="24"/>
                <w:highlight w:val="none"/>
                <w:u w:val="single"/>
              </w:rPr>
              <w:t xml:space="preserve">   </w:t>
            </w:r>
            <w:r>
              <w:rPr>
                <w:rFonts w:hint="eastAsia" w:ascii="宋体" w:hAnsi="宋体" w:eastAsia="宋体" w:cs="宋体"/>
                <w:color w:val="000000"/>
                <w:spacing w:val="20"/>
                <w:sz w:val="24"/>
                <w:szCs w:val="24"/>
                <w:highlight w:val="none"/>
              </w:rPr>
              <w:t xml:space="preserve">%</w:t>
            </w:r>
            <w:r>
              <w:rPr>
                <w:rFonts w:hint="eastAsia" w:hAnsi="宋体" w:eastAsia="宋体" w:cs="宋体"/>
                <w:bCs/>
                <w:color w:val="000000"/>
                <w:sz w:val="24"/>
                <w:szCs w:val="24"/>
                <w:highlight w:val="none"/>
              </w:rPr>
            </w:r>
            <w:r/>
          </w:p>
        </w:tc>
      </w:tr>
    </w:tbl>
    <w:p>
      <w:pPr>
        <w:pStyle w:val="969"/>
        <w:ind w:right="420"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69"/>
        <w:ind w:right="420"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注：</w:t>
      </w:r>
      <w:r>
        <w:rPr>
          <w:rFonts w:hint="eastAsia" w:ascii="宋体" w:hAnsi="宋体" w:eastAsia="宋体" w:cs="宋体"/>
          <w:color w:val="000000"/>
          <w:szCs w:val="24"/>
          <w:highlight w:val="none"/>
        </w:rPr>
      </w:r>
      <w:r/>
    </w:p>
    <w:p>
      <w:pPr>
        <w:pStyle w:val="969"/>
        <w:ind w:right="420"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1、报价表包含投标人各项成本核算和投入的成本明细，合计金额应与开标一览表投标总价一致；否则，以开标一览表为准。</w:t>
      </w:r>
      <w:r>
        <w:rPr>
          <w:rFonts w:hint="eastAsia" w:ascii="宋体" w:hAnsi="宋体" w:eastAsia="宋体" w:cs="宋体"/>
          <w:color w:val="000000"/>
          <w:szCs w:val="24"/>
          <w:highlight w:val="none"/>
        </w:rPr>
      </w:r>
      <w:r/>
    </w:p>
    <w:p>
      <w:pPr>
        <w:pStyle w:val="969"/>
        <w:ind w:right="420"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2、各投标人应根据此表格式按项目分别填写报价详细清单，如表格内容不够，可自行添加。</w:t>
      </w:r>
      <w:r>
        <w:rPr>
          <w:rFonts w:hint="eastAsia" w:ascii="宋体" w:hAnsi="宋体" w:eastAsia="宋体" w:cs="宋体"/>
          <w:color w:val="000000"/>
          <w:szCs w:val="24"/>
          <w:highlight w:val="none"/>
        </w:rPr>
      </w:r>
      <w:r/>
    </w:p>
    <w:p>
      <w:pPr>
        <w:pStyle w:val="969"/>
        <w:ind w:left="0" w:right="420" w:firstLine="482"/>
        <w:spacing w:line="360" w:lineRule="auto"/>
        <w:shd w:val="clear" w:color="auto" w:fill="auto"/>
        <w:rPr>
          <w:rFonts w:ascii="宋体" w:hAnsi="宋体" w:eastAsia="宋体" w:cs="宋体"/>
          <w:b/>
          <w:bCs/>
          <w:color w:val="000000"/>
          <w:szCs w:val="24"/>
          <w:highlight w:val="none"/>
          <w:lang w:val="en-US" w:eastAsia="zh-CN"/>
        </w:rPr>
      </w:pPr>
      <w:r>
        <w:rPr>
          <w:rFonts w:hint="eastAsia" w:ascii="宋体" w:hAnsi="宋体" w:eastAsia="宋体" w:cs="宋体"/>
          <w:b/>
          <w:bCs/>
          <w:color w:val="000000"/>
          <w:szCs w:val="24"/>
          <w:highlight w:val="none"/>
          <w:lang w:val="en-US" w:eastAsia="zh-CN"/>
        </w:rPr>
        <w:t xml:space="preserve">3、</w:t>
      </w:r>
      <w:r>
        <w:rPr>
          <w:rFonts w:hint="eastAsia" w:ascii="宋体" w:hAnsi="宋体" w:eastAsia="宋体" w:cs="宋体"/>
          <w:b/>
          <w:bCs/>
          <w:color w:val="000000"/>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宋体" w:hAnsi="宋体" w:eastAsia="宋体" w:cs="宋体"/>
          <w:b/>
          <w:bCs/>
          <w:color w:val="000000"/>
          <w:szCs w:val="24"/>
          <w:highlight w:val="none"/>
          <w:lang w:val="en-US" w:eastAsia="zh-CN"/>
        </w:rPr>
      </w:r>
      <w:r/>
    </w:p>
    <w:p>
      <w:pPr>
        <w:pStyle w:val="945"/>
        <w:rPr>
          <w:rFonts w:hint="eastAsia"/>
          <w:color w:val="000000"/>
          <w:highlight w:val="none"/>
        </w:rPr>
      </w:pPr>
      <w:r>
        <w:rPr>
          <w:rFonts w:hint="eastAsia"/>
          <w:color w:val="000000"/>
          <w:highlight w:val="none"/>
        </w:rPr>
      </w:r>
      <w:r/>
    </w:p>
    <w:p>
      <w:pPr>
        <w:pStyle w:val="1054"/>
        <w:ind w:firstLine="480"/>
        <w:spacing w:line="360" w:lineRule="auto"/>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t xml:space="preserve">投标人</w:t>
      </w:r>
      <w:r>
        <w:rPr>
          <w:rFonts w:hint="eastAsia" w:hAnsi="宋体" w:eastAsia="宋体" w:cs="宋体"/>
          <w:color w:val="000000"/>
          <w:sz w:val="24"/>
          <w:szCs w:val="24"/>
          <w:highlight w:val="none"/>
        </w:rPr>
        <w:t xml:space="preserve">（单位盖章）</w:t>
      </w:r>
      <w:r>
        <w:rPr>
          <w:rFonts w:hint="eastAsia" w:hAnsi="宋体" w:eastAsia="宋体" w:cs="宋体"/>
          <w:bCs/>
          <w:color w:val="000000"/>
          <w:sz w:val="24"/>
          <w:szCs w:val="24"/>
          <w:highlight w:val="none"/>
        </w:rPr>
        <w:t xml:space="preserve">：</w:t>
      </w:r>
      <w:r>
        <w:rPr>
          <w:rFonts w:hint="eastAsia" w:hAnsi="宋体" w:eastAsia="宋体" w:cs="宋体"/>
          <w:bCs/>
          <w:color w:val="000000"/>
          <w:sz w:val="24"/>
          <w:szCs w:val="24"/>
          <w:highlight w:val="none"/>
        </w:rPr>
      </w:r>
      <w:r/>
    </w:p>
    <w:p>
      <w:pPr>
        <w:pStyle w:val="1054"/>
        <w:spacing w:line="360" w:lineRule="auto"/>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t xml:space="preserve">    法定代表人或代理人</w:t>
      </w:r>
      <w:r>
        <w:rPr>
          <w:rFonts w:hint="eastAsia" w:hAnsi="宋体" w:eastAsia="宋体" w:cs="宋体"/>
          <w:color w:val="000000"/>
          <w:sz w:val="24"/>
          <w:szCs w:val="24"/>
          <w:highlight w:val="none"/>
        </w:rPr>
        <w:t xml:space="preserve">（签字或盖章）</w:t>
      </w:r>
      <w:r>
        <w:rPr>
          <w:rFonts w:hint="eastAsia" w:hAnsi="宋体" w:eastAsia="宋体" w:cs="宋体"/>
          <w:bCs/>
          <w:color w:val="000000"/>
          <w:sz w:val="24"/>
          <w:szCs w:val="24"/>
          <w:highlight w:val="none"/>
        </w:rPr>
        <w:t xml:space="preserve">：</w:t>
      </w:r>
      <w:r>
        <w:rPr>
          <w:rFonts w:hint="eastAsia" w:hAnsi="宋体" w:eastAsia="宋体" w:cs="宋体"/>
          <w:bCs/>
          <w:color w:val="000000"/>
          <w:sz w:val="24"/>
          <w:szCs w:val="24"/>
          <w:highlight w:val="none"/>
        </w:rPr>
      </w:r>
      <w:r/>
    </w:p>
    <w:p>
      <w:pPr>
        <w:pStyle w:val="986"/>
        <w:ind w:firstLine="480"/>
        <w:jc w:val="left"/>
        <w:spacing w:line="360" w:lineRule="auto"/>
        <w:rPr>
          <w:rFonts w:hint="eastAsia" w:hAnsi="宋体" w:eastAsia="宋体" w:cs="宋体"/>
          <w:color w:val="000000"/>
          <w:sz w:val="24"/>
          <w:szCs w:val="24"/>
          <w:highlight w:val="none"/>
          <w:lang w:val="zh-CN"/>
        </w:rPr>
      </w:pPr>
      <w:r>
        <w:rPr>
          <w:rFonts w:hint="eastAsia" w:hAnsi="宋体" w:eastAsia="宋体" w:cs="宋体"/>
          <w:bCs/>
          <w:color w:val="000000"/>
          <w:sz w:val="24"/>
          <w:szCs w:val="24"/>
          <w:highlight w:val="none"/>
        </w:rPr>
        <w:t xml:space="preserve">日期：     年     月     日</w:t>
      </w:r>
      <w:r>
        <w:rPr>
          <w:rFonts w:hint="eastAsia" w:hAnsi="宋体" w:eastAsia="宋体" w:cs="宋体"/>
          <w:color w:val="000000"/>
          <w:sz w:val="24"/>
          <w:szCs w:val="24"/>
          <w:highlight w:val="none"/>
          <w:lang w:val="zh-CN"/>
        </w:rPr>
      </w:r>
      <w:r/>
    </w:p>
    <w:p>
      <w:pPr>
        <w:pStyle w:val="986"/>
        <w:jc w:val="left"/>
        <w:spacing w:line="360" w:lineRule="auto"/>
        <w:rPr>
          <w:rFonts w:hint="eastAsia" w:hAnsi="宋体" w:eastAsia="宋体" w:cs="宋体"/>
          <w:b/>
          <w:color w:val="000000"/>
          <w:sz w:val="24"/>
          <w:szCs w:val="24"/>
          <w:highlight w:val="none"/>
        </w:rPr>
      </w:pPr>
      <w:r>
        <w:rPr>
          <w:rFonts w:hint="eastAsia" w:hAnsi="宋体" w:eastAsia="宋体" w:cs="宋体"/>
          <w:b/>
          <w:color w:val="000000"/>
          <w:sz w:val="24"/>
          <w:szCs w:val="24"/>
          <w:highlight w:val="none"/>
        </w:rPr>
      </w:r>
      <w:r/>
    </w:p>
    <w:p>
      <w:pPr>
        <w:pStyle w:val="986"/>
        <w:jc w:val="left"/>
        <w:spacing w:line="360" w:lineRule="auto"/>
        <w:rPr>
          <w:rFonts w:hint="eastAsia" w:hAnsi="宋体" w:eastAsia="宋体" w:cs="宋体"/>
          <w:b/>
          <w:bCs/>
          <w:color w:val="000000"/>
          <w:sz w:val="24"/>
          <w:szCs w:val="24"/>
          <w:highlight w:val="none"/>
        </w:rPr>
        <w:sectPr>
          <w:footnotePr/>
          <w:endnotePr/>
          <w:type w:val="nextPage"/>
          <w:pgSz w:w="11906" w:h="16838" w:orient="portrait"/>
          <w:pgMar w:top="1134" w:right="1134" w:bottom="1134" w:left="1134" w:header="851" w:footer="567" w:gutter="0"/>
          <w:cols w:num="1" w:sep="0" w:space="1701" w:equalWidth="1"/>
          <w:docGrid w:linePitch="360"/>
        </w:sectPr>
      </w:pPr>
      <w:r>
        <w:rPr>
          <w:rFonts w:hint="eastAsia" w:hAnsi="宋体" w:eastAsia="宋体" w:cs="宋体"/>
          <w:b/>
          <w:bCs/>
          <w:color w:val="000000"/>
          <w:sz w:val="24"/>
          <w:szCs w:val="24"/>
          <w:highlight w:val="none"/>
        </w:rPr>
      </w:r>
      <w:r/>
    </w:p>
    <w:p>
      <w:pPr>
        <w:pStyle w:val="945"/>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6、投标产品技术指标对照表（各标段均适用）</w:t>
      </w:r>
      <w:r>
        <w:rPr>
          <w:rFonts w:hint="eastAsia" w:ascii="宋体" w:hAnsi="宋体" w:eastAsia="宋体" w:cs="宋体"/>
          <w:b/>
          <w:bCs/>
          <w:color w:val="000000"/>
          <w:sz w:val="24"/>
          <w:szCs w:val="24"/>
          <w:highlight w:val="none"/>
        </w:rPr>
      </w:r>
      <w:r/>
    </w:p>
    <w:tbl>
      <w:tblPr>
        <w:tblW w:w="963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2"/>
        <w:gridCol w:w="1558"/>
        <w:gridCol w:w="2266"/>
        <w:gridCol w:w="2266"/>
        <w:gridCol w:w="2316"/>
      </w:tblGrid>
      <w:tr>
        <w:trPr>
          <w:trHeight w:val="567"/>
        </w:trPr>
        <w:tc>
          <w:tcPr>
            <w:tcW w:w="1232" w:type="dxa"/>
            <w:vAlign w:val="center"/>
            <w:textDirection w:val="lrTb"/>
            <w:noWrap/>
          </w:tcPr>
          <w:p>
            <w:pPr>
              <w:pStyle w:val="1085"/>
              <w:jc w:val="center"/>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序号</w:t>
            </w:r>
            <w:r>
              <w:rPr>
                <w:rFonts w:hint="eastAsia" w:hAnsi="宋体" w:eastAsia="宋体" w:cs="宋体"/>
                <w:color w:val="000000"/>
                <w:sz w:val="24"/>
                <w:szCs w:val="24"/>
                <w:highlight w:val="none"/>
              </w:rPr>
            </w:r>
            <w:r/>
          </w:p>
        </w:tc>
        <w:tc>
          <w:tcPr>
            <w:tcW w:w="1559" w:type="dxa"/>
            <w:vAlign w:val="center"/>
            <w:textDirection w:val="lrTb"/>
            <w:noWrap/>
          </w:tcPr>
          <w:p>
            <w:pPr>
              <w:pStyle w:val="1085"/>
              <w:jc w:val="center"/>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产品名称</w:t>
            </w:r>
            <w:r>
              <w:rPr>
                <w:rFonts w:hint="eastAsia" w:hAnsi="宋体" w:eastAsia="宋体" w:cs="宋体"/>
                <w:color w:val="000000"/>
                <w:sz w:val="24"/>
                <w:szCs w:val="24"/>
                <w:highlight w:val="none"/>
              </w:rPr>
            </w:r>
            <w:r/>
          </w:p>
        </w:tc>
        <w:tc>
          <w:tcPr>
            <w:tcW w:w="2268" w:type="dxa"/>
            <w:vAlign w:val="center"/>
            <w:textDirection w:val="lrTb"/>
            <w:noWrap/>
          </w:tcPr>
          <w:p>
            <w:pPr>
              <w:pStyle w:val="1085"/>
              <w:jc w:val="center"/>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采购要求</w:t>
            </w:r>
            <w:r>
              <w:rPr>
                <w:rFonts w:hint="eastAsia" w:hAnsi="宋体" w:eastAsia="宋体" w:cs="宋体"/>
                <w:color w:val="000000"/>
                <w:sz w:val="24"/>
                <w:szCs w:val="24"/>
                <w:highlight w:val="none"/>
              </w:rPr>
            </w:r>
            <w:r/>
          </w:p>
        </w:tc>
        <w:tc>
          <w:tcPr>
            <w:tcW w:w="2268" w:type="dxa"/>
            <w:vAlign w:val="center"/>
            <w:textDirection w:val="lrTb"/>
            <w:noWrap/>
          </w:tcPr>
          <w:p>
            <w:pPr>
              <w:pStyle w:val="1085"/>
              <w:jc w:val="center"/>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投标产品技术参数</w:t>
            </w:r>
            <w:r>
              <w:rPr>
                <w:rFonts w:hint="eastAsia" w:hAnsi="宋体" w:eastAsia="宋体" w:cs="宋体"/>
                <w:color w:val="000000"/>
                <w:sz w:val="24"/>
                <w:szCs w:val="24"/>
                <w:highlight w:val="none"/>
              </w:rPr>
            </w:r>
            <w:r/>
          </w:p>
        </w:tc>
        <w:tc>
          <w:tcPr>
            <w:tcW w:w="2318" w:type="dxa"/>
            <w:vAlign w:val="center"/>
            <w:textDirection w:val="lrTb"/>
            <w:noWrap/>
          </w:tcPr>
          <w:p>
            <w:pPr>
              <w:pStyle w:val="1085"/>
              <w:jc w:val="center"/>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偏离情况说明</w:t>
            </w:r>
            <w:r>
              <w:rPr>
                <w:rFonts w:hint="eastAsia" w:hAnsi="宋体" w:eastAsia="宋体" w:cs="宋体"/>
                <w:color w:val="000000"/>
                <w:sz w:val="24"/>
                <w:szCs w:val="24"/>
                <w:highlight w:val="none"/>
              </w:rPr>
            </w:r>
            <w:r/>
          </w:p>
        </w:tc>
      </w:tr>
      <w:tr>
        <w:trPr>
          <w:trHeight w:val="567"/>
        </w:trPr>
        <w:tc>
          <w:tcPr>
            <w:tcW w:w="1232" w:type="dxa"/>
            <w:vAlign w:val="center"/>
            <w:textDirection w:val="lrTb"/>
            <w:noWrap/>
          </w:tcPr>
          <w:p>
            <w:pPr>
              <w:pStyle w:val="1085"/>
              <w:jc w:val="center"/>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1</w:t>
            </w:r>
            <w:r>
              <w:rPr>
                <w:rFonts w:hint="eastAsia" w:hAnsi="宋体" w:eastAsia="宋体" w:cs="宋体"/>
                <w:color w:val="000000"/>
                <w:sz w:val="24"/>
                <w:szCs w:val="24"/>
                <w:highlight w:val="none"/>
              </w:rPr>
            </w:r>
            <w:r/>
          </w:p>
        </w:tc>
        <w:tc>
          <w:tcPr>
            <w:tcW w:w="1559" w:type="dxa"/>
            <w:vAlign w:val="center"/>
            <w:textDirection w:val="lrTb"/>
            <w:noWrap/>
          </w:tcPr>
          <w:p>
            <w:pPr>
              <w:pStyle w:val="1085"/>
              <w:jc w:val="center"/>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tc>
        <w:tc>
          <w:tcPr>
            <w:tcW w:w="2268" w:type="dxa"/>
            <w:vAlign w:val="center"/>
            <w:textDirection w:val="lrTb"/>
            <w:noWrap/>
          </w:tcPr>
          <w:p>
            <w:pPr>
              <w:pStyle w:val="1085"/>
              <w:jc w:val="center"/>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tc>
        <w:tc>
          <w:tcPr>
            <w:tcW w:w="2268" w:type="dxa"/>
            <w:vAlign w:val="center"/>
            <w:textDirection w:val="lrTb"/>
            <w:noWrap/>
          </w:tcPr>
          <w:p>
            <w:pPr>
              <w:pStyle w:val="1085"/>
              <w:jc w:val="center"/>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tc>
        <w:tc>
          <w:tcPr>
            <w:tcW w:w="2318" w:type="dxa"/>
            <w:vAlign w:val="center"/>
            <w:textDirection w:val="lrTb"/>
            <w:noWrap/>
          </w:tcPr>
          <w:p>
            <w:pPr>
              <w:pStyle w:val="1085"/>
              <w:jc w:val="center"/>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tc>
      </w:tr>
      <w:tr>
        <w:trPr>
          <w:trHeight w:val="567"/>
        </w:trPr>
        <w:tc>
          <w:tcPr>
            <w:tcW w:w="1232" w:type="dxa"/>
            <w:vAlign w:val="center"/>
            <w:textDirection w:val="lrTb"/>
            <w:noWrap/>
          </w:tcPr>
          <w:p>
            <w:pPr>
              <w:pStyle w:val="1085"/>
              <w:jc w:val="center"/>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2</w:t>
            </w:r>
            <w:r>
              <w:rPr>
                <w:rFonts w:hint="eastAsia" w:hAnsi="宋体" w:eastAsia="宋体" w:cs="宋体"/>
                <w:color w:val="000000"/>
                <w:sz w:val="24"/>
                <w:szCs w:val="24"/>
                <w:highlight w:val="none"/>
              </w:rPr>
            </w:r>
            <w:r/>
          </w:p>
        </w:tc>
        <w:tc>
          <w:tcPr>
            <w:tcW w:w="1559" w:type="dxa"/>
            <w:vAlign w:val="center"/>
            <w:textDirection w:val="lrTb"/>
            <w:noWrap/>
          </w:tcPr>
          <w:p>
            <w:pPr>
              <w:pStyle w:val="1085"/>
              <w:jc w:val="center"/>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tc>
        <w:tc>
          <w:tcPr>
            <w:tcW w:w="2268" w:type="dxa"/>
            <w:vAlign w:val="center"/>
            <w:textDirection w:val="lrTb"/>
            <w:noWrap/>
          </w:tcPr>
          <w:p>
            <w:pPr>
              <w:pStyle w:val="1085"/>
              <w:jc w:val="center"/>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tc>
        <w:tc>
          <w:tcPr>
            <w:tcW w:w="2268" w:type="dxa"/>
            <w:vAlign w:val="center"/>
            <w:textDirection w:val="lrTb"/>
            <w:noWrap/>
          </w:tcPr>
          <w:p>
            <w:pPr>
              <w:pStyle w:val="1085"/>
              <w:jc w:val="center"/>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tc>
        <w:tc>
          <w:tcPr>
            <w:tcW w:w="2318" w:type="dxa"/>
            <w:vAlign w:val="center"/>
            <w:textDirection w:val="lrTb"/>
            <w:noWrap/>
          </w:tcPr>
          <w:p>
            <w:pPr>
              <w:pStyle w:val="1085"/>
              <w:jc w:val="center"/>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tc>
      </w:tr>
      <w:tr>
        <w:trPr>
          <w:trHeight w:val="567"/>
        </w:trPr>
        <w:tc>
          <w:tcPr>
            <w:tcW w:w="1232" w:type="dxa"/>
            <w:vAlign w:val="center"/>
            <w:textDirection w:val="lrTb"/>
            <w:noWrap/>
          </w:tcPr>
          <w:p>
            <w:pPr>
              <w:pStyle w:val="1085"/>
              <w:jc w:val="center"/>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3</w:t>
            </w:r>
            <w:r>
              <w:rPr>
                <w:rFonts w:hint="eastAsia" w:hAnsi="宋体" w:eastAsia="宋体" w:cs="宋体"/>
                <w:color w:val="000000"/>
                <w:sz w:val="24"/>
                <w:szCs w:val="24"/>
                <w:highlight w:val="none"/>
              </w:rPr>
            </w:r>
            <w:r/>
          </w:p>
        </w:tc>
        <w:tc>
          <w:tcPr>
            <w:tcW w:w="1559" w:type="dxa"/>
            <w:vAlign w:val="center"/>
            <w:textDirection w:val="lrTb"/>
            <w:noWrap/>
          </w:tcPr>
          <w:p>
            <w:pPr>
              <w:pStyle w:val="1085"/>
              <w:jc w:val="center"/>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tc>
        <w:tc>
          <w:tcPr>
            <w:tcW w:w="2268" w:type="dxa"/>
            <w:vAlign w:val="center"/>
            <w:textDirection w:val="lrTb"/>
            <w:noWrap/>
          </w:tcPr>
          <w:p>
            <w:pPr>
              <w:pStyle w:val="1085"/>
              <w:jc w:val="center"/>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tc>
        <w:tc>
          <w:tcPr>
            <w:tcW w:w="2268" w:type="dxa"/>
            <w:vAlign w:val="center"/>
            <w:textDirection w:val="lrTb"/>
            <w:noWrap/>
          </w:tcPr>
          <w:p>
            <w:pPr>
              <w:pStyle w:val="1085"/>
              <w:jc w:val="center"/>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tc>
        <w:tc>
          <w:tcPr>
            <w:tcW w:w="2318" w:type="dxa"/>
            <w:vAlign w:val="center"/>
            <w:textDirection w:val="lrTb"/>
            <w:noWrap/>
          </w:tcPr>
          <w:p>
            <w:pPr>
              <w:pStyle w:val="1085"/>
              <w:jc w:val="center"/>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tc>
      </w:tr>
      <w:tr>
        <w:trPr>
          <w:trHeight w:val="567"/>
        </w:trPr>
        <w:tc>
          <w:tcPr>
            <w:tcW w:w="1232" w:type="dxa"/>
            <w:vAlign w:val="center"/>
            <w:textDirection w:val="lrTb"/>
            <w:noWrap/>
          </w:tcPr>
          <w:p>
            <w:pPr>
              <w:pStyle w:val="1085"/>
              <w:jc w:val="center"/>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4</w:t>
            </w:r>
            <w:r>
              <w:rPr>
                <w:rFonts w:hint="eastAsia" w:hAnsi="宋体" w:eastAsia="宋体" w:cs="宋体"/>
                <w:color w:val="000000"/>
                <w:sz w:val="24"/>
                <w:szCs w:val="24"/>
                <w:highlight w:val="none"/>
              </w:rPr>
            </w:r>
            <w:r/>
          </w:p>
        </w:tc>
        <w:tc>
          <w:tcPr>
            <w:tcW w:w="1559" w:type="dxa"/>
            <w:vAlign w:val="center"/>
            <w:textDirection w:val="lrTb"/>
            <w:noWrap/>
          </w:tcPr>
          <w:p>
            <w:pPr>
              <w:pStyle w:val="1085"/>
              <w:jc w:val="center"/>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tc>
        <w:tc>
          <w:tcPr>
            <w:tcW w:w="2268" w:type="dxa"/>
            <w:vAlign w:val="center"/>
            <w:textDirection w:val="lrTb"/>
            <w:noWrap/>
          </w:tcPr>
          <w:p>
            <w:pPr>
              <w:pStyle w:val="1085"/>
              <w:jc w:val="center"/>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tc>
        <w:tc>
          <w:tcPr>
            <w:tcW w:w="2268" w:type="dxa"/>
            <w:vAlign w:val="center"/>
            <w:textDirection w:val="lrTb"/>
            <w:noWrap/>
          </w:tcPr>
          <w:p>
            <w:pPr>
              <w:pStyle w:val="1085"/>
              <w:jc w:val="center"/>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tc>
        <w:tc>
          <w:tcPr>
            <w:tcW w:w="2318" w:type="dxa"/>
            <w:vAlign w:val="center"/>
            <w:textDirection w:val="lrTb"/>
            <w:noWrap/>
          </w:tcPr>
          <w:p>
            <w:pPr>
              <w:pStyle w:val="1085"/>
              <w:jc w:val="center"/>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tc>
      </w:tr>
      <w:tr>
        <w:trPr>
          <w:trHeight w:val="567"/>
        </w:trPr>
        <w:tc>
          <w:tcPr>
            <w:tcW w:w="1232" w:type="dxa"/>
            <w:vAlign w:val="center"/>
            <w:textDirection w:val="lrTb"/>
            <w:noWrap/>
          </w:tcPr>
          <w:p>
            <w:pPr>
              <w:pStyle w:val="1085"/>
              <w:jc w:val="center"/>
              <w:spacing w:line="360" w:lineRule="auto"/>
              <w:rPr>
                <w:rFonts w:hint="eastAsia" w:hAnsi="宋体" w:eastAsia="宋体" w:cs="宋体"/>
                <w:color w:val="000000"/>
                <w:sz w:val="24"/>
                <w:szCs w:val="24"/>
                <w:highlight w:val="none"/>
              </w:rPr>
            </w:pPr>
            <w:r>
              <w:rPr>
                <w:rFonts w:hint="eastAsia" w:hAnsi="宋体" w:eastAsia="宋体" w:cs="宋体"/>
                <w:bCs/>
                <w:color w:val="000000"/>
                <w:sz w:val="24"/>
                <w:szCs w:val="24"/>
                <w:highlight w:val="none"/>
              </w:rPr>
              <w:t xml:space="preserve">......</w:t>
            </w:r>
            <w:r>
              <w:rPr>
                <w:rFonts w:hint="eastAsia" w:hAnsi="宋体" w:eastAsia="宋体" w:cs="宋体"/>
                <w:color w:val="000000"/>
                <w:sz w:val="24"/>
                <w:szCs w:val="24"/>
                <w:highlight w:val="none"/>
              </w:rPr>
            </w:r>
            <w:r/>
          </w:p>
        </w:tc>
        <w:tc>
          <w:tcPr>
            <w:tcW w:w="1559" w:type="dxa"/>
            <w:vAlign w:val="center"/>
            <w:textDirection w:val="lrTb"/>
            <w:noWrap/>
          </w:tcPr>
          <w:p>
            <w:pPr>
              <w:pStyle w:val="1085"/>
              <w:jc w:val="center"/>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tc>
        <w:tc>
          <w:tcPr>
            <w:tcW w:w="2268" w:type="dxa"/>
            <w:vAlign w:val="center"/>
            <w:textDirection w:val="lrTb"/>
            <w:noWrap/>
          </w:tcPr>
          <w:p>
            <w:pPr>
              <w:pStyle w:val="1085"/>
              <w:jc w:val="center"/>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tc>
        <w:tc>
          <w:tcPr>
            <w:tcW w:w="2268" w:type="dxa"/>
            <w:vAlign w:val="center"/>
            <w:textDirection w:val="lrTb"/>
            <w:noWrap/>
          </w:tcPr>
          <w:p>
            <w:pPr>
              <w:pStyle w:val="1085"/>
              <w:jc w:val="center"/>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tc>
        <w:tc>
          <w:tcPr>
            <w:tcW w:w="2318" w:type="dxa"/>
            <w:vAlign w:val="center"/>
            <w:textDirection w:val="lrTb"/>
            <w:noWrap/>
          </w:tcPr>
          <w:p>
            <w:pPr>
              <w:pStyle w:val="1085"/>
              <w:jc w:val="center"/>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tc>
      </w:tr>
    </w:tbl>
    <w:p>
      <w:pPr>
        <w:pStyle w:val="986"/>
        <w:ind w:firstLine="480"/>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p>
      <w:pPr>
        <w:pStyle w:val="945"/>
        <w:ind w:firstLine="480"/>
        <w:spacing w:line="360" w:lineRule="auto"/>
        <w:tabs>
          <w:tab w:val="left" w:pos="142" w:leader="none"/>
          <w:tab w:val="left" w:pos="60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投标人（单位盖章）：</w:t>
      </w:r>
      <w:r>
        <w:rPr>
          <w:rFonts w:hint="eastAsia" w:ascii="宋体" w:hAnsi="宋体" w:eastAsia="宋体" w:cs="宋体"/>
          <w:bCs/>
          <w:color w:val="000000"/>
          <w:sz w:val="24"/>
          <w:szCs w:val="24"/>
          <w:highlight w:val="none"/>
        </w:rPr>
      </w:r>
      <w:r/>
    </w:p>
    <w:p>
      <w:pPr>
        <w:pStyle w:val="945"/>
        <w:ind w:firstLine="480"/>
        <w:spacing w:line="360" w:lineRule="auto"/>
        <w:tabs>
          <w:tab w:val="left" w:pos="142" w:leader="none"/>
          <w:tab w:val="left" w:pos="60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法定代表人或代理人（签字或盖章）：</w:t>
      </w:r>
      <w:r>
        <w:rPr>
          <w:rFonts w:hint="eastAsia" w:ascii="宋体" w:hAnsi="宋体" w:eastAsia="宋体" w:cs="宋体"/>
          <w:bCs/>
          <w:color w:val="000000"/>
          <w:sz w:val="24"/>
          <w:szCs w:val="24"/>
          <w:highlight w:val="none"/>
        </w:rPr>
      </w:r>
      <w:r/>
    </w:p>
    <w:p>
      <w:pPr>
        <w:pStyle w:val="945"/>
        <w:ind w:firstLine="480"/>
        <w:spacing w:line="360" w:lineRule="auto"/>
        <w:tabs>
          <w:tab w:val="left" w:pos="142" w:leader="none"/>
          <w:tab w:val="left" w:pos="60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日期：     年     月     日</w:t>
      </w:r>
      <w:r>
        <w:rPr>
          <w:rFonts w:hint="eastAsia" w:ascii="宋体" w:hAnsi="宋体" w:eastAsia="宋体" w:cs="宋体"/>
          <w:bCs/>
          <w:color w:val="000000"/>
          <w:sz w:val="24"/>
          <w:szCs w:val="24"/>
          <w:highlight w:val="none"/>
        </w:rPr>
      </w:r>
      <w:r/>
    </w:p>
    <w:p>
      <w:pPr>
        <w:pStyle w:val="945"/>
        <w:ind w:firstLine="480"/>
        <w:spacing w:line="360" w:lineRule="auto"/>
        <w:tabs>
          <w:tab w:val="left" w:pos="142" w:leader="none"/>
          <w:tab w:val="left" w:pos="60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45"/>
        <w:ind w:firstLine="480"/>
        <w:spacing w:line="360" w:lineRule="auto"/>
        <w:tabs>
          <w:tab w:val="left" w:pos="142" w:leader="none"/>
          <w:tab w:val="left" w:pos="60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注：</w:t>
      </w:r>
      <w:r>
        <w:rPr>
          <w:rFonts w:hint="eastAsia" w:ascii="宋体" w:hAnsi="宋体" w:eastAsia="宋体" w:cs="宋体"/>
          <w:bCs/>
          <w:color w:val="000000"/>
          <w:sz w:val="24"/>
          <w:szCs w:val="24"/>
          <w:highlight w:val="none"/>
        </w:rPr>
      </w:r>
      <w:r/>
    </w:p>
    <w:p>
      <w:pPr>
        <w:pStyle w:val="945"/>
        <w:ind w:firstLine="480"/>
        <w:spacing w:line="360" w:lineRule="auto"/>
        <w:tabs>
          <w:tab w:val="left" w:pos="142" w:leader="none"/>
          <w:tab w:val="left" w:pos="60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投标人应在本表中对照</w:t>
      </w:r>
      <w:r>
        <w:rPr>
          <w:rFonts w:hint="eastAsia" w:ascii="宋体" w:hAnsi="宋体" w:eastAsia="宋体" w:cs="宋体"/>
          <w:bCs/>
          <w:color w:val="000000"/>
          <w:sz w:val="24"/>
          <w:szCs w:val="24"/>
          <w:highlight w:val="none"/>
          <w:lang w:eastAsia="zh-CN"/>
        </w:rPr>
        <w:t xml:space="preserve">采购文件</w:t>
      </w:r>
      <w:r>
        <w:rPr>
          <w:rFonts w:hint="eastAsia" w:ascii="宋体" w:hAnsi="宋体" w:eastAsia="宋体" w:cs="宋体"/>
          <w:bCs/>
          <w:color w:val="000000"/>
          <w:sz w:val="24"/>
          <w:szCs w:val="24"/>
          <w:highlight w:val="none"/>
        </w:rPr>
        <w:t xml:space="preserve">技术要求逐项对应列出响应内容，并在“偏离情况说明”项下填写以下内容：优于的，填写“正偏离”；符合的，填写“无偏离”；低于的，填写“负偏离”。</w:t>
      </w:r>
      <w:r>
        <w:rPr>
          <w:rFonts w:hint="eastAsia" w:ascii="宋体" w:hAnsi="宋体" w:eastAsia="宋体" w:cs="宋体"/>
          <w:bCs/>
          <w:color w:val="000000"/>
          <w:sz w:val="24"/>
          <w:szCs w:val="24"/>
          <w:highlight w:val="none"/>
        </w:rPr>
      </w:r>
      <w:r/>
    </w:p>
    <w:p>
      <w:pPr>
        <w:pStyle w:val="945"/>
        <w:ind w:firstLine="480"/>
        <w:spacing w:line="360" w:lineRule="auto"/>
        <w:tabs>
          <w:tab w:val="left" w:pos="142" w:leader="none"/>
          <w:tab w:val="left" w:pos="60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投标产品与</w:t>
      </w:r>
      <w:r>
        <w:rPr>
          <w:rFonts w:hint="eastAsia" w:ascii="宋体" w:hAnsi="宋体" w:eastAsia="宋体" w:cs="宋体"/>
          <w:bCs/>
          <w:color w:val="000000"/>
          <w:sz w:val="24"/>
          <w:szCs w:val="24"/>
          <w:highlight w:val="none"/>
          <w:lang w:eastAsia="zh-CN"/>
        </w:rPr>
        <w:t xml:space="preserve">采购文件</w:t>
      </w:r>
      <w:r>
        <w:rPr>
          <w:rFonts w:hint="eastAsia" w:ascii="宋体" w:hAnsi="宋体" w:eastAsia="宋体" w:cs="宋体"/>
          <w:bCs/>
          <w:color w:val="000000"/>
          <w:sz w:val="24"/>
          <w:szCs w:val="24"/>
          <w:highlight w:val="none"/>
        </w:rPr>
        <w:t xml:space="preserve">技术要求的规定有偏离的，应在此表中申明与技术要求条文的偏差和例外。未在此表中说明的，如在</w:t>
      </w:r>
      <w:r>
        <w:rPr>
          <w:rFonts w:hint="eastAsia" w:ascii="宋体" w:hAnsi="宋体" w:eastAsia="宋体" w:cs="宋体"/>
          <w:bCs/>
          <w:color w:val="000000"/>
          <w:sz w:val="24"/>
          <w:szCs w:val="24"/>
          <w:highlight w:val="none"/>
          <w:lang w:eastAsia="zh-CN"/>
        </w:rPr>
        <w:t xml:space="preserve">响应文件</w:t>
      </w:r>
      <w:r>
        <w:rPr>
          <w:rFonts w:hint="eastAsia" w:ascii="宋体" w:hAnsi="宋体" w:eastAsia="宋体" w:cs="宋体"/>
          <w:bCs/>
          <w:color w:val="000000"/>
          <w:sz w:val="24"/>
          <w:szCs w:val="24"/>
          <w:highlight w:val="none"/>
        </w:rPr>
        <w:t xml:space="preserve">其他内容中已有文字说明的，则以已有文字说明为准，否则将被认为完全响应</w:t>
      </w:r>
      <w:r>
        <w:rPr>
          <w:rFonts w:hint="eastAsia" w:ascii="宋体" w:hAnsi="宋体" w:eastAsia="宋体" w:cs="宋体"/>
          <w:bCs/>
          <w:color w:val="000000"/>
          <w:sz w:val="24"/>
          <w:szCs w:val="24"/>
          <w:highlight w:val="none"/>
          <w:lang w:eastAsia="zh-CN"/>
        </w:rPr>
        <w:t xml:space="preserve">采购文件</w:t>
      </w:r>
      <w:r>
        <w:rPr>
          <w:rFonts w:hint="eastAsia" w:ascii="宋体" w:hAnsi="宋体" w:eastAsia="宋体" w:cs="宋体"/>
          <w:bCs/>
          <w:color w:val="000000"/>
          <w:sz w:val="24"/>
          <w:szCs w:val="24"/>
          <w:highlight w:val="none"/>
        </w:rPr>
        <w:t xml:space="preserve">的规定，但该表不能替代投标产品对</w:t>
      </w:r>
      <w:r>
        <w:rPr>
          <w:rFonts w:hint="eastAsia" w:ascii="宋体" w:hAnsi="宋体" w:eastAsia="宋体" w:cs="宋体"/>
          <w:bCs/>
          <w:color w:val="000000"/>
          <w:sz w:val="24"/>
          <w:szCs w:val="24"/>
          <w:highlight w:val="none"/>
          <w:lang w:eastAsia="zh-CN"/>
        </w:rPr>
        <w:t xml:space="preserve">采购文件</w:t>
      </w:r>
      <w:r>
        <w:rPr>
          <w:rFonts w:hint="eastAsia" w:ascii="宋体" w:hAnsi="宋体" w:eastAsia="宋体" w:cs="宋体"/>
          <w:bCs/>
          <w:color w:val="000000"/>
          <w:sz w:val="24"/>
          <w:szCs w:val="24"/>
          <w:highlight w:val="none"/>
        </w:rPr>
        <w:t xml:space="preserve">技术要求应作出的详细描述和说明。</w:t>
      </w:r>
      <w:r>
        <w:rPr>
          <w:rFonts w:hint="eastAsia" w:ascii="宋体" w:hAnsi="宋体" w:eastAsia="宋体" w:cs="宋体"/>
          <w:bCs/>
          <w:color w:val="000000"/>
          <w:sz w:val="24"/>
          <w:szCs w:val="24"/>
          <w:highlight w:val="none"/>
        </w:rPr>
      </w:r>
      <w:r/>
    </w:p>
    <w:p>
      <w:pPr>
        <w:pStyle w:val="945"/>
        <w:spacing w:line="360" w:lineRule="auto"/>
        <w:rPr>
          <w:rFonts w:hint="eastAsia" w:ascii="宋体" w:hAnsi="宋体" w:eastAsia="宋体" w:cs="宋体"/>
          <w:b/>
          <w:bCs/>
          <w:color w:val="000000"/>
          <w:sz w:val="24"/>
          <w:szCs w:val="24"/>
          <w:highlight w:val="none"/>
        </w:rPr>
      </w:pPr>
      <w:r>
        <w:rPr>
          <w:rFonts w:cs="宋体"/>
          <w:b/>
          <w:bCs/>
          <w:color w:val="000000"/>
          <w:sz w:val="24"/>
          <w:szCs w:val="24"/>
          <w:highlight w:val="none"/>
        </w:rPr>
        <w:br w:type="page" w:clear="all"/>
      </w:r>
      <w:r>
        <w:rPr>
          <w:rFonts w:hint="eastAsia" w:ascii="宋体" w:hAnsi="宋体" w:eastAsia="宋体" w:cs="宋体"/>
          <w:b/>
          <w:bCs/>
          <w:color w:val="000000"/>
          <w:sz w:val="24"/>
          <w:szCs w:val="24"/>
          <w:highlight w:val="none"/>
          <w:lang w:val="en-US" w:eastAsia="zh-CN"/>
        </w:rPr>
        <w:t xml:space="preserve">7</w:t>
      </w:r>
      <w:r>
        <w:rPr>
          <w:rFonts w:hint="eastAsia" w:ascii="宋体" w:hAnsi="宋体" w:eastAsia="宋体" w:cs="宋体"/>
          <w:b/>
          <w:bCs/>
          <w:color w:val="000000"/>
          <w:sz w:val="24"/>
          <w:szCs w:val="24"/>
          <w:highlight w:val="none"/>
        </w:rPr>
        <w:t xml:space="preserve">、技术参数响应及偏离表（各标段均适用）</w:t>
      </w:r>
      <w:r>
        <w:rPr>
          <w:rFonts w:hint="eastAsia" w:ascii="宋体" w:hAnsi="宋体" w:eastAsia="宋体" w:cs="宋体"/>
          <w:b/>
          <w:bCs/>
          <w:color w:val="000000"/>
          <w:sz w:val="24"/>
          <w:szCs w:val="24"/>
          <w:highlight w:val="none"/>
        </w:rPr>
      </w:r>
      <w:r/>
    </w:p>
    <w:tbl>
      <w:tblPr>
        <w:tblW w:w="963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2"/>
        <w:gridCol w:w="1558"/>
        <w:gridCol w:w="2266"/>
        <w:gridCol w:w="2266"/>
        <w:gridCol w:w="2316"/>
      </w:tblGrid>
      <w:tr>
        <w:trPr>
          <w:trHeight w:val="567"/>
        </w:trPr>
        <w:tc>
          <w:tcPr>
            <w:tcW w:w="1232" w:type="dxa"/>
            <w:vAlign w:val="center"/>
            <w:textDirection w:val="lrTb"/>
            <w:noWrap/>
          </w:tcPr>
          <w:p>
            <w:pPr>
              <w:pStyle w:val="1085"/>
              <w:jc w:val="center"/>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序号</w:t>
            </w:r>
            <w:r>
              <w:rPr>
                <w:rFonts w:hint="eastAsia" w:hAnsi="宋体" w:eastAsia="宋体" w:cs="宋体"/>
                <w:color w:val="000000"/>
                <w:sz w:val="24"/>
                <w:szCs w:val="24"/>
                <w:highlight w:val="none"/>
              </w:rPr>
            </w:r>
            <w:r/>
          </w:p>
        </w:tc>
        <w:tc>
          <w:tcPr>
            <w:tcW w:w="1559" w:type="dxa"/>
            <w:vAlign w:val="center"/>
            <w:textDirection w:val="lrTb"/>
            <w:noWrap/>
          </w:tcPr>
          <w:p>
            <w:pPr>
              <w:pStyle w:val="1085"/>
              <w:jc w:val="center"/>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产品名称</w:t>
            </w:r>
            <w:r>
              <w:rPr>
                <w:rFonts w:hint="eastAsia" w:hAnsi="宋体" w:eastAsia="宋体" w:cs="宋体"/>
                <w:color w:val="000000"/>
                <w:sz w:val="24"/>
                <w:szCs w:val="24"/>
                <w:highlight w:val="none"/>
              </w:rPr>
            </w:r>
            <w:r/>
          </w:p>
        </w:tc>
        <w:tc>
          <w:tcPr>
            <w:tcW w:w="2268" w:type="dxa"/>
            <w:vAlign w:val="center"/>
            <w:textDirection w:val="lrTb"/>
            <w:noWrap/>
          </w:tcPr>
          <w:p>
            <w:pPr>
              <w:pStyle w:val="1085"/>
              <w:jc w:val="center"/>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采购要求</w:t>
            </w:r>
            <w:r>
              <w:rPr>
                <w:rFonts w:hint="eastAsia" w:hAnsi="宋体" w:eastAsia="宋体" w:cs="宋体"/>
                <w:color w:val="000000"/>
                <w:sz w:val="24"/>
                <w:szCs w:val="24"/>
                <w:highlight w:val="none"/>
              </w:rPr>
            </w:r>
            <w:r/>
          </w:p>
        </w:tc>
        <w:tc>
          <w:tcPr>
            <w:tcW w:w="2268" w:type="dxa"/>
            <w:vAlign w:val="center"/>
            <w:textDirection w:val="lrTb"/>
            <w:noWrap/>
          </w:tcPr>
          <w:p>
            <w:pPr>
              <w:pStyle w:val="1085"/>
              <w:jc w:val="center"/>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投标产品技术参数</w:t>
            </w:r>
            <w:r>
              <w:rPr>
                <w:rFonts w:hint="eastAsia" w:hAnsi="宋体" w:eastAsia="宋体" w:cs="宋体"/>
                <w:color w:val="000000"/>
                <w:sz w:val="24"/>
                <w:szCs w:val="24"/>
                <w:highlight w:val="none"/>
              </w:rPr>
            </w:r>
            <w:r/>
          </w:p>
        </w:tc>
        <w:tc>
          <w:tcPr>
            <w:tcW w:w="2318" w:type="dxa"/>
            <w:vAlign w:val="center"/>
            <w:textDirection w:val="lrTb"/>
            <w:noWrap/>
          </w:tcPr>
          <w:p>
            <w:pPr>
              <w:pStyle w:val="1085"/>
              <w:jc w:val="center"/>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偏离情况说明</w:t>
            </w:r>
            <w:r>
              <w:rPr>
                <w:rFonts w:hint="eastAsia" w:hAnsi="宋体" w:eastAsia="宋体" w:cs="宋体"/>
                <w:color w:val="000000"/>
                <w:sz w:val="24"/>
                <w:szCs w:val="24"/>
                <w:highlight w:val="none"/>
              </w:rPr>
            </w:r>
            <w:r/>
          </w:p>
        </w:tc>
      </w:tr>
      <w:tr>
        <w:trPr>
          <w:trHeight w:val="567"/>
        </w:trPr>
        <w:tc>
          <w:tcPr>
            <w:tcW w:w="1232" w:type="dxa"/>
            <w:vAlign w:val="center"/>
            <w:textDirection w:val="lrTb"/>
            <w:noWrap/>
          </w:tcPr>
          <w:p>
            <w:pPr>
              <w:pStyle w:val="1085"/>
              <w:jc w:val="center"/>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1</w:t>
            </w:r>
            <w:r>
              <w:rPr>
                <w:rFonts w:hint="eastAsia" w:hAnsi="宋体" w:eastAsia="宋体" w:cs="宋体"/>
                <w:color w:val="000000"/>
                <w:sz w:val="24"/>
                <w:szCs w:val="24"/>
                <w:highlight w:val="none"/>
              </w:rPr>
            </w:r>
            <w:r/>
          </w:p>
        </w:tc>
        <w:tc>
          <w:tcPr>
            <w:tcW w:w="1559" w:type="dxa"/>
            <w:vAlign w:val="center"/>
            <w:textDirection w:val="lrTb"/>
            <w:noWrap/>
          </w:tcPr>
          <w:p>
            <w:pPr>
              <w:pStyle w:val="1085"/>
              <w:jc w:val="center"/>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tc>
        <w:tc>
          <w:tcPr>
            <w:tcW w:w="2268" w:type="dxa"/>
            <w:vAlign w:val="center"/>
            <w:textDirection w:val="lrTb"/>
            <w:noWrap/>
          </w:tcPr>
          <w:p>
            <w:pPr>
              <w:pStyle w:val="1085"/>
              <w:jc w:val="center"/>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tc>
        <w:tc>
          <w:tcPr>
            <w:tcW w:w="2268" w:type="dxa"/>
            <w:vAlign w:val="center"/>
            <w:textDirection w:val="lrTb"/>
            <w:noWrap/>
          </w:tcPr>
          <w:p>
            <w:pPr>
              <w:pStyle w:val="1085"/>
              <w:jc w:val="center"/>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tc>
        <w:tc>
          <w:tcPr>
            <w:tcW w:w="2318" w:type="dxa"/>
            <w:vAlign w:val="center"/>
            <w:textDirection w:val="lrTb"/>
            <w:noWrap/>
          </w:tcPr>
          <w:p>
            <w:pPr>
              <w:pStyle w:val="1085"/>
              <w:jc w:val="center"/>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tc>
      </w:tr>
      <w:tr>
        <w:trPr>
          <w:trHeight w:val="567"/>
        </w:trPr>
        <w:tc>
          <w:tcPr>
            <w:tcW w:w="1232" w:type="dxa"/>
            <w:vAlign w:val="center"/>
            <w:textDirection w:val="lrTb"/>
            <w:noWrap/>
          </w:tcPr>
          <w:p>
            <w:pPr>
              <w:pStyle w:val="1085"/>
              <w:jc w:val="center"/>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2</w:t>
            </w:r>
            <w:r>
              <w:rPr>
                <w:rFonts w:hint="eastAsia" w:hAnsi="宋体" w:eastAsia="宋体" w:cs="宋体"/>
                <w:color w:val="000000"/>
                <w:sz w:val="24"/>
                <w:szCs w:val="24"/>
                <w:highlight w:val="none"/>
              </w:rPr>
            </w:r>
            <w:r/>
          </w:p>
        </w:tc>
        <w:tc>
          <w:tcPr>
            <w:tcW w:w="1559" w:type="dxa"/>
            <w:vAlign w:val="center"/>
            <w:textDirection w:val="lrTb"/>
            <w:noWrap/>
          </w:tcPr>
          <w:p>
            <w:pPr>
              <w:pStyle w:val="1085"/>
              <w:jc w:val="center"/>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tc>
        <w:tc>
          <w:tcPr>
            <w:tcW w:w="2268" w:type="dxa"/>
            <w:vAlign w:val="center"/>
            <w:textDirection w:val="lrTb"/>
            <w:noWrap/>
          </w:tcPr>
          <w:p>
            <w:pPr>
              <w:pStyle w:val="1085"/>
              <w:jc w:val="center"/>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tc>
        <w:tc>
          <w:tcPr>
            <w:tcW w:w="2268" w:type="dxa"/>
            <w:vAlign w:val="center"/>
            <w:textDirection w:val="lrTb"/>
            <w:noWrap/>
          </w:tcPr>
          <w:p>
            <w:pPr>
              <w:pStyle w:val="1085"/>
              <w:jc w:val="center"/>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tc>
        <w:tc>
          <w:tcPr>
            <w:tcW w:w="2318" w:type="dxa"/>
            <w:vAlign w:val="center"/>
            <w:textDirection w:val="lrTb"/>
            <w:noWrap/>
          </w:tcPr>
          <w:p>
            <w:pPr>
              <w:pStyle w:val="1085"/>
              <w:jc w:val="center"/>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tc>
      </w:tr>
      <w:tr>
        <w:trPr>
          <w:trHeight w:val="567"/>
        </w:trPr>
        <w:tc>
          <w:tcPr>
            <w:tcW w:w="1232" w:type="dxa"/>
            <w:vAlign w:val="center"/>
            <w:textDirection w:val="lrTb"/>
            <w:noWrap/>
          </w:tcPr>
          <w:p>
            <w:pPr>
              <w:pStyle w:val="1085"/>
              <w:jc w:val="center"/>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3</w:t>
            </w:r>
            <w:r>
              <w:rPr>
                <w:rFonts w:hint="eastAsia" w:hAnsi="宋体" w:eastAsia="宋体" w:cs="宋体"/>
                <w:color w:val="000000"/>
                <w:sz w:val="24"/>
                <w:szCs w:val="24"/>
                <w:highlight w:val="none"/>
              </w:rPr>
            </w:r>
            <w:r/>
          </w:p>
        </w:tc>
        <w:tc>
          <w:tcPr>
            <w:tcW w:w="1559" w:type="dxa"/>
            <w:vAlign w:val="center"/>
            <w:textDirection w:val="lrTb"/>
            <w:noWrap/>
          </w:tcPr>
          <w:p>
            <w:pPr>
              <w:pStyle w:val="1085"/>
              <w:jc w:val="center"/>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tc>
        <w:tc>
          <w:tcPr>
            <w:tcW w:w="2268" w:type="dxa"/>
            <w:vAlign w:val="center"/>
            <w:textDirection w:val="lrTb"/>
            <w:noWrap/>
          </w:tcPr>
          <w:p>
            <w:pPr>
              <w:pStyle w:val="1085"/>
              <w:jc w:val="center"/>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tc>
        <w:tc>
          <w:tcPr>
            <w:tcW w:w="2268" w:type="dxa"/>
            <w:vAlign w:val="center"/>
            <w:textDirection w:val="lrTb"/>
            <w:noWrap/>
          </w:tcPr>
          <w:p>
            <w:pPr>
              <w:pStyle w:val="1085"/>
              <w:jc w:val="center"/>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tc>
        <w:tc>
          <w:tcPr>
            <w:tcW w:w="2318" w:type="dxa"/>
            <w:vAlign w:val="center"/>
            <w:textDirection w:val="lrTb"/>
            <w:noWrap/>
          </w:tcPr>
          <w:p>
            <w:pPr>
              <w:pStyle w:val="1085"/>
              <w:jc w:val="center"/>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tc>
      </w:tr>
      <w:tr>
        <w:trPr>
          <w:trHeight w:val="567"/>
        </w:trPr>
        <w:tc>
          <w:tcPr>
            <w:tcW w:w="1232" w:type="dxa"/>
            <w:vAlign w:val="center"/>
            <w:textDirection w:val="lrTb"/>
            <w:noWrap/>
          </w:tcPr>
          <w:p>
            <w:pPr>
              <w:pStyle w:val="1085"/>
              <w:jc w:val="center"/>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4</w:t>
            </w:r>
            <w:r>
              <w:rPr>
                <w:rFonts w:hint="eastAsia" w:hAnsi="宋体" w:eastAsia="宋体" w:cs="宋体"/>
                <w:color w:val="000000"/>
                <w:sz w:val="24"/>
                <w:szCs w:val="24"/>
                <w:highlight w:val="none"/>
              </w:rPr>
            </w:r>
            <w:r/>
          </w:p>
        </w:tc>
        <w:tc>
          <w:tcPr>
            <w:tcW w:w="1559" w:type="dxa"/>
            <w:vAlign w:val="center"/>
            <w:textDirection w:val="lrTb"/>
            <w:noWrap/>
          </w:tcPr>
          <w:p>
            <w:pPr>
              <w:pStyle w:val="1085"/>
              <w:jc w:val="center"/>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tc>
        <w:tc>
          <w:tcPr>
            <w:tcW w:w="2268" w:type="dxa"/>
            <w:vAlign w:val="center"/>
            <w:textDirection w:val="lrTb"/>
            <w:noWrap/>
          </w:tcPr>
          <w:p>
            <w:pPr>
              <w:pStyle w:val="1085"/>
              <w:jc w:val="center"/>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tc>
        <w:tc>
          <w:tcPr>
            <w:tcW w:w="2268" w:type="dxa"/>
            <w:vAlign w:val="center"/>
            <w:textDirection w:val="lrTb"/>
            <w:noWrap/>
          </w:tcPr>
          <w:p>
            <w:pPr>
              <w:pStyle w:val="1085"/>
              <w:jc w:val="center"/>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tc>
        <w:tc>
          <w:tcPr>
            <w:tcW w:w="2318" w:type="dxa"/>
            <w:vAlign w:val="center"/>
            <w:textDirection w:val="lrTb"/>
            <w:noWrap/>
          </w:tcPr>
          <w:p>
            <w:pPr>
              <w:pStyle w:val="1085"/>
              <w:jc w:val="center"/>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tc>
      </w:tr>
      <w:tr>
        <w:trPr>
          <w:trHeight w:val="567"/>
        </w:trPr>
        <w:tc>
          <w:tcPr>
            <w:tcW w:w="1232" w:type="dxa"/>
            <w:vAlign w:val="center"/>
            <w:textDirection w:val="lrTb"/>
            <w:noWrap/>
          </w:tcPr>
          <w:p>
            <w:pPr>
              <w:pStyle w:val="1085"/>
              <w:jc w:val="center"/>
              <w:spacing w:line="360" w:lineRule="auto"/>
              <w:rPr>
                <w:rFonts w:hint="eastAsia" w:hAnsi="宋体" w:eastAsia="宋体" w:cs="宋体"/>
                <w:color w:val="000000"/>
                <w:sz w:val="24"/>
                <w:szCs w:val="24"/>
                <w:highlight w:val="none"/>
              </w:rPr>
            </w:pPr>
            <w:r>
              <w:rPr>
                <w:rFonts w:hint="eastAsia" w:hAnsi="宋体" w:eastAsia="宋体" w:cs="宋体"/>
                <w:bCs/>
                <w:color w:val="000000"/>
                <w:sz w:val="24"/>
                <w:szCs w:val="24"/>
                <w:highlight w:val="none"/>
              </w:rPr>
              <w:t xml:space="preserve">......</w:t>
            </w:r>
            <w:r>
              <w:rPr>
                <w:rFonts w:hint="eastAsia" w:hAnsi="宋体" w:eastAsia="宋体" w:cs="宋体"/>
                <w:color w:val="000000"/>
                <w:sz w:val="24"/>
                <w:szCs w:val="24"/>
                <w:highlight w:val="none"/>
              </w:rPr>
            </w:r>
            <w:r/>
          </w:p>
        </w:tc>
        <w:tc>
          <w:tcPr>
            <w:tcW w:w="1559" w:type="dxa"/>
            <w:vAlign w:val="center"/>
            <w:textDirection w:val="lrTb"/>
            <w:noWrap/>
          </w:tcPr>
          <w:p>
            <w:pPr>
              <w:pStyle w:val="1085"/>
              <w:jc w:val="center"/>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tc>
        <w:tc>
          <w:tcPr>
            <w:tcW w:w="2268" w:type="dxa"/>
            <w:vAlign w:val="center"/>
            <w:textDirection w:val="lrTb"/>
            <w:noWrap/>
          </w:tcPr>
          <w:p>
            <w:pPr>
              <w:pStyle w:val="1085"/>
              <w:jc w:val="center"/>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tc>
        <w:tc>
          <w:tcPr>
            <w:tcW w:w="2268" w:type="dxa"/>
            <w:vAlign w:val="center"/>
            <w:textDirection w:val="lrTb"/>
            <w:noWrap/>
          </w:tcPr>
          <w:p>
            <w:pPr>
              <w:pStyle w:val="1085"/>
              <w:jc w:val="center"/>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tc>
        <w:tc>
          <w:tcPr>
            <w:tcW w:w="2318" w:type="dxa"/>
            <w:vAlign w:val="center"/>
            <w:textDirection w:val="lrTb"/>
            <w:noWrap/>
          </w:tcPr>
          <w:p>
            <w:pPr>
              <w:pStyle w:val="1085"/>
              <w:jc w:val="center"/>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tc>
      </w:tr>
    </w:tbl>
    <w:p>
      <w:pPr>
        <w:pStyle w:val="986"/>
        <w:ind w:firstLine="480"/>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p>
      <w:pPr>
        <w:pStyle w:val="945"/>
        <w:ind w:firstLine="480"/>
        <w:spacing w:line="360" w:lineRule="auto"/>
        <w:tabs>
          <w:tab w:val="left" w:pos="142" w:leader="none"/>
          <w:tab w:val="left" w:pos="60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投标人（单位盖章）：</w:t>
      </w:r>
      <w:r>
        <w:rPr>
          <w:rFonts w:hint="eastAsia" w:ascii="宋体" w:hAnsi="宋体" w:eastAsia="宋体" w:cs="宋体"/>
          <w:bCs/>
          <w:color w:val="000000"/>
          <w:sz w:val="24"/>
          <w:szCs w:val="24"/>
          <w:highlight w:val="none"/>
        </w:rPr>
      </w:r>
      <w:r/>
    </w:p>
    <w:p>
      <w:pPr>
        <w:pStyle w:val="945"/>
        <w:ind w:firstLine="480"/>
        <w:spacing w:line="360" w:lineRule="auto"/>
        <w:tabs>
          <w:tab w:val="left" w:pos="142" w:leader="none"/>
          <w:tab w:val="left" w:pos="60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法定代表人或代理人（签字或盖章）：</w:t>
      </w:r>
      <w:r>
        <w:rPr>
          <w:rFonts w:hint="eastAsia" w:ascii="宋体" w:hAnsi="宋体" w:eastAsia="宋体" w:cs="宋体"/>
          <w:bCs/>
          <w:color w:val="000000"/>
          <w:sz w:val="24"/>
          <w:szCs w:val="24"/>
          <w:highlight w:val="none"/>
        </w:rPr>
      </w:r>
      <w:r/>
    </w:p>
    <w:p>
      <w:pPr>
        <w:pStyle w:val="945"/>
        <w:ind w:firstLine="480"/>
        <w:spacing w:line="360" w:lineRule="auto"/>
        <w:tabs>
          <w:tab w:val="left" w:pos="142" w:leader="none"/>
          <w:tab w:val="left" w:pos="60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日期：     年     月     日</w:t>
      </w:r>
      <w:r>
        <w:rPr>
          <w:rFonts w:hint="eastAsia" w:ascii="宋体" w:hAnsi="宋体" w:eastAsia="宋体" w:cs="宋体"/>
          <w:bCs/>
          <w:color w:val="000000"/>
          <w:sz w:val="24"/>
          <w:szCs w:val="24"/>
          <w:highlight w:val="none"/>
        </w:rPr>
      </w:r>
      <w:r/>
    </w:p>
    <w:p>
      <w:pPr>
        <w:pStyle w:val="945"/>
        <w:ind w:firstLine="480"/>
        <w:spacing w:line="360" w:lineRule="auto"/>
        <w:tabs>
          <w:tab w:val="left" w:pos="142" w:leader="none"/>
          <w:tab w:val="left" w:pos="60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45"/>
        <w:ind w:firstLine="480"/>
        <w:spacing w:line="360" w:lineRule="auto"/>
        <w:tabs>
          <w:tab w:val="left" w:pos="142" w:leader="none"/>
          <w:tab w:val="left" w:pos="60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注：</w:t>
      </w:r>
      <w:r>
        <w:rPr>
          <w:rFonts w:hint="eastAsia" w:ascii="宋体" w:hAnsi="宋体" w:eastAsia="宋体" w:cs="宋体"/>
          <w:bCs/>
          <w:color w:val="000000"/>
          <w:sz w:val="24"/>
          <w:szCs w:val="24"/>
          <w:highlight w:val="none"/>
        </w:rPr>
      </w:r>
      <w:r/>
    </w:p>
    <w:p>
      <w:pPr>
        <w:pStyle w:val="945"/>
        <w:ind w:firstLine="480"/>
        <w:spacing w:line="360" w:lineRule="auto"/>
        <w:tabs>
          <w:tab w:val="left" w:pos="142" w:leader="none"/>
          <w:tab w:val="left" w:pos="60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投标人应在本表中对照</w:t>
      </w:r>
      <w:r>
        <w:rPr>
          <w:rFonts w:hint="eastAsia" w:ascii="宋体" w:hAnsi="宋体" w:eastAsia="宋体" w:cs="宋体"/>
          <w:bCs/>
          <w:color w:val="000000"/>
          <w:sz w:val="24"/>
          <w:szCs w:val="24"/>
          <w:highlight w:val="none"/>
          <w:lang w:eastAsia="zh-CN"/>
        </w:rPr>
        <w:t xml:space="preserve">采购文件</w:t>
      </w:r>
      <w:r>
        <w:rPr>
          <w:rFonts w:hint="eastAsia" w:ascii="宋体" w:hAnsi="宋体" w:eastAsia="宋体" w:cs="宋体"/>
          <w:bCs/>
          <w:color w:val="000000"/>
          <w:sz w:val="24"/>
          <w:szCs w:val="24"/>
          <w:highlight w:val="none"/>
        </w:rPr>
        <w:t xml:space="preserve">技术要求逐项对应列出响应内容，并在“偏离情况说明”项下填写以下内容：优于的，填写“正偏离”；符合的，填写“无偏离”；低于的，填写“负偏离”。</w:t>
      </w:r>
      <w:r>
        <w:rPr>
          <w:rFonts w:hint="eastAsia" w:ascii="宋体" w:hAnsi="宋体" w:eastAsia="宋体" w:cs="宋体"/>
          <w:bCs/>
          <w:color w:val="000000"/>
          <w:sz w:val="24"/>
          <w:szCs w:val="24"/>
          <w:highlight w:val="none"/>
        </w:rPr>
      </w:r>
      <w:r/>
    </w:p>
    <w:p>
      <w:pPr>
        <w:pStyle w:val="945"/>
        <w:ind w:firstLine="480"/>
        <w:spacing w:line="360" w:lineRule="auto"/>
        <w:tabs>
          <w:tab w:val="left" w:pos="142" w:leader="none"/>
          <w:tab w:val="left" w:pos="60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投标产品与</w:t>
      </w:r>
      <w:r>
        <w:rPr>
          <w:rFonts w:hint="eastAsia" w:ascii="宋体" w:hAnsi="宋体" w:eastAsia="宋体" w:cs="宋体"/>
          <w:bCs/>
          <w:color w:val="000000"/>
          <w:sz w:val="24"/>
          <w:szCs w:val="24"/>
          <w:highlight w:val="none"/>
          <w:lang w:eastAsia="zh-CN"/>
        </w:rPr>
        <w:t xml:space="preserve">采购文件</w:t>
      </w:r>
      <w:r>
        <w:rPr>
          <w:rFonts w:hint="eastAsia" w:ascii="宋体" w:hAnsi="宋体" w:eastAsia="宋体" w:cs="宋体"/>
          <w:bCs/>
          <w:color w:val="000000"/>
          <w:sz w:val="24"/>
          <w:szCs w:val="24"/>
          <w:highlight w:val="none"/>
        </w:rPr>
        <w:t xml:space="preserve">技术要求的规定有偏离的，应在此表中申明与技术要求条文的偏差和例外。未在此表中说明的，如在</w:t>
      </w:r>
      <w:r>
        <w:rPr>
          <w:rFonts w:hint="eastAsia" w:ascii="宋体" w:hAnsi="宋体" w:eastAsia="宋体" w:cs="宋体"/>
          <w:bCs/>
          <w:color w:val="000000"/>
          <w:sz w:val="24"/>
          <w:szCs w:val="24"/>
          <w:highlight w:val="none"/>
          <w:lang w:eastAsia="zh-CN"/>
        </w:rPr>
        <w:t xml:space="preserve">响应文件</w:t>
      </w:r>
      <w:r>
        <w:rPr>
          <w:rFonts w:hint="eastAsia" w:ascii="宋体" w:hAnsi="宋体" w:eastAsia="宋体" w:cs="宋体"/>
          <w:bCs/>
          <w:color w:val="000000"/>
          <w:sz w:val="24"/>
          <w:szCs w:val="24"/>
          <w:highlight w:val="none"/>
        </w:rPr>
        <w:t xml:space="preserve">其他内容中已有文字说明的，则以已有文字说明为准，否则将被认为完全响应</w:t>
      </w:r>
      <w:r>
        <w:rPr>
          <w:rFonts w:hint="eastAsia" w:ascii="宋体" w:hAnsi="宋体" w:eastAsia="宋体" w:cs="宋体"/>
          <w:bCs/>
          <w:color w:val="000000"/>
          <w:sz w:val="24"/>
          <w:szCs w:val="24"/>
          <w:highlight w:val="none"/>
          <w:lang w:eastAsia="zh-CN"/>
        </w:rPr>
        <w:t xml:space="preserve">采购文件</w:t>
      </w:r>
      <w:r>
        <w:rPr>
          <w:rFonts w:hint="eastAsia" w:ascii="宋体" w:hAnsi="宋体" w:eastAsia="宋体" w:cs="宋体"/>
          <w:bCs/>
          <w:color w:val="000000"/>
          <w:sz w:val="24"/>
          <w:szCs w:val="24"/>
          <w:highlight w:val="none"/>
        </w:rPr>
        <w:t xml:space="preserve">的规定，但该表不能替代投标产品对</w:t>
      </w:r>
      <w:r>
        <w:rPr>
          <w:rFonts w:hint="eastAsia" w:ascii="宋体" w:hAnsi="宋体" w:eastAsia="宋体" w:cs="宋体"/>
          <w:bCs/>
          <w:color w:val="000000"/>
          <w:sz w:val="24"/>
          <w:szCs w:val="24"/>
          <w:highlight w:val="none"/>
          <w:lang w:eastAsia="zh-CN"/>
        </w:rPr>
        <w:t xml:space="preserve">采购文件</w:t>
      </w:r>
      <w:r>
        <w:rPr>
          <w:rFonts w:hint="eastAsia" w:ascii="宋体" w:hAnsi="宋体" w:eastAsia="宋体" w:cs="宋体"/>
          <w:bCs/>
          <w:color w:val="000000"/>
          <w:sz w:val="24"/>
          <w:szCs w:val="24"/>
          <w:highlight w:val="none"/>
        </w:rPr>
        <w:t xml:space="preserve">技术要求应作出的详细描述和说明。</w:t>
      </w:r>
      <w:r>
        <w:rPr>
          <w:rFonts w:hint="eastAsia" w:ascii="宋体" w:hAnsi="宋体" w:eastAsia="宋体" w:cs="宋体"/>
          <w:bCs/>
          <w:color w:val="000000"/>
          <w:sz w:val="24"/>
          <w:szCs w:val="24"/>
          <w:highlight w:val="none"/>
        </w:rPr>
      </w:r>
      <w:r/>
    </w:p>
    <w:p>
      <w:pPr>
        <w:pStyle w:val="945"/>
        <w:rPr>
          <w:rFonts w:hint="eastAsia" w:ascii="宋体" w:hAnsi="宋体" w:eastAsia="宋体" w:cs="宋体"/>
          <w:b/>
          <w:color w:val="000000"/>
          <w:sz w:val="24"/>
          <w:szCs w:val="24"/>
          <w:highlight w:val="none"/>
        </w:rPr>
      </w:pPr>
      <w:r>
        <w:rPr>
          <w:rFonts w:cs="宋体"/>
          <w:b/>
          <w:bCs/>
          <w:color w:val="000000"/>
          <w:sz w:val="24"/>
          <w:szCs w:val="24"/>
          <w:highlight w:val="none"/>
        </w:rPr>
        <w:br w:type="page" w:clear="all"/>
      </w:r>
      <w:r>
        <w:rPr>
          <w:rFonts w:hint="eastAsia" w:ascii="宋体" w:hAnsi="宋体" w:eastAsia="宋体" w:cs="宋体"/>
          <w:b/>
          <w:bCs/>
          <w:color w:val="000000"/>
          <w:sz w:val="24"/>
          <w:szCs w:val="24"/>
          <w:highlight w:val="none"/>
          <w:lang w:val="en-US" w:eastAsia="zh-CN"/>
        </w:rPr>
        <w:t xml:space="preserve">8、</w:t>
      </w:r>
      <w:r>
        <w:rPr>
          <w:rFonts w:hint="eastAsia" w:ascii="宋体" w:hAnsi="宋体" w:eastAsia="宋体" w:cs="宋体"/>
          <w:b/>
          <w:color w:val="000000"/>
          <w:sz w:val="24"/>
          <w:szCs w:val="24"/>
          <w:highlight w:val="none"/>
        </w:rPr>
        <w:t xml:space="preserve">商务条款响应及偏离表</w:t>
      </w:r>
      <w:r>
        <w:rPr>
          <w:rFonts w:hint="eastAsia" w:ascii="宋体" w:hAnsi="宋体" w:eastAsia="宋体" w:cs="宋体"/>
          <w:b/>
          <w:bCs/>
          <w:color w:val="000000"/>
          <w:sz w:val="24"/>
          <w:szCs w:val="24"/>
          <w:highlight w:val="none"/>
        </w:rPr>
        <w:t xml:space="preserve">（各标段均适用）</w:t>
      </w:r>
      <w:r>
        <w:rPr>
          <w:rFonts w:hint="eastAsia" w:ascii="宋体" w:hAnsi="宋体" w:eastAsia="宋体" w:cs="宋体"/>
          <w:b/>
          <w:color w:val="000000"/>
          <w:sz w:val="24"/>
          <w:szCs w:val="24"/>
          <w:highlight w:val="none"/>
        </w:rPr>
      </w:r>
      <w:r/>
    </w:p>
    <w:p>
      <w:pPr>
        <w:pStyle w:val="945"/>
        <w:ind w:left="0"/>
        <w:jc w:val="center"/>
        <w:spacing w:before="100" w:beforeAutospacing="1" w:after="100" w:afterAutospacing="1" w:line="48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商务条款响应及偏离表</w:t>
      </w:r>
      <w:r>
        <w:rPr>
          <w:rFonts w:hint="eastAsia" w:ascii="宋体" w:hAnsi="宋体" w:eastAsia="宋体" w:cs="宋体"/>
          <w:b/>
          <w:color w:val="000000"/>
          <w:sz w:val="24"/>
          <w:szCs w:val="24"/>
          <w:highlight w:val="none"/>
        </w:rPr>
      </w:r>
      <w:r/>
    </w:p>
    <w:tbl>
      <w:tblPr>
        <w:tblW w:w="963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
        <w:gridCol w:w="2067"/>
        <w:gridCol w:w="2250"/>
        <w:gridCol w:w="2412"/>
        <w:gridCol w:w="2089"/>
      </w:tblGrid>
      <w:tr>
        <w:trPr>
          <w:trHeight w:val="760"/>
        </w:trPr>
        <w:tc>
          <w:tcPr>
            <w:tcW w:w="724" w:type="dxa"/>
            <w:vAlign w:val="center"/>
            <w:textDirection w:val="lrTb"/>
            <w:noWrap w:val="false"/>
          </w:tcPr>
          <w:p>
            <w:pPr>
              <w:pStyle w:val="945"/>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823" w:type="dxa"/>
            <w:vAlign w:val="center"/>
            <w:textDirection w:val="lrTb"/>
            <w:noWrap w:val="false"/>
          </w:tcPr>
          <w:p>
            <w:pPr>
              <w:pStyle w:val="945"/>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w:t>
            </w:r>
            <w:r>
              <w:rPr>
                <w:rFonts w:hint="eastAsia" w:ascii="宋体" w:hAnsi="宋体" w:eastAsia="宋体" w:cs="宋体"/>
                <w:color w:val="000000"/>
                <w:sz w:val="24"/>
                <w:szCs w:val="24"/>
                <w:highlight w:val="none"/>
              </w:rPr>
            </w:r>
            <w:r/>
          </w:p>
        </w:tc>
        <w:tc>
          <w:tcPr>
            <w:tcW w:w="1984" w:type="dxa"/>
            <w:vAlign w:val="center"/>
            <w:textDirection w:val="lrTb"/>
            <w:noWrap w:val="false"/>
          </w:tcPr>
          <w:p>
            <w:pPr>
              <w:pStyle w:val="945"/>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招标要求</w:t>
            </w:r>
            <w:r>
              <w:rPr>
                <w:rFonts w:hint="eastAsia" w:ascii="宋体" w:hAnsi="宋体" w:eastAsia="宋体" w:cs="宋体"/>
                <w:color w:val="000000"/>
                <w:sz w:val="24"/>
                <w:szCs w:val="24"/>
                <w:highlight w:val="none"/>
              </w:rPr>
            </w:r>
            <w:r/>
          </w:p>
        </w:tc>
        <w:tc>
          <w:tcPr>
            <w:tcW w:w="2127" w:type="dxa"/>
            <w:vAlign w:val="center"/>
            <w:textDirection w:val="lrTb"/>
            <w:noWrap w:val="false"/>
          </w:tcPr>
          <w:p>
            <w:pPr>
              <w:pStyle w:val="945"/>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投标内容</w:t>
            </w:r>
            <w:r>
              <w:rPr>
                <w:rFonts w:hint="eastAsia" w:ascii="宋体" w:hAnsi="宋体" w:eastAsia="宋体" w:cs="宋体"/>
                <w:color w:val="000000"/>
                <w:sz w:val="24"/>
                <w:szCs w:val="24"/>
                <w:highlight w:val="none"/>
              </w:rPr>
            </w:r>
            <w:r/>
          </w:p>
        </w:tc>
        <w:tc>
          <w:tcPr>
            <w:tcW w:w="1842" w:type="dxa"/>
            <w:vAlign w:val="center"/>
            <w:textDirection w:val="lrTb"/>
            <w:noWrap w:val="false"/>
          </w:tcPr>
          <w:p>
            <w:pPr>
              <w:pStyle w:val="945"/>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偏离说明</w:t>
            </w:r>
            <w:r>
              <w:rPr>
                <w:rFonts w:hint="eastAsia" w:ascii="宋体" w:hAnsi="宋体" w:eastAsia="宋体" w:cs="宋体"/>
                <w:color w:val="000000"/>
                <w:sz w:val="24"/>
                <w:szCs w:val="24"/>
                <w:highlight w:val="none"/>
              </w:rPr>
            </w:r>
            <w:r/>
          </w:p>
        </w:tc>
      </w:tr>
      <w:tr>
        <w:trPr>
          <w:cantSplit/>
          <w:trHeight w:val="495"/>
        </w:trPr>
        <w:tc>
          <w:tcPr>
            <w:tcW w:w="724" w:type="dxa"/>
            <w:vAlign w:val="center"/>
            <w:textDirection w:val="lrTb"/>
            <w:noWrap w:val="false"/>
          </w:tcPr>
          <w:p>
            <w:pPr>
              <w:pStyle w:val="945"/>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23" w:type="dxa"/>
            <w:vAlign w:val="center"/>
            <w:textDirection w:val="lrTb"/>
            <w:noWrap w:val="false"/>
          </w:tcPr>
          <w:p>
            <w:pPr>
              <w:pStyle w:val="945"/>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84" w:type="dxa"/>
            <w:vAlign w:val="center"/>
            <w:textDirection w:val="lrTb"/>
            <w:noWrap w:val="false"/>
          </w:tcPr>
          <w:p>
            <w:pPr>
              <w:pStyle w:val="945"/>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7" w:type="dxa"/>
            <w:vAlign w:val="center"/>
            <w:textDirection w:val="lrTb"/>
            <w:noWrap w:val="false"/>
          </w:tcPr>
          <w:p>
            <w:pPr>
              <w:pStyle w:val="945"/>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2" w:type="dxa"/>
            <w:vAlign w:val="center"/>
            <w:textDirection w:val="lrTb"/>
            <w:noWrap w:val="false"/>
          </w:tcPr>
          <w:p>
            <w:pPr>
              <w:pStyle w:val="945"/>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95"/>
        </w:trPr>
        <w:tc>
          <w:tcPr>
            <w:tcW w:w="724" w:type="dxa"/>
            <w:vAlign w:val="center"/>
            <w:textDirection w:val="lrTb"/>
            <w:noWrap w:val="false"/>
          </w:tcPr>
          <w:p>
            <w:pPr>
              <w:pStyle w:val="945"/>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23" w:type="dxa"/>
            <w:vAlign w:val="center"/>
            <w:textDirection w:val="lrTb"/>
            <w:noWrap w:val="false"/>
          </w:tcPr>
          <w:p>
            <w:pPr>
              <w:pStyle w:val="945"/>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84" w:type="dxa"/>
            <w:vAlign w:val="center"/>
            <w:textDirection w:val="lrTb"/>
            <w:noWrap w:val="false"/>
          </w:tcPr>
          <w:p>
            <w:pPr>
              <w:pStyle w:val="945"/>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7" w:type="dxa"/>
            <w:vAlign w:val="center"/>
            <w:textDirection w:val="lrTb"/>
            <w:noWrap w:val="false"/>
          </w:tcPr>
          <w:p>
            <w:pPr>
              <w:pStyle w:val="945"/>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2" w:type="dxa"/>
            <w:vAlign w:val="center"/>
            <w:textDirection w:val="lrTb"/>
            <w:noWrap w:val="false"/>
          </w:tcPr>
          <w:p>
            <w:pPr>
              <w:pStyle w:val="945"/>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95"/>
        </w:trPr>
        <w:tc>
          <w:tcPr>
            <w:tcW w:w="724" w:type="dxa"/>
            <w:vAlign w:val="center"/>
            <w:textDirection w:val="lrTb"/>
            <w:noWrap w:val="false"/>
          </w:tcPr>
          <w:p>
            <w:pPr>
              <w:pStyle w:val="945"/>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23" w:type="dxa"/>
            <w:vAlign w:val="center"/>
            <w:textDirection w:val="lrTb"/>
            <w:noWrap w:val="false"/>
          </w:tcPr>
          <w:p>
            <w:pPr>
              <w:pStyle w:val="945"/>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84" w:type="dxa"/>
            <w:vAlign w:val="center"/>
            <w:textDirection w:val="lrTb"/>
            <w:noWrap w:val="false"/>
          </w:tcPr>
          <w:p>
            <w:pPr>
              <w:pStyle w:val="945"/>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7" w:type="dxa"/>
            <w:vAlign w:val="center"/>
            <w:textDirection w:val="lrTb"/>
            <w:noWrap w:val="false"/>
          </w:tcPr>
          <w:p>
            <w:pPr>
              <w:pStyle w:val="945"/>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2" w:type="dxa"/>
            <w:vAlign w:val="center"/>
            <w:textDirection w:val="lrTb"/>
            <w:noWrap w:val="false"/>
          </w:tcPr>
          <w:p>
            <w:pPr>
              <w:pStyle w:val="945"/>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95"/>
        </w:trPr>
        <w:tc>
          <w:tcPr>
            <w:tcW w:w="724" w:type="dxa"/>
            <w:vAlign w:val="center"/>
            <w:textDirection w:val="lrTb"/>
            <w:noWrap w:val="false"/>
          </w:tcPr>
          <w:p>
            <w:pPr>
              <w:pStyle w:val="945"/>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23" w:type="dxa"/>
            <w:vAlign w:val="center"/>
            <w:textDirection w:val="lrTb"/>
            <w:noWrap w:val="false"/>
          </w:tcPr>
          <w:p>
            <w:pPr>
              <w:pStyle w:val="945"/>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84" w:type="dxa"/>
            <w:vAlign w:val="center"/>
            <w:textDirection w:val="lrTb"/>
            <w:noWrap w:val="false"/>
          </w:tcPr>
          <w:p>
            <w:pPr>
              <w:pStyle w:val="945"/>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7" w:type="dxa"/>
            <w:vAlign w:val="center"/>
            <w:textDirection w:val="lrTb"/>
            <w:noWrap w:val="false"/>
          </w:tcPr>
          <w:p>
            <w:pPr>
              <w:pStyle w:val="945"/>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2" w:type="dxa"/>
            <w:vAlign w:val="center"/>
            <w:textDirection w:val="lrTb"/>
            <w:noWrap w:val="false"/>
          </w:tcPr>
          <w:p>
            <w:pPr>
              <w:pStyle w:val="945"/>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95"/>
        </w:trPr>
        <w:tc>
          <w:tcPr>
            <w:tcW w:w="724" w:type="dxa"/>
            <w:vAlign w:val="top"/>
            <w:textDirection w:val="lrTb"/>
            <w:noWrap w:val="false"/>
          </w:tcPr>
          <w:p>
            <w:pPr>
              <w:pStyle w:val="945"/>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23" w:type="dxa"/>
            <w:vAlign w:val="center"/>
            <w:textDirection w:val="lrTb"/>
            <w:noWrap w:val="false"/>
          </w:tcPr>
          <w:p>
            <w:pPr>
              <w:pStyle w:val="945"/>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84" w:type="dxa"/>
            <w:vAlign w:val="center"/>
            <w:textDirection w:val="lrTb"/>
            <w:noWrap w:val="false"/>
          </w:tcPr>
          <w:p>
            <w:pPr>
              <w:pStyle w:val="945"/>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7" w:type="dxa"/>
            <w:vAlign w:val="center"/>
            <w:textDirection w:val="lrTb"/>
            <w:noWrap w:val="false"/>
          </w:tcPr>
          <w:p>
            <w:pPr>
              <w:pStyle w:val="945"/>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2" w:type="dxa"/>
            <w:vAlign w:val="center"/>
            <w:textDirection w:val="lrTb"/>
            <w:noWrap w:val="false"/>
          </w:tcPr>
          <w:p>
            <w:pPr>
              <w:pStyle w:val="945"/>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95"/>
        </w:trPr>
        <w:tc>
          <w:tcPr>
            <w:tcW w:w="724" w:type="dxa"/>
            <w:vAlign w:val="top"/>
            <w:textDirection w:val="lrTb"/>
            <w:noWrap w:val="false"/>
          </w:tcPr>
          <w:p>
            <w:pPr>
              <w:pStyle w:val="945"/>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23" w:type="dxa"/>
            <w:vAlign w:val="center"/>
            <w:textDirection w:val="lrTb"/>
            <w:noWrap w:val="false"/>
          </w:tcPr>
          <w:p>
            <w:pPr>
              <w:pStyle w:val="945"/>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84" w:type="dxa"/>
            <w:vAlign w:val="center"/>
            <w:textDirection w:val="lrTb"/>
            <w:noWrap w:val="false"/>
          </w:tcPr>
          <w:p>
            <w:pPr>
              <w:pStyle w:val="945"/>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7" w:type="dxa"/>
            <w:vAlign w:val="center"/>
            <w:textDirection w:val="lrTb"/>
            <w:noWrap w:val="false"/>
          </w:tcPr>
          <w:p>
            <w:pPr>
              <w:pStyle w:val="945"/>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2" w:type="dxa"/>
            <w:vAlign w:val="center"/>
            <w:textDirection w:val="lrTb"/>
            <w:noWrap w:val="false"/>
          </w:tcPr>
          <w:p>
            <w:pPr>
              <w:pStyle w:val="945"/>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95"/>
        </w:trPr>
        <w:tc>
          <w:tcPr>
            <w:tcW w:w="724" w:type="dxa"/>
            <w:vAlign w:val="top"/>
            <w:textDirection w:val="lrTb"/>
            <w:noWrap w:val="false"/>
          </w:tcPr>
          <w:p>
            <w:pPr>
              <w:pStyle w:val="945"/>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23" w:type="dxa"/>
            <w:vAlign w:val="center"/>
            <w:textDirection w:val="lrTb"/>
            <w:noWrap w:val="false"/>
          </w:tcPr>
          <w:p>
            <w:pPr>
              <w:pStyle w:val="945"/>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84" w:type="dxa"/>
            <w:vAlign w:val="center"/>
            <w:textDirection w:val="lrTb"/>
            <w:noWrap w:val="false"/>
          </w:tcPr>
          <w:p>
            <w:pPr>
              <w:pStyle w:val="945"/>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7" w:type="dxa"/>
            <w:vAlign w:val="center"/>
            <w:textDirection w:val="lrTb"/>
            <w:noWrap w:val="false"/>
          </w:tcPr>
          <w:p>
            <w:pPr>
              <w:pStyle w:val="945"/>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2" w:type="dxa"/>
            <w:vAlign w:val="center"/>
            <w:textDirection w:val="lrTb"/>
            <w:noWrap w:val="false"/>
          </w:tcPr>
          <w:p>
            <w:pPr>
              <w:pStyle w:val="945"/>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95"/>
        </w:trPr>
        <w:tc>
          <w:tcPr>
            <w:tcW w:w="724" w:type="dxa"/>
            <w:vAlign w:val="top"/>
            <w:textDirection w:val="lrTb"/>
            <w:noWrap w:val="false"/>
          </w:tcPr>
          <w:p>
            <w:pPr>
              <w:pStyle w:val="945"/>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23" w:type="dxa"/>
            <w:vAlign w:val="center"/>
            <w:textDirection w:val="lrTb"/>
            <w:noWrap w:val="false"/>
          </w:tcPr>
          <w:p>
            <w:pPr>
              <w:pStyle w:val="945"/>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84" w:type="dxa"/>
            <w:vAlign w:val="center"/>
            <w:textDirection w:val="lrTb"/>
            <w:noWrap w:val="false"/>
          </w:tcPr>
          <w:p>
            <w:pPr>
              <w:pStyle w:val="945"/>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7" w:type="dxa"/>
            <w:vAlign w:val="center"/>
            <w:textDirection w:val="lrTb"/>
            <w:noWrap w:val="false"/>
          </w:tcPr>
          <w:p>
            <w:pPr>
              <w:pStyle w:val="945"/>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2" w:type="dxa"/>
            <w:vAlign w:val="center"/>
            <w:textDirection w:val="lrTb"/>
            <w:noWrap w:val="false"/>
          </w:tcPr>
          <w:p>
            <w:pPr>
              <w:pStyle w:val="945"/>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95"/>
        </w:trPr>
        <w:tc>
          <w:tcPr>
            <w:tcW w:w="724" w:type="dxa"/>
            <w:vAlign w:val="top"/>
            <w:textDirection w:val="lrTb"/>
            <w:noWrap w:val="false"/>
          </w:tcPr>
          <w:p>
            <w:pPr>
              <w:pStyle w:val="945"/>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23" w:type="dxa"/>
            <w:vAlign w:val="center"/>
            <w:textDirection w:val="lrTb"/>
            <w:noWrap w:val="false"/>
          </w:tcPr>
          <w:p>
            <w:pPr>
              <w:pStyle w:val="945"/>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84" w:type="dxa"/>
            <w:vAlign w:val="center"/>
            <w:textDirection w:val="lrTb"/>
            <w:noWrap w:val="false"/>
          </w:tcPr>
          <w:p>
            <w:pPr>
              <w:pStyle w:val="945"/>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7" w:type="dxa"/>
            <w:vAlign w:val="center"/>
            <w:textDirection w:val="lrTb"/>
            <w:noWrap w:val="false"/>
          </w:tcPr>
          <w:p>
            <w:pPr>
              <w:pStyle w:val="945"/>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2" w:type="dxa"/>
            <w:vAlign w:val="center"/>
            <w:textDirection w:val="lrTb"/>
            <w:noWrap w:val="false"/>
          </w:tcPr>
          <w:p>
            <w:pPr>
              <w:pStyle w:val="945"/>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945"/>
        <w:ind w:lef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w:t>
      </w:r>
      <w:r>
        <w:rPr>
          <w:rFonts w:hint="eastAsia" w:ascii="宋体" w:hAnsi="宋体" w:eastAsia="宋体" w:cs="宋体"/>
          <w:color w:val="000000"/>
          <w:sz w:val="24"/>
          <w:szCs w:val="24"/>
          <w:highlight w:val="none"/>
        </w:rPr>
        <w:t xml:space="preserve">投标人应在本表中对照</w:t>
      </w:r>
      <w:r>
        <w:rPr>
          <w:rFonts w:hint="eastAsia" w:ascii="宋体" w:hAnsi="宋体" w:eastAsia="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商务条款要求逐项对应列出响应内容，并在“偏离说明”项下填写以下内容：优于的，填写“正偏离”；符合的，填写“无偏离”；低于的，填写“负偏离”。</w:t>
      </w:r>
      <w:r>
        <w:rPr>
          <w:rFonts w:hint="eastAsia" w:ascii="宋体" w:hAnsi="宋体" w:eastAsia="宋体" w:cs="宋体"/>
          <w:color w:val="000000"/>
          <w:sz w:val="24"/>
          <w:szCs w:val="24"/>
          <w:highlight w:val="none"/>
        </w:rPr>
      </w:r>
      <w:r/>
    </w:p>
    <w:p>
      <w:pPr>
        <w:pStyle w:val="945"/>
        <w:ind w:lef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以上表格内容不够的请自行添加。</w:t>
      </w:r>
      <w:r>
        <w:rPr>
          <w:rFonts w:hint="eastAsia" w:ascii="宋体" w:hAnsi="宋体" w:eastAsia="宋体" w:cs="宋体"/>
          <w:color w:val="000000"/>
          <w:sz w:val="24"/>
          <w:szCs w:val="24"/>
          <w:highlight w:val="none"/>
        </w:rPr>
      </w:r>
      <w:r/>
    </w:p>
    <w:p>
      <w:pPr>
        <w:pStyle w:val="945"/>
        <w:spacing w:line="360" w:lineRule="auto"/>
        <w:rPr>
          <w:rFonts w:hint="eastAsia" w:ascii="宋体" w:hAnsi="宋体" w:eastAsia="宋体" w:cs="宋体"/>
          <w:b/>
          <w:bCs/>
          <w:color w:val="000000"/>
          <w:sz w:val="24"/>
          <w:szCs w:val="24"/>
          <w:highlight w:val="none"/>
          <w:lang w:val="zh-CN"/>
        </w:rPr>
      </w:pPr>
      <w:r>
        <w:rPr>
          <w:rFonts w:cs="宋体"/>
          <w:b/>
          <w:bCs/>
          <w:color w:val="000000"/>
          <w:sz w:val="24"/>
          <w:szCs w:val="24"/>
          <w:highlight w:val="none"/>
        </w:rPr>
        <w:br w:type="page" w:clear="all"/>
      </w:r>
      <w:r>
        <w:rPr>
          <w:rFonts w:hint="eastAsia" w:ascii="宋体" w:hAnsi="宋体" w:eastAsia="宋体" w:cs="宋体"/>
          <w:b/>
          <w:bCs/>
          <w:color w:val="000000"/>
          <w:sz w:val="24"/>
          <w:szCs w:val="24"/>
          <w:highlight w:val="none"/>
          <w:lang w:val="en-US" w:eastAsia="zh-CN"/>
        </w:rPr>
        <w:t xml:space="preserve">9、</w:t>
      </w:r>
      <w:r>
        <w:rPr>
          <w:rFonts w:hint="eastAsia" w:ascii="宋体" w:hAnsi="宋体" w:eastAsia="宋体" w:cs="宋体"/>
          <w:b/>
          <w:bCs/>
          <w:color w:val="000000"/>
          <w:sz w:val="24"/>
          <w:szCs w:val="24"/>
          <w:highlight w:val="none"/>
          <w:lang w:val="zh-CN"/>
        </w:rPr>
        <w:t xml:space="preserve">投标货物和服务数量、品牌、规格、制造商明细表</w:t>
      </w:r>
      <w:r>
        <w:rPr>
          <w:rFonts w:hint="eastAsia" w:ascii="宋体" w:hAnsi="宋体" w:eastAsia="宋体" w:cs="宋体"/>
          <w:b/>
          <w:bCs/>
          <w:color w:val="000000"/>
          <w:sz w:val="24"/>
          <w:szCs w:val="24"/>
          <w:highlight w:val="none"/>
        </w:rPr>
        <w:t xml:space="preserve">（各标段均适用）</w:t>
      </w:r>
      <w:r>
        <w:rPr>
          <w:rFonts w:hint="eastAsia" w:ascii="宋体" w:hAnsi="宋体" w:eastAsia="宋体" w:cs="宋体"/>
          <w:b/>
          <w:bCs/>
          <w:color w:val="000000"/>
          <w:sz w:val="24"/>
          <w:szCs w:val="24"/>
          <w:highlight w:val="none"/>
          <w:lang w:val="zh-CN"/>
        </w:rPr>
      </w:r>
      <w:r/>
    </w:p>
    <w:tbl>
      <w:tblPr>
        <w:tblW w:w="9638"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78"/>
        <w:gridCol w:w="1155"/>
        <w:gridCol w:w="1963"/>
        <w:gridCol w:w="1477"/>
        <w:gridCol w:w="2296"/>
        <w:gridCol w:w="985"/>
        <w:gridCol w:w="984"/>
      </w:tblGrid>
      <w:tr>
        <w:trPr>
          <w:trHeight w:val="423"/>
        </w:trPr>
        <w:tc>
          <w:tcPr>
            <w:tcW w:w="672" w:type="dxa"/>
            <w:vAlign w:val="center"/>
            <w:textDirection w:val="lrTb"/>
            <w:noWrap w:val="false"/>
          </w:tcPr>
          <w:p>
            <w:pPr>
              <w:pStyle w:val="945"/>
              <w:jc w:val="center"/>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t xml:space="preserve">序号</w:t>
            </w:r>
            <w:r>
              <w:rPr>
                <w:rFonts w:hint="eastAsia" w:ascii="宋体" w:hAnsi="宋体" w:eastAsia="宋体" w:cs="宋体"/>
                <w:color w:val="000000"/>
                <w:spacing w:val="20"/>
                <w:sz w:val="24"/>
                <w:szCs w:val="24"/>
                <w:highlight w:val="none"/>
              </w:rPr>
            </w:r>
            <w:r/>
          </w:p>
        </w:tc>
        <w:tc>
          <w:tcPr>
            <w:tcW w:w="998" w:type="dxa"/>
            <w:vAlign w:val="center"/>
            <w:textDirection w:val="lrTb"/>
            <w:noWrap w:val="false"/>
          </w:tcPr>
          <w:p>
            <w:pPr>
              <w:pStyle w:val="945"/>
              <w:jc w:val="center"/>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t xml:space="preserve">标的物名称</w:t>
            </w:r>
            <w:r>
              <w:rPr>
                <w:rFonts w:hint="eastAsia" w:ascii="宋体" w:hAnsi="宋体" w:eastAsia="宋体" w:cs="宋体"/>
                <w:color w:val="000000"/>
                <w:spacing w:val="20"/>
                <w:sz w:val="24"/>
                <w:szCs w:val="24"/>
                <w:highlight w:val="none"/>
              </w:rPr>
            </w:r>
            <w:r/>
          </w:p>
        </w:tc>
        <w:tc>
          <w:tcPr>
            <w:tcW w:w="1696" w:type="dxa"/>
            <w:vAlign w:val="center"/>
            <w:textDirection w:val="lrTb"/>
            <w:noWrap w:val="false"/>
          </w:tcPr>
          <w:p>
            <w:pPr>
              <w:pStyle w:val="945"/>
              <w:jc w:val="center"/>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t xml:space="preserve">规格/型号</w:t>
            </w:r>
            <w:r>
              <w:rPr>
                <w:rFonts w:hint="eastAsia" w:ascii="宋体" w:hAnsi="宋体" w:eastAsia="宋体" w:cs="宋体"/>
                <w:color w:val="000000"/>
                <w:spacing w:val="20"/>
                <w:sz w:val="24"/>
                <w:szCs w:val="24"/>
                <w:highlight w:val="none"/>
              </w:rPr>
            </w:r>
            <w:r/>
          </w:p>
        </w:tc>
        <w:tc>
          <w:tcPr>
            <w:tcW w:w="1276" w:type="dxa"/>
            <w:vAlign w:val="center"/>
            <w:textDirection w:val="lrTb"/>
            <w:noWrap w:val="false"/>
          </w:tcPr>
          <w:p>
            <w:pPr>
              <w:pStyle w:val="945"/>
              <w:jc w:val="center"/>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t xml:space="preserve">品牌</w:t>
            </w:r>
            <w:r>
              <w:rPr>
                <w:rFonts w:hint="eastAsia" w:ascii="宋体" w:hAnsi="宋体" w:eastAsia="宋体" w:cs="宋体"/>
                <w:color w:val="000000"/>
                <w:spacing w:val="20"/>
                <w:sz w:val="24"/>
                <w:szCs w:val="24"/>
                <w:highlight w:val="none"/>
              </w:rPr>
            </w:r>
            <w:r/>
          </w:p>
        </w:tc>
        <w:tc>
          <w:tcPr>
            <w:tcW w:w="1984" w:type="dxa"/>
            <w:vAlign w:val="center"/>
            <w:textDirection w:val="lrTb"/>
            <w:noWrap w:val="false"/>
          </w:tcPr>
          <w:p>
            <w:pPr>
              <w:pStyle w:val="945"/>
              <w:jc w:val="center"/>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t xml:space="preserve">制造商</w:t>
            </w:r>
            <w:r>
              <w:rPr>
                <w:rFonts w:hint="eastAsia" w:ascii="宋体" w:hAnsi="宋体" w:eastAsia="宋体" w:cs="宋体"/>
                <w:color w:val="000000"/>
                <w:spacing w:val="20"/>
                <w:sz w:val="24"/>
                <w:szCs w:val="24"/>
                <w:highlight w:val="none"/>
              </w:rPr>
            </w:r>
            <w:r/>
          </w:p>
        </w:tc>
        <w:tc>
          <w:tcPr>
            <w:tcW w:w="851" w:type="dxa"/>
            <w:vAlign w:val="center"/>
            <w:textDirection w:val="lrTb"/>
            <w:noWrap w:val="false"/>
          </w:tcPr>
          <w:p>
            <w:pPr>
              <w:pStyle w:val="945"/>
              <w:jc w:val="center"/>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t xml:space="preserve">单位</w:t>
            </w:r>
            <w:r>
              <w:rPr>
                <w:rFonts w:hint="eastAsia" w:ascii="宋体" w:hAnsi="宋体" w:eastAsia="宋体" w:cs="宋体"/>
                <w:color w:val="000000"/>
                <w:spacing w:val="20"/>
                <w:sz w:val="24"/>
                <w:szCs w:val="24"/>
                <w:highlight w:val="none"/>
              </w:rPr>
            </w:r>
            <w:r/>
          </w:p>
        </w:tc>
        <w:tc>
          <w:tcPr>
            <w:tcW w:w="850" w:type="dxa"/>
            <w:vAlign w:val="center"/>
            <w:textDirection w:val="lrTb"/>
            <w:noWrap w:val="false"/>
          </w:tcPr>
          <w:p>
            <w:pPr>
              <w:pStyle w:val="945"/>
              <w:jc w:val="center"/>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t xml:space="preserve">数量</w:t>
            </w:r>
            <w:r>
              <w:rPr>
                <w:rFonts w:hint="eastAsia" w:ascii="宋体" w:hAnsi="宋体" w:eastAsia="宋体" w:cs="宋体"/>
                <w:color w:val="000000"/>
                <w:spacing w:val="20"/>
                <w:sz w:val="24"/>
                <w:szCs w:val="24"/>
                <w:highlight w:val="none"/>
              </w:rPr>
            </w:r>
            <w:r/>
          </w:p>
        </w:tc>
      </w:tr>
      <w:tr>
        <w:trPr>
          <w:trHeight w:val="361"/>
        </w:trPr>
        <w:tc>
          <w:tcPr>
            <w:tcW w:w="672" w:type="dxa"/>
            <w:vAlign w:val="center"/>
            <w:textDirection w:val="lrTb"/>
            <w:noWrap w:val="false"/>
          </w:tcPr>
          <w:p>
            <w:pPr>
              <w:pStyle w:val="945"/>
              <w:jc w:val="center"/>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r>
            <w:r/>
          </w:p>
        </w:tc>
        <w:tc>
          <w:tcPr>
            <w:tcW w:w="998" w:type="dxa"/>
            <w:vAlign w:val="center"/>
            <w:textDirection w:val="lrTb"/>
            <w:noWrap w:val="false"/>
          </w:tcPr>
          <w:p>
            <w:pPr>
              <w:pStyle w:val="945"/>
              <w:jc w:val="center"/>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r>
            <w:r/>
          </w:p>
        </w:tc>
        <w:tc>
          <w:tcPr>
            <w:tcW w:w="1696" w:type="dxa"/>
            <w:vAlign w:val="top"/>
            <w:textDirection w:val="lrTb"/>
            <w:noWrap w:val="false"/>
          </w:tcPr>
          <w:p>
            <w:pPr>
              <w:pStyle w:val="945"/>
              <w:jc w:val="center"/>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r>
            <w:r/>
          </w:p>
        </w:tc>
        <w:tc>
          <w:tcPr>
            <w:tcW w:w="1276" w:type="dxa"/>
            <w:vAlign w:val="center"/>
            <w:textDirection w:val="lrTb"/>
            <w:noWrap w:val="false"/>
          </w:tcPr>
          <w:p>
            <w:pPr>
              <w:pStyle w:val="945"/>
              <w:jc w:val="center"/>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r>
            <w:r/>
          </w:p>
        </w:tc>
        <w:tc>
          <w:tcPr>
            <w:tcW w:w="1984" w:type="dxa"/>
            <w:vAlign w:val="center"/>
            <w:textDirection w:val="lrTb"/>
            <w:noWrap w:val="false"/>
          </w:tcPr>
          <w:p>
            <w:pPr>
              <w:pStyle w:val="945"/>
              <w:jc w:val="center"/>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r>
            <w:r/>
          </w:p>
        </w:tc>
        <w:tc>
          <w:tcPr>
            <w:tcW w:w="851" w:type="dxa"/>
            <w:vAlign w:val="center"/>
            <w:textDirection w:val="lrTb"/>
            <w:noWrap w:val="false"/>
          </w:tcPr>
          <w:p>
            <w:pPr>
              <w:pStyle w:val="945"/>
              <w:jc w:val="center"/>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r>
            <w:r/>
          </w:p>
        </w:tc>
        <w:tc>
          <w:tcPr>
            <w:tcW w:w="850" w:type="dxa"/>
            <w:vAlign w:val="center"/>
            <w:textDirection w:val="lrTb"/>
            <w:noWrap w:val="false"/>
          </w:tcPr>
          <w:p>
            <w:pPr>
              <w:pStyle w:val="945"/>
              <w:jc w:val="center"/>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r>
            <w:r/>
          </w:p>
        </w:tc>
      </w:tr>
      <w:tr>
        <w:trPr>
          <w:trHeight w:val="316"/>
        </w:trPr>
        <w:tc>
          <w:tcPr>
            <w:tcW w:w="672" w:type="dxa"/>
            <w:vAlign w:val="center"/>
            <w:textDirection w:val="lrTb"/>
            <w:noWrap w:val="false"/>
          </w:tcPr>
          <w:p>
            <w:pPr>
              <w:pStyle w:val="945"/>
              <w:jc w:val="center"/>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r>
            <w:r/>
          </w:p>
        </w:tc>
        <w:tc>
          <w:tcPr>
            <w:tcW w:w="998" w:type="dxa"/>
            <w:vAlign w:val="center"/>
            <w:textDirection w:val="lrTb"/>
            <w:noWrap w:val="false"/>
          </w:tcPr>
          <w:p>
            <w:pPr>
              <w:pStyle w:val="945"/>
              <w:jc w:val="center"/>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r>
            <w:r/>
          </w:p>
        </w:tc>
        <w:tc>
          <w:tcPr>
            <w:tcW w:w="1696" w:type="dxa"/>
            <w:vAlign w:val="top"/>
            <w:textDirection w:val="lrTb"/>
            <w:noWrap w:val="false"/>
          </w:tcPr>
          <w:p>
            <w:pPr>
              <w:pStyle w:val="945"/>
              <w:jc w:val="center"/>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r>
            <w:r/>
          </w:p>
        </w:tc>
        <w:tc>
          <w:tcPr>
            <w:tcW w:w="1276" w:type="dxa"/>
            <w:vAlign w:val="center"/>
            <w:textDirection w:val="lrTb"/>
            <w:noWrap w:val="false"/>
          </w:tcPr>
          <w:p>
            <w:pPr>
              <w:pStyle w:val="945"/>
              <w:jc w:val="center"/>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r>
            <w:r/>
          </w:p>
        </w:tc>
        <w:tc>
          <w:tcPr>
            <w:tcW w:w="1984" w:type="dxa"/>
            <w:vAlign w:val="center"/>
            <w:textDirection w:val="lrTb"/>
            <w:noWrap w:val="false"/>
          </w:tcPr>
          <w:p>
            <w:pPr>
              <w:pStyle w:val="945"/>
              <w:jc w:val="center"/>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r>
            <w:r/>
          </w:p>
        </w:tc>
        <w:tc>
          <w:tcPr>
            <w:tcW w:w="851" w:type="dxa"/>
            <w:vAlign w:val="center"/>
            <w:textDirection w:val="lrTb"/>
            <w:noWrap w:val="false"/>
          </w:tcPr>
          <w:p>
            <w:pPr>
              <w:pStyle w:val="945"/>
              <w:jc w:val="center"/>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r>
            <w:r/>
          </w:p>
        </w:tc>
        <w:tc>
          <w:tcPr>
            <w:tcW w:w="850" w:type="dxa"/>
            <w:vAlign w:val="center"/>
            <w:textDirection w:val="lrTb"/>
            <w:noWrap w:val="false"/>
          </w:tcPr>
          <w:p>
            <w:pPr>
              <w:pStyle w:val="945"/>
              <w:jc w:val="center"/>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r>
            <w:r/>
          </w:p>
        </w:tc>
      </w:tr>
      <w:tr>
        <w:trPr>
          <w:trHeight w:val="316"/>
        </w:trPr>
        <w:tc>
          <w:tcPr>
            <w:tcW w:w="672" w:type="dxa"/>
            <w:vAlign w:val="center"/>
            <w:textDirection w:val="lrTb"/>
            <w:noWrap w:val="false"/>
          </w:tcPr>
          <w:p>
            <w:pPr>
              <w:pStyle w:val="945"/>
              <w:jc w:val="center"/>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r>
            <w:r/>
          </w:p>
        </w:tc>
        <w:tc>
          <w:tcPr>
            <w:tcW w:w="998" w:type="dxa"/>
            <w:vAlign w:val="center"/>
            <w:textDirection w:val="lrTb"/>
            <w:noWrap w:val="false"/>
          </w:tcPr>
          <w:p>
            <w:pPr>
              <w:pStyle w:val="945"/>
              <w:jc w:val="center"/>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r>
            <w:r/>
          </w:p>
        </w:tc>
        <w:tc>
          <w:tcPr>
            <w:tcW w:w="1696" w:type="dxa"/>
            <w:vAlign w:val="top"/>
            <w:textDirection w:val="lrTb"/>
            <w:noWrap w:val="false"/>
          </w:tcPr>
          <w:p>
            <w:pPr>
              <w:pStyle w:val="945"/>
              <w:jc w:val="center"/>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r>
            <w:r/>
          </w:p>
        </w:tc>
        <w:tc>
          <w:tcPr>
            <w:tcW w:w="1276" w:type="dxa"/>
            <w:vAlign w:val="center"/>
            <w:textDirection w:val="lrTb"/>
            <w:noWrap w:val="false"/>
          </w:tcPr>
          <w:p>
            <w:pPr>
              <w:pStyle w:val="945"/>
              <w:jc w:val="center"/>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r>
            <w:r/>
          </w:p>
        </w:tc>
        <w:tc>
          <w:tcPr>
            <w:tcW w:w="1984" w:type="dxa"/>
            <w:vAlign w:val="center"/>
            <w:textDirection w:val="lrTb"/>
            <w:noWrap w:val="false"/>
          </w:tcPr>
          <w:p>
            <w:pPr>
              <w:pStyle w:val="945"/>
              <w:jc w:val="center"/>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r>
            <w:r/>
          </w:p>
        </w:tc>
        <w:tc>
          <w:tcPr>
            <w:tcW w:w="851" w:type="dxa"/>
            <w:vAlign w:val="center"/>
            <w:textDirection w:val="lrTb"/>
            <w:noWrap w:val="false"/>
          </w:tcPr>
          <w:p>
            <w:pPr>
              <w:pStyle w:val="945"/>
              <w:jc w:val="center"/>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r>
            <w:r/>
          </w:p>
        </w:tc>
        <w:tc>
          <w:tcPr>
            <w:tcW w:w="850" w:type="dxa"/>
            <w:vAlign w:val="center"/>
            <w:textDirection w:val="lrTb"/>
            <w:noWrap w:val="false"/>
          </w:tcPr>
          <w:p>
            <w:pPr>
              <w:pStyle w:val="945"/>
              <w:jc w:val="center"/>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r>
            <w:r/>
          </w:p>
        </w:tc>
      </w:tr>
      <w:tr>
        <w:trPr>
          <w:trHeight w:val="222"/>
        </w:trPr>
        <w:tc>
          <w:tcPr>
            <w:tcW w:w="672" w:type="dxa"/>
            <w:vAlign w:val="center"/>
            <w:textDirection w:val="lrTb"/>
            <w:noWrap w:val="false"/>
          </w:tcPr>
          <w:p>
            <w:pPr>
              <w:pStyle w:val="945"/>
              <w:jc w:val="center"/>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r>
            <w:r/>
          </w:p>
        </w:tc>
        <w:tc>
          <w:tcPr>
            <w:tcW w:w="998" w:type="dxa"/>
            <w:vAlign w:val="center"/>
            <w:textDirection w:val="lrTb"/>
            <w:noWrap w:val="false"/>
          </w:tcPr>
          <w:p>
            <w:pPr>
              <w:pStyle w:val="945"/>
              <w:jc w:val="center"/>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r>
            <w:r/>
          </w:p>
        </w:tc>
        <w:tc>
          <w:tcPr>
            <w:tcW w:w="1696" w:type="dxa"/>
            <w:vAlign w:val="top"/>
            <w:textDirection w:val="lrTb"/>
            <w:noWrap w:val="false"/>
          </w:tcPr>
          <w:p>
            <w:pPr>
              <w:pStyle w:val="945"/>
              <w:jc w:val="center"/>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r>
            <w:r/>
          </w:p>
        </w:tc>
        <w:tc>
          <w:tcPr>
            <w:tcW w:w="1276" w:type="dxa"/>
            <w:vAlign w:val="center"/>
            <w:textDirection w:val="lrTb"/>
            <w:noWrap w:val="false"/>
          </w:tcPr>
          <w:p>
            <w:pPr>
              <w:pStyle w:val="945"/>
              <w:jc w:val="center"/>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r>
            <w:r/>
          </w:p>
        </w:tc>
        <w:tc>
          <w:tcPr>
            <w:tcW w:w="1984" w:type="dxa"/>
            <w:vAlign w:val="center"/>
            <w:textDirection w:val="lrTb"/>
            <w:noWrap w:val="false"/>
          </w:tcPr>
          <w:p>
            <w:pPr>
              <w:pStyle w:val="945"/>
              <w:jc w:val="center"/>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r>
            <w:r/>
          </w:p>
        </w:tc>
        <w:tc>
          <w:tcPr>
            <w:tcW w:w="851" w:type="dxa"/>
            <w:vAlign w:val="center"/>
            <w:textDirection w:val="lrTb"/>
            <w:noWrap w:val="false"/>
          </w:tcPr>
          <w:p>
            <w:pPr>
              <w:pStyle w:val="945"/>
              <w:jc w:val="center"/>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r>
            <w:r/>
          </w:p>
        </w:tc>
        <w:tc>
          <w:tcPr>
            <w:tcW w:w="850" w:type="dxa"/>
            <w:vAlign w:val="center"/>
            <w:textDirection w:val="lrTb"/>
            <w:noWrap w:val="false"/>
          </w:tcPr>
          <w:p>
            <w:pPr>
              <w:pStyle w:val="945"/>
              <w:jc w:val="center"/>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r>
            <w:r/>
          </w:p>
        </w:tc>
      </w:tr>
      <w:tr>
        <w:trPr>
          <w:trHeight w:val="222"/>
        </w:trPr>
        <w:tc>
          <w:tcPr>
            <w:tcW w:w="672" w:type="dxa"/>
            <w:vAlign w:val="center"/>
            <w:textDirection w:val="lrTb"/>
            <w:noWrap w:val="false"/>
          </w:tcPr>
          <w:p>
            <w:pPr>
              <w:pStyle w:val="945"/>
              <w:jc w:val="center"/>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r>
            <w:r/>
          </w:p>
        </w:tc>
        <w:tc>
          <w:tcPr>
            <w:tcW w:w="998" w:type="dxa"/>
            <w:vAlign w:val="center"/>
            <w:textDirection w:val="lrTb"/>
            <w:noWrap w:val="false"/>
          </w:tcPr>
          <w:p>
            <w:pPr>
              <w:pStyle w:val="945"/>
              <w:jc w:val="center"/>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r>
            <w:r/>
          </w:p>
        </w:tc>
        <w:tc>
          <w:tcPr>
            <w:tcW w:w="1696" w:type="dxa"/>
            <w:vAlign w:val="top"/>
            <w:textDirection w:val="lrTb"/>
            <w:noWrap w:val="false"/>
          </w:tcPr>
          <w:p>
            <w:pPr>
              <w:pStyle w:val="945"/>
              <w:jc w:val="center"/>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r>
            <w:r/>
          </w:p>
        </w:tc>
        <w:tc>
          <w:tcPr>
            <w:tcW w:w="1276" w:type="dxa"/>
            <w:vAlign w:val="center"/>
            <w:textDirection w:val="lrTb"/>
            <w:noWrap w:val="false"/>
          </w:tcPr>
          <w:p>
            <w:pPr>
              <w:pStyle w:val="945"/>
              <w:jc w:val="center"/>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r>
            <w:r/>
          </w:p>
        </w:tc>
        <w:tc>
          <w:tcPr>
            <w:tcW w:w="1984" w:type="dxa"/>
            <w:vAlign w:val="center"/>
            <w:textDirection w:val="lrTb"/>
            <w:noWrap w:val="false"/>
          </w:tcPr>
          <w:p>
            <w:pPr>
              <w:pStyle w:val="945"/>
              <w:jc w:val="center"/>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r>
            <w:r/>
          </w:p>
        </w:tc>
        <w:tc>
          <w:tcPr>
            <w:tcW w:w="851" w:type="dxa"/>
            <w:vAlign w:val="center"/>
            <w:textDirection w:val="lrTb"/>
            <w:noWrap w:val="false"/>
          </w:tcPr>
          <w:p>
            <w:pPr>
              <w:pStyle w:val="945"/>
              <w:jc w:val="center"/>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r>
            <w:r/>
          </w:p>
        </w:tc>
        <w:tc>
          <w:tcPr>
            <w:tcW w:w="850" w:type="dxa"/>
            <w:vAlign w:val="center"/>
            <w:textDirection w:val="lrTb"/>
            <w:noWrap w:val="false"/>
          </w:tcPr>
          <w:p>
            <w:pPr>
              <w:pStyle w:val="945"/>
              <w:jc w:val="center"/>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r>
            <w:r/>
          </w:p>
        </w:tc>
      </w:tr>
      <w:tr>
        <w:trPr>
          <w:trHeight w:val="222"/>
        </w:trPr>
        <w:tc>
          <w:tcPr>
            <w:tcW w:w="672" w:type="dxa"/>
            <w:vAlign w:val="center"/>
            <w:textDirection w:val="lrTb"/>
            <w:noWrap w:val="false"/>
          </w:tcPr>
          <w:p>
            <w:pPr>
              <w:pStyle w:val="945"/>
              <w:jc w:val="center"/>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r>
            <w:r/>
          </w:p>
        </w:tc>
        <w:tc>
          <w:tcPr>
            <w:tcW w:w="998" w:type="dxa"/>
            <w:vAlign w:val="center"/>
            <w:textDirection w:val="lrTb"/>
            <w:noWrap w:val="false"/>
          </w:tcPr>
          <w:p>
            <w:pPr>
              <w:pStyle w:val="945"/>
              <w:jc w:val="center"/>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r>
            <w:r/>
          </w:p>
        </w:tc>
        <w:tc>
          <w:tcPr>
            <w:tcW w:w="1696" w:type="dxa"/>
            <w:vAlign w:val="top"/>
            <w:textDirection w:val="lrTb"/>
            <w:noWrap w:val="false"/>
          </w:tcPr>
          <w:p>
            <w:pPr>
              <w:pStyle w:val="945"/>
              <w:jc w:val="center"/>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r>
            <w:r/>
          </w:p>
        </w:tc>
        <w:tc>
          <w:tcPr>
            <w:tcW w:w="1276" w:type="dxa"/>
            <w:vAlign w:val="center"/>
            <w:textDirection w:val="lrTb"/>
            <w:noWrap w:val="false"/>
          </w:tcPr>
          <w:p>
            <w:pPr>
              <w:pStyle w:val="945"/>
              <w:jc w:val="center"/>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r>
            <w:r/>
          </w:p>
        </w:tc>
        <w:tc>
          <w:tcPr>
            <w:tcW w:w="1984" w:type="dxa"/>
            <w:vAlign w:val="center"/>
            <w:textDirection w:val="lrTb"/>
            <w:noWrap w:val="false"/>
          </w:tcPr>
          <w:p>
            <w:pPr>
              <w:pStyle w:val="945"/>
              <w:jc w:val="center"/>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r>
            <w:r/>
          </w:p>
        </w:tc>
        <w:tc>
          <w:tcPr>
            <w:tcW w:w="851" w:type="dxa"/>
            <w:vAlign w:val="center"/>
            <w:textDirection w:val="lrTb"/>
            <w:noWrap w:val="false"/>
          </w:tcPr>
          <w:p>
            <w:pPr>
              <w:pStyle w:val="945"/>
              <w:jc w:val="center"/>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r>
            <w:r/>
          </w:p>
        </w:tc>
        <w:tc>
          <w:tcPr>
            <w:tcW w:w="850" w:type="dxa"/>
            <w:vAlign w:val="center"/>
            <w:textDirection w:val="lrTb"/>
            <w:noWrap w:val="false"/>
          </w:tcPr>
          <w:p>
            <w:pPr>
              <w:pStyle w:val="945"/>
              <w:jc w:val="center"/>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r>
            <w:r/>
          </w:p>
        </w:tc>
      </w:tr>
      <w:tr>
        <w:trPr>
          <w:trHeight w:val="222"/>
        </w:trPr>
        <w:tc>
          <w:tcPr>
            <w:tcW w:w="672" w:type="dxa"/>
            <w:vAlign w:val="center"/>
            <w:textDirection w:val="lrTb"/>
            <w:noWrap w:val="false"/>
          </w:tcPr>
          <w:p>
            <w:pPr>
              <w:pStyle w:val="945"/>
              <w:jc w:val="center"/>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r>
            <w:r/>
          </w:p>
        </w:tc>
        <w:tc>
          <w:tcPr>
            <w:tcW w:w="998" w:type="dxa"/>
            <w:vAlign w:val="center"/>
            <w:textDirection w:val="lrTb"/>
            <w:noWrap w:val="false"/>
          </w:tcPr>
          <w:p>
            <w:pPr>
              <w:pStyle w:val="945"/>
              <w:jc w:val="center"/>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r>
            <w:r/>
          </w:p>
        </w:tc>
        <w:tc>
          <w:tcPr>
            <w:tcW w:w="1696" w:type="dxa"/>
            <w:vAlign w:val="top"/>
            <w:textDirection w:val="lrTb"/>
            <w:noWrap w:val="false"/>
          </w:tcPr>
          <w:p>
            <w:pPr>
              <w:pStyle w:val="945"/>
              <w:jc w:val="center"/>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r>
            <w:r/>
          </w:p>
        </w:tc>
        <w:tc>
          <w:tcPr>
            <w:tcW w:w="1276" w:type="dxa"/>
            <w:vAlign w:val="center"/>
            <w:textDirection w:val="lrTb"/>
            <w:noWrap w:val="false"/>
          </w:tcPr>
          <w:p>
            <w:pPr>
              <w:pStyle w:val="945"/>
              <w:jc w:val="center"/>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r>
            <w:r/>
          </w:p>
        </w:tc>
        <w:tc>
          <w:tcPr>
            <w:tcW w:w="1984" w:type="dxa"/>
            <w:vAlign w:val="center"/>
            <w:textDirection w:val="lrTb"/>
            <w:noWrap w:val="false"/>
          </w:tcPr>
          <w:p>
            <w:pPr>
              <w:pStyle w:val="945"/>
              <w:jc w:val="center"/>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r>
            <w:r/>
          </w:p>
        </w:tc>
        <w:tc>
          <w:tcPr>
            <w:tcW w:w="851" w:type="dxa"/>
            <w:vAlign w:val="center"/>
            <w:textDirection w:val="lrTb"/>
            <w:noWrap w:val="false"/>
          </w:tcPr>
          <w:p>
            <w:pPr>
              <w:pStyle w:val="945"/>
              <w:jc w:val="center"/>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r>
            <w:r/>
          </w:p>
        </w:tc>
        <w:tc>
          <w:tcPr>
            <w:tcW w:w="850" w:type="dxa"/>
            <w:vAlign w:val="center"/>
            <w:textDirection w:val="lrTb"/>
            <w:noWrap w:val="false"/>
          </w:tcPr>
          <w:p>
            <w:pPr>
              <w:pStyle w:val="945"/>
              <w:jc w:val="center"/>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r>
            <w:r/>
          </w:p>
        </w:tc>
      </w:tr>
      <w:tr>
        <w:trPr>
          <w:trHeight w:val="222"/>
        </w:trPr>
        <w:tc>
          <w:tcPr>
            <w:tcW w:w="672" w:type="dxa"/>
            <w:vAlign w:val="center"/>
            <w:textDirection w:val="lrTb"/>
            <w:noWrap w:val="false"/>
          </w:tcPr>
          <w:p>
            <w:pPr>
              <w:pStyle w:val="945"/>
              <w:jc w:val="center"/>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r>
            <w:r/>
          </w:p>
        </w:tc>
        <w:tc>
          <w:tcPr>
            <w:tcW w:w="998" w:type="dxa"/>
            <w:vAlign w:val="center"/>
            <w:textDirection w:val="lrTb"/>
            <w:noWrap w:val="false"/>
          </w:tcPr>
          <w:p>
            <w:pPr>
              <w:pStyle w:val="945"/>
              <w:jc w:val="center"/>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r>
            <w:r/>
          </w:p>
        </w:tc>
        <w:tc>
          <w:tcPr>
            <w:tcW w:w="1696" w:type="dxa"/>
            <w:vAlign w:val="top"/>
            <w:textDirection w:val="lrTb"/>
            <w:noWrap w:val="false"/>
          </w:tcPr>
          <w:p>
            <w:pPr>
              <w:pStyle w:val="945"/>
              <w:jc w:val="center"/>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r>
            <w:r/>
          </w:p>
        </w:tc>
        <w:tc>
          <w:tcPr>
            <w:tcW w:w="1276" w:type="dxa"/>
            <w:vAlign w:val="center"/>
            <w:textDirection w:val="lrTb"/>
            <w:noWrap w:val="false"/>
          </w:tcPr>
          <w:p>
            <w:pPr>
              <w:pStyle w:val="945"/>
              <w:jc w:val="center"/>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r>
            <w:r/>
          </w:p>
        </w:tc>
        <w:tc>
          <w:tcPr>
            <w:tcW w:w="1984" w:type="dxa"/>
            <w:vAlign w:val="center"/>
            <w:textDirection w:val="lrTb"/>
            <w:noWrap w:val="false"/>
          </w:tcPr>
          <w:p>
            <w:pPr>
              <w:pStyle w:val="945"/>
              <w:jc w:val="center"/>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r>
            <w:r/>
          </w:p>
        </w:tc>
        <w:tc>
          <w:tcPr>
            <w:tcW w:w="851" w:type="dxa"/>
            <w:vAlign w:val="center"/>
            <w:textDirection w:val="lrTb"/>
            <w:noWrap w:val="false"/>
          </w:tcPr>
          <w:p>
            <w:pPr>
              <w:pStyle w:val="945"/>
              <w:jc w:val="center"/>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r>
            <w:r/>
          </w:p>
        </w:tc>
        <w:tc>
          <w:tcPr>
            <w:tcW w:w="850" w:type="dxa"/>
            <w:vAlign w:val="center"/>
            <w:textDirection w:val="lrTb"/>
            <w:noWrap w:val="false"/>
          </w:tcPr>
          <w:p>
            <w:pPr>
              <w:pStyle w:val="945"/>
              <w:jc w:val="center"/>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r>
            <w:r/>
          </w:p>
        </w:tc>
      </w:tr>
      <w:tr>
        <w:trPr>
          <w:trHeight w:val="222"/>
        </w:trPr>
        <w:tc>
          <w:tcPr>
            <w:tcW w:w="672" w:type="dxa"/>
            <w:vAlign w:val="center"/>
            <w:textDirection w:val="lrTb"/>
            <w:noWrap w:val="false"/>
          </w:tcPr>
          <w:p>
            <w:pPr>
              <w:pStyle w:val="945"/>
              <w:jc w:val="center"/>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r>
            <w:r/>
          </w:p>
        </w:tc>
        <w:tc>
          <w:tcPr>
            <w:tcW w:w="998" w:type="dxa"/>
            <w:vAlign w:val="center"/>
            <w:textDirection w:val="lrTb"/>
            <w:noWrap w:val="false"/>
          </w:tcPr>
          <w:p>
            <w:pPr>
              <w:pStyle w:val="945"/>
              <w:jc w:val="center"/>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r>
            <w:r/>
          </w:p>
        </w:tc>
        <w:tc>
          <w:tcPr>
            <w:tcW w:w="1696" w:type="dxa"/>
            <w:vAlign w:val="top"/>
            <w:textDirection w:val="lrTb"/>
            <w:noWrap w:val="false"/>
          </w:tcPr>
          <w:p>
            <w:pPr>
              <w:pStyle w:val="945"/>
              <w:jc w:val="center"/>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r>
            <w:r/>
          </w:p>
        </w:tc>
        <w:tc>
          <w:tcPr>
            <w:tcW w:w="1276" w:type="dxa"/>
            <w:vAlign w:val="center"/>
            <w:textDirection w:val="lrTb"/>
            <w:noWrap w:val="false"/>
          </w:tcPr>
          <w:p>
            <w:pPr>
              <w:pStyle w:val="945"/>
              <w:jc w:val="center"/>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r>
            <w:r/>
          </w:p>
        </w:tc>
        <w:tc>
          <w:tcPr>
            <w:tcW w:w="1984" w:type="dxa"/>
            <w:vAlign w:val="center"/>
            <w:textDirection w:val="lrTb"/>
            <w:noWrap w:val="false"/>
          </w:tcPr>
          <w:p>
            <w:pPr>
              <w:pStyle w:val="945"/>
              <w:jc w:val="center"/>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r>
            <w:r/>
          </w:p>
        </w:tc>
        <w:tc>
          <w:tcPr>
            <w:tcW w:w="851" w:type="dxa"/>
            <w:vAlign w:val="center"/>
            <w:textDirection w:val="lrTb"/>
            <w:noWrap w:val="false"/>
          </w:tcPr>
          <w:p>
            <w:pPr>
              <w:pStyle w:val="945"/>
              <w:jc w:val="center"/>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r>
            <w:r/>
          </w:p>
        </w:tc>
        <w:tc>
          <w:tcPr>
            <w:tcW w:w="850" w:type="dxa"/>
            <w:vAlign w:val="center"/>
            <w:textDirection w:val="lrTb"/>
            <w:noWrap w:val="false"/>
          </w:tcPr>
          <w:p>
            <w:pPr>
              <w:pStyle w:val="945"/>
              <w:jc w:val="center"/>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r>
            <w:r/>
          </w:p>
        </w:tc>
      </w:tr>
      <w:tr>
        <w:trPr>
          <w:trHeight w:val="222"/>
        </w:trPr>
        <w:tc>
          <w:tcPr>
            <w:tcW w:w="672" w:type="dxa"/>
            <w:vAlign w:val="center"/>
            <w:textDirection w:val="lrTb"/>
            <w:noWrap w:val="false"/>
          </w:tcPr>
          <w:p>
            <w:pPr>
              <w:pStyle w:val="945"/>
              <w:jc w:val="center"/>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r>
            <w:r/>
          </w:p>
        </w:tc>
        <w:tc>
          <w:tcPr>
            <w:tcW w:w="998" w:type="dxa"/>
            <w:vAlign w:val="center"/>
            <w:textDirection w:val="lrTb"/>
            <w:noWrap w:val="false"/>
          </w:tcPr>
          <w:p>
            <w:pPr>
              <w:pStyle w:val="945"/>
              <w:jc w:val="center"/>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r>
            <w:r/>
          </w:p>
        </w:tc>
        <w:tc>
          <w:tcPr>
            <w:tcW w:w="1696" w:type="dxa"/>
            <w:vAlign w:val="top"/>
            <w:textDirection w:val="lrTb"/>
            <w:noWrap w:val="false"/>
          </w:tcPr>
          <w:p>
            <w:pPr>
              <w:pStyle w:val="945"/>
              <w:jc w:val="center"/>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r>
            <w:r/>
          </w:p>
        </w:tc>
        <w:tc>
          <w:tcPr>
            <w:tcW w:w="1276" w:type="dxa"/>
            <w:vAlign w:val="center"/>
            <w:textDirection w:val="lrTb"/>
            <w:noWrap w:val="false"/>
          </w:tcPr>
          <w:p>
            <w:pPr>
              <w:pStyle w:val="945"/>
              <w:jc w:val="center"/>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r>
            <w:r/>
          </w:p>
        </w:tc>
        <w:tc>
          <w:tcPr>
            <w:tcW w:w="1984" w:type="dxa"/>
            <w:vAlign w:val="center"/>
            <w:textDirection w:val="lrTb"/>
            <w:noWrap w:val="false"/>
          </w:tcPr>
          <w:p>
            <w:pPr>
              <w:pStyle w:val="945"/>
              <w:jc w:val="center"/>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r>
            <w:r/>
          </w:p>
        </w:tc>
        <w:tc>
          <w:tcPr>
            <w:tcW w:w="851" w:type="dxa"/>
            <w:vAlign w:val="center"/>
            <w:textDirection w:val="lrTb"/>
            <w:noWrap w:val="false"/>
          </w:tcPr>
          <w:p>
            <w:pPr>
              <w:pStyle w:val="945"/>
              <w:jc w:val="center"/>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r>
            <w:r/>
          </w:p>
        </w:tc>
        <w:tc>
          <w:tcPr>
            <w:tcW w:w="850" w:type="dxa"/>
            <w:vAlign w:val="center"/>
            <w:textDirection w:val="lrTb"/>
            <w:noWrap w:val="false"/>
          </w:tcPr>
          <w:p>
            <w:pPr>
              <w:pStyle w:val="945"/>
              <w:jc w:val="center"/>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r>
            <w:r/>
          </w:p>
        </w:tc>
      </w:tr>
      <w:tr>
        <w:trPr>
          <w:trHeight w:val="222"/>
        </w:trPr>
        <w:tc>
          <w:tcPr>
            <w:tcW w:w="672" w:type="dxa"/>
            <w:vAlign w:val="center"/>
            <w:textDirection w:val="lrTb"/>
            <w:noWrap w:val="false"/>
          </w:tcPr>
          <w:p>
            <w:pPr>
              <w:pStyle w:val="945"/>
              <w:jc w:val="center"/>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r>
            <w:r/>
          </w:p>
        </w:tc>
        <w:tc>
          <w:tcPr>
            <w:tcW w:w="998" w:type="dxa"/>
            <w:vAlign w:val="center"/>
            <w:textDirection w:val="lrTb"/>
            <w:noWrap w:val="false"/>
          </w:tcPr>
          <w:p>
            <w:pPr>
              <w:pStyle w:val="945"/>
              <w:jc w:val="center"/>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r>
            <w:r/>
          </w:p>
        </w:tc>
        <w:tc>
          <w:tcPr>
            <w:tcW w:w="1696" w:type="dxa"/>
            <w:vAlign w:val="top"/>
            <w:textDirection w:val="lrTb"/>
            <w:noWrap w:val="false"/>
          </w:tcPr>
          <w:p>
            <w:pPr>
              <w:pStyle w:val="945"/>
              <w:jc w:val="center"/>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r>
            <w:r/>
          </w:p>
        </w:tc>
        <w:tc>
          <w:tcPr>
            <w:tcW w:w="1276" w:type="dxa"/>
            <w:vAlign w:val="center"/>
            <w:textDirection w:val="lrTb"/>
            <w:noWrap w:val="false"/>
          </w:tcPr>
          <w:p>
            <w:pPr>
              <w:pStyle w:val="945"/>
              <w:jc w:val="center"/>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r>
            <w:r/>
          </w:p>
        </w:tc>
        <w:tc>
          <w:tcPr>
            <w:tcW w:w="1984" w:type="dxa"/>
            <w:vAlign w:val="center"/>
            <w:textDirection w:val="lrTb"/>
            <w:noWrap w:val="false"/>
          </w:tcPr>
          <w:p>
            <w:pPr>
              <w:pStyle w:val="945"/>
              <w:jc w:val="center"/>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r>
            <w:r/>
          </w:p>
        </w:tc>
        <w:tc>
          <w:tcPr>
            <w:tcW w:w="851" w:type="dxa"/>
            <w:vAlign w:val="center"/>
            <w:textDirection w:val="lrTb"/>
            <w:noWrap w:val="false"/>
          </w:tcPr>
          <w:p>
            <w:pPr>
              <w:pStyle w:val="945"/>
              <w:jc w:val="center"/>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r>
            <w:r/>
          </w:p>
        </w:tc>
        <w:tc>
          <w:tcPr>
            <w:tcW w:w="850" w:type="dxa"/>
            <w:vAlign w:val="center"/>
            <w:textDirection w:val="lrTb"/>
            <w:noWrap w:val="false"/>
          </w:tcPr>
          <w:p>
            <w:pPr>
              <w:pStyle w:val="945"/>
              <w:jc w:val="center"/>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r>
            <w:r/>
          </w:p>
        </w:tc>
      </w:tr>
    </w:tbl>
    <w:p>
      <w:pPr>
        <w:pStyle w:val="945"/>
        <w:ind w:firstLine="480"/>
        <w:spacing w:line="360" w:lineRule="auto"/>
        <w:tabs>
          <w:tab w:val="left" w:pos="142" w:leader="none"/>
          <w:tab w:val="left" w:pos="60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45"/>
        <w:ind w:firstLine="480"/>
        <w:spacing w:line="360" w:lineRule="auto"/>
        <w:tabs>
          <w:tab w:val="left" w:pos="142" w:leader="none"/>
          <w:tab w:val="left" w:pos="60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投标人（单位盖章）：</w:t>
      </w:r>
      <w:r>
        <w:rPr>
          <w:rFonts w:hint="eastAsia" w:ascii="宋体" w:hAnsi="宋体" w:eastAsia="宋体" w:cs="宋体"/>
          <w:bCs/>
          <w:color w:val="000000"/>
          <w:sz w:val="24"/>
          <w:szCs w:val="24"/>
          <w:highlight w:val="none"/>
        </w:rPr>
      </w:r>
      <w:r/>
    </w:p>
    <w:p>
      <w:pPr>
        <w:pStyle w:val="945"/>
        <w:ind w:firstLine="480"/>
        <w:spacing w:line="360" w:lineRule="auto"/>
        <w:tabs>
          <w:tab w:val="left" w:pos="142" w:leader="none"/>
          <w:tab w:val="left" w:pos="60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法定代表人或代理人（签字或盖章）：</w:t>
      </w:r>
      <w:r>
        <w:rPr>
          <w:rFonts w:hint="eastAsia" w:ascii="宋体" w:hAnsi="宋体" w:eastAsia="宋体" w:cs="宋体"/>
          <w:bCs/>
          <w:color w:val="000000"/>
          <w:sz w:val="24"/>
          <w:szCs w:val="24"/>
          <w:highlight w:val="none"/>
        </w:rPr>
      </w:r>
      <w:r/>
    </w:p>
    <w:p>
      <w:pPr>
        <w:pStyle w:val="945"/>
        <w:ind w:firstLine="480"/>
        <w:spacing w:line="360" w:lineRule="auto"/>
        <w:tabs>
          <w:tab w:val="left" w:pos="142" w:leader="none"/>
          <w:tab w:val="left" w:pos="60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日期：     年     月     日</w:t>
      </w:r>
      <w:r>
        <w:rPr>
          <w:rFonts w:hint="eastAsia" w:ascii="宋体" w:hAnsi="宋体" w:eastAsia="宋体" w:cs="宋体"/>
          <w:bCs/>
          <w:color w:val="000000"/>
          <w:sz w:val="24"/>
          <w:szCs w:val="24"/>
          <w:highlight w:val="none"/>
        </w:rPr>
      </w:r>
      <w:r/>
    </w:p>
    <w:p>
      <w:pPr>
        <w:pStyle w:val="945"/>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45"/>
        <w:ind w:firstLine="422"/>
        <w:spacing w:line="360" w:lineRule="auto"/>
        <w:rPr>
          <w:rFonts w:hint="eastAsia" w:ascii="宋体" w:hAnsi="宋体" w:eastAsia="宋体" w:cs="宋体"/>
          <w:bCs/>
          <w:color w:val="000000"/>
          <w:sz w:val="24"/>
          <w:szCs w:val="24"/>
          <w:highlight w:val="none"/>
        </w:rPr>
      </w:pPr>
      <w:r>
        <w:rPr>
          <w:rFonts w:hint="eastAsia" w:ascii="宋体" w:hAnsi="宋体" w:eastAsia="宋体" w:cs="宋体"/>
          <w:b/>
          <w:color w:val="000000"/>
          <w:sz w:val="24"/>
          <w:szCs w:val="24"/>
          <w:highlight w:val="none"/>
        </w:rPr>
        <w:t xml:space="preserve">注：</w:t>
      </w:r>
      <w:r>
        <w:rPr>
          <w:rFonts w:hint="eastAsia" w:ascii="宋体" w:hAnsi="宋体" w:eastAsia="宋体" w:cs="宋体"/>
          <w:b/>
          <w:bCs/>
          <w:color w:val="000000"/>
          <w:sz w:val="24"/>
          <w:szCs w:val="24"/>
          <w:highlight w:val="none"/>
        </w:rPr>
        <w:t xml:space="preserve">供应商应在“投标货物和服务数量、品牌、规格、制造商明细表”中必须列明所有投标产品的品牌、规格/型号、制造商和数量，且数量需满足采购需求，</w:t>
      </w:r>
      <w:r>
        <w:rPr>
          <w:rFonts w:hint="eastAsia" w:ascii="宋体" w:hAnsi="宋体" w:eastAsia="宋体" w:cs="宋体"/>
          <w:b/>
          <w:color w:val="000000"/>
          <w:sz w:val="24"/>
          <w:szCs w:val="24"/>
          <w:highlight w:val="none"/>
        </w:rPr>
        <w:t xml:space="preserve">否则投标无效。</w:t>
      </w:r>
      <w:r>
        <w:rPr>
          <w:rFonts w:hint="eastAsia" w:ascii="宋体" w:hAnsi="宋体" w:eastAsia="宋体" w:cs="宋体"/>
          <w:bCs/>
          <w:color w:val="000000"/>
          <w:sz w:val="24"/>
          <w:szCs w:val="24"/>
          <w:highlight w:val="none"/>
        </w:rPr>
      </w:r>
      <w:r/>
    </w:p>
    <w:p>
      <w:pPr>
        <w:pStyle w:val="945"/>
        <w:rPr>
          <w:rFonts w:hint="eastAsia" w:ascii="宋体" w:hAnsi="宋体" w:eastAsia="宋体" w:cs="宋体"/>
          <w:b/>
          <w:bCs/>
          <w:color w:val="000000"/>
          <w:sz w:val="24"/>
          <w:szCs w:val="24"/>
          <w:highlight w:val="none"/>
          <w:lang w:val="zh-CN" w:eastAsia="zh-CN"/>
        </w:rPr>
      </w:pPr>
      <w:r>
        <w:rPr>
          <w:rFonts w:hint="eastAsia" w:hAnsi="宋体" w:eastAsia="宋体" w:cs="宋体"/>
          <w:color w:val="000000"/>
          <w:sz w:val="24"/>
          <w:szCs w:val="24"/>
          <w:highlight w:val="none"/>
        </w:rPr>
        <w:br w:type="page" w:clear="all"/>
      </w:r>
      <w:r>
        <w:rPr>
          <w:rFonts w:hint="eastAsia" w:ascii="宋体" w:hAnsi="宋体" w:eastAsia="宋体" w:cs="宋体"/>
          <w:b/>
          <w:bCs/>
          <w:color w:val="000000"/>
          <w:sz w:val="24"/>
          <w:szCs w:val="24"/>
          <w:highlight w:val="none"/>
          <w:lang w:val="en-US" w:eastAsia="zh-CN"/>
        </w:rPr>
        <w:t xml:space="preserve">10、中小企业声明函</w:t>
      </w:r>
      <w:r>
        <w:rPr>
          <w:rFonts w:hint="eastAsia" w:ascii="宋体" w:hAnsi="宋体" w:eastAsia="宋体" w:cs="宋体"/>
          <w:b/>
          <w:bCs/>
          <w:color w:val="000000"/>
          <w:sz w:val="24"/>
          <w:szCs w:val="24"/>
          <w:highlight w:val="none"/>
          <w:lang w:val="zh-CN" w:eastAsia="zh-CN"/>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本公司郑重声明，根据《政府采购促进中小企业发展管理办法》（财库﹝2020﹞46 号）的规定，本公司参加的</w:t>
      </w:r>
      <w:r>
        <w:rPr>
          <w:rFonts w:hint="eastAsia" w:ascii="宋体" w:hAnsi="宋体" w:eastAsia="宋体" w:cs="宋体"/>
          <w:color w:val="000000"/>
          <w:sz w:val="24"/>
          <w:szCs w:val="24"/>
          <w:highlight w:val="none"/>
          <w:u w:val="single"/>
        </w:rPr>
        <w:t xml:space="preserve">（单位名称）</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（项目名称）</w:t>
      </w:r>
      <w:r>
        <w:rPr>
          <w:rFonts w:hint="eastAsia" w:ascii="宋体" w:hAnsi="宋体" w:eastAsia="宋体" w:cs="宋体"/>
          <w:color w:val="000000"/>
          <w:sz w:val="24"/>
          <w:szCs w:val="24"/>
          <w:highlight w:val="none"/>
        </w:rPr>
        <w:t xml:space="preserve">采购活动，提供的货物全部由符合政策要求的中小企业制造。相关企业（含联合体中的中小企业、签订分包意向协议的中小企业）的具体情况如下：</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eastAsia="zh-CN"/>
        </w:rPr>
        <w:t xml:space="preserve">采购文件</w:t>
      </w:r>
      <w:r>
        <w:rPr>
          <w:rFonts w:hint="eastAsia" w:ascii="宋体" w:hAnsi="宋体" w:eastAsia="宋体" w:cs="宋体"/>
          <w:color w:val="000000"/>
          <w:sz w:val="24"/>
          <w:szCs w:val="24"/>
          <w:highlight w:val="none"/>
          <w:u w:val="single"/>
        </w:rPr>
        <w:t xml:space="preserve">中明确的所属行业）行业</w:t>
      </w:r>
      <w:r>
        <w:rPr>
          <w:rFonts w:hint="eastAsia" w:ascii="宋体" w:hAnsi="宋体" w:eastAsia="宋体" w:cs="宋体"/>
          <w:color w:val="000000"/>
          <w:sz w:val="24"/>
          <w:szCs w:val="24"/>
          <w:highlight w:val="none"/>
        </w:rPr>
        <w:t xml:space="preserve">；制造商为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（中型企业、小型企业、微型企业）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lang w:eastAsia="zh-CN"/>
        </w:rPr>
        <w:t xml:space="preserve">采购文件</w:t>
      </w:r>
      <w:r>
        <w:rPr>
          <w:rFonts w:hint="eastAsia" w:ascii="宋体" w:hAnsi="宋体" w:eastAsia="宋体" w:cs="宋体"/>
          <w:color w:val="000000"/>
          <w:sz w:val="24"/>
          <w:szCs w:val="24"/>
          <w:highlight w:val="none"/>
          <w:u w:val="single"/>
        </w:rPr>
        <w:t xml:space="preserve">中明确的所属行业）行业</w:t>
      </w:r>
      <w:r>
        <w:rPr>
          <w:rFonts w:hint="eastAsia" w:ascii="宋体" w:hAnsi="宋体" w:eastAsia="宋体" w:cs="宋体"/>
          <w:color w:val="000000"/>
          <w:sz w:val="24"/>
          <w:szCs w:val="24"/>
          <w:highlight w:val="none"/>
        </w:rPr>
        <w:t xml:space="preserve">；制造商为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（中型企业、小型企业、微型企业）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本企业对上述声明内容的真实性负责。如有虚假，将依法承担相应责任。</w:t>
      </w:r>
      <w:r>
        <w:rPr>
          <w:rFonts w:hint="eastAsia" w:ascii="宋体" w:hAnsi="宋体" w:eastAsia="宋体" w:cs="宋体"/>
          <w:color w:val="000000"/>
          <w:sz w:val="24"/>
          <w:szCs w:val="24"/>
          <w:highlight w:val="none"/>
        </w:rPr>
      </w:r>
      <w:r/>
    </w:p>
    <w:p>
      <w:pPr>
        <w:pStyle w:val="94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企业名称（盖章）：</w:t>
      </w:r>
      <w:r>
        <w:rPr>
          <w:rFonts w:hint="eastAsia" w:ascii="宋体" w:hAnsi="宋体" w:eastAsia="宋体" w:cs="宋体"/>
          <w:color w:val="000000"/>
          <w:sz w:val="24"/>
          <w:szCs w:val="24"/>
          <w:highlight w:val="none"/>
        </w:rPr>
      </w:r>
      <w:r/>
    </w:p>
    <w:p>
      <w:pPr>
        <w:pStyle w:val="94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 期：</w:t>
      </w:r>
      <w:r>
        <w:rPr>
          <w:rFonts w:hint="eastAsia" w:ascii="宋体" w:hAnsi="宋体" w:eastAsia="宋体" w:cs="宋体"/>
          <w:color w:val="000000"/>
          <w:sz w:val="24"/>
          <w:szCs w:val="24"/>
          <w:highlight w:val="none"/>
        </w:rPr>
      </w:r>
      <w:r/>
    </w:p>
    <w:p>
      <w:pPr>
        <w:pStyle w:val="945"/>
        <w:ind w:firstLine="482"/>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备注：</w:t>
      </w:r>
      <w:r>
        <w:rPr>
          <w:rFonts w:hint="eastAsia" w:ascii="宋体" w:hAnsi="宋体" w:eastAsia="宋体" w:cs="宋体"/>
          <w:b/>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zh-CN"/>
        </w:rPr>
        <w:t xml:space="preserve">从业人员、营业收入、资产总额填报上一年度数据，无上一年度数据的新成立企业可不填报；</w:t>
      </w:r>
      <w:r>
        <w:rPr>
          <w:rFonts w:hint="eastAsia" w:ascii="宋体" w:hAnsi="宋体" w:eastAsia="宋体" w:cs="宋体"/>
          <w:color w:val="000000"/>
          <w:sz w:val="24"/>
          <w:szCs w:val="24"/>
          <w:highlight w:val="none"/>
          <w:lang w:val="zh-CN"/>
        </w:rPr>
      </w:r>
      <w:r/>
    </w:p>
    <w:p>
      <w:pPr>
        <w:pStyle w:val="945"/>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zh-CN"/>
        </w:rPr>
        <w:t xml:space="preserve">若供应商未在此函中对（中型企业、小型企业、微型企业）明确选择，视为非中小企业，不享受中小企业扶持政策；</w:t>
      </w:r>
      <w:r>
        <w:rPr>
          <w:rFonts w:hint="eastAsia" w:ascii="宋体" w:hAnsi="宋体" w:eastAsia="宋体" w:cs="宋体"/>
          <w:color w:val="000000"/>
          <w:sz w:val="24"/>
          <w:szCs w:val="24"/>
          <w:highlight w:val="none"/>
          <w:lang w:val="zh-CN"/>
        </w:rPr>
      </w:r>
      <w:r/>
    </w:p>
    <w:p>
      <w:pPr>
        <w:pStyle w:val="945"/>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zh-CN"/>
        </w:rPr>
        <w:t xml:space="preserve">若供应商提供的“中小企业声明函”内容不实的，属于提供虚假材料谋取中标、成交，依照《中华人民共和国政府采购法》等国家有关规定追究相应责任。</w:t>
      </w:r>
      <w:r>
        <w:rPr>
          <w:rFonts w:hint="eastAsia" w:ascii="宋体" w:hAnsi="宋体" w:eastAsia="宋体" w:cs="宋体"/>
          <w:color w:val="000000"/>
          <w:sz w:val="24"/>
          <w:szCs w:val="24"/>
          <w:highlight w:val="none"/>
          <w:lang w:val="zh-CN"/>
        </w:rPr>
      </w:r>
      <w:r/>
    </w:p>
    <w:p>
      <w:pPr>
        <w:pStyle w:val="945"/>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color w:val="000000"/>
          <w:sz w:val="24"/>
          <w:szCs w:val="24"/>
          <w:highlight w:val="none"/>
          <w:lang w:val="zh-CN"/>
        </w:rPr>
      </w:r>
      <w:r/>
    </w:p>
    <w:p>
      <w:pPr>
        <w:pStyle w:val="945"/>
        <w:ind w:firstLine="480"/>
        <w:spacing w:line="360" w:lineRule="auto"/>
        <w:rPr>
          <w:rFonts w:hint="eastAsia" w:ascii="宋体" w:hAnsi="宋体" w:eastAsia="宋体" w:cs="宋体"/>
          <w:b/>
          <w:color w:val="000000"/>
          <w:sz w:val="24"/>
          <w:szCs w:val="24"/>
          <w:highlight w:val="none"/>
        </w:rPr>
        <w:outlineLvl w:val="0"/>
      </w:pPr>
      <w:r>
        <w:rPr>
          <w:rFonts w:hint="eastAsia" w:ascii="宋体" w:hAnsi="宋体" w:eastAsia="宋体" w:cs="宋体"/>
          <w:color w:val="000000"/>
          <w:sz w:val="24"/>
          <w:szCs w:val="24"/>
          <w:highlight w:val="none"/>
        </w:rPr>
        <w:t xml:space="preserve">5、中标供应商为中小企业的，《中小企业声明函》将随中标结果同时公告。</w:t>
      </w:r>
      <w:r>
        <w:rPr>
          <w:rFonts w:hint="eastAsia" w:ascii="宋体" w:hAnsi="宋体" w:eastAsia="宋体" w:cs="宋体"/>
          <w:color w:val="000000"/>
          <w:sz w:val="24"/>
          <w:szCs w:val="24"/>
          <w:highlight w:val="none"/>
        </w:rPr>
        <w:br w:type="page" w:clear="all"/>
      </w:r>
      <w:r>
        <w:rPr>
          <w:rFonts w:hint="eastAsia" w:ascii="宋体" w:hAnsi="宋体" w:eastAsia="宋体" w:cs="宋体"/>
          <w:b/>
          <w:color w:val="000000"/>
          <w:sz w:val="24"/>
          <w:szCs w:val="24"/>
          <w:highlight w:val="none"/>
        </w:rPr>
        <w:t xml:space="preserve">附：中小企业划型标准规定</w:t>
      </w:r>
      <w:r>
        <w:rPr>
          <w:rFonts w:hint="eastAsia" w:ascii="宋体" w:hAnsi="宋体" w:eastAsia="宋体" w:cs="宋体"/>
          <w:b/>
          <w:color w:val="000000"/>
          <w:sz w:val="24"/>
          <w:szCs w:val="24"/>
          <w:highlight w:val="none"/>
        </w:rPr>
      </w:r>
      <w:r/>
    </w:p>
    <w:p>
      <w:pPr>
        <w:pStyle w:val="945"/>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（一）农、林、牧、渔业。</w:t>
      </w:r>
      <w:r>
        <w:rPr>
          <w:rFonts w:hint="eastAsia" w:ascii="宋体" w:hAnsi="宋体" w:eastAsia="宋体" w:cs="宋体"/>
          <w:color w:val="000000"/>
          <w:sz w:val="24"/>
          <w:szCs w:val="24"/>
          <w:highlight w:val="none"/>
        </w:rPr>
        <w:t xml:space="preserve">营业收入20000万元以下的为中小微型企业。其中，营业收入500万元及以上的为中型企业，营业收入50万元及以上的为小型企业，营业收入50万元以下的为微型企业。</w:t>
      </w:r>
      <w:r>
        <w:rPr>
          <w:rFonts w:hint="eastAsia" w:ascii="宋体" w:hAnsi="宋体" w:eastAsia="宋体" w:cs="宋体"/>
          <w:color w:val="000000"/>
          <w:sz w:val="24"/>
          <w:szCs w:val="24"/>
          <w:highlight w:val="none"/>
        </w:rPr>
      </w:r>
      <w:r/>
    </w:p>
    <w:p>
      <w:pPr>
        <w:pStyle w:val="945"/>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（二）工业。</w:t>
      </w:r>
      <w:r>
        <w:rPr>
          <w:rFonts w:hint="eastAsia" w:ascii="宋体" w:hAnsi="宋体" w:eastAsia="宋体" w:cs="宋体"/>
          <w:color w:val="000000"/>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color w:val="000000"/>
          <w:sz w:val="24"/>
          <w:szCs w:val="24"/>
          <w:highlight w:val="none"/>
        </w:rPr>
      </w:r>
      <w:r/>
    </w:p>
    <w:p>
      <w:pPr>
        <w:pStyle w:val="945"/>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（三）建筑业。</w:t>
      </w:r>
      <w:r>
        <w:rPr>
          <w:rFonts w:hint="eastAsia" w:ascii="宋体" w:hAnsi="宋体" w:eastAsia="宋体" w:cs="宋体"/>
          <w:color w:val="000000"/>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eastAsia="宋体" w:cs="宋体"/>
          <w:color w:val="000000"/>
          <w:sz w:val="24"/>
          <w:szCs w:val="24"/>
          <w:highlight w:val="none"/>
        </w:rPr>
      </w:r>
      <w:r/>
    </w:p>
    <w:p>
      <w:pPr>
        <w:pStyle w:val="945"/>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（四）批发业。</w:t>
      </w:r>
      <w:r>
        <w:rPr>
          <w:rFonts w:hint="eastAsia" w:ascii="宋体" w:hAnsi="宋体" w:eastAsia="宋体" w:cs="宋体"/>
          <w:color w:val="000000"/>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eastAsia="宋体" w:cs="宋体"/>
          <w:color w:val="000000"/>
          <w:sz w:val="24"/>
          <w:szCs w:val="24"/>
          <w:highlight w:val="none"/>
        </w:rPr>
      </w:r>
      <w:r/>
    </w:p>
    <w:p>
      <w:pPr>
        <w:pStyle w:val="945"/>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（五）零售业。</w:t>
      </w:r>
      <w:r>
        <w:rPr>
          <w:rFonts w:hint="eastAsia" w:ascii="宋体" w:hAnsi="宋体" w:eastAsia="宋体" w:cs="宋体"/>
          <w:color w:val="000000"/>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4"/>
          <w:szCs w:val="24"/>
          <w:highlight w:val="none"/>
        </w:rPr>
      </w:r>
      <w:r/>
    </w:p>
    <w:p>
      <w:pPr>
        <w:pStyle w:val="945"/>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（六）交通运输业。</w:t>
      </w:r>
      <w:r>
        <w:rPr>
          <w:rFonts w:hint="eastAsia" w:ascii="宋体" w:hAnsi="宋体" w:eastAsia="宋体" w:cs="宋体"/>
          <w:color w:val="000000"/>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eastAsia="宋体" w:cs="宋体"/>
          <w:color w:val="000000"/>
          <w:sz w:val="24"/>
          <w:szCs w:val="24"/>
          <w:highlight w:val="none"/>
        </w:rPr>
      </w:r>
      <w:r/>
    </w:p>
    <w:p>
      <w:pPr>
        <w:pStyle w:val="945"/>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（七）仓储业。</w:t>
      </w:r>
      <w:r>
        <w:rPr>
          <w:rFonts w:hint="eastAsia" w:ascii="宋体" w:hAnsi="宋体" w:eastAsia="宋体" w:cs="宋体"/>
          <w:color w:val="000000"/>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eastAsia="宋体" w:cs="宋体"/>
          <w:color w:val="000000"/>
          <w:sz w:val="24"/>
          <w:szCs w:val="24"/>
          <w:highlight w:val="none"/>
        </w:rPr>
      </w:r>
      <w:r/>
    </w:p>
    <w:p>
      <w:pPr>
        <w:pStyle w:val="945"/>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（八）邮政业。</w:t>
      </w:r>
      <w:r>
        <w:rPr>
          <w:rFonts w:hint="eastAsia" w:ascii="宋体" w:hAnsi="宋体" w:eastAsia="宋体" w:cs="宋体"/>
          <w:color w:val="000000"/>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eastAsia="宋体" w:cs="宋体"/>
          <w:color w:val="000000"/>
          <w:sz w:val="24"/>
          <w:szCs w:val="24"/>
          <w:highlight w:val="none"/>
        </w:rPr>
      </w:r>
      <w:r/>
    </w:p>
    <w:p>
      <w:pPr>
        <w:pStyle w:val="945"/>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（九）住宿业。</w:t>
      </w:r>
      <w:r>
        <w:rPr>
          <w:rFonts w:hint="eastAsia" w:ascii="宋体" w:hAnsi="宋体" w:eastAsia="宋体" w:cs="宋体"/>
          <w:color w:val="000000"/>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4"/>
          <w:szCs w:val="24"/>
          <w:highlight w:val="none"/>
        </w:rPr>
      </w:r>
      <w:r/>
    </w:p>
    <w:p>
      <w:pPr>
        <w:pStyle w:val="945"/>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（十）餐饮业。</w:t>
      </w:r>
      <w:r>
        <w:rPr>
          <w:rFonts w:hint="eastAsia" w:ascii="宋体" w:hAnsi="宋体" w:eastAsia="宋体" w:cs="宋体"/>
          <w:color w:val="000000"/>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4"/>
          <w:szCs w:val="24"/>
          <w:highlight w:val="none"/>
        </w:rPr>
      </w:r>
      <w:r/>
    </w:p>
    <w:p>
      <w:pPr>
        <w:pStyle w:val="945"/>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（十一）信息传输业。</w:t>
      </w:r>
      <w:r>
        <w:rPr>
          <w:rFonts w:hint="eastAsia" w:ascii="宋体" w:hAnsi="宋体" w:eastAsia="宋体" w:cs="宋体"/>
          <w:color w:val="000000"/>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4"/>
          <w:szCs w:val="24"/>
          <w:highlight w:val="none"/>
        </w:rPr>
      </w:r>
      <w:r/>
    </w:p>
    <w:p>
      <w:pPr>
        <w:pStyle w:val="945"/>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（十二）软件和信息技术服务业。</w:t>
      </w:r>
      <w:r>
        <w:rPr>
          <w:rFonts w:hint="eastAsia" w:ascii="宋体" w:hAnsi="宋体" w:eastAsia="宋体" w:cs="宋体"/>
          <w:color w:val="000000"/>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eastAsia="宋体" w:cs="宋体"/>
          <w:color w:val="000000"/>
          <w:sz w:val="24"/>
          <w:szCs w:val="24"/>
          <w:highlight w:val="none"/>
        </w:rPr>
      </w:r>
      <w:r/>
    </w:p>
    <w:p>
      <w:pPr>
        <w:pStyle w:val="945"/>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（十三）房地产开发经营。</w:t>
      </w:r>
      <w:r>
        <w:rPr>
          <w:rFonts w:hint="eastAsia" w:ascii="宋体" w:hAnsi="宋体" w:eastAsia="宋体" w:cs="宋体"/>
          <w:color w:val="000000"/>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eastAsia="宋体" w:cs="宋体"/>
          <w:color w:val="000000"/>
          <w:sz w:val="24"/>
          <w:szCs w:val="24"/>
          <w:highlight w:val="none"/>
        </w:rPr>
      </w:r>
      <w:r/>
    </w:p>
    <w:p>
      <w:pPr>
        <w:pStyle w:val="945"/>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（十四）物业管理。</w:t>
      </w:r>
      <w:r>
        <w:rPr>
          <w:rFonts w:hint="eastAsia" w:ascii="宋体" w:hAnsi="宋体" w:eastAsia="宋体" w:cs="宋体"/>
          <w:color w:val="000000"/>
          <w:sz w:val="24"/>
          <w:szCs w:val="24"/>
          <w:highlight w:val="none"/>
        </w:rPr>
        <w:t xml:space="preserve">从业人员1000人以下或营业收入5000万元以下的为中小微型企业。其中，从业人员</w:t>
      </w:r>
      <w:r>
        <w:rPr>
          <w:rFonts w:hint="eastAsia" w:ascii="宋体" w:hAnsi="宋体" w:eastAsia="宋体" w:cs="宋体"/>
          <w:color w:val="000000"/>
          <w:sz w:val="24"/>
          <w:szCs w:val="24"/>
          <w:highlight w:val="none"/>
        </w:rPr>
      </w:r>
      <w:r/>
    </w:p>
    <w:p>
      <w:pPr>
        <w:pStyle w:val="94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eastAsia="宋体" w:cs="宋体"/>
          <w:color w:val="000000"/>
          <w:sz w:val="24"/>
          <w:szCs w:val="24"/>
          <w:highlight w:val="none"/>
        </w:rPr>
      </w:r>
      <w:r/>
    </w:p>
    <w:p>
      <w:pPr>
        <w:pStyle w:val="945"/>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（十五）租赁和商务服务业。</w:t>
      </w:r>
      <w:r>
        <w:rPr>
          <w:rFonts w:hint="eastAsia" w:ascii="宋体" w:hAnsi="宋体" w:eastAsia="宋体" w:cs="宋体"/>
          <w:color w:val="000000"/>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eastAsia="宋体" w:cs="宋体"/>
          <w:color w:val="000000"/>
          <w:sz w:val="24"/>
          <w:szCs w:val="24"/>
          <w:highlight w:val="none"/>
        </w:rPr>
      </w:r>
      <w:r/>
    </w:p>
    <w:p>
      <w:pPr>
        <w:pStyle w:val="945"/>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（十六）其他未列明行业。</w:t>
      </w:r>
      <w:r>
        <w:rPr>
          <w:rFonts w:hint="eastAsia" w:ascii="宋体" w:hAnsi="宋体" w:eastAsia="宋体" w:cs="宋体"/>
          <w:color w:val="000000"/>
          <w:sz w:val="24"/>
          <w:szCs w:val="24"/>
          <w:highlight w:val="none"/>
        </w:rPr>
        <w:t xml:space="preserve">从业人员300人以下的为中小微型企业。其中，从业人员100人及以上的为中型企业；从业人员10人及以上的为小型企业；从业人员10人以下的为微型企业。</w:t>
      </w:r>
      <w:r>
        <w:rPr>
          <w:rFonts w:hint="eastAsia" w:ascii="宋体" w:hAnsi="宋体" w:eastAsia="宋体" w:cs="宋体"/>
          <w:color w:val="000000"/>
          <w:sz w:val="24"/>
          <w:szCs w:val="24"/>
          <w:highlight w:val="none"/>
        </w:rPr>
      </w:r>
      <w:r/>
    </w:p>
    <w:p>
      <w:pPr>
        <w:pStyle w:val="945"/>
        <w:spacing w:line="360" w:lineRule="auto"/>
        <w:rPr>
          <w:rFonts w:hint="eastAsia"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rPr>
      </w:r>
      <w:r/>
    </w:p>
    <w:p>
      <w:pPr>
        <w:pStyle w:val="945"/>
        <w:rPr>
          <w:rFonts w:hint="eastAsia" w:ascii="宋体" w:hAnsi="宋体" w:eastAsia="宋体" w:cs="宋体"/>
          <w:b/>
          <w:bCs/>
          <w:color w:val="000000"/>
          <w:sz w:val="24"/>
          <w:szCs w:val="24"/>
          <w:highlight w:val="none"/>
        </w:rPr>
        <w:sectPr>
          <w:footnotePr/>
          <w:endnotePr/>
          <w:type w:val="nextPage"/>
          <w:pgSz w:w="11906" w:h="16838" w:orient="portrait"/>
          <w:pgMar w:top="1134" w:right="1134" w:bottom="1134" w:left="1134" w:header="851" w:footer="992" w:gutter="0"/>
          <w:cols w:num="1" w:sep="0" w:space="1701" w:equalWidth="1"/>
          <w:docGrid w:linePitch="360"/>
        </w:sectPr>
      </w:pPr>
      <w:r>
        <w:rPr>
          <w:rFonts w:hint="eastAsia" w:ascii="宋体" w:hAnsi="宋体" w:eastAsia="宋体" w:cs="宋体"/>
          <w:b/>
          <w:bCs/>
          <w:color w:val="000000"/>
          <w:sz w:val="24"/>
          <w:szCs w:val="24"/>
          <w:highlight w:val="none"/>
        </w:rPr>
      </w:r>
      <w:r/>
    </w:p>
    <w:p>
      <w:pPr>
        <w:pStyle w:val="945"/>
        <w:spacing w:line="360" w:lineRule="auto"/>
        <w:rPr>
          <w:rFonts w:hint="eastAsia"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lang w:val="en-US" w:eastAsia="zh-CN"/>
        </w:rPr>
        <w:t xml:space="preserve">11</w:t>
      </w:r>
      <w:r>
        <w:rPr>
          <w:rFonts w:hint="eastAsia" w:ascii="宋体" w:hAnsi="宋体" w:eastAsia="宋体" w:cs="宋体"/>
          <w:b/>
          <w:bCs/>
          <w:color w:val="000000"/>
          <w:sz w:val="24"/>
          <w:szCs w:val="24"/>
          <w:highlight w:val="none"/>
        </w:rPr>
        <w:t xml:space="preserve">、残疾人福利性单位声明函</w:t>
      </w:r>
      <w:r>
        <w:rPr>
          <w:rFonts w:hint="eastAsia" w:ascii="宋体" w:hAnsi="宋体" w:eastAsia="宋体" w:cs="宋体"/>
          <w:b/>
          <w:bCs/>
          <w:color w:val="000000"/>
          <w:sz w:val="24"/>
          <w:szCs w:val="24"/>
          <w:highlight w:val="none"/>
        </w:rPr>
      </w:r>
      <w:r/>
    </w:p>
    <w:p>
      <w:pPr>
        <w:pStyle w:val="945"/>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单位的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z w:val="24"/>
          <w:szCs w:val="24"/>
          <w:highlight w:val="none"/>
        </w:rPr>
      </w:r>
      <w:r/>
    </w:p>
    <w:p>
      <w:pPr>
        <w:pStyle w:val="945"/>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5"/>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本单位对上述声明的真实性负责。如有虚假，将依法承担相应责任。</w:t>
      </w:r>
      <w:r>
        <w:rPr>
          <w:rFonts w:hint="eastAsia" w:ascii="宋体" w:hAnsi="宋体" w:eastAsia="宋体" w:cs="宋体"/>
          <w:color w:val="000000"/>
          <w:sz w:val="24"/>
          <w:szCs w:val="24"/>
          <w:highlight w:val="none"/>
        </w:rPr>
      </w:r>
      <w:r/>
    </w:p>
    <w:p>
      <w:pPr>
        <w:pStyle w:val="945"/>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5"/>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w:t>
      </w:r>
      <w:r>
        <w:rPr>
          <w:rFonts w:hint="eastAsia" w:ascii="宋体" w:hAnsi="宋体" w:eastAsia="宋体" w:cs="宋体"/>
          <w:color w:val="000000"/>
          <w:sz w:val="24"/>
          <w:szCs w:val="24"/>
          <w:highlight w:val="none"/>
        </w:rPr>
        <w:t xml:space="preserve">（单位公章）：</w:t>
      </w:r>
      <w:r>
        <w:rPr>
          <w:rFonts w:hint="eastAsia" w:ascii="宋体" w:hAnsi="宋体" w:eastAsia="宋体" w:cs="宋体"/>
          <w:color w:val="000000"/>
          <w:sz w:val="24"/>
          <w:szCs w:val="24"/>
          <w:highlight w:val="none"/>
        </w:rPr>
      </w:r>
      <w:r/>
    </w:p>
    <w:p>
      <w:pPr>
        <w:pStyle w:val="945"/>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945"/>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54"/>
        <w:spacing w:line="360" w:lineRule="auto"/>
        <w:rPr>
          <w:rFonts w:hint="eastAsia" w:hAnsi="宋体" w:eastAsia="宋体" w:cs="宋体"/>
          <w:b/>
          <w:bCs/>
          <w:color w:val="000000"/>
          <w:sz w:val="24"/>
          <w:szCs w:val="24"/>
          <w:highlight w:val="none"/>
        </w:rPr>
        <w:sectPr>
          <w:footnotePr/>
          <w:endnotePr/>
          <w:type w:val="nextPage"/>
          <w:pgSz w:w="11906" w:h="16838" w:orient="portrait"/>
          <w:pgMar w:top="1134" w:right="1134" w:bottom="1134" w:left="1134" w:header="851" w:footer="992" w:gutter="0"/>
          <w:cols w:num="1" w:sep="0" w:space="1701" w:equalWidth="1"/>
          <w:docGrid w:linePitch="360"/>
        </w:sectPr>
      </w:pPr>
      <w:r>
        <w:rPr>
          <w:rFonts w:hint="eastAsia" w:hAnsi="宋体" w:eastAsia="宋体" w:cs="宋体"/>
          <w:b/>
          <w:bCs/>
          <w:color w:val="000000"/>
          <w:sz w:val="24"/>
          <w:szCs w:val="24"/>
          <w:highlight w:val="none"/>
        </w:rPr>
      </w:r>
      <w:r/>
    </w:p>
    <w:p>
      <w:pPr>
        <w:pStyle w:val="945"/>
        <w:spacing w:line="360" w:lineRule="auto"/>
        <w:shd w:val="clear" w:color="auto" w:fill="auto"/>
        <w:rPr>
          <w:rFonts w:hint="eastAsia" w:ascii="方正魏碑_GBK" w:hAnsi="方正魏碑_GBK"/>
          <w:b/>
          <w:bCs/>
          <w:color w:val="000000"/>
          <w:sz w:val="24"/>
          <w:szCs w:val="24"/>
          <w:highlight w:val="none"/>
        </w:rPr>
        <w:outlineLvl w:val="0"/>
      </w:pPr>
      <w:r>
        <w:rPr>
          <w:rFonts w:hint="eastAsia" w:ascii="宋体" w:hAnsi="宋体" w:eastAsia="宋体" w:cs="宋体"/>
          <w:b/>
          <w:bCs/>
          <w:color w:val="000000"/>
          <w:sz w:val="24"/>
          <w:szCs w:val="24"/>
          <w:highlight w:val="none"/>
          <w:lang w:val="en-US" w:eastAsia="zh-CN"/>
        </w:rPr>
        <w:t xml:space="preserve">12、关于符合本国产品标准的声明函（标段号：**）</w:t>
      </w:r>
      <w:r>
        <w:rPr>
          <w:rFonts w:ascii="方正魏碑_GBK" w:hAnsi="方正魏碑_GBK"/>
          <w:b/>
          <w:bCs/>
          <w:color w:val="000000"/>
          <w:sz w:val="24"/>
          <w:szCs w:val="24"/>
          <w:highlight w:val="none"/>
        </w:rPr>
        <w:t xml:space="preserve"> </w:t>
      </w:r>
      <w:r>
        <w:rPr>
          <w:rFonts w:hint="eastAsia" w:ascii="方正魏碑_GBK" w:hAnsi="方正魏碑_GBK"/>
          <w:b/>
          <w:bCs/>
          <w:color w:val="000000"/>
          <w:sz w:val="24"/>
          <w:szCs w:val="24"/>
          <w:highlight w:val="none"/>
        </w:rPr>
      </w:r>
      <w:r/>
    </w:p>
    <w:p>
      <w:pPr>
        <w:pStyle w:val="1017"/>
        <w:ind w:firstLine="42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4"/>
          <w:szCs w:val="24"/>
          <w:highlight w:val="none"/>
        </w:rPr>
      </w:r>
      <w:r/>
    </w:p>
    <w:p>
      <w:pPr>
        <w:pStyle w:val="1017"/>
        <w:ind w:firstLine="420"/>
        <w:spacing w:before="0" w:after="3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1457325</wp:posOffset>
                </wp:positionH>
                <wp:positionV relativeFrom="paragraph">
                  <wp:posOffset>472440</wp:posOffset>
                </wp:positionV>
                <wp:extent cx="728345" cy="247650"/>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8245;o:allowoverlap:true;o:allowincell:true;mso-position-horizontal-relative:text;margin-left:114.8pt;mso-position-horizontal:absolute;mso-position-vertical-relative:text;margin-top:37.2pt;mso-position-vertical:absolute;width:57.3pt;height:19.5pt;mso-wrap-distance-left:9.0pt;mso-wrap-distance-top:0.0pt;mso-wrap-distance-right:9.0pt;mso-wrap-distance-bottom:0.0pt;" stroked="f">
                <v:path textboxrect="0,0,0,0"/>
                <v:imagedata r:id="rId17" o:title=""/>
              </v:shape>
            </w:pict>
          </mc:Fallback>
        </mc:AlternateContent>
      </w:r>
      <w:r>
        <w:rPr>
          <w:rFonts w:hint="eastAsia" w:ascii="宋体" w:hAnsi="宋体" w:eastAsia="宋体" w:cs="宋体"/>
          <w:b w:val="0"/>
          <w:bCs w:val="0"/>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424180</wp:posOffset>
                </wp:positionH>
                <wp:positionV relativeFrom="paragraph">
                  <wp:posOffset>472440</wp:posOffset>
                </wp:positionV>
                <wp:extent cx="728345" cy="247650"/>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8244;o:allowoverlap:true;o:allowincell:true;mso-position-horizontal-relative:text;margin-left:33.4pt;mso-position-horizontal:absolute;mso-position-vertical-relative:text;margin-top:37.2pt;mso-position-vertical:absolute;width:57.3pt;height:19.5pt;mso-wrap-distance-left:9.0pt;mso-wrap-distance-top:0.0pt;mso-wrap-distance-right:9.0pt;mso-wrap-distance-bottom:0.0pt;" stroked="f">
                <v:path textboxrect="0,0,0,0"/>
                <v:imagedata r:id="rId18" o:title=""/>
              </v:shape>
            </w:pict>
          </mc:Fallback>
        </mc:AlternateContent>
      </w:r>
      <w:r>
        <w:rPr>
          <w:rFonts w:hint="eastAsia" w:ascii="宋体" w:hAnsi="宋体" w:eastAsia="宋体" w:cs="宋体"/>
          <w:b w:val="0"/>
          <w:bCs w:val="0"/>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4004945</wp:posOffset>
                </wp:positionH>
                <wp:positionV relativeFrom="paragraph">
                  <wp:posOffset>253365</wp:posOffset>
                </wp:positionV>
                <wp:extent cx="728345" cy="247650"/>
                <wp:effectExtent l="0" t="0" r="0" b="0"/>
                <wp:wrapNone/>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8243;o:allowoverlap:true;o:allowincell:true;mso-position-horizontal-relative:text;margin-left:315.3pt;mso-position-horizontal:absolute;mso-position-vertical-relative:text;margin-top:19.9pt;mso-position-vertical:absolute;width:57.3pt;height:19.5pt;mso-wrap-distance-left:9.0pt;mso-wrap-distance-top:0.0pt;mso-wrap-distance-right:9.0pt;mso-wrap-distance-bottom:0.0pt;" stroked="f">
                <v:path textboxrect="0,0,0,0"/>
                <v:imagedata r:id="rId19" o:title=""/>
              </v:shape>
            </w:pict>
          </mc:Fallback>
        </mc:AlternateContent>
      </w:r>
      <w:r>
        <w:rPr>
          <w:rFonts w:hint="eastAsia" w:ascii="宋体" w:hAnsi="宋体" w:eastAsia="宋体" w:cs="宋体"/>
          <w:b w:val="0"/>
          <w:bCs w:val="0"/>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2912110</wp:posOffset>
                </wp:positionH>
                <wp:positionV relativeFrom="paragraph">
                  <wp:posOffset>253365</wp:posOffset>
                </wp:positionV>
                <wp:extent cx="728345" cy="247650"/>
                <wp:effectExtent l="0" t="0" r="0" b="0"/>
                <wp:wrapNone/>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8242;o:allowoverlap:true;o:allowincell:true;mso-position-horizontal-relative:text;margin-left:229.3pt;mso-position-horizontal:absolute;mso-position-vertical-relative:text;margin-top:19.9pt;mso-position-vertical:absolute;width:57.3pt;height:19.5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1821180</wp:posOffset>
                </wp:positionH>
                <wp:positionV relativeFrom="paragraph">
                  <wp:posOffset>253365</wp:posOffset>
                </wp:positionV>
                <wp:extent cx="728345" cy="247650"/>
                <wp:effectExtent l="0" t="0" r="0" b="0"/>
                <wp:wrapNone/>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8241;o:allowoverlap:true;o:allowincell:true;mso-position-horizontal-relative:text;margin-left:143.4pt;mso-position-horizontal:absolute;mso-position-vertical-relative:text;margin-top:19.9pt;mso-position-vertical:absolute;width:57.3pt;height:19.5pt;mso-wrap-distance-left:9.0pt;mso-wrap-distance-top:0.0pt;mso-wrap-distance-right:9.0pt;mso-wrap-distance-bottom:0.0pt;" stroked="f">
                <v:path textboxrect="0,0,0,0"/>
                <v:imagedata r:id="rId21" o:title=""/>
              </v:shape>
            </w:pict>
          </mc:Fallback>
        </mc:AlternateContent>
      </w:r>
      <w:r>
        <w:rPr>
          <w:rFonts w:hint="eastAsia" w:ascii="宋体" w:hAnsi="宋体" w:eastAsia="宋体" w:cs="宋体"/>
          <w:b w:val="0"/>
          <w:bCs w:val="0"/>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4810125</wp:posOffset>
                </wp:positionH>
                <wp:positionV relativeFrom="paragraph">
                  <wp:posOffset>5715</wp:posOffset>
                </wp:positionV>
                <wp:extent cx="728345" cy="247650"/>
                <wp:effectExtent l="0" t="0" r="0" b="0"/>
                <wp:wrapNone/>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524288;o:allowoverlap:true;o:allowincell:true;mso-position-horizontal-relative:text;margin-left:378.8pt;mso-position-horizontal:absolute;mso-position-vertical-relative:text;margin-top:0.4pt;mso-position-vertical:absolute;width:57.3pt;height:19.5pt;mso-wrap-distance-left:9.0pt;mso-wrap-distance-top:0.0pt;mso-wrap-distance-right:9.0pt;mso-wrap-distance-bottom:0.0pt;" stroked="f">
                <v:path textboxrect="0,0,0,0"/>
                <v:imagedata r:id="rId22" o:title=""/>
              </v:shape>
            </w:pict>
          </mc:Fallback>
        </mc:AlternateContent>
      </w:r>
      <w:r>
        <w:rPr>
          <w:rFonts w:hint="eastAsia" w:ascii="宋体" w:hAnsi="宋体" w:eastAsia="宋体" w:cs="宋体"/>
          <w:b w:val="0"/>
          <w:bCs w:val="0"/>
          <w:color w:val="000000"/>
          <w:sz w:val="24"/>
          <w:szCs w:val="24"/>
          <w:highlight w:val="none"/>
          <w:shd w:val="clear" w:color="auto" w:fill="ffffff"/>
        </w:rPr>
        <w:t xml:space="preserve">1.</w:t>
      </w:r>
      <w:r>
        <w:rPr>
          <w:rStyle w:val="1146"/>
          <w:rFonts w:hint="eastAsia" w:ascii="宋体" w:hAnsi="宋体" w:eastAsia="宋体" w:cs="宋体"/>
          <w:b w:val="0"/>
          <w:bCs w:val="0"/>
          <w:i w:val="0"/>
          <w:color w:val="000000"/>
          <w:sz w:val="24"/>
          <w:szCs w:val="24"/>
          <w:highlight w:val="none"/>
          <w:u w:val="single"/>
          <w:shd w:val="clear" w:color="auto" w:fill="ffffff"/>
        </w:rPr>
        <w:t xml:space="preserve">（产品名称1）</w:t>
      </w:r>
      <w:r>
        <w:rPr>
          <w:rStyle w:val="1146"/>
          <w:rFonts w:hint="eastAsia" w:ascii="宋体" w:hAnsi="宋体" w:eastAsia="宋体" w:cs="宋体"/>
          <w:b w:val="0"/>
          <w:bCs w:val="0"/>
          <w:i w:val="0"/>
          <w:color w:val="000000"/>
          <w:sz w:val="24"/>
          <w:szCs w:val="24"/>
          <w:highlight w:val="none"/>
          <w:shd w:val="clear" w:color="auto" w:fill="ffffff"/>
          <w:vertAlign w:val="superscript"/>
        </w:rPr>
        <w:t xml:space="preserve">1</w:t>
      </w:r>
      <w:r>
        <w:rPr>
          <w:rFonts w:hint="eastAsia" w:ascii="宋体" w:hAnsi="宋体" w:eastAsia="宋体" w:cs="宋体"/>
          <w:b w:val="0"/>
          <w:bCs w:val="0"/>
          <w:color w:val="000000"/>
          <w:sz w:val="24"/>
          <w:szCs w:val="24"/>
          <w:highlight w:val="none"/>
          <w:shd w:val="clear" w:color="auto" w:fill="ffffff"/>
        </w:rPr>
        <w:t xml:space="preserve">，生产厂为</w:t>
      </w:r>
      <w:r>
        <w:rPr>
          <w:rStyle w:val="1146"/>
          <w:rFonts w:hint="eastAsia" w:ascii="宋体" w:hAnsi="宋体" w:eastAsia="宋体" w:cs="宋体"/>
          <w:b w:val="0"/>
          <w:bCs w:val="0"/>
          <w:i w:val="0"/>
          <w:color w:val="000000"/>
          <w:sz w:val="24"/>
          <w:szCs w:val="24"/>
          <w:highlight w:val="none"/>
          <w:u w:val="single"/>
          <w:shd w:val="clear" w:color="auto" w:fill="ffffff"/>
        </w:rPr>
        <w:t xml:space="preserve">（厂名）</w:t>
      </w:r>
      <w:r>
        <w:rPr>
          <w:rStyle w:val="1146"/>
          <w:rFonts w:hint="eastAsia" w:ascii="宋体" w:hAnsi="宋体" w:eastAsia="宋体" w:cs="宋体"/>
          <w:b w:val="0"/>
          <w:bCs w:val="0"/>
          <w:i w:val="0"/>
          <w:color w:val="000000"/>
          <w:sz w:val="24"/>
          <w:szCs w:val="24"/>
          <w:highlight w:val="none"/>
          <w:shd w:val="clear" w:color="auto" w:fill="ffffff"/>
          <w:vertAlign w:val="superscript"/>
        </w:rPr>
        <w:t xml:space="preserve">2</w:t>
      </w:r>
      <w:r>
        <w:rPr>
          <w:rFonts w:hint="eastAsia" w:ascii="宋体" w:hAnsi="宋体" w:eastAsia="宋体" w:cs="宋体"/>
          <w:b w:val="0"/>
          <w:bCs w:val="0"/>
          <w:color w:val="000000"/>
          <w:sz w:val="24"/>
          <w:szCs w:val="24"/>
          <w:highlight w:val="none"/>
          <w:shd w:val="clear" w:color="auto" w:fill="ffffff"/>
        </w:rPr>
        <w:t xml:space="preserve">，厂址为</w:t>
      </w:r>
      <w:r>
        <w:rPr>
          <w:rStyle w:val="1146"/>
          <w:rFonts w:hint="eastAsia" w:ascii="宋体" w:hAnsi="宋体" w:eastAsia="宋体" w:cs="宋体"/>
          <w:b w:val="0"/>
          <w:bCs w:val="0"/>
          <w:i w:val="0"/>
          <w:color w:val="000000"/>
          <w:sz w:val="24"/>
          <w:szCs w:val="24"/>
          <w:highlight w:val="none"/>
          <w:u w:val="single"/>
          <w:shd w:val="clear" w:color="auto" w:fill="ffffff"/>
        </w:rPr>
        <w:t xml:space="preserve">（生产厂址）</w:t>
      </w:r>
      <w:r>
        <w:rPr>
          <w:rFonts w:hint="eastAsia" w:ascii="宋体" w:hAnsi="宋体" w:eastAsia="宋体" w:cs="宋体"/>
          <w:b w:val="0"/>
          <w:bCs w:val="0"/>
          <w:color w:val="000000"/>
          <w:sz w:val="24"/>
          <w:szCs w:val="24"/>
          <w:highlight w:val="none"/>
          <w:shd w:val="clear" w:color="auto" w:fill="ffffff"/>
        </w:rPr>
        <w:t xml:space="preserve">。</w:t>
      </w:r>
      <w:r>
        <w:rPr>
          <w:rFonts w:hint="eastAsia" w:ascii="宋体" w:hAnsi="宋体" w:eastAsia="宋体" w:cs="宋体"/>
          <w:b w:val="0"/>
          <w:bCs w:val="0"/>
          <w:color w:val="000000"/>
          <w:sz w:val="24"/>
          <w:szCs w:val="24"/>
          <w:highlight w:val="none"/>
          <w:u w:val="single"/>
          <w:shd w:val="clear" w:color="auto" w:fill="ffffff"/>
        </w:rPr>
        <w:t xml:space="preserve"> </w:t>
      </w:r>
      <w:r>
        <w:rPr>
          <w:rStyle w:val="1146"/>
          <w:rFonts w:hint="eastAsia" w:ascii="宋体" w:hAnsi="宋体" w:eastAsia="宋体" w:cs="宋体"/>
          <w:b w:val="0"/>
          <w:bCs w:val="0"/>
          <w:i w:val="0"/>
          <w:color w:val="000000"/>
          <w:sz w:val="24"/>
          <w:szCs w:val="24"/>
          <w:highlight w:val="none"/>
          <w:u w:val="single"/>
          <w:shd w:val="clear" w:color="auto" w:fill="ffffff"/>
        </w:rPr>
        <w:t xml:space="preserve">（产品名称1） </w:t>
      </w:r>
      <w:r>
        <w:rPr>
          <w:rFonts w:hint="eastAsia" w:ascii="宋体" w:hAnsi="宋体" w:eastAsia="宋体" w:cs="宋体"/>
          <w:b w:val="0"/>
          <w:bCs w:val="0"/>
          <w:color w:val="000000"/>
          <w:sz w:val="24"/>
          <w:szCs w:val="24"/>
          <w:highlight w:val="none"/>
          <w:shd w:val="clear" w:color="auto" w:fill="ffffff"/>
        </w:rPr>
        <w:t xml:space="preserve">的中国境内生产的组件成本占比≥</w:t>
      </w:r>
      <w:r>
        <w:rPr>
          <w:rStyle w:val="1146"/>
          <w:rFonts w:hint="eastAsia" w:ascii="宋体" w:hAnsi="宋体" w:eastAsia="宋体" w:cs="宋体"/>
          <w:b w:val="0"/>
          <w:bCs w:val="0"/>
          <w:i w:val="0"/>
          <w:color w:val="000000"/>
          <w:sz w:val="24"/>
          <w:szCs w:val="24"/>
          <w:highlight w:val="none"/>
          <w:u w:val="single"/>
          <w:shd w:val="clear" w:color="auto" w:fill="ffffff"/>
        </w:rPr>
        <w:t xml:space="preserve">（规定比例）</w:t>
      </w:r>
      <w:r>
        <w:rPr>
          <w:rStyle w:val="1146"/>
          <w:rFonts w:hint="eastAsia" w:ascii="宋体" w:hAnsi="宋体" w:eastAsia="宋体" w:cs="宋体"/>
          <w:b w:val="0"/>
          <w:bCs w:val="0"/>
          <w:i w:val="0"/>
          <w:color w:val="000000"/>
          <w:sz w:val="24"/>
          <w:szCs w:val="24"/>
          <w:highlight w:val="none"/>
          <w:shd w:val="clear" w:color="auto" w:fill="ffffff"/>
          <w:vertAlign w:val="superscript"/>
        </w:rPr>
        <w:t xml:space="preserve">3</w:t>
      </w:r>
      <w:r>
        <w:rPr>
          <w:rFonts w:hint="eastAsia" w:ascii="宋体" w:hAnsi="宋体" w:eastAsia="宋体" w:cs="宋体"/>
          <w:b w:val="0"/>
          <w:bCs w:val="0"/>
          <w:color w:val="000000"/>
          <w:sz w:val="24"/>
          <w:szCs w:val="24"/>
          <w:highlight w:val="none"/>
          <w:shd w:val="clear" w:color="auto" w:fill="ffffff"/>
        </w:rPr>
        <w:t xml:space="preserve">。</w:t>
      </w:r>
      <w:r>
        <w:rPr>
          <w:rStyle w:val="1146"/>
          <w:rFonts w:hint="eastAsia" w:ascii="宋体" w:hAnsi="宋体" w:eastAsia="宋体" w:cs="宋体"/>
          <w:b w:val="0"/>
          <w:bCs w:val="0"/>
          <w:i w:val="0"/>
          <w:color w:val="000000"/>
          <w:sz w:val="24"/>
          <w:szCs w:val="24"/>
          <w:highlight w:val="none"/>
          <w:u w:val="single"/>
          <w:shd w:val="clear" w:color="auto" w:fill="ffffff"/>
        </w:rPr>
        <w:t xml:space="preserve">（产品名称1）</w:t>
      </w:r>
      <w:r>
        <w:rPr>
          <w:rFonts w:hint="eastAsia" w:ascii="宋体" w:hAnsi="宋体" w:eastAsia="宋体" w:cs="宋体"/>
          <w:b w:val="0"/>
          <w:bCs w:val="0"/>
          <w:color w:val="000000"/>
          <w:sz w:val="24"/>
          <w:szCs w:val="24"/>
          <w:highlight w:val="none"/>
          <w:shd w:val="clear" w:color="auto" w:fill="ffffff"/>
        </w:rPr>
        <w:t xml:space="preserve">的</w:t>
      </w:r>
      <w:r>
        <w:rPr>
          <w:rStyle w:val="1146"/>
          <w:rFonts w:hint="eastAsia" w:ascii="宋体" w:hAnsi="宋体" w:eastAsia="宋体" w:cs="宋体"/>
          <w:b w:val="0"/>
          <w:bCs w:val="0"/>
          <w:i w:val="0"/>
          <w:color w:val="000000"/>
          <w:sz w:val="24"/>
          <w:szCs w:val="24"/>
          <w:highlight w:val="none"/>
          <w:u w:val="single"/>
          <w:shd w:val="clear" w:color="auto" w:fill="ffffff"/>
        </w:rPr>
        <w:t xml:space="preserve">（关键组件）</w:t>
      </w:r>
      <w:r>
        <w:rPr>
          <w:rStyle w:val="1146"/>
          <w:rFonts w:hint="eastAsia" w:ascii="宋体" w:hAnsi="宋体" w:eastAsia="宋体" w:cs="宋体"/>
          <w:b w:val="0"/>
          <w:bCs w:val="0"/>
          <w:i w:val="0"/>
          <w:color w:val="000000"/>
          <w:sz w:val="24"/>
          <w:szCs w:val="24"/>
          <w:highlight w:val="none"/>
          <w:shd w:val="clear" w:color="auto" w:fill="ffffff"/>
          <w:vertAlign w:val="superscript"/>
        </w:rPr>
        <w:t xml:space="preserve">4</w:t>
      </w:r>
      <w:r>
        <w:rPr>
          <w:rFonts w:hint="eastAsia" w:ascii="宋体" w:hAnsi="宋体" w:eastAsia="宋体" w:cs="宋体"/>
          <w:b w:val="0"/>
          <w:bCs w:val="0"/>
          <w:color w:val="000000"/>
          <w:sz w:val="24"/>
          <w:szCs w:val="24"/>
          <w:highlight w:val="none"/>
          <w:shd w:val="clear" w:color="auto" w:fill="ffffff"/>
        </w:rPr>
        <w:t xml:space="preserve">在中国境内生产。</w:t>
      </w:r>
      <w:r>
        <w:rPr>
          <w:rStyle w:val="1146"/>
          <w:rFonts w:hint="eastAsia" w:ascii="宋体" w:hAnsi="宋体" w:eastAsia="宋体" w:cs="宋体"/>
          <w:b w:val="0"/>
          <w:bCs w:val="0"/>
          <w:i w:val="0"/>
          <w:color w:val="000000"/>
          <w:sz w:val="24"/>
          <w:szCs w:val="24"/>
          <w:highlight w:val="none"/>
          <w:u w:val="single"/>
          <w:shd w:val="clear" w:color="auto" w:fill="ffffff"/>
        </w:rPr>
        <w:t xml:space="preserve">（产品名称1）</w:t>
      </w:r>
      <w:r>
        <w:rPr>
          <w:rFonts w:hint="eastAsia" w:ascii="宋体" w:hAnsi="宋体" w:eastAsia="宋体" w:cs="宋体"/>
          <w:b w:val="0"/>
          <w:bCs w:val="0"/>
          <w:color w:val="000000"/>
          <w:sz w:val="24"/>
          <w:szCs w:val="24"/>
          <w:highlight w:val="none"/>
          <w:shd w:val="clear" w:color="auto" w:fill="ffffff"/>
        </w:rPr>
        <w:t xml:space="preserve">的</w:t>
      </w:r>
      <w:r>
        <w:rPr>
          <w:rStyle w:val="1146"/>
          <w:rFonts w:hint="eastAsia" w:ascii="宋体" w:hAnsi="宋体" w:eastAsia="宋体" w:cs="宋体"/>
          <w:b w:val="0"/>
          <w:bCs w:val="0"/>
          <w:i w:val="0"/>
          <w:color w:val="000000"/>
          <w:sz w:val="24"/>
          <w:szCs w:val="24"/>
          <w:highlight w:val="none"/>
          <w:u w:val="single"/>
          <w:shd w:val="clear" w:color="auto" w:fill="ffffff"/>
        </w:rPr>
        <w:t xml:space="preserve">（关键工序）</w:t>
      </w:r>
      <w:r>
        <w:rPr>
          <w:rStyle w:val="1146"/>
          <w:rFonts w:hint="eastAsia" w:ascii="宋体" w:hAnsi="宋体" w:eastAsia="宋体" w:cs="宋体"/>
          <w:b w:val="0"/>
          <w:bCs w:val="0"/>
          <w:i w:val="0"/>
          <w:color w:val="000000"/>
          <w:sz w:val="24"/>
          <w:szCs w:val="24"/>
          <w:highlight w:val="none"/>
          <w:shd w:val="clear" w:color="auto" w:fill="ffffff"/>
          <w:vertAlign w:val="superscript"/>
        </w:rPr>
        <w:t xml:space="preserve">5</w:t>
      </w:r>
      <w:r>
        <w:rPr>
          <w:rFonts w:hint="eastAsia" w:ascii="宋体" w:hAnsi="宋体" w:eastAsia="宋体" w:cs="宋体"/>
          <w:b w:val="0"/>
          <w:bCs w:val="0"/>
          <w:color w:val="000000"/>
          <w:sz w:val="24"/>
          <w:szCs w:val="24"/>
          <w:highlight w:val="none"/>
          <w:shd w:val="clear" w:color="auto" w:fill="ffffff"/>
        </w:rPr>
        <w:t xml:space="preserve">在中国境内完成。</w:t>
      </w:r>
      <w:r>
        <w:rPr>
          <w:rFonts w:hint="eastAsia" w:ascii="宋体" w:hAnsi="宋体" w:eastAsia="宋体" w:cs="宋体"/>
          <w:b w:val="0"/>
          <w:bCs w:val="0"/>
          <w:color w:val="000000"/>
          <w:sz w:val="24"/>
          <w:szCs w:val="24"/>
          <w:highlight w:val="none"/>
        </w:rPr>
      </w:r>
      <w:r/>
    </w:p>
    <w:p>
      <w:pPr>
        <w:pStyle w:val="1017"/>
        <w:ind w:firstLine="420"/>
        <w:spacing w:before="0" w:after="3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728980</wp:posOffset>
                </wp:positionH>
                <wp:positionV relativeFrom="paragraph">
                  <wp:posOffset>495300</wp:posOffset>
                </wp:positionV>
                <wp:extent cx="728345" cy="247650"/>
                <wp:effectExtent l="0" t="0" r="0" b="0"/>
                <wp:wrapNone/>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58251;o:allowoverlap:true;o:allowincell:true;mso-position-horizontal-relative:text;margin-left:57.4pt;mso-position-horizontal:absolute;mso-position-vertical-relative:text;margin-top:39.0pt;mso-position-vertical:absolute;width:57.3pt;height:19.5pt;mso-wrap-distance-left:9.0pt;mso-wrap-distance-top:0.0pt;mso-wrap-distance-right:9.0pt;mso-wrap-distance-bottom:0.0pt;" stroked="f">
                <v:path textboxrect="0,0,0,0"/>
                <v:imagedata r:id="rId23" o:title=""/>
              </v:shape>
            </w:pict>
          </mc:Fallback>
        </mc:AlternateContent>
      </w:r>
      <w:r>
        <w:rPr>
          <w:rFonts w:hint="eastAsia" w:ascii="宋体" w:hAnsi="宋体" w:eastAsia="宋体" w:cs="宋体"/>
          <w:b w:val="0"/>
          <w:bCs w:val="0"/>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posOffset>-130809</wp:posOffset>
                </wp:positionH>
                <wp:positionV relativeFrom="paragraph">
                  <wp:posOffset>495300</wp:posOffset>
                </wp:positionV>
                <wp:extent cx="728345" cy="247650"/>
                <wp:effectExtent l="0" t="0" r="0" b="0"/>
                <wp:wrapNone/>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8250;o:allowoverlap:true;o:allowincell:true;mso-position-horizontal-relative:margin;margin-left:-10.3pt;mso-position-horizontal:absolute;mso-position-vertical-relative:text;margin-top:39.0pt;mso-position-vertical:absolute;width:57.3pt;height:19.5pt;mso-wrap-distance-left:9.0pt;mso-wrap-distance-top:0.0pt;mso-wrap-distance-right:9.0pt;mso-wrap-distance-bottom:0.0pt;" stroked="f">
                <v:path textboxrect="0,0,0,0"/>
                <v:imagedata r:id="rId24" o:title=""/>
              </v:shape>
            </w:pict>
          </mc:Fallback>
        </mc:AlternateContent>
      </w:r>
      <w:r>
        <w:rPr>
          <w:rFonts w:hint="eastAsia" w:ascii="宋体" w:hAnsi="宋体" w:eastAsia="宋体" w:cs="宋体"/>
          <w:b w:val="0"/>
          <w:bCs w:val="0"/>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3733800</wp:posOffset>
                </wp:positionH>
                <wp:positionV relativeFrom="paragraph">
                  <wp:posOffset>247650</wp:posOffset>
                </wp:positionV>
                <wp:extent cx="728345" cy="247650"/>
                <wp:effectExtent l="0" t="0" r="0" b="0"/>
                <wp:wrapNone/>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58249;o:allowoverlap:true;o:allowincell:true;mso-position-horizontal-relative:text;margin-left:294.0pt;mso-position-horizontal:absolute;mso-position-vertical-relative:text;margin-top:19.5pt;mso-position-vertical:absolute;width:57.3pt;height:19.5pt;mso-wrap-distance-left:9.0pt;mso-wrap-distance-top:0.0pt;mso-wrap-distance-right:9.0pt;mso-wrap-distance-bottom:0.0pt;" stroked="f">
                <v:path textboxrect="0,0,0,0"/>
                <v:imagedata r:id="rId25" o:title=""/>
              </v:shape>
            </w:pict>
          </mc:Fallback>
        </mc:AlternateContent>
      </w:r>
      <w:r>
        <w:rPr>
          <w:rFonts w:hint="eastAsia" w:ascii="宋体" w:hAnsi="宋体" w:eastAsia="宋体" w:cs="宋体"/>
          <w:b w:val="0"/>
          <w:bCs w:val="0"/>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2616835</wp:posOffset>
                </wp:positionH>
                <wp:positionV relativeFrom="paragraph">
                  <wp:posOffset>247650</wp:posOffset>
                </wp:positionV>
                <wp:extent cx="728345" cy="247650"/>
                <wp:effectExtent l="0" t="0" r="0" b="0"/>
                <wp:wrapNone/>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58248;o:allowoverlap:true;o:allowincell:true;mso-position-horizontal-relative:text;margin-left:206.0pt;mso-position-horizontal:absolute;mso-position-vertical-relative:text;margin-top:19.5pt;mso-position-vertical:absolute;width:57.3pt;height:19.5pt;mso-wrap-distance-left:9.0pt;mso-wrap-distance-top:0.0pt;mso-wrap-distance-right:9.0pt;mso-wrap-distance-bottom:0.0pt;" stroked="f">
                <v:path textboxrect="0,0,0,0"/>
                <v:imagedata r:id="rId26" o:title=""/>
              </v:shape>
            </w:pict>
          </mc:Fallback>
        </mc:AlternateContent>
      </w:r>
      <w:r>
        <w:rPr>
          <w:rFonts w:hint="eastAsia" w:ascii="宋体" w:hAnsi="宋体" w:eastAsia="宋体" w:cs="宋体"/>
          <w:b w:val="0"/>
          <w:bCs w:val="0"/>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1457325</wp:posOffset>
                </wp:positionH>
                <wp:positionV relativeFrom="paragraph">
                  <wp:posOffset>247650</wp:posOffset>
                </wp:positionV>
                <wp:extent cx="728345" cy="247650"/>
                <wp:effectExtent l="0" t="0" r="0" b="0"/>
                <wp:wrapNone/>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8247;o:allowoverlap:true;o:allowincell:true;mso-position-horizontal-relative:text;margin-left:114.8pt;mso-position-horizontal:absolute;mso-position-vertical-relative:text;margin-top:19.5pt;mso-position-vertical:absolute;width:57.3pt;height:19.5pt;mso-wrap-distance-left:9.0pt;mso-wrap-distance-top:0.0pt;mso-wrap-distance-right:9.0pt;mso-wrap-distance-bottom:0.0pt;" stroked="f">
                <v:path textboxrect="0,0,0,0"/>
                <v:imagedata r:id="rId27" o:title=""/>
              </v:shape>
            </w:pict>
          </mc:Fallback>
        </mc:AlternateContent>
      </w:r>
      <w:r>
        <w:rPr>
          <w:rFonts w:hint="eastAsia" w:ascii="宋体" w:hAnsi="宋体" w:eastAsia="宋体" w:cs="宋体"/>
          <w:b w:val="0"/>
          <w:bCs w:val="0"/>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4686300</wp:posOffset>
                </wp:positionH>
                <wp:positionV relativeFrom="paragraph">
                  <wp:posOffset>0</wp:posOffset>
                </wp:positionV>
                <wp:extent cx="728345" cy="247650"/>
                <wp:effectExtent l="0" t="0" r="0" b="0"/>
                <wp:wrapNone/>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58246;o:allowoverlap:true;o:allowincell:true;mso-position-horizontal-relative:text;margin-left:369.0pt;mso-position-horizontal:absolute;mso-position-vertical-relative:text;margin-top:0.0pt;mso-position-vertical:absolute;width:57.3pt;height:19.5pt;mso-wrap-distance-left:9.0pt;mso-wrap-distance-top:0.0pt;mso-wrap-distance-right:9.0pt;mso-wrap-distance-bottom:0.0pt;" stroked="f">
                <v:path textboxrect="0,0,0,0"/>
                <v:imagedata r:id="rId28" o:title=""/>
              </v:shape>
            </w:pict>
          </mc:Fallback>
        </mc:AlternateContent>
      </w:r>
      <w:r>
        <w:rPr>
          <w:rFonts w:hint="eastAsia" w:ascii="宋体" w:hAnsi="宋体" w:eastAsia="宋体" w:cs="宋体"/>
          <w:b w:val="0"/>
          <w:bCs w:val="0"/>
          <w:color w:val="000000"/>
          <w:sz w:val="24"/>
          <w:szCs w:val="24"/>
          <w:highlight w:val="none"/>
          <w:shd w:val="clear" w:color="auto" w:fill="ffffff"/>
        </w:rPr>
        <w:t xml:space="preserve">2.</w:t>
      </w:r>
      <w:r>
        <w:rPr>
          <w:rStyle w:val="1146"/>
          <w:rFonts w:hint="eastAsia" w:ascii="宋体" w:hAnsi="宋体" w:eastAsia="宋体" w:cs="宋体"/>
          <w:b w:val="0"/>
          <w:bCs w:val="0"/>
          <w:i w:val="0"/>
          <w:color w:val="000000"/>
          <w:sz w:val="24"/>
          <w:szCs w:val="24"/>
          <w:highlight w:val="none"/>
          <w:u w:val="single"/>
          <w:shd w:val="clear" w:color="auto" w:fill="ffffff"/>
        </w:rPr>
        <w:t xml:space="preserve">（产品名称2）</w:t>
      </w:r>
      <w:r>
        <w:rPr>
          <w:rFonts w:hint="eastAsia" w:ascii="宋体" w:hAnsi="宋体" w:eastAsia="宋体" w:cs="宋体"/>
          <w:b w:val="0"/>
          <w:bCs w:val="0"/>
          <w:color w:val="000000"/>
          <w:sz w:val="24"/>
          <w:szCs w:val="24"/>
          <w:highlight w:val="none"/>
          <w:shd w:val="clear" w:color="auto" w:fill="ffffff"/>
        </w:rPr>
        <w:t xml:space="preserve">，生产厂为</w:t>
      </w:r>
      <w:r>
        <w:rPr>
          <w:rStyle w:val="1146"/>
          <w:rFonts w:hint="eastAsia" w:ascii="宋体" w:hAnsi="宋体" w:eastAsia="宋体" w:cs="宋体"/>
          <w:b w:val="0"/>
          <w:bCs w:val="0"/>
          <w:i w:val="0"/>
          <w:color w:val="000000"/>
          <w:sz w:val="24"/>
          <w:szCs w:val="24"/>
          <w:highlight w:val="none"/>
          <w:u w:val="single"/>
          <w:shd w:val="clear" w:color="auto" w:fill="ffffff"/>
        </w:rPr>
        <w:t xml:space="preserve">（厂名）</w:t>
      </w:r>
      <w:r>
        <w:rPr>
          <w:rFonts w:hint="eastAsia" w:ascii="宋体" w:hAnsi="宋体" w:eastAsia="宋体" w:cs="宋体"/>
          <w:b w:val="0"/>
          <w:bCs w:val="0"/>
          <w:color w:val="000000"/>
          <w:sz w:val="24"/>
          <w:szCs w:val="24"/>
          <w:highlight w:val="none"/>
          <w:shd w:val="clear" w:color="auto" w:fill="ffffff"/>
        </w:rPr>
        <w:t xml:space="preserve">，厂址为</w:t>
      </w:r>
      <w:r>
        <w:rPr>
          <w:rStyle w:val="1146"/>
          <w:rFonts w:hint="eastAsia" w:ascii="宋体" w:hAnsi="宋体" w:eastAsia="宋体" w:cs="宋体"/>
          <w:b w:val="0"/>
          <w:bCs w:val="0"/>
          <w:i w:val="0"/>
          <w:color w:val="000000"/>
          <w:sz w:val="24"/>
          <w:szCs w:val="24"/>
          <w:highlight w:val="none"/>
          <w:u w:val="single"/>
          <w:shd w:val="clear" w:color="auto" w:fill="ffffff"/>
        </w:rPr>
        <w:t xml:space="preserve">（生产厂址）</w:t>
      </w:r>
      <w:r>
        <w:rPr>
          <w:rFonts w:hint="eastAsia" w:ascii="宋体" w:hAnsi="宋体" w:eastAsia="宋体" w:cs="宋体"/>
          <w:b w:val="0"/>
          <w:bCs w:val="0"/>
          <w:color w:val="000000"/>
          <w:sz w:val="24"/>
          <w:szCs w:val="24"/>
          <w:highlight w:val="none"/>
          <w:shd w:val="clear" w:color="auto" w:fill="ffffff"/>
        </w:rPr>
        <w:t xml:space="preserve">。</w:t>
      </w:r>
      <w:r>
        <w:rPr>
          <w:rStyle w:val="1146"/>
          <w:rFonts w:hint="eastAsia" w:ascii="宋体" w:hAnsi="宋体" w:eastAsia="宋体" w:cs="宋体"/>
          <w:b w:val="0"/>
          <w:bCs w:val="0"/>
          <w:i w:val="0"/>
          <w:color w:val="000000"/>
          <w:sz w:val="24"/>
          <w:szCs w:val="24"/>
          <w:highlight w:val="none"/>
          <w:u w:val="single"/>
          <w:shd w:val="clear" w:color="auto" w:fill="ffffff"/>
        </w:rPr>
        <w:t xml:space="preserve">（产品名称2）</w:t>
      </w:r>
      <w:r>
        <w:rPr>
          <w:rFonts w:hint="eastAsia" w:ascii="宋体" w:hAnsi="宋体" w:eastAsia="宋体" w:cs="宋体"/>
          <w:b w:val="0"/>
          <w:bCs w:val="0"/>
          <w:color w:val="000000"/>
          <w:sz w:val="24"/>
          <w:szCs w:val="24"/>
          <w:highlight w:val="none"/>
          <w:shd w:val="clear" w:color="auto" w:fill="ffffff"/>
        </w:rPr>
        <w:t xml:space="preserve">的中国境内生产的组件成本占比≥</w:t>
      </w:r>
      <w:r>
        <w:rPr>
          <w:rStyle w:val="1146"/>
          <w:rFonts w:hint="eastAsia" w:ascii="宋体" w:hAnsi="宋体" w:eastAsia="宋体" w:cs="宋体"/>
          <w:b w:val="0"/>
          <w:bCs w:val="0"/>
          <w:i w:val="0"/>
          <w:color w:val="000000"/>
          <w:sz w:val="24"/>
          <w:szCs w:val="24"/>
          <w:highlight w:val="none"/>
          <w:u w:val="single"/>
          <w:shd w:val="clear" w:color="auto" w:fill="ffffff"/>
        </w:rPr>
        <w:t xml:space="preserve">（规定比例）</w:t>
      </w:r>
      <w:r>
        <w:rPr>
          <w:rFonts w:hint="eastAsia" w:ascii="宋体" w:hAnsi="宋体" w:eastAsia="宋体" w:cs="宋体"/>
          <w:b w:val="0"/>
          <w:bCs w:val="0"/>
          <w:color w:val="000000"/>
          <w:sz w:val="24"/>
          <w:szCs w:val="24"/>
          <w:highlight w:val="none"/>
          <w:shd w:val="clear" w:color="auto" w:fill="ffffff"/>
        </w:rPr>
        <w:t xml:space="preserve">。</w:t>
      </w:r>
      <w:r>
        <w:rPr>
          <w:rStyle w:val="1146"/>
          <w:rFonts w:hint="eastAsia" w:ascii="宋体" w:hAnsi="宋体" w:eastAsia="宋体" w:cs="宋体"/>
          <w:b w:val="0"/>
          <w:bCs w:val="0"/>
          <w:i w:val="0"/>
          <w:color w:val="000000"/>
          <w:sz w:val="24"/>
          <w:szCs w:val="24"/>
          <w:highlight w:val="none"/>
          <w:u w:val="single"/>
          <w:shd w:val="clear" w:color="auto" w:fill="ffffff"/>
        </w:rPr>
        <w:t xml:space="preserve">（产品名称2）</w:t>
      </w:r>
      <w:r>
        <w:rPr>
          <w:rFonts w:hint="eastAsia" w:ascii="宋体" w:hAnsi="宋体" w:eastAsia="宋体" w:cs="宋体"/>
          <w:b w:val="0"/>
          <w:bCs w:val="0"/>
          <w:color w:val="000000"/>
          <w:sz w:val="24"/>
          <w:szCs w:val="24"/>
          <w:highlight w:val="none"/>
          <w:shd w:val="clear" w:color="auto" w:fill="ffffff"/>
        </w:rPr>
        <w:t xml:space="preserve">的</w:t>
      </w:r>
      <w:r>
        <w:rPr>
          <w:rStyle w:val="1146"/>
          <w:rFonts w:hint="eastAsia" w:ascii="宋体" w:hAnsi="宋体" w:eastAsia="宋体" w:cs="宋体"/>
          <w:b w:val="0"/>
          <w:bCs w:val="0"/>
          <w:i w:val="0"/>
          <w:color w:val="000000"/>
          <w:sz w:val="24"/>
          <w:szCs w:val="24"/>
          <w:highlight w:val="none"/>
          <w:u w:val="single"/>
          <w:shd w:val="clear" w:color="auto" w:fill="ffffff"/>
        </w:rPr>
        <w:t xml:space="preserve">（关键组件）</w:t>
      </w:r>
      <w:r>
        <w:rPr>
          <w:rFonts w:hint="eastAsia" w:ascii="宋体" w:hAnsi="宋体" w:eastAsia="宋体" w:cs="宋体"/>
          <w:b w:val="0"/>
          <w:bCs w:val="0"/>
          <w:color w:val="000000"/>
          <w:sz w:val="24"/>
          <w:szCs w:val="24"/>
          <w:highlight w:val="none"/>
          <w:shd w:val="clear" w:color="auto" w:fill="ffffff"/>
        </w:rPr>
        <w:t xml:space="preserve">在中国境内生产。</w:t>
      </w:r>
      <w:r>
        <w:rPr>
          <w:rStyle w:val="1146"/>
          <w:rFonts w:hint="eastAsia" w:ascii="宋体" w:hAnsi="宋体" w:eastAsia="宋体" w:cs="宋体"/>
          <w:b w:val="0"/>
          <w:bCs w:val="0"/>
          <w:i w:val="0"/>
          <w:color w:val="000000"/>
          <w:sz w:val="24"/>
          <w:szCs w:val="24"/>
          <w:highlight w:val="none"/>
          <w:u w:val="single"/>
          <w:shd w:val="clear" w:color="auto" w:fill="ffffff"/>
        </w:rPr>
        <w:t xml:space="preserve">（产品名称1）</w:t>
      </w:r>
      <w:r>
        <w:rPr>
          <w:rFonts w:hint="eastAsia" w:ascii="宋体" w:hAnsi="宋体" w:eastAsia="宋体" w:cs="宋体"/>
          <w:b w:val="0"/>
          <w:bCs w:val="0"/>
          <w:color w:val="000000"/>
          <w:sz w:val="24"/>
          <w:szCs w:val="24"/>
          <w:highlight w:val="none"/>
          <w:shd w:val="clear" w:color="auto" w:fill="ffffff"/>
        </w:rPr>
        <w:t xml:space="preserve">的</w:t>
      </w:r>
      <w:r>
        <w:rPr>
          <w:rStyle w:val="1146"/>
          <w:rFonts w:hint="eastAsia" w:ascii="宋体" w:hAnsi="宋体" w:eastAsia="宋体" w:cs="宋体"/>
          <w:b w:val="0"/>
          <w:bCs w:val="0"/>
          <w:i w:val="0"/>
          <w:color w:val="000000"/>
          <w:sz w:val="24"/>
          <w:szCs w:val="24"/>
          <w:highlight w:val="none"/>
          <w:u w:val="single"/>
          <w:shd w:val="clear" w:color="auto" w:fill="ffffff"/>
        </w:rPr>
        <w:t xml:space="preserve">（关键工序）</w:t>
      </w:r>
      <w:r>
        <w:rPr>
          <w:rFonts w:hint="eastAsia" w:ascii="宋体" w:hAnsi="宋体" w:eastAsia="宋体" w:cs="宋体"/>
          <w:b w:val="0"/>
          <w:bCs w:val="0"/>
          <w:color w:val="000000"/>
          <w:sz w:val="24"/>
          <w:szCs w:val="24"/>
          <w:highlight w:val="none"/>
          <w:shd w:val="clear" w:color="auto" w:fill="ffffff"/>
        </w:rPr>
        <w:t xml:space="preserve">在中国境内完成。</w:t>
      </w:r>
      <w:r>
        <w:rPr>
          <w:rFonts w:hint="eastAsia" w:ascii="宋体" w:hAnsi="宋体" w:eastAsia="宋体" w:cs="宋体"/>
          <w:b w:val="0"/>
          <w:bCs w:val="0"/>
          <w:color w:val="000000"/>
          <w:sz w:val="24"/>
          <w:szCs w:val="24"/>
          <w:highlight w:val="none"/>
        </w:rPr>
      </w:r>
      <w:r/>
    </w:p>
    <w:p>
      <w:pPr>
        <w:pStyle w:val="1017"/>
        <w:ind w:firstLine="420"/>
        <w:spacing w:before="30" w:after="3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rPr>
      </w:r>
      <w:r/>
    </w:p>
    <w:p>
      <w:pPr>
        <w:pStyle w:val="1017"/>
        <w:ind w:firstLine="420"/>
        <w:spacing w:before="30" w:after="3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本公司（单位）对上述声明内容的真实性负责。如有虚假，愿承担相应法律责任。</w:t>
      </w:r>
      <w:r>
        <w:rPr>
          <w:rFonts w:hint="eastAsia" w:ascii="宋体" w:hAnsi="宋体" w:eastAsia="宋体" w:cs="宋体"/>
          <w:color w:val="000000"/>
          <w:sz w:val="24"/>
          <w:szCs w:val="24"/>
          <w:highlight w:val="none"/>
        </w:rPr>
      </w:r>
      <w:r/>
    </w:p>
    <w:p>
      <w:pPr>
        <w:pStyle w:val="1017"/>
        <w:jc w:val="right"/>
        <w:spacing w:before="30" w:after="3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公司（单位）名称（盖章）：         </w:t>
      </w:r>
      <w:r>
        <w:rPr>
          <w:rFonts w:hint="eastAsia" w:ascii="宋体" w:hAnsi="宋体" w:eastAsia="宋体" w:cs="宋体"/>
          <w:color w:val="000000"/>
          <w:sz w:val="24"/>
          <w:szCs w:val="24"/>
          <w:highlight w:val="none"/>
        </w:rPr>
      </w:r>
      <w:r/>
    </w:p>
    <w:p>
      <w:pPr>
        <w:pStyle w:val="1017"/>
        <w:jc w:val="center"/>
        <w:spacing w:before="30" w:after="3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                               </w:t>
      </w:r>
      <w:r>
        <w:rPr>
          <w:rFonts w:hint="eastAsia" w:ascii="宋体" w:hAnsi="宋体" w:eastAsia="宋体" w:cs="宋体"/>
          <w:color w:val="000000"/>
          <w:sz w:val="24"/>
          <w:szCs w:val="24"/>
          <w:highlight w:val="none"/>
          <w:shd w:val="clear" w:color="auto" w:fill="ffffff"/>
          <w:lang w:val="en-US" w:eastAsia="zh-CN"/>
        </w:rPr>
        <w:t xml:space="preserve">          </w:t>
      </w:r>
      <w:r>
        <w:rPr>
          <w:rFonts w:hint="eastAsia" w:ascii="宋体" w:hAnsi="宋体" w:eastAsia="宋体" w:cs="宋体"/>
          <w:color w:val="000000"/>
          <w:sz w:val="24"/>
          <w:szCs w:val="24"/>
          <w:highlight w:val="none"/>
          <w:shd w:val="clear" w:color="auto" w:fill="ffffff"/>
        </w:rPr>
        <w:t xml:space="preserve"> 日期：    年   月   日         </w:t>
      </w:r>
      <w:r>
        <w:rPr>
          <w:rFonts w:hint="eastAsia" w:ascii="宋体" w:hAnsi="宋体" w:eastAsia="宋体" w:cs="宋体"/>
          <w:color w:val="000000"/>
          <w:sz w:val="24"/>
          <w:szCs w:val="24"/>
          <w:highlight w:val="none"/>
        </w:rPr>
      </w:r>
      <w:r/>
    </w:p>
    <w:p>
      <w:pPr>
        <w:pStyle w:val="1017"/>
        <w:spacing w:before="30" w:after="3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__________________</w:t>
      </w:r>
      <w:r>
        <w:rPr>
          <w:rFonts w:hint="eastAsia" w:ascii="宋体" w:hAnsi="宋体" w:eastAsia="宋体" w:cs="宋体"/>
          <w:color w:val="000000"/>
          <w:sz w:val="24"/>
          <w:szCs w:val="24"/>
          <w:highlight w:val="none"/>
        </w:rPr>
      </w:r>
      <w:r/>
    </w:p>
    <w:p>
      <w:pPr>
        <w:pStyle w:val="1017"/>
        <w:spacing w:before="30" w:after="3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1.产品如有型号，请在“产品名称”栏一并填写。</w:t>
      </w:r>
      <w:r>
        <w:rPr>
          <w:rFonts w:hint="eastAsia" w:ascii="宋体" w:hAnsi="宋体" w:eastAsia="宋体" w:cs="宋体"/>
          <w:color w:val="000000"/>
          <w:sz w:val="24"/>
          <w:szCs w:val="24"/>
          <w:highlight w:val="none"/>
        </w:rPr>
      </w:r>
      <w:r/>
    </w:p>
    <w:p>
      <w:pPr>
        <w:pStyle w:val="1017"/>
        <w:spacing w:before="30" w:after="3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2.生产厂名与厂址应与生产厂营业执照载明的相关信息保持一致。</w:t>
      </w:r>
      <w:r>
        <w:rPr>
          <w:rFonts w:hint="eastAsia" w:ascii="宋体" w:hAnsi="宋体" w:eastAsia="宋体" w:cs="宋体"/>
          <w:color w:val="000000"/>
          <w:sz w:val="24"/>
          <w:szCs w:val="24"/>
          <w:highlight w:val="none"/>
        </w:rPr>
      </w:r>
      <w:r/>
    </w:p>
    <w:p>
      <w:pPr>
        <w:pStyle w:val="1017"/>
        <w:spacing w:before="30" w:after="3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3.该产品的中国境内生产的组件成本占比相关要求实施前，“规定比例”栏可不填，下同。</w:t>
      </w:r>
      <w:r>
        <w:rPr>
          <w:rFonts w:hint="eastAsia" w:ascii="宋体" w:hAnsi="宋体" w:eastAsia="宋体" w:cs="宋体"/>
          <w:color w:val="000000"/>
          <w:sz w:val="24"/>
          <w:szCs w:val="24"/>
          <w:highlight w:val="none"/>
        </w:rPr>
      </w:r>
      <w:r/>
    </w:p>
    <w:p>
      <w:pPr>
        <w:pStyle w:val="1017"/>
        <w:spacing w:before="30" w:after="3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4.该产品的关键组件要求实施前，“关键组件”栏可不填，下同。</w:t>
      </w:r>
      <w:r>
        <w:rPr>
          <w:rFonts w:hint="eastAsia" w:ascii="宋体" w:hAnsi="宋体" w:eastAsia="宋体" w:cs="宋体"/>
          <w:color w:val="000000"/>
          <w:sz w:val="24"/>
          <w:szCs w:val="24"/>
          <w:highlight w:val="none"/>
        </w:rPr>
      </w:r>
      <w:r/>
    </w:p>
    <w:p>
      <w:pPr>
        <w:pStyle w:val="1017"/>
        <w:spacing w:before="30" w:after="30"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5.该产品的关键工序要求实施前，“关键工序”栏可不填，下同。</w:t>
      </w:r>
      <w:r>
        <w:rPr>
          <w:rFonts w:hint="eastAsia" w:ascii="宋体" w:hAnsi="宋体" w:eastAsia="宋体" w:cs="宋体"/>
          <w:color w:val="000000"/>
          <w:sz w:val="24"/>
          <w:szCs w:val="24"/>
          <w:highlight w:val="none"/>
          <w:shd w:val="clear" w:color="auto" w:fill="ffffff"/>
        </w:rPr>
      </w:r>
      <w:r/>
    </w:p>
    <w:p>
      <w:pPr>
        <w:pStyle w:val="945"/>
        <w:jc w:val="left"/>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6.用斜线划除的地方无需填写。</w:t>
      </w:r>
      <w:r>
        <w:rPr>
          <w:rFonts w:hint="eastAsia" w:ascii="宋体" w:hAnsi="宋体" w:eastAsia="宋体" w:cs="宋体"/>
          <w:color w:val="000000"/>
          <w:sz w:val="24"/>
          <w:szCs w:val="24"/>
          <w:highlight w:val="none"/>
          <w:shd w:val="clear" w:color="auto" w:fill="ffffff"/>
        </w:rPr>
      </w:r>
      <w:r/>
    </w:p>
    <w:p>
      <w:pPr>
        <w:pStyle w:val="945"/>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b/>
          <w:color w:val="000000"/>
          <w:sz w:val="24"/>
          <w:szCs w:val="24"/>
          <w:highlight w:val="none"/>
        </w:rPr>
        <w:t xml:space="preserve">第四章 采购需求</w:t>
      </w:r>
      <w:r>
        <w:rPr>
          <w:rFonts w:hint="eastAsia" w:ascii="宋体" w:hAnsi="宋体" w:eastAsia="宋体" w:cs="宋体"/>
          <w:bCs/>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bookmarkStart w:id="8" w:name="_Toc13642116"/>
      <w:r>
        <w:rPr>
          <w:rFonts w:hint="eastAsia" w:ascii="宋体" w:hAnsi="宋体" w:eastAsia="宋体" w:cs="宋体"/>
          <w:bCs/>
          <w:color w:val="000000"/>
          <w:sz w:val="24"/>
          <w:szCs w:val="24"/>
          <w:highlight w:val="none"/>
        </w:rPr>
        <w:t xml:space="preserve">苏州正杰招投标咨询服务有限公司受</w:t>
      </w:r>
      <w:r>
        <w:rPr>
          <w:rFonts w:hint="eastAsia" w:ascii="宋体" w:hAnsi="宋体" w:eastAsia="宋体" w:cs="宋体"/>
          <w:bCs/>
          <w:color w:val="000000"/>
          <w:sz w:val="24"/>
          <w:szCs w:val="24"/>
          <w:highlight w:val="none"/>
          <w:lang w:eastAsia="zh-CN"/>
        </w:rPr>
        <w:t xml:space="preserve">苏州市体育监管保障中心</w:t>
      </w:r>
      <w:r>
        <w:rPr>
          <w:rFonts w:hint="eastAsia" w:ascii="宋体" w:hAnsi="宋体" w:eastAsia="宋体" w:cs="宋体"/>
          <w:bCs/>
          <w:color w:val="000000"/>
          <w:sz w:val="24"/>
          <w:szCs w:val="24"/>
          <w:highlight w:val="none"/>
        </w:rPr>
        <w:t xml:space="preserve">的委托，就其所需的</w:t>
      </w:r>
      <w:r>
        <w:rPr>
          <w:rFonts w:hint="eastAsia" w:ascii="宋体" w:hAnsi="宋体" w:eastAsia="宋体" w:cs="宋体"/>
          <w:color w:val="000000"/>
          <w:sz w:val="24"/>
          <w:szCs w:val="24"/>
          <w:highlight w:val="none"/>
          <w:lang w:eastAsia="zh-CN"/>
        </w:rPr>
        <w:t xml:space="preserve">苏州市体育监管保障中心专项仪器购置</w:t>
      </w:r>
      <w:r>
        <w:rPr>
          <w:rFonts w:hint="eastAsia" w:ascii="宋体" w:hAnsi="宋体" w:eastAsia="宋体" w:cs="宋体"/>
          <w:color w:val="000000"/>
          <w:sz w:val="24"/>
          <w:szCs w:val="24"/>
          <w:highlight w:val="none"/>
        </w:rPr>
        <w:t xml:space="preserve">项目</w:t>
      </w:r>
      <w:r>
        <w:rPr>
          <w:rFonts w:hint="eastAsia" w:ascii="宋体" w:hAnsi="宋体" w:eastAsia="宋体" w:cs="宋体"/>
          <w:bCs/>
          <w:color w:val="000000"/>
          <w:sz w:val="24"/>
          <w:szCs w:val="24"/>
          <w:highlight w:val="none"/>
        </w:rPr>
        <w:t xml:space="preserve">以竞争性磋商方式组织政府采购，欢迎符合条件的供应商参加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一、项目编号：</w:t>
      </w:r>
      <w:r>
        <w:rPr>
          <w:rFonts w:hint="eastAsia" w:ascii="宋体" w:hAnsi="宋体" w:eastAsia="宋体" w:cs="宋体"/>
          <w:b/>
          <w:bCs/>
          <w:color w:val="000000"/>
          <w:sz w:val="24"/>
          <w:szCs w:val="24"/>
          <w:highlight w:val="none"/>
          <w:lang w:eastAsia="zh-CN"/>
        </w:rPr>
        <w:t xml:space="preserve">JSZC-320500-SZZJ-C2026-0015</w:t>
      </w:r>
      <w:r>
        <w:rPr>
          <w:rFonts w:hint="eastAsia" w:ascii="宋体" w:hAnsi="宋体" w:eastAsia="宋体" w:cs="宋体"/>
          <w:b/>
          <w:bCs/>
          <w:color w:val="000000"/>
          <w:sz w:val="24"/>
          <w:szCs w:val="24"/>
          <w:highlight w:val="none"/>
        </w:rPr>
        <w:t xml:space="preserve">号。</w:t>
      </w:r>
      <w:r>
        <w:rPr>
          <w:rFonts w:hint="eastAsia" w:ascii="宋体" w:hAnsi="宋体" w:eastAsia="宋体" w:cs="宋体"/>
          <w:b/>
          <w:bCs/>
          <w:color w:val="000000"/>
          <w:sz w:val="24"/>
          <w:szCs w:val="24"/>
          <w:highlight w:val="none"/>
        </w:rPr>
      </w:r>
      <w:r/>
    </w:p>
    <w:p>
      <w:pPr>
        <w:pStyle w:val="945"/>
        <w:ind w:firstLine="472"/>
        <w:spacing w:line="360" w:lineRule="auto"/>
        <w:rPr>
          <w:rFonts w:hint="eastAsia" w:ascii="宋体" w:hAnsi="宋体" w:eastAsia="宋体" w:cs="宋体"/>
          <w:b/>
          <w:bCs/>
          <w:color w:val="000000"/>
          <w:sz w:val="24"/>
          <w:szCs w:val="24"/>
          <w:highlight w:val="none"/>
        </w:rPr>
      </w:pPr>
      <w:r/>
      <w:bookmarkEnd w:id="8"/>
      <w:r>
        <w:rPr>
          <w:rFonts w:hint="eastAsia" w:ascii="宋体" w:hAnsi="宋体" w:eastAsia="宋体" w:cs="宋体"/>
          <w:b/>
          <w:bCs/>
          <w:color w:val="000000"/>
          <w:sz w:val="24"/>
          <w:szCs w:val="24"/>
          <w:highlight w:val="none"/>
        </w:rPr>
        <w:t xml:space="preserve">二、采购需求：</w:t>
      </w:r>
      <w:r>
        <w:rPr>
          <w:rFonts w:hint="eastAsia" w:ascii="宋体" w:hAnsi="宋体" w:eastAsia="宋体" w:cs="宋体"/>
          <w:b/>
          <w:bCs/>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项目概述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原体科所部分医疗专业器械及其他相关专项设备已将近或超过医疗许可使用期，严重不符合《医疗器械监督管理条例》中医疗器械相关使用规定，需进行更新购置，以避免因违规受到相应处罚。另外，2026年为江苏省第21届省运会比赛年，市运动员的训练强度与频次显著增加，运动损伤风险随之上升，现有设备已难以满足运动队的快速恢复需求及精细化损伤评估以及治疗。</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实验室需要购置运动队训练、备战省运会等比赛需要的专项监控仪器设备，为各运动队提供数据化分析，提高机能监控工作效率和数据准确性，优化科研工作。</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训练监控需进一步购置相关力量训练检测仪器，实现精准强度调控，较传统经验训练效率提升30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以上，有助于运动队的训练、备战工作针对性开展。</w:t>
      </w:r>
      <w:r>
        <w:rPr>
          <w:rFonts w:hint="eastAsia" w:ascii="宋体" w:hAnsi="宋体" w:eastAsia="宋体" w:cs="宋体"/>
          <w:color w:val="000000"/>
          <w:sz w:val="24"/>
          <w:szCs w:val="24"/>
          <w:highlight w:val="none"/>
        </w:rPr>
      </w:r>
      <w:r/>
    </w:p>
    <w:p>
      <w:pPr>
        <w:pStyle w:val="945"/>
        <w:ind w:firstLine="480"/>
        <w:spacing w:line="360" w:lineRule="auto"/>
        <w:rPr>
          <w:color w:val="000000"/>
          <w:highlight w:val="none"/>
        </w:rPr>
      </w:pPr>
      <w:r>
        <w:rPr>
          <w:rFonts w:hint="eastAsia" w:ascii="宋体" w:hAnsi="宋体" w:eastAsia="宋体" w:cs="宋体"/>
          <w:color w:val="000000"/>
          <w:sz w:val="24"/>
          <w:szCs w:val="24"/>
          <w:highlight w:val="none"/>
        </w:rPr>
        <w:t xml:space="preserve">提升竞技保障能力：采购国内领先的机能监控、训练评估与康复治疗设备，为运动员科学训练提供保障，通过数字化监控评估设备，建立运动员身体机能数据库，为教练组提供量化依据，实现科学化训练。康复治疗设备为受伤运动员重返赛场进行治疗与康复，直接关系到运动员的运动寿命和比赛成绩。</w:t>
      </w:r>
      <w:r>
        <w:rPr>
          <w:color w:val="000000"/>
          <w:highlight w:val="none"/>
        </w:rPr>
      </w:r>
      <w:r/>
    </w:p>
    <w:p>
      <w:pPr>
        <w:pStyle w:val="945"/>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第一标段：</w:t>
      </w:r>
      <w:r>
        <w:rPr>
          <w:rFonts w:hint="eastAsia" w:ascii="宋体" w:hAnsi="宋体" w:eastAsia="宋体" w:cs="宋体"/>
          <w:b/>
          <w:bCs/>
          <w:color w:val="000000"/>
          <w:sz w:val="24"/>
          <w:szCs w:val="24"/>
          <w:highlight w:val="none"/>
          <w:lang w:eastAsia="zh-CN"/>
        </w:rPr>
        <w:t xml:space="preserve">理疗设备</w:t>
      </w:r>
      <w:r>
        <w:rPr>
          <w:rFonts w:hint="eastAsia" w:ascii="宋体" w:hAnsi="宋体" w:eastAsia="宋体" w:cs="宋体"/>
          <w:b/>
          <w:bCs/>
          <w:color w:val="000000"/>
          <w:sz w:val="24"/>
          <w:szCs w:val="24"/>
          <w:highlight w:val="none"/>
        </w:rPr>
        <w:t xml:space="preserve">、机能监控设备、训练评估设备，采购清单：</w:t>
      </w:r>
      <w:r>
        <w:rPr>
          <w:rFonts w:hint="eastAsia" w:ascii="宋体" w:hAnsi="宋体" w:eastAsia="宋体" w:cs="宋体"/>
          <w:b/>
          <w:bCs/>
          <w:color w:val="000000"/>
          <w:sz w:val="24"/>
          <w:szCs w:val="24"/>
          <w:highlight w:val="none"/>
        </w:rPr>
      </w:r>
      <w:r/>
    </w:p>
    <w:tbl>
      <w:tblPr>
        <w:tblW w:w="9405"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12"/>
        <w:gridCol w:w="1861"/>
        <w:gridCol w:w="811"/>
        <w:gridCol w:w="4912"/>
        <w:gridCol w:w="1009"/>
      </w:tblGrid>
      <w:tr>
        <w:trPr>
          <w:trHeight w:val="136"/>
        </w:trPr>
        <w:tc>
          <w:tcPr>
            <w:gridSpan w:val="4"/>
            <w:tcBorders>
              <w:top w:val="single" w:color="000000" w:sz="4" w:space="0"/>
              <w:left w:val="single" w:color="000000" w:sz="4" w:space="0"/>
              <w:bottom w:val="single" w:color="000000" w:sz="4" w:space="0"/>
              <w:right w:val="single" w:color="000000" w:sz="4" w:space="0"/>
            </w:tcBorders>
            <w:tcW w:w="8396" w:type="dxa"/>
            <w:vAlign w:val="center"/>
            <w:textDirection w:val="lrTb"/>
            <w:noWrap w:val="false"/>
          </w:tcPr>
          <w:p>
            <w:pPr>
              <w:pStyle w:val="945"/>
              <w:spacing w:line="240" w:lineRule="auto"/>
              <w:widowControl/>
              <w:rPr>
                <w:rFonts w:hint="eastAsia" w:ascii="宋体" w:hAnsi="宋体" w:eastAsia="宋体" w:cs="宋体"/>
                <w:b/>
                <w:bCs/>
                <w:color w:val="000000"/>
                <w:sz w:val="28"/>
                <w:szCs w:val="28"/>
                <w:highlight w:val="none"/>
                <w:lang w:eastAsia="zh-CN" w:bidi="ar"/>
              </w:rPr>
            </w:pPr>
            <w:r>
              <w:rPr>
                <w:rFonts w:hint="eastAsia" w:ascii="宋体" w:hAnsi="宋体" w:eastAsia="宋体" w:cs="宋体"/>
                <w:color w:val="000000"/>
                <w:sz w:val="28"/>
                <w:szCs w:val="28"/>
                <w:highlight w:val="none"/>
                <w:lang w:eastAsia="zh-CN"/>
              </w:rPr>
              <w:t xml:space="preserve">理疗设备</w:t>
            </w:r>
            <w:r>
              <w:rPr>
                <w:rFonts w:hint="eastAsia" w:ascii="宋体" w:hAnsi="宋体" w:eastAsia="宋体" w:cs="宋体"/>
                <w:b/>
                <w:bCs/>
                <w:color w:val="000000"/>
                <w:sz w:val="28"/>
                <w:szCs w:val="28"/>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945"/>
              <w:jc w:val="center"/>
              <w:spacing w:line="240" w:lineRule="auto"/>
              <w:widowControl/>
              <w:rPr>
                <w:rFonts w:hint="eastAsia" w:ascii="宋体" w:hAnsi="宋体" w:eastAsia="宋体" w:cs="宋体"/>
                <w:b/>
                <w:bCs/>
                <w:color w:val="000000"/>
                <w:sz w:val="28"/>
                <w:szCs w:val="28"/>
                <w:highlight w:val="none"/>
                <w:lang w:bidi="ar"/>
              </w:rPr>
            </w:pPr>
            <w:r>
              <w:rPr>
                <w:rFonts w:hint="eastAsia" w:ascii="宋体" w:hAnsi="宋体" w:eastAsia="宋体" w:cs="宋体"/>
                <w:b/>
                <w:bCs/>
                <w:color w:val="000000"/>
                <w:sz w:val="28"/>
                <w:szCs w:val="28"/>
                <w:highlight w:val="none"/>
                <w:lang w:bidi="ar"/>
              </w:rPr>
            </w:r>
            <w:r/>
          </w:p>
        </w:tc>
      </w:tr>
      <w:tr>
        <w:trPr>
          <w:trHeight w:val="90"/>
        </w:trPr>
        <w:tc>
          <w:tcPr>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pStyle w:val="945"/>
              <w:jc w:val="center"/>
              <w:spacing w:line="24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序号</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pStyle w:val="945"/>
              <w:jc w:val="center"/>
              <w:spacing w:line="24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设备名称</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pStyle w:val="945"/>
              <w:jc w:val="center"/>
              <w:spacing w:line="240" w:lineRule="auto"/>
              <w:widowControl/>
              <w:rPr>
                <w:rFonts w:hint="eastAsia" w:ascii="宋体" w:hAnsi="宋体" w:eastAsia="宋体" w:cs="宋体"/>
                <w:b/>
                <w:bCs/>
                <w:color w:val="000000"/>
                <w:sz w:val="21"/>
                <w:szCs w:val="21"/>
                <w:highlight w:val="none"/>
                <w:lang w:bidi="ar"/>
              </w:rPr>
            </w:pPr>
            <w:r>
              <w:rPr>
                <w:rFonts w:hint="eastAsia" w:ascii="宋体" w:hAnsi="宋体" w:eastAsia="宋体" w:cs="宋体"/>
                <w:b/>
                <w:bCs/>
                <w:color w:val="000000"/>
                <w:sz w:val="21"/>
                <w:szCs w:val="21"/>
                <w:highlight w:val="none"/>
                <w:lang w:bidi="ar"/>
              </w:rPr>
              <w:t xml:space="preserve">数量</w:t>
            </w: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912" w:type="dxa"/>
            <w:vAlign w:val="center"/>
            <w:textDirection w:val="lrTb"/>
            <w:noWrap w:val="false"/>
          </w:tcPr>
          <w:p>
            <w:pPr>
              <w:pStyle w:val="945"/>
              <w:jc w:val="center"/>
              <w:spacing w:line="240" w:lineRule="auto"/>
              <w:widowControl/>
              <w:rPr>
                <w:rFonts w:hint="eastAsia" w:ascii="宋体" w:hAnsi="宋体" w:eastAsia="宋体" w:cs="宋体"/>
                <w:b/>
                <w:bCs/>
                <w:color w:val="000000"/>
                <w:sz w:val="21"/>
                <w:szCs w:val="21"/>
                <w:highlight w:val="none"/>
                <w:lang w:bidi="ar"/>
              </w:rPr>
            </w:pPr>
            <w:r>
              <w:rPr>
                <w:rFonts w:hint="eastAsia" w:ascii="宋体" w:hAnsi="宋体" w:eastAsia="宋体" w:cs="宋体"/>
                <w:b/>
                <w:bCs/>
                <w:color w:val="000000"/>
                <w:sz w:val="21"/>
                <w:szCs w:val="21"/>
                <w:highlight w:val="none"/>
              </w:rPr>
              <w:t xml:space="preserve">技术参数</w:t>
            </w: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945"/>
              <w:jc w:val="center"/>
              <w:spacing w:line="240" w:lineRule="auto"/>
              <w:widowControl/>
              <w:rPr>
                <w:rFonts w:hint="eastAsia" w:ascii="宋体" w:hAnsi="宋体" w:eastAsia="宋体" w:cs="宋体"/>
                <w:b/>
                <w:bCs/>
                <w:color w:val="000000"/>
                <w:sz w:val="21"/>
                <w:szCs w:val="21"/>
                <w:highlight w:val="none"/>
                <w:lang w:bidi="ar"/>
              </w:rPr>
            </w:pPr>
            <w:r>
              <w:rPr>
                <w:rFonts w:hint="eastAsia" w:ascii="宋体" w:hAnsi="宋体" w:eastAsia="宋体" w:cs="宋体"/>
                <w:b/>
                <w:bCs/>
                <w:color w:val="000000"/>
                <w:sz w:val="21"/>
                <w:szCs w:val="21"/>
                <w:highlight w:val="none"/>
                <w:lang w:bidi="ar"/>
              </w:rPr>
              <w:t xml:space="preserve">备注</w:t>
            </w:r>
            <w:r>
              <w:rPr>
                <w:rFonts w:hint="eastAsia" w:ascii="宋体" w:hAnsi="宋体" w:eastAsia="宋体" w:cs="宋体"/>
                <w:b/>
                <w:bCs/>
                <w:color w:val="000000"/>
                <w:sz w:val="21"/>
                <w:szCs w:val="21"/>
                <w:highlight w:val="none"/>
                <w:lang w:bidi="ar"/>
              </w:rPr>
            </w:r>
            <w:r/>
          </w:p>
        </w:tc>
      </w:tr>
      <w:tr>
        <w:trPr>
          <w:trHeight w:val="1058"/>
        </w:trPr>
        <w:tc>
          <w:tcPr>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pStyle w:val="945"/>
              <w:ind w:left="425" w:hanging="425"/>
              <w:jc w:val="center"/>
              <w:spacing w:line="24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pStyle w:val="945"/>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温热牵引床</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pStyle w:val="945"/>
              <w:jc w:val="center"/>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2套</w:t>
            </w: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912" w:type="dxa"/>
            <w:vAlign w:val="center"/>
            <w:textDirection w:val="lrTb"/>
            <w:noWrap w:val="false"/>
          </w:tcPr>
          <w:p>
            <w:pPr>
              <w:pStyle w:val="977"/>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1、电源电压：220V,50Hz。</w:t>
            </w:r>
            <w:r>
              <w:rPr>
                <w:rFonts w:hint="eastAsia" w:ascii="宋体" w:hAnsi="宋体" w:eastAsia="宋体" w:cs="宋体"/>
                <w:color w:val="000000"/>
                <w:sz w:val="21"/>
                <w:szCs w:val="21"/>
                <w:highlight w:val="none"/>
                <w:lang w:bidi="ar"/>
              </w:rPr>
            </w:r>
            <w:r/>
          </w:p>
          <w:p>
            <w:pPr>
              <w:pStyle w:val="977"/>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2、额定输入功率：100VA,允差±15%。</w:t>
            </w:r>
            <w:r>
              <w:rPr>
                <w:rFonts w:hint="eastAsia" w:ascii="宋体" w:hAnsi="宋体" w:eastAsia="宋体" w:cs="宋体"/>
                <w:color w:val="000000"/>
                <w:sz w:val="21"/>
                <w:szCs w:val="21"/>
                <w:highlight w:val="none"/>
                <w:lang w:bidi="ar"/>
              </w:rPr>
            </w:r>
            <w:r/>
          </w:p>
          <w:p>
            <w:pPr>
              <w:pStyle w:val="977"/>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3、腰椎牵引行程：0～200mm,允差±10mm。</w:t>
            </w:r>
            <w:r>
              <w:rPr>
                <w:rFonts w:hint="eastAsia" w:ascii="宋体" w:hAnsi="宋体" w:eastAsia="宋体" w:cs="宋体"/>
                <w:color w:val="000000"/>
                <w:sz w:val="21"/>
                <w:szCs w:val="21"/>
                <w:highlight w:val="none"/>
                <w:lang w:bidi="ar"/>
              </w:rPr>
            </w:r>
            <w:r/>
          </w:p>
          <w:p>
            <w:pPr>
              <w:pStyle w:val="977"/>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4、腰椎牵引总时间：0～99min,级差1min,允差不大于30s。</w:t>
            </w:r>
            <w:r>
              <w:rPr>
                <w:rFonts w:hint="eastAsia" w:ascii="宋体" w:hAnsi="宋体" w:eastAsia="宋体" w:cs="宋体"/>
                <w:color w:val="000000"/>
                <w:sz w:val="21"/>
                <w:szCs w:val="21"/>
                <w:highlight w:val="none"/>
                <w:lang w:bidi="ar"/>
              </w:rPr>
            </w:r>
            <w:r/>
          </w:p>
          <w:p>
            <w:pPr>
              <w:pStyle w:val="977"/>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5、腰椎牵引力：0～990N,级差10N。</w:t>
            </w:r>
            <w:r>
              <w:rPr>
                <w:rFonts w:hint="eastAsia" w:ascii="宋体" w:hAnsi="宋体" w:eastAsia="宋体" w:cs="宋体"/>
                <w:color w:val="000000"/>
                <w:sz w:val="21"/>
                <w:szCs w:val="21"/>
                <w:highlight w:val="none"/>
                <w:lang w:bidi="ar"/>
              </w:rPr>
            </w:r>
            <w:r/>
          </w:p>
          <w:p>
            <w:pPr>
              <w:pStyle w:val="977"/>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6、牵引时间：0～9min,级差1min,误差不大于30s。</w:t>
            </w:r>
            <w:r>
              <w:rPr>
                <w:rFonts w:hint="eastAsia" w:ascii="宋体" w:hAnsi="宋体" w:eastAsia="宋体" w:cs="宋体"/>
                <w:color w:val="000000"/>
                <w:sz w:val="21"/>
                <w:szCs w:val="21"/>
                <w:highlight w:val="none"/>
                <w:lang w:bidi="ar"/>
              </w:rPr>
            </w:r>
            <w:r/>
          </w:p>
          <w:p>
            <w:pPr>
              <w:pStyle w:val="977"/>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7、间歇时间：0～9min,级差1min,误差不大于30s。</w:t>
            </w:r>
            <w:r>
              <w:rPr>
                <w:rFonts w:hint="eastAsia" w:ascii="宋体" w:hAnsi="宋体" w:eastAsia="宋体" w:cs="宋体"/>
                <w:color w:val="000000"/>
                <w:sz w:val="21"/>
                <w:szCs w:val="21"/>
                <w:highlight w:val="none"/>
                <w:lang w:bidi="ar"/>
              </w:rPr>
            </w:r>
            <w:r/>
          </w:p>
          <w:p>
            <w:pPr>
              <w:pStyle w:val="977"/>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8、颈椎牵引力：0～300N,级差10N。</w:t>
            </w:r>
            <w:r>
              <w:rPr>
                <w:rFonts w:hint="eastAsia" w:ascii="宋体" w:hAnsi="宋体" w:eastAsia="宋体" w:cs="宋体"/>
                <w:color w:val="000000"/>
                <w:sz w:val="21"/>
                <w:szCs w:val="21"/>
                <w:highlight w:val="none"/>
                <w:lang w:bidi="ar"/>
              </w:rPr>
            </w:r>
            <w:r/>
          </w:p>
          <w:p>
            <w:pPr>
              <w:pStyle w:val="977"/>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9、颈椎牵引行程：0～300mm,允差±10mm。</w:t>
            </w:r>
            <w:r>
              <w:rPr>
                <w:rFonts w:hint="eastAsia" w:ascii="宋体" w:hAnsi="宋体" w:eastAsia="宋体" w:cs="宋体"/>
                <w:color w:val="000000"/>
                <w:sz w:val="21"/>
                <w:szCs w:val="21"/>
                <w:highlight w:val="none"/>
                <w:lang w:bidi="ar"/>
              </w:rPr>
            </w:r>
            <w:r/>
          </w:p>
          <w:p>
            <w:pPr>
              <w:pStyle w:val="977"/>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10、颈椎牵引总时间：0～99min,级差1min,允差不大于30s。</w:t>
            </w:r>
            <w:r>
              <w:rPr>
                <w:rFonts w:hint="eastAsia" w:ascii="宋体" w:hAnsi="宋体" w:eastAsia="宋体" w:cs="宋体"/>
                <w:color w:val="000000"/>
                <w:sz w:val="21"/>
                <w:szCs w:val="21"/>
                <w:highlight w:val="none"/>
                <w:lang w:bidi="ar"/>
              </w:rPr>
            </w:r>
            <w:r/>
          </w:p>
          <w:p>
            <w:pPr>
              <w:pStyle w:val="977"/>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11、成角动作范围：-10°~+30°,允差±2°。</w:t>
            </w:r>
            <w:r>
              <w:rPr>
                <w:rFonts w:hint="eastAsia" w:ascii="宋体" w:hAnsi="宋体" w:eastAsia="宋体" w:cs="宋体"/>
                <w:color w:val="000000"/>
                <w:sz w:val="21"/>
                <w:szCs w:val="21"/>
                <w:highlight w:val="none"/>
                <w:lang w:bidi="ar"/>
              </w:rPr>
            </w:r>
            <w:r/>
          </w:p>
          <w:p>
            <w:pPr>
              <w:pStyle w:val="977"/>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12、旋转动作范围：左右各25°,允差±2°。</w:t>
            </w:r>
            <w:r>
              <w:rPr>
                <w:rFonts w:hint="eastAsia" w:ascii="宋体" w:hAnsi="宋体" w:eastAsia="宋体" w:cs="宋体"/>
                <w:color w:val="000000"/>
                <w:sz w:val="21"/>
                <w:szCs w:val="21"/>
                <w:highlight w:val="none"/>
                <w:lang w:bidi="ar"/>
              </w:rPr>
            </w:r>
            <w:r/>
          </w:p>
          <w:p>
            <w:pPr>
              <w:pStyle w:val="977"/>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13、腰部热疗加热温度45℃,允差±3℃,超过45℃超温保护装置启动，避免烫伤患者。</w:t>
            </w:r>
            <w:r>
              <w:rPr>
                <w:rFonts w:hint="eastAsia" w:ascii="宋体" w:hAnsi="宋体" w:eastAsia="宋体" w:cs="宋体"/>
                <w:color w:val="000000"/>
                <w:sz w:val="21"/>
                <w:szCs w:val="21"/>
                <w:highlight w:val="none"/>
                <w:lang w:bidi="ar"/>
              </w:rPr>
            </w:r>
            <w:r/>
          </w:p>
          <w:p>
            <w:pPr>
              <w:pStyle w:val="977"/>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▲14、三维立体牵引，可做平面纵向牵引、上成角牵引、下成角牵引、自动旋转侧扳牵引，上述三种功能可单独使用，也可组合使用。</w:t>
            </w:r>
            <w:r>
              <w:rPr>
                <w:rFonts w:hint="eastAsia" w:ascii="宋体" w:hAnsi="宋体" w:eastAsia="宋体" w:cs="宋体"/>
                <w:color w:val="000000"/>
                <w:sz w:val="21"/>
                <w:szCs w:val="21"/>
                <w:highlight w:val="none"/>
                <w:lang w:bidi="ar"/>
              </w:rPr>
            </w:r>
            <w:r/>
          </w:p>
          <w:p>
            <w:pPr>
              <w:pStyle w:val="977"/>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15、腰椎牵引具有不少于8种牵引模式，牵引力自动补偿功能。</w:t>
            </w:r>
            <w:r>
              <w:rPr>
                <w:rFonts w:hint="eastAsia" w:ascii="宋体" w:hAnsi="宋体" w:eastAsia="宋体" w:cs="宋体"/>
                <w:color w:val="000000"/>
                <w:sz w:val="21"/>
                <w:szCs w:val="21"/>
                <w:highlight w:val="none"/>
                <w:lang w:bidi="ar"/>
              </w:rPr>
            </w:r>
            <w:r/>
          </w:p>
          <w:p>
            <w:pPr>
              <w:pStyle w:val="977"/>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16、治疗处方：不少于20种存储并读取。</w:t>
            </w:r>
            <w:r>
              <w:rPr>
                <w:rFonts w:hint="eastAsia" w:ascii="宋体" w:hAnsi="宋体" w:eastAsia="宋体" w:cs="宋体"/>
                <w:color w:val="000000"/>
                <w:sz w:val="21"/>
                <w:szCs w:val="21"/>
                <w:highlight w:val="none"/>
                <w:lang w:bidi="ar"/>
              </w:rPr>
            </w:r>
            <w:r/>
          </w:p>
          <w:p>
            <w:pPr>
              <w:pStyle w:val="977"/>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▲17、颈腰椎一体化牵引，可以针对两个患者分别或同时进行颈椎或腰椎牵引。</w:t>
            </w:r>
            <w:r>
              <w:rPr>
                <w:rFonts w:hint="eastAsia" w:ascii="宋体" w:hAnsi="宋体" w:eastAsia="宋体" w:cs="宋体"/>
                <w:color w:val="000000"/>
                <w:sz w:val="21"/>
                <w:szCs w:val="21"/>
                <w:highlight w:val="none"/>
                <w:lang w:bidi="ar"/>
              </w:rPr>
            </w:r>
            <w:r/>
          </w:p>
          <w:p>
            <w:pPr>
              <w:pStyle w:val="977"/>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18、多种安全设计：最大牵引力不小于990N、患者应急线控手柄、医务人员操作急退键。</w:t>
            </w: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945"/>
              <w:jc w:val="center"/>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作为医疗器械管理，提供有效的医疗器械注册证（或备案凭证）</w:t>
            </w:r>
            <w:r>
              <w:rPr>
                <w:rFonts w:hint="eastAsia" w:ascii="宋体" w:hAnsi="宋体" w:eastAsia="宋体" w:cs="宋体"/>
                <w:color w:val="000000"/>
                <w:sz w:val="21"/>
                <w:szCs w:val="21"/>
                <w:highlight w:val="none"/>
                <w:lang w:bidi="ar"/>
              </w:rPr>
            </w:r>
            <w:r/>
          </w:p>
        </w:tc>
      </w:tr>
      <w:tr>
        <w:trPr>
          <w:trHeight w:val="971"/>
        </w:trPr>
        <w:tc>
          <w:tcPr>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pStyle w:val="945"/>
              <w:ind w:left="425" w:hanging="425"/>
              <w:jc w:val="center"/>
              <w:spacing w:line="24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pStyle w:val="945"/>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远红外理疗床</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pStyle w:val="945"/>
              <w:jc w:val="center"/>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1套</w:t>
            </w: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912" w:type="dxa"/>
            <w:vAlign w:val="center"/>
            <w:textDirection w:val="lrTb"/>
            <w:noWrap w:val="false"/>
          </w:tcPr>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1、额定电压：a.c.220V,额定频率：50Hz。</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2、额定输入功率：550VA。</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3、外形尺寸(长宽高):≥2130×780×530mm,允差±10%。</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4、运动小车行程：≥780mm,允差±50mm。</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▲5、集滚动按摩、振动按摩和远红外热疗于一体，</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并采用独特的三十二个按摩轮浮动设计。</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6、滚动按摩范围(长宽)：≥1600×380mm,允差±50mm。</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7、滚动按摩柱运动速度：40～70mm/s。</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8、滚动按摩周期：40s±5s。</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9、治疗时间：1～90min,级差1min,允差±30s.</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10、振动按摩范围(长宽)：≥800×200mm,允差±50mm。</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11、床面均匀承载≥135kg静载荷。</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12、理疗床温度调节范围为：30℃~40℃,允差±5℃。</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13、升温时间：从25℃到40℃,所用时间≤20min。</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14、控制面板：数码显示治疗时间、温度。</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15、具有双重温度保护功能。</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16、整机最大噪音≤55dB(A)。</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▲17、定位按摩功能：可选择不少于全身、上身、颈部、腰部、腿部、下身六个部位进行定位按摩。</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18、具备振动按摩及远红外热疗功能，并可同时使用。</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19、手持式操作遥控器，简捷的模式调整方式。</w:t>
            </w: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945"/>
              <w:jc w:val="center"/>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作为医疗器械管理，提供有效的医疗器械注册证（或备案凭证）</w:t>
            </w:r>
            <w:r>
              <w:rPr>
                <w:rFonts w:hint="eastAsia" w:ascii="宋体" w:hAnsi="宋体" w:eastAsia="宋体" w:cs="宋体"/>
                <w:color w:val="000000"/>
                <w:sz w:val="21"/>
                <w:szCs w:val="21"/>
                <w:highlight w:val="none"/>
                <w:lang w:bidi="ar"/>
              </w:rPr>
            </w:r>
            <w:r/>
          </w:p>
        </w:tc>
      </w:tr>
      <w:tr>
        <w:trPr>
          <w:trHeight w:val="2647"/>
        </w:trPr>
        <w:tc>
          <w:tcPr>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pStyle w:val="945"/>
              <w:ind w:left="425" w:hanging="425"/>
              <w:jc w:val="center"/>
              <w:spacing w:line="24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3.</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pStyle w:val="945"/>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磁振热治疗仪</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pStyle w:val="945"/>
              <w:jc w:val="center"/>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1台</w:t>
            </w: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912" w:type="dxa"/>
            <w:vAlign w:val="center"/>
            <w:textDirection w:val="lrTb"/>
            <w:noWrap w:val="false"/>
          </w:tcPr>
          <w:p>
            <w:pPr>
              <w:pStyle w:val="945"/>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b/>
                <w:bCs/>
                <w:color w:val="000000"/>
                <w:sz w:val="21"/>
                <w:szCs w:val="21"/>
                <w:highlight w:val="none"/>
                <w:lang w:bidi="ar"/>
              </w:rPr>
              <w:t xml:space="preserve">适用范围</w:t>
            </w:r>
            <w:r>
              <w:rPr>
                <w:rFonts w:hint="eastAsia" w:ascii="宋体" w:hAnsi="宋体" w:eastAsia="宋体" w:cs="宋体"/>
                <w:color w:val="000000"/>
                <w:sz w:val="21"/>
                <w:szCs w:val="21"/>
                <w:highlight w:val="none"/>
                <w:lang w:bidi="ar"/>
              </w:rPr>
              <w:t xml:space="preserve">：适用于慢性软组织损伤和颈肩腰腿痛的辅助治疗。</w:t>
            </w:r>
            <w:r>
              <w:rPr>
                <w:rFonts w:hint="eastAsia" w:ascii="宋体" w:hAnsi="宋体" w:eastAsia="宋体" w:cs="宋体"/>
                <w:color w:val="000000"/>
                <w:sz w:val="21"/>
                <w:szCs w:val="21"/>
                <w:highlight w:val="none"/>
                <w:lang w:bidi="ar"/>
              </w:rPr>
            </w:r>
            <w:r/>
          </w:p>
          <w:p>
            <w:pPr>
              <w:pStyle w:val="945"/>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b/>
                <w:bCs/>
                <w:color w:val="000000"/>
                <w:sz w:val="21"/>
                <w:szCs w:val="21"/>
                <w:highlight w:val="none"/>
                <w:lang w:bidi="ar"/>
              </w:rPr>
              <w:t xml:space="preserve">性能参数</w:t>
            </w: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lang w:bidi="ar"/>
              </w:rPr>
            </w:r>
            <w:r/>
          </w:p>
          <w:p>
            <w:pPr>
              <w:pStyle w:val="945"/>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1、采用磁场、振动、温热三种物理因子相结合进行同步治疗；</w:t>
            </w:r>
            <w:r>
              <w:rPr>
                <w:rFonts w:hint="eastAsia" w:ascii="宋体" w:hAnsi="宋体" w:eastAsia="宋体" w:cs="宋体"/>
                <w:color w:val="000000"/>
                <w:sz w:val="21"/>
                <w:szCs w:val="21"/>
                <w:highlight w:val="none"/>
                <w:lang w:bidi="ar"/>
              </w:rPr>
            </w:r>
            <w:r/>
          </w:p>
          <w:p>
            <w:pPr>
              <w:pStyle w:val="945"/>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▲2、独立四通道输出，四通道参数可独立调节，可同时治疗四个患者或部位，节约治疗时间提高临床效率。</w:t>
            </w:r>
            <w:r>
              <w:rPr>
                <w:rFonts w:hint="eastAsia" w:ascii="宋体" w:hAnsi="宋体" w:eastAsia="宋体" w:cs="宋体"/>
                <w:color w:val="000000"/>
                <w:sz w:val="21"/>
                <w:szCs w:val="21"/>
                <w:highlight w:val="none"/>
                <w:lang w:bidi="ar"/>
              </w:rPr>
            </w:r>
            <w:r/>
          </w:p>
          <w:p>
            <w:pPr>
              <w:pStyle w:val="945"/>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3、磁场强度：磁感应强度在15mT~45mT的范围内可调，步长为10mT，误差为±10%；</w:t>
            </w:r>
            <w:r>
              <w:rPr>
                <w:rFonts w:hint="eastAsia" w:ascii="宋体" w:hAnsi="宋体" w:eastAsia="宋体" w:cs="宋体"/>
                <w:color w:val="000000"/>
                <w:sz w:val="21"/>
                <w:szCs w:val="21"/>
                <w:highlight w:val="none"/>
                <w:lang w:bidi="ar"/>
              </w:rPr>
            </w:r>
            <w:r/>
          </w:p>
          <w:p>
            <w:pPr>
              <w:pStyle w:val="945"/>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▲4、振动频率：</w:t>
            </w:r>
            <w:r>
              <w:rPr>
                <w:rFonts w:hint="eastAsia" w:ascii="宋体" w:hAnsi="宋体" w:eastAsia="宋体" w:cs="宋体"/>
                <w:color w:val="000000"/>
                <w:sz w:val="21"/>
                <w:szCs w:val="21"/>
                <w:highlight w:val="none"/>
                <w:lang w:bidi="ar"/>
              </w:rPr>
            </w:r>
            <w:r/>
          </w:p>
          <w:p>
            <w:pPr>
              <w:pStyle w:val="945"/>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lang w:bidi="ar"/>
              </w:rPr>
              <w:tab/>
            </w:r>
            <w:r>
              <w:rPr>
                <w:rFonts w:hint="eastAsia" w:ascii="宋体" w:hAnsi="宋体" w:eastAsia="宋体" w:cs="宋体"/>
                <w:color w:val="000000"/>
                <w:sz w:val="21"/>
                <w:szCs w:val="21"/>
                <w:highlight w:val="none"/>
                <w:lang w:bidi="ar"/>
              </w:rPr>
              <w:t xml:space="preserve">单一振动模式：30Hz、40Hz、50Hz、60Hz四种频率可调，误差±2Hz。振动时间2s，振动周期2s、3s、4s、5s可调；</w:t>
            </w:r>
            <w:r>
              <w:rPr>
                <w:rFonts w:hint="eastAsia" w:ascii="宋体" w:hAnsi="宋体" w:eastAsia="宋体" w:cs="宋体"/>
                <w:color w:val="000000"/>
                <w:sz w:val="21"/>
                <w:szCs w:val="21"/>
                <w:highlight w:val="none"/>
                <w:lang w:bidi="ar"/>
              </w:rPr>
            </w:r>
            <w:r/>
          </w:p>
          <w:p>
            <w:pPr>
              <w:pStyle w:val="945"/>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(2)</w:t>
            </w:r>
            <w:r>
              <w:rPr>
                <w:rFonts w:hint="eastAsia" w:ascii="宋体" w:hAnsi="宋体" w:eastAsia="宋体" w:cs="宋体"/>
                <w:color w:val="000000"/>
                <w:sz w:val="21"/>
                <w:szCs w:val="21"/>
                <w:highlight w:val="none"/>
                <w:lang w:bidi="ar"/>
              </w:rPr>
              <w:tab/>
            </w:r>
            <w:r>
              <w:rPr>
                <w:rFonts w:hint="eastAsia" w:ascii="宋体" w:hAnsi="宋体" w:eastAsia="宋体" w:cs="宋体"/>
                <w:color w:val="000000"/>
                <w:sz w:val="21"/>
                <w:szCs w:val="21"/>
                <w:highlight w:val="none"/>
                <w:lang w:bidi="ar"/>
              </w:rPr>
              <w:t xml:space="preserve">多频振动模式：30Hz、40Hz、50Hz、60Hz循环扫引，误差±2Hz。振动时间5s，振动周期10s、12s、14s、16s可调；</w:t>
            </w:r>
            <w:r>
              <w:rPr>
                <w:rFonts w:hint="eastAsia" w:ascii="宋体" w:hAnsi="宋体" w:eastAsia="宋体" w:cs="宋体"/>
                <w:color w:val="000000"/>
                <w:sz w:val="21"/>
                <w:szCs w:val="21"/>
                <w:highlight w:val="none"/>
                <w:lang w:bidi="ar"/>
              </w:rPr>
            </w:r>
            <w:r/>
          </w:p>
          <w:p>
            <w:pPr>
              <w:pStyle w:val="945"/>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5、治疗温度40℃、46℃、52℃、58℃共4级可调，精度：±3℃；</w:t>
            </w:r>
            <w:r>
              <w:rPr>
                <w:rFonts w:hint="eastAsia" w:ascii="宋体" w:hAnsi="宋体" w:eastAsia="宋体" w:cs="宋体"/>
                <w:color w:val="000000"/>
                <w:sz w:val="21"/>
                <w:szCs w:val="21"/>
                <w:highlight w:val="none"/>
                <w:lang w:bidi="ar"/>
              </w:rPr>
            </w:r>
            <w:r/>
          </w:p>
          <w:p>
            <w:pPr>
              <w:pStyle w:val="945"/>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6、颈肩型、标准型、膝肩型三种治疗导子可供选择；</w:t>
            </w:r>
            <w:r>
              <w:rPr>
                <w:rFonts w:hint="eastAsia" w:ascii="宋体" w:hAnsi="宋体" w:eastAsia="宋体" w:cs="宋体"/>
                <w:color w:val="000000"/>
                <w:sz w:val="21"/>
                <w:szCs w:val="21"/>
                <w:highlight w:val="none"/>
                <w:lang w:bidi="ar"/>
              </w:rPr>
            </w:r>
            <w:r/>
          </w:p>
          <w:p>
            <w:pPr>
              <w:pStyle w:val="945"/>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7、无热模式，适用于炎症损伤急性期治疗；</w:t>
            </w:r>
            <w:r>
              <w:rPr>
                <w:rFonts w:hint="eastAsia" w:ascii="宋体" w:hAnsi="宋体" w:eastAsia="宋体" w:cs="宋体"/>
                <w:color w:val="000000"/>
                <w:sz w:val="21"/>
                <w:szCs w:val="21"/>
                <w:highlight w:val="none"/>
                <w:lang w:bidi="ar"/>
              </w:rPr>
            </w:r>
            <w:r/>
          </w:p>
          <w:p>
            <w:pPr>
              <w:pStyle w:val="945"/>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8、软件含有内置处方，具有多种治疗模式不少于10种处方；每种处方又分急性、亚急性、慢性期分别有对应不一样的磁场强度、温度、振动频率参数；</w:t>
            </w:r>
            <w:r>
              <w:rPr>
                <w:rFonts w:hint="eastAsia" w:ascii="宋体" w:hAnsi="宋体" w:eastAsia="宋体" w:cs="宋体"/>
                <w:color w:val="000000"/>
                <w:sz w:val="21"/>
                <w:szCs w:val="21"/>
                <w:highlight w:val="none"/>
                <w:lang w:bidi="ar"/>
              </w:rPr>
            </w:r>
            <w:r/>
          </w:p>
          <w:p>
            <w:pPr>
              <w:pStyle w:val="945"/>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9、治疗时间1～99min可调，以1min为单位设定；</w:t>
            </w:r>
            <w:r>
              <w:rPr>
                <w:rFonts w:hint="eastAsia" w:ascii="宋体" w:hAnsi="宋体" w:eastAsia="宋体" w:cs="宋体"/>
                <w:color w:val="000000"/>
                <w:sz w:val="21"/>
                <w:szCs w:val="21"/>
                <w:highlight w:val="none"/>
                <w:lang w:bidi="ar"/>
              </w:rPr>
            </w:r>
            <w:r/>
          </w:p>
          <w:p>
            <w:pPr>
              <w:pStyle w:val="945"/>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10、输入功率：500VA；</w:t>
            </w:r>
            <w:r>
              <w:rPr>
                <w:rFonts w:hint="eastAsia" w:ascii="宋体" w:hAnsi="宋体" w:eastAsia="宋体" w:cs="宋体"/>
                <w:color w:val="000000"/>
                <w:sz w:val="21"/>
                <w:szCs w:val="21"/>
                <w:highlight w:val="none"/>
                <w:lang w:bidi="ar"/>
              </w:rPr>
            </w:r>
            <w:r/>
          </w:p>
          <w:p>
            <w:pPr>
              <w:pStyle w:val="945"/>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11、具备磁疗开路错误提醒；</w:t>
            </w:r>
            <w:r>
              <w:rPr>
                <w:rFonts w:hint="eastAsia" w:ascii="宋体" w:hAnsi="宋体" w:eastAsia="宋体" w:cs="宋体"/>
                <w:color w:val="000000"/>
                <w:sz w:val="21"/>
                <w:szCs w:val="21"/>
                <w:highlight w:val="none"/>
                <w:lang w:bidi="ar"/>
              </w:rPr>
            </w:r>
            <w:r/>
          </w:p>
          <w:p>
            <w:pPr>
              <w:pStyle w:val="945"/>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12、具有多种安全保护装置：</w:t>
            </w:r>
            <w:r>
              <w:rPr>
                <w:rFonts w:hint="eastAsia" w:ascii="宋体" w:hAnsi="宋体" w:eastAsia="宋体" w:cs="宋体"/>
                <w:color w:val="000000"/>
                <w:sz w:val="21"/>
                <w:szCs w:val="21"/>
                <w:highlight w:val="none"/>
                <w:lang w:bidi="ar"/>
              </w:rPr>
            </w:r>
            <w:r/>
          </w:p>
          <w:p>
            <w:pPr>
              <w:pStyle w:val="945"/>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lang w:bidi="ar"/>
              </w:rPr>
              <w:tab/>
            </w:r>
            <w:r>
              <w:rPr>
                <w:rFonts w:hint="eastAsia" w:ascii="宋体" w:hAnsi="宋体" w:eastAsia="宋体" w:cs="宋体"/>
                <w:color w:val="000000"/>
                <w:sz w:val="21"/>
                <w:szCs w:val="21"/>
                <w:highlight w:val="none"/>
                <w:lang w:bidi="ar"/>
              </w:rPr>
              <w:t xml:space="preserve">输入过流保护装置；</w:t>
            </w:r>
            <w:r>
              <w:rPr>
                <w:rFonts w:hint="eastAsia" w:ascii="宋体" w:hAnsi="宋体" w:eastAsia="宋体" w:cs="宋体"/>
                <w:color w:val="000000"/>
                <w:sz w:val="21"/>
                <w:szCs w:val="21"/>
                <w:highlight w:val="none"/>
                <w:lang w:bidi="ar"/>
              </w:rPr>
            </w:r>
            <w:r/>
          </w:p>
          <w:p>
            <w:pPr>
              <w:pStyle w:val="945"/>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(2)</w:t>
            </w:r>
            <w:r>
              <w:rPr>
                <w:rFonts w:hint="eastAsia" w:ascii="宋体" w:hAnsi="宋体" w:eastAsia="宋体" w:cs="宋体"/>
                <w:color w:val="000000"/>
                <w:sz w:val="21"/>
                <w:szCs w:val="21"/>
                <w:highlight w:val="none"/>
                <w:lang w:bidi="ar"/>
              </w:rPr>
              <w:tab/>
            </w:r>
            <w:r>
              <w:rPr>
                <w:rFonts w:hint="eastAsia" w:ascii="宋体" w:hAnsi="宋体" w:eastAsia="宋体" w:cs="宋体"/>
                <w:color w:val="000000"/>
                <w:sz w:val="21"/>
                <w:szCs w:val="21"/>
                <w:highlight w:val="none"/>
                <w:lang w:bidi="ar"/>
              </w:rPr>
              <w:t xml:space="preserve">输出过流保护装置；</w:t>
            </w:r>
            <w:r>
              <w:rPr>
                <w:rFonts w:hint="eastAsia" w:ascii="宋体" w:hAnsi="宋体" w:eastAsia="宋体" w:cs="宋体"/>
                <w:color w:val="000000"/>
                <w:sz w:val="21"/>
                <w:szCs w:val="21"/>
                <w:highlight w:val="none"/>
                <w:lang w:bidi="ar"/>
              </w:rPr>
            </w:r>
            <w:r/>
          </w:p>
          <w:p>
            <w:pPr>
              <w:pStyle w:val="945"/>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(3)</w:t>
            </w:r>
            <w:r>
              <w:rPr>
                <w:rFonts w:hint="eastAsia" w:ascii="宋体" w:hAnsi="宋体" w:eastAsia="宋体" w:cs="宋体"/>
                <w:color w:val="000000"/>
                <w:sz w:val="21"/>
                <w:szCs w:val="21"/>
                <w:highlight w:val="none"/>
                <w:lang w:bidi="ar"/>
              </w:rPr>
              <w:tab/>
            </w:r>
            <w:r>
              <w:rPr>
                <w:rFonts w:hint="eastAsia" w:ascii="宋体" w:hAnsi="宋体" w:eastAsia="宋体" w:cs="宋体"/>
                <w:color w:val="000000"/>
                <w:sz w:val="21"/>
                <w:szCs w:val="21"/>
                <w:highlight w:val="none"/>
                <w:lang w:bidi="ar"/>
              </w:rPr>
              <w:t xml:space="preserve">双重过温度保护装置。</w:t>
            </w:r>
            <w:r>
              <w:rPr>
                <w:rFonts w:hint="eastAsia" w:ascii="宋体" w:hAnsi="宋体" w:eastAsia="宋体" w:cs="宋体"/>
                <w:color w:val="000000"/>
                <w:sz w:val="21"/>
                <w:szCs w:val="21"/>
                <w:highlight w:val="none"/>
                <w:lang w:bidi="ar"/>
              </w:rPr>
            </w:r>
            <w:r/>
          </w:p>
          <w:p>
            <w:pPr>
              <w:pStyle w:val="945"/>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13、正常工作条件：</w:t>
            </w:r>
            <w:r>
              <w:rPr>
                <w:rFonts w:hint="eastAsia" w:ascii="宋体" w:hAnsi="宋体" w:eastAsia="宋体" w:cs="宋体"/>
                <w:color w:val="000000"/>
                <w:sz w:val="21"/>
                <w:szCs w:val="21"/>
                <w:highlight w:val="none"/>
                <w:lang w:bidi="ar"/>
              </w:rPr>
            </w:r>
            <w:r/>
          </w:p>
          <w:p>
            <w:pPr>
              <w:pStyle w:val="945"/>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lang w:bidi="ar"/>
              </w:rPr>
              <w:tab/>
            </w:r>
            <w:r>
              <w:rPr>
                <w:rFonts w:hint="eastAsia" w:ascii="宋体" w:hAnsi="宋体" w:eastAsia="宋体" w:cs="宋体"/>
                <w:color w:val="000000"/>
                <w:sz w:val="21"/>
                <w:szCs w:val="21"/>
                <w:highlight w:val="none"/>
                <w:lang w:bidi="ar"/>
              </w:rPr>
              <w:t xml:space="preserve">环境温度范围：5~40℃；</w:t>
            </w:r>
            <w:r>
              <w:rPr>
                <w:rFonts w:hint="eastAsia" w:ascii="宋体" w:hAnsi="宋体" w:eastAsia="宋体" w:cs="宋体"/>
                <w:color w:val="000000"/>
                <w:sz w:val="21"/>
                <w:szCs w:val="21"/>
                <w:highlight w:val="none"/>
                <w:lang w:bidi="ar"/>
              </w:rPr>
            </w:r>
            <w:r/>
          </w:p>
          <w:p>
            <w:pPr>
              <w:pStyle w:val="945"/>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(2)</w:t>
            </w:r>
            <w:r>
              <w:rPr>
                <w:rFonts w:hint="eastAsia" w:ascii="宋体" w:hAnsi="宋体" w:eastAsia="宋体" w:cs="宋体"/>
                <w:color w:val="000000"/>
                <w:sz w:val="21"/>
                <w:szCs w:val="21"/>
                <w:highlight w:val="none"/>
                <w:lang w:bidi="ar"/>
              </w:rPr>
              <w:tab/>
            </w:r>
            <w:r>
              <w:rPr>
                <w:rFonts w:hint="eastAsia" w:ascii="宋体" w:hAnsi="宋体" w:eastAsia="宋体" w:cs="宋体"/>
                <w:color w:val="000000"/>
                <w:sz w:val="21"/>
                <w:szCs w:val="21"/>
                <w:highlight w:val="none"/>
                <w:lang w:bidi="ar"/>
              </w:rPr>
              <w:t xml:space="preserve">相对湿度范围：≤80%；</w:t>
            </w:r>
            <w:r>
              <w:rPr>
                <w:rFonts w:hint="eastAsia" w:ascii="宋体" w:hAnsi="宋体" w:eastAsia="宋体" w:cs="宋体"/>
                <w:color w:val="000000"/>
                <w:sz w:val="21"/>
                <w:szCs w:val="21"/>
                <w:highlight w:val="none"/>
                <w:lang w:bidi="ar"/>
              </w:rPr>
            </w:r>
            <w:r/>
          </w:p>
          <w:p>
            <w:pPr>
              <w:pStyle w:val="945"/>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(3)</w:t>
            </w:r>
            <w:r>
              <w:rPr>
                <w:rFonts w:hint="eastAsia" w:ascii="宋体" w:hAnsi="宋体" w:eastAsia="宋体" w:cs="宋体"/>
                <w:color w:val="000000"/>
                <w:sz w:val="21"/>
                <w:szCs w:val="21"/>
                <w:highlight w:val="none"/>
                <w:lang w:bidi="ar"/>
              </w:rPr>
              <w:tab/>
            </w:r>
            <w:r>
              <w:rPr>
                <w:rFonts w:hint="eastAsia" w:ascii="宋体" w:hAnsi="宋体" w:eastAsia="宋体" w:cs="宋体"/>
                <w:color w:val="000000"/>
                <w:sz w:val="21"/>
                <w:szCs w:val="21"/>
                <w:highlight w:val="none"/>
                <w:lang w:bidi="ar"/>
              </w:rPr>
              <w:t xml:space="preserve">电源：AC220V、50Hz；</w:t>
            </w:r>
            <w:r>
              <w:rPr>
                <w:rFonts w:hint="eastAsia" w:ascii="宋体" w:hAnsi="宋体" w:eastAsia="宋体" w:cs="宋体"/>
                <w:color w:val="000000"/>
                <w:sz w:val="21"/>
                <w:szCs w:val="21"/>
                <w:highlight w:val="none"/>
                <w:lang w:bidi="ar"/>
              </w:rPr>
            </w:r>
            <w:r/>
          </w:p>
          <w:p>
            <w:pPr>
              <w:pStyle w:val="945"/>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(4)</w:t>
            </w:r>
            <w:r>
              <w:rPr>
                <w:rFonts w:hint="eastAsia" w:ascii="宋体" w:hAnsi="宋体" w:eastAsia="宋体" w:cs="宋体"/>
                <w:color w:val="000000"/>
                <w:sz w:val="21"/>
                <w:szCs w:val="21"/>
                <w:highlight w:val="none"/>
                <w:lang w:bidi="ar"/>
              </w:rPr>
              <w:tab/>
            </w:r>
            <w:r>
              <w:rPr>
                <w:rFonts w:hint="eastAsia" w:ascii="宋体" w:hAnsi="宋体" w:eastAsia="宋体" w:cs="宋体"/>
                <w:color w:val="000000"/>
                <w:sz w:val="21"/>
                <w:szCs w:val="21"/>
                <w:highlight w:val="none"/>
                <w:lang w:bidi="ar"/>
              </w:rPr>
              <w:t xml:space="preserve">大气压力范围：86.0kPa～106.0kPa。</w:t>
            </w: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945"/>
              <w:jc w:val="center"/>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作为医疗器械管理，提供有效的医疗器械注册证（或备案凭证）</w:t>
            </w:r>
            <w:r>
              <w:rPr>
                <w:rFonts w:hint="eastAsia" w:ascii="宋体" w:hAnsi="宋体" w:eastAsia="宋体" w:cs="宋体"/>
                <w:color w:val="000000"/>
                <w:sz w:val="21"/>
                <w:szCs w:val="21"/>
                <w:highlight w:val="none"/>
                <w:lang w:bidi="ar"/>
              </w:rPr>
            </w:r>
            <w:r/>
          </w:p>
        </w:tc>
      </w:tr>
      <w:tr>
        <w:trPr>
          <w:trHeight w:val="2362"/>
        </w:trPr>
        <w:tc>
          <w:tcPr>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pStyle w:val="945"/>
              <w:ind w:left="425" w:hanging="425"/>
              <w:jc w:val="center"/>
              <w:spacing w:line="24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4.</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pStyle w:val="945"/>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超声波治疗仪</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pStyle w:val="945"/>
              <w:jc w:val="center"/>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1台</w:t>
            </w: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912" w:type="dxa"/>
            <w:vAlign w:val="center"/>
            <w:textDirection w:val="lrTb"/>
            <w:noWrap/>
          </w:tcPr>
          <w:p>
            <w:pPr>
              <w:pStyle w:val="945"/>
              <w:jc w:val="left"/>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1、适应症范围：适用于人体的颈肩部、腰腹部和四肢部位慢性软组织损伤性疼痛的治疗。</w:t>
            </w:r>
            <w:r>
              <w:rPr>
                <w:rFonts w:hint="eastAsia" w:ascii="宋体" w:hAnsi="宋体" w:eastAsia="宋体" w:cs="宋体"/>
                <w:color w:val="000000"/>
                <w:sz w:val="21"/>
                <w:szCs w:val="21"/>
                <w:highlight w:val="none"/>
                <w:lang w:bidi="ar"/>
              </w:rPr>
            </w:r>
            <w:r/>
          </w:p>
          <w:p>
            <w:pPr>
              <w:pStyle w:val="945"/>
              <w:jc w:val="left"/>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2、彩色液晶显示屏，显示人机交互界面及设备运行参数。</w:t>
            </w:r>
            <w:r>
              <w:rPr>
                <w:rFonts w:hint="eastAsia" w:ascii="宋体" w:hAnsi="宋体" w:eastAsia="宋体" w:cs="宋体"/>
                <w:color w:val="000000"/>
                <w:sz w:val="21"/>
                <w:szCs w:val="21"/>
                <w:highlight w:val="none"/>
                <w:lang w:bidi="ar"/>
              </w:rPr>
            </w:r>
            <w:r/>
          </w:p>
          <w:p>
            <w:pPr>
              <w:pStyle w:val="945"/>
              <w:jc w:val="left"/>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3、配置深部探头可满足组织深部治疗。</w:t>
            </w:r>
            <w:r>
              <w:rPr>
                <w:rFonts w:hint="eastAsia" w:ascii="宋体" w:hAnsi="宋体" w:eastAsia="宋体" w:cs="宋体"/>
                <w:color w:val="000000"/>
                <w:sz w:val="21"/>
                <w:szCs w:val="21"/>
                <w:highlight w:val="none"/>
                <w:lang w:bidi="ar"/>
              </w:rPr>
            </w:r>
            <w:r/>
          </w:p>
          <w:p>
            <w:pPr>
              <w:pStyle w:val="945"/>
              <w:jc w:val="left"/>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▲4、治疗头：采用自聚焦式声场技术，输出端面采用特制透声膜及高分子凝胶填充耦合，提高超声传导效率。</w:t>
            </w:r>
            <w:r>
              <w:rPr>
                <w:rFonts w:hint="eastAsia" w:ascii="宋体" w:hAnsi="宋体" w:eastAsia="宋体" w:cs="宋体"/>
                <w:color w:val="000000"/>
                <w:sz w:val="21"/>
                <w:szCs w:val="21"/>
                <w:highlight w:val="none"/>
                <w:lang w:bidi="ar"/>
              </w:rPr>
            </w:r>
            <w:r/>
          </w:p>
          <w:p>
            <w:pPr>
              <w:pStyle w:val="945"/>
              <w:jc w:val="left"/>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5、桌面型设备，可配备移动式定制推车。</w:t>
            </w:r>
            <w:r>
              <w:rPr>
                <w:rFonts w:hint="eastAsia" w:ascii="宋体" w:hAnsi="宋体" w:eastAsia="宋体" w:cs="宋体"/>
                <w:color w:val="000000"/>
                <w:sz w:val="21"/>
                <w:szCs w:val="21"/>
                <w:highlight w:val="none"/>
                <w:lang w:bidi="ar"/>
              </w:rPr>
            </w:r>
            <w:r/>
          </w:p>
          <w:p>
            <w:pPr>
              <w:pStyle w:val="945"/>
              <w:jc w:val="left"/>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6、声工作频率：≤0.8MHz。</w:t>
            </w:r>
            <w:r>
              <w:rPr>
                <w:rFonts w:hint="eastAsia" w:ascii="宋体" w:hAnsi="宋体" w:eastAsia="宋体" w:cs="宋体"/>
                <w:color w:val="000000"/>
                <w:sz w:val="21"/>
                <w:szCs w:val="21"/>
                <w:highlight w:val="none"/>
                <w:lang w:bidi="ar"/>
              </w:rPr>
            </w:r>
            <w:r/>
          </w:p>
          <w:p>
            <w:pPr>
              <w:pStyle w:val="945"/>
              <w:jc w:val="left"/>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▲7、超声功率：输出声功率≤10W，功率分档调节，输出功率可精确标定。</w:t>
            </w:r>
            <w:r>
              <w:rPr>
                <w:rFonts w:hint="eastAsia" w:ascii="宋体" w:hAnsi="宋体" w:eastAsia="宋体" w:cs="宋体"/>
                <w:color w:val="000000"/>
                <w:sz w:val="21"/>
                <w:szCs w:val="21"/>
                <w:highlight w:val="none"/>
                <w:lang w:bidi="ar"/>
              </w:rPr>
            </w:r>
            <w:r/>
          </w:p>
          <w:p>
            <w:pPr>
              <w:pStyle w:val="945"/>
              <w:jc w:val="left"/>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8、治疗头焦平面距离：5-50mm。</w:t>
            </w:r>
            <w:r>
              <w:rPr>
                <w:rFonts w:hint="eastAsia" w:ascii="宋体" w:hAnsi="宋体" w:eastAsia="宋体" w:cs="宋体"/>
                <w:color w:val="000000"/>
                <w:sz w:val="21"/>
                <w:szCs w:val="21"/>
                <w:highlight w:val="none"/>
                <w:lang w:bidi="ar"/>
              </w:rPr>
            </w:r>
            <w:r/>
          </w:p>
          <w:p>
            <w:pPr>
              <w:pStyle w:val="945"/>
              <w:jc w:val="left"/>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9、治疗时间可调。</w:t>
            </w:r>
            <w:r>
              <w:rPr>
                <w:rFonts w:hint="eastAsia" w:ascii="宋体" w:hAnsi="宋体" w:eastAsia="宋体" w:cs="宋体"/>
                <w:color w:val="000000"/>
                <w:sz w:val="21"/>
                <w:szCs w:val="21"/>
                <w:highlight w:val="none"/>
                <w:lang w:bidi="ar"/>
              </w:rPr>
            </w:r>
            <w:r/>
          </w:p>
          <w:p>
            <w:pPr>
              <w:pStyle w:val="945"/>
              <w:jc w:val="left"/>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10、治疗头超温：治疗头表面的温度≤41℃。</w:t>
            </w:r>
            <w:r>
              <w:rPr>
                <w:rFonts w:hint="eastAsia" w:ascii="宋体" w:hAnsi="宋体" w:eastAsia="宋体" w:cs="宋体"/>
                <w:color w:val="000000"/>
                <w:sz w:val="21"/>
                <w:szCs w:val="21"/>
                <w:highlight w:val="none"/>
                <w:lang w:bidi="ar"/>
              </w:rPr>
            </w:r>
            <w:r/>
          </w:p>
          <w:p>
            <w:pPr>
              <w:pStyle w:val="945"/>
              <w:jc w:val="left"/>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11、调制波形：方波。</w:t>
            </w:r>
            <w:r>
              <w:rPr>
                <w:rFonts w:hint="eastAsia" w:ascii="宋体" w:hAnsi="宋体" w:eastAsia="宋体" w:cs="宋体"/>
                <w:color w:val="000000"/>
                <w:sz w:val="21"/>
                <w:szCs w:val="21"/>
                <w:highlight w:val="none"/>
                <w:lang w:bidi="ar"/>
              </w:rPr>
            </w:r>
            <w:r/>
          </w:p>
          <w:p>
            <w:pPr>
              <w:pStyle w:val="945"/>
              <w:jc w:val="left"/>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12、波束类型：会聚型。</w:t>
            </w:r>
            <w:r>
              <w:rPr>
                <w:rFonts w:hint="eastAsia" w:ascii="宋体" w:hAnsi="宋体" w:eastAsia="宋体" w:cs="宋体"/>
                <w:color w:val="000000"/>
                <w:sz w:val="21"/>
                <w:szCs w:val="21"/>
                <w:highlight w:val="none"/>
                <w:lang w:bidi="ar"/>
              </w:rPr>
            </w:r>
            <w:r/>
          </w:p>
          <w:p>
            <w:pPr>
              <w:pStyle w:val="945"/>
              <w:jc w:val="left"/>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13、脉冲占空比：2%-100%；脉冲重复周期：2.5s。</w:t>
            </w:r>
            <w:r>
              <w:rPr>
                <w:rFonts w:hint="eastAsia" w:ascii="宋体" w:hAnsi="宋体" w:eastAsia="宋体" w:cs="宋体"/>
                <w:color w:val="000000"/>
                <w:sz w:val="21"/>
                <w:szCs w:val="21"/>
                <w:highlight w:val="none"/>
                <w:lang w:bidi="ar"/>
              </w:rPr>
            </w:r>
            <w:r/>
          </w:p>
          <w:p>
            <w:pPr>
              <w:pStyle w:val="945"/>
              <w:jc w:val="left"/>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14、电源电压适应范围：AC220V 50Hz。</w:t>
            </w: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tcPr>
          <w:p>
            <w:pPr>
              <w:pStyle w:val="945"/>
              <w:jc w:val="center"/>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作为医疗器械管理，提供有效的医疗器械注册证（或备案凭证）</w:t>
            </w:r>
            <w:r>
              <w:rPr>
                <w:rFonts w:hint="eastAsia" w:ascii="宋体" w:hAnsi="宋体" w:eastAsia="宋体" w:cs="宋体"/>
                <w:color w:val="000000"/>
                <w:sz w:val="21"/>
                <w:szCs w:val="21"/>
                <w:highlight w:val="none"/>
                <w:lang w:bidi="ar"/>
              </w:rPr>
            </w:r>
            <w:r/>
          </w:p>
        </w:tc>
      </w:tr>
      <w:tr>
        <w:trPr>
          <w:trHeight w:val="3098"/>
        </w:trPr>
        <w:tc>
          <w:tcPr>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pStyle w:val="945"/>
              <w:ind w:left="425" w:hanging="425"/>
              <w:jc w:val="center"/>
              <w:spacing w:line="24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5.</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pStyle w:val="945"/>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体外冲击波治疗仪（核心产品）</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pStyle w:val="945"/>
              <w:jc w:val="center"/>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1台</w:t>
            </w: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912" w:type="dxa"/>
            <w:vAlign w:val="center"/>
            <w:textDirection w:val="lrTb"/>
            <w:noWrap w:val="false"/>
          </w:tcPr>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1、适应范围：本产品适用于足底筋膜炎、钙化性肩部肌腱炎、网球肘和肩周炎的辅助治疗。</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性能参数：</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▲2、能量形式：电磁聚焦式，聚焦稳定、不用频繁更换电极。</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3、彩色触摸屏配合一键飞梭式强度调节旋钮，治疗中可实时调节参数。</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ascii="宋体" w:hAnsi="宋体" w:eastAsia="宋体" w:cs="宋体"/>
                <w:color w:val="000000"/>
                <w:sz w:val="21"/>
                <w:szCs w:val="21"/>
                <w:highlight w:val="none"/>
                <w:lang w:bidi="ar"/>
              </w:rPr>
              <w:t xml:space="preserve">4</w:t>
            </w:r>
            <w:r>
              <w:rPr>
                <w:rFonts w:hint="eastAsia" w:ascii="宋体" w:hAnsi="宋体" w:eastAsia="宋体" w:cs="宋体"/>
                <w:color w:val="000000"/>
                <w:sz w:val="21"/>
                <w:szCs w:val="21"/>
                <w:highlight w:val="none"/>
                <w:lang w:bidi="ar"/>
              </w:rPr>
              <w:t xml:space="preserve">、能流密度范围：</w:t>
            </w:r>
            <w:r>
              <w:rPr>
                <w:rFonts w:ascii="宋体" w:hAnsi="宋体" w:eastAsia="宋体" w:cs="宋体"/>
                <w:color w:val="000000"/>
                <w:sz w:val="21"/>
                <w:szCs w:val="21"/>
                <w:highlight w:val="none"/>
                <w:lang w:bidi="ar"/>
              </w:rPr>
              <w:t xml:space="preserve">0.05~0.30mJ/mm²</w:t>
            </w:r>
            <w:r>
              <w:rPr>
                <w:rFonts w:hint="eastAsia" w:ascii="宋体" w:hAnsi="宋体" w:eastAsia="宋体" w:cs="宋体"/>
                <w:color w:val="000000"/>
                <w:sz w:val="21"/>
                <w:szCs w:val="21"/>
                <w:highlight w:val="none"/>
                <w:lang w:bidi="ar"/>
              </w:rPr>
              <w:t xml:space="preserve">，可随能级自适应调节；</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5.能量等级不少于20级，覆盖低中高能量，可同时满足对表浅部位和深层次部位的治疗。</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6.焦区大小：径向宽度≤10mm；轴向长度≤40mm；</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7.脉宽≤3μs</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8.治疗深度：0~70mm；</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▲9、输出频率：1~15Hz可调，步长为0.5Hz，宽频输出，体感更佳；</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10.冲击次数：100~9900次可调，步长100次；</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▲11、水囊式治疗头，触感柔软，水囊高度多档可调，治疗不同深度病症。</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12、具备联网功能，实现向管理系统上传或接收数据，方便医院进行信息管理；</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13、具备自定义方案库：可储备≥10000个治疗方案。</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14、具备VAS疼痛评估、关节活动度评估、改良Ashworth痉挛评定功能，记录治疗前后数据，方便治疗师进行疗效分析。</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15、具备病例库功能，治疗师可以查看不同患者的治疗记录信息。</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16、设备主机重量≤25Kg，标配推车，可方便移动</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17、治疗手柄带有控制按键，方便调节</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18、设备主机显示屏尺寸不小于10英寸</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19、具有封闭水循环冷却系统，过热保护功能</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20、预设参数要求具有可预设冲击波数，启动后可倒计数，当达到预设值时，自动停止发射冲击波</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21、治疗过程中能显示累计治疗能量、剩余次数、能级、频率等信息</w:t>
            </w: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945"/>
              <w:jc w:val="center"/>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作为医疗器械管理，提供有效的医疗器械注册证（或备案凭证）</w:t>
            </w:r>
            <w:r>
              <w:rPr>
                <w:rFonts w:hint="eastAsia" w:ascii="宋体" w:hAnsi="宋体" w:eastAsia="宋体" w:cs="宋体"/>
                <w:color w:val="000000"/>
                <w:sz w:val="21"/>
                <w:szCs w:val="21"/>
                <w:highlight w:val="none"/>
                <w:lang w:bidi="ar"/>
              </w:rPr>
            </w:r>
            <w:r/>
          </w:p>
        </w:tc>
      </w:tr>
      <w:tr>
        <w:trPr>
          <w:trHeight w:val="90"/>
        </w:trPr>
        <w:tc>
          <w:tcPr>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pStyle w:val="945"/>
              <w:ind w:left="425" w:hanging="425"/>
              <w:jc w:val="center"/>
              <w:spacing w:line="24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6.</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pStyle w:val="945"/>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空气波压力循环治疗仪</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pStyle w:val="945"/>
              <w:jc w:val="center"/>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1台</w:t>
            </w: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912" w:type="dxa"/>
            <w:vAlign w:val="center"/>
            <w:textDirection w:val="lrTb"/>
            <w:noWrap w:val="false"/>
          </w:tcPr>
          <w:p>
            <w:pPr>
              <w:pStyle w:val="945"/>
              <w:jc w:val="left"/>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b/>
                <w:bCs/>
                <w:color w:val="000000"/>
                <w:sz w:val="21"/>
                <w:szCs w:val="21"/>
                <w:highlight w:val="none"/>
                <w:lang w:bidi="ar"/>
              </w:rPr>
              <w:t xml:space="preserve">适用范围</w:t>
            </w:r>
            <w:r>
              <w:rPr>
                <w:rFonts w:hint="eastAsia" w:ascii="宋体" w:hAnsi="宋体" w:eastAsia="宋体" w:cs="宋体"/>
                <w:color w:val="000000"/>
                <w:sz w:val="21"/>
                <w:szCs w:val="21"/>
                <w:highlight w:val="none"/>
                <w:lang w:bidi="ar"/>
              </w:rPr>
              <w:t xml:space="preserve">：适用于脑血管意外、脑外伤、脑手术后、脊髓病变引起的肢体功能障碍的辅助治疗，以及预防手术后或长期卧床而引起的静脉血栓，减轻肢体水肿。</w:t>
            </w:r>
            <w:r>
              <w:rPr>
                <w:rFonts w:hint="eastAsia" w:ascii="宋体" w:hAnsi="宋体" w:eastAsia="宋体" w:cs="宋体"/>
                <w:color w:val="000000"/>
                <w:sz w:val="21"/>
                <w:szCs w:val="21"/>
                <w:highlight w:val="none"/>
                <w:lang w:bidi="ar"/>
              </w:rPr>
            </w:r>
            <w:r/>
          </w:p>
          <w:p>
            <w:pPr>
              <w:pStyle w:val="945"/>
              <w:jc w:val="left"/>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b/>
                <w:bCs/>
                <w:color w:val="000000"/>
                <w:sz w:val="21"/>
                <w:szCs w:val="21"/>
                <w:highlight w:val="none"/>
                <w:lang w:bidi="ar"/>
              </w:rPr>
              <w:t xml:space="preserve">性能参数</w:t>
            </w: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lang w:bidi="ar"/>
              </w:rPr>
            </w:r>
            <w:r/>
          </w:p>
          <w:p>
            <w:pPr>
              <w:pStyle w:val="945"/>
              <w:jc w:val="left"/>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1、具有国家规定的医疗器械产品注册证；</w:t>
            </w:r>
            <w:r>
              <w:rPr>
                <w:rFonts w:hint="eastAsia" w:ascii="宋体" w:hAnsi="宋体" w:eastAsia="宋体" w:cs="宋体"/>
                <w:color w:val="000000"/>
                <w:sz w:val="21"/>
                <w:szCs w:val="21"/>
                <w:highlight w:val="none"/>
                <w:lang w:bidi="ar"/>
              </w:rPr>
            </w:r>
            <w:r/>
          </w:p>
          <w:p>
            <w:pPr>
              <w:pStyle w:val="945"/>
              <w:jc w:val="left"/>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2、手提式外观设计，结构牢固耐用，方便转移治疗，便捷省力；</w:t>
            </w:r>
            <w:r>
              <w:rPr>
                <w:rFonts w:hint="eastAsia" w:ascii="宋体" w:hAnsi="宋体" w:eastAsia="宋体" w:cs="宋体"/>
                <w:color w:val="000000"/>
                <w:sz w:val="21"/>
                <w:szCs w:val="21"/>
                <w:highlight w:val="none"/>
                <w:lang w:bidi="ar"/>
              </w:rPr>
            </w:r>
            <w:r/>
          </w:p>
          <w:p>
            <w:pPr>
              <w:pStyle w:val="945"/>
              <w:jc w:val="left"/>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3、不小于5英寸LCD液晶触摸显示屏，参数显示直观，操作简单快捷；</w:t>
            </w:r>
            <w:r>
              <w:rPr>
                <w:rFonts w:hint="eastAsia" w:ascii="宋体" w:hAnsi="宋体" w:eastAsia="宋体" w:cs="宋体"/>
                <w:color w:val="000000"/>
                <w:sz w:val="21"/>
                <w:szCs w:val="21"/>
                <w:highlight w:val="none"/>
                <w:lang w:bidi="ar"/>
              </w:rPr>
            </w:r>
            <w:r/>
          </w:p>
          <w:p>
            <w:pPr>
              <w:pStyle w:val="945"/>
              <w:jc w:val="left"/>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4、配备一分一和一分二的充气导管，连接一分二导管时可以同时连接2个4腔气囊，同时治疗两个部位，可以达到两个通道一样的治疗效果；</w:t>
            </w:r>
            <w:r>
              <w:rPr>
                <w:rFonts w:hint="eastAsia" w:ascii="宋体" w:hAnsi="宋体" w:eastAsia="宋体" w:cs="宋体"/>
                <w:color w:val="000000"/>
                <w:sz w:val="21"/>
                <w:szCs w:val="21"/>
                <w:highlight w:val="none"/>
                <w:lang w:bidi="ar"/>
              </w:rPr>
            </w:r>
            <w:r/>
          </w:p>
          <w:p>
            <w:pPr>
              <w:pStyle w:val="945"/>
              <w:jc w:val="left"/>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▲5、配备至少6种专业的气压治疗模式，M1~M6模式可自由选择，多方向性多维度性的充气方式。</w:t>
            </w:r>
            <w:r>
              <w:rPr>
                <w:rFonts w:hint="eastAsia" w:ascii="宋体" w:hAnsi="宋体" w:eastAsia="宋体" w:cs="宋体"/>
                <w:color w:val="000000"/>
                <w:sz w:val="21"/>
                <w:szCs w:val="21"/>
                <w:highlight w:val="none"/>
                <w:lang w:bidi="ar"/>
              </w:rPr>
            </w:r>
            <w:r/>
          </w:p>
          <w:p>
            <w:pPr>
              <w:pStyle w:val="945"/>
              <w:jc w:val="left"/>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6、设备压强可在5-25Kpa（38-188mmHg）范围内连续可调，气压单位Kpa和mmHg可进行转换；</w:t>
            </w:r>
            <w:r>
              <w:rPr>
                <w:rFonts w:hint="eastAsia" w:ascii="宋体" w:hAnsi="宋体" w:eastAsia="宋体" w:cs="宋体"/>
                <w:color w:val="000000"/>
                <w:sz w:val="21"/>
                <w:szCs w:val="21"/>
                <w:highlight w:val="none"/>
                <w:lang w:bidi="ar"/>
              </w:rPr>
            </w:r>
            <w:r/>
          </w:p>
          <w:p>
            <w:pPr>
              <w:pStyle w:val="945"/>
              <w:jc w:val="left"/>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7、治疗时间1min-99min连续可调，满足临床上的治疗需求；</w:t>
            </w:r>
            <w:r>
              <w:rPr>
                <w:rFonts w:hint="eastAsia" w:ascii="宋体" w:hAnsi="宋体" w:eastAsia="宋体" w:cs="宋体"/>
                <w:color w:val="000000"/>
                <w:sz w:val="21"/>
                <w:szCs w:val="21"/>
                <w:highlight w:val="none"/>
                <w:lang w:bidi="ar"/>
              </w:rPr>
            </w:r>
            <w:r/>
          </w:p>
          <w:p>
            <w:pPr>
              <w:pStyle w:val="945"/>
              <w:jc w:val="left"/>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8、特制的充气气泵，有效地降低噪声，使用时产生的噪声≤65dB，振动幅度小，充气速度快，充气所用时间短；</w:t>
            </w:r>
            <w:r>
              <w:rPr>
                <w:rFonts w:hint="eastAsia" w:ascii="宋体" w:hAnsi="宋体" w:eastAsia="宋体" w:cs="宋体"/>
                <w:color w:val="000000"/>
                <w:sz w:val="21"/>
                <w:szCs w:val="21"/>
                <w:highlight w:val="none"/>
                <w:lang w:bidi="ar"/>
              </w:rPr>
            </w:r>
            <w:r/>
          </w:p>
          <w:p>
            <w:pPr>
              <w:pStyle w:val="945"/>
              <w:jc w:val="left"/>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9、配备4腔上肢气囊、下肢气囊等多种不同形式气囊选配；</w:t>
            </w:r>
            <w:r>
              <w:rPr>
                <w:rFonts w:hint="eastAsia" w:ascii="宋体" w:hAnsi="宋体" w:eastAsia="宋体" w:cs="宋体"/>
                <w:color w:val="000000"/>
                <w:sz w:val="21"/>
                <w:szCs w:val="21"/>
                <w:highlight w:val="none"/>
                <w:lang w:bidi="ar"/>
              </w:rPr>
            </w:r>
            <w:r/>
          </w:p>
          <w:p>
            <w:pPr>
              <w:pStyle w:val="945"/>
              <w:jc w:val="left"/>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10、特制叠加式双层结构气囊，有效地规避了出现压力死角，使挤压更有效；</w:t>
            </w:r>
            <w:r>
              <w:rPr>
                <w:rFonts w:hint="eastAsia" w:ascii="宋体" w:hAnsi="宋体" w:eastAsia="宋体" w:cs="宋体"/>
                <w:color w:val="000000"/>
                <w:sz w:val="21"/>
                <w:szCs w:val="21"/>
                <w:highlight w:val="none"/>
                <w:lang w:bidi="ar"/>
              </w:rPr>
            </w:r>
            <w:r/>
          </w:p>
          <w:p>
            <w:pPr>
              <w:pStyle w:val="945"/>
              <w:jc w:val="left"/>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11、环形封闭式气囊设计，充气加压时形成圆形正向加压，不增加出血可能；</w:t>
            </w:r>
            <w:r>
              <w:rPr>
                <w:rFonts w:hint="eastAsia" w:ascii="宋体" w:hAnsi="宋体" w:eastAsia="宋体" w:cs="宋体"/>
                <w:color w:val="000000"/>
                <w:sz w:val="21"/>
                <w:szCs w:val="21"/>
                <w:highlight w:val="none"/>
                <w:lang w:bidi="ar"/>
              </w:rPr>
            </w:r>
            <w:r/>
          </w:p>
          <w:p>
            <w:pPr>
              <w:pStyle w:val="945"/>
              <w:jc w:val="left"/>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12、设备内置压力传感器：不同肢体维度的患者，可以达到同等的治疗压力，保证了不同患者治疗效果相同；</w:t>
            </w:r>
            <w:r>
              <w:rPr>
                <w:rFonts w:hint="eastAsia" w:ascii="宋体" w:hAnsi="宋体" w:eastAsia="宋体" w:cs="宋体"/>
                <w:color w:val="000000"/>
                <w:sz w:val="21"/>
                <w:szCs w:val="21"/>
                <w:highlight w:val="none"/>
                <w:lang w:bidi="ar"/>
              </w:rPr>
            </w:r>
            <w:r/>
          </w:p>
          <w:p>
            <w:pPr>
              <w:pStyle w:val="945"/>
              <w:jc w:val="left"/>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▲13、实时压力监测系统：可实现仪器设备充气时，每腔压力实时监测，实时显示当前腔道压力，避免加压过大，造成静脉瓣膜受损；</w:t>
            </w:r>
            <w:r>
              <w:rPr>
                <w:rFonts w:hint="eastAsia" w:ascii="宋体" w:hAnsi="宋体" w:eastAsia="宋体" w:cs="宋体"/>
                <w:color w:val="000000"/>
                <w:sz w:val="21"/>
                <w:szCs w:val="21"/>
                <w:highlight w:val="none"/>
                <w:lang w:bidi="ar"/>
              </w:rPr>
            </w:r>
            <w:r/>
          </w:p>
          <w:p>
            <w:pPr>
              <w:pStyle w:val="945"/>
              <w:jc w:val="left"/>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14、过压保护系统：充气过程中，如若外界压力过大则自动泄压保护，避免压力过大导致患者损伤；</w:t>
            </w:r>
            <w:r>
              <w:rPr>
                <w:rFonts w:hint="eastAsia" w:ascii="宋体" w:hAnsi="宋体" w:eastAsia="宋体" w:cs="宋体"/>
                <w:color w:val="000000"/>
                <w:sz w:val="21"/>
                <w:szCs w:val="21"/>
                <w:highlight w:val="none"/>
                <w:lang w:bidi="ar"/>
              </w:rPr>
            </w:r>
            <w:r/>
          </w:p>
          <w:p>
            <w:pPr>
              <w:pStyle w:val="945"/>
              <w:jc w:val="left"/>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15、断电保护功能：若在充气时，突然出现停电、断电的现象，仪器会自动泄压保护，避免对患者造成损伤；</w:t>
            </w:r>
            <w:r>
              <w:rPr>
                <w:rFonts w:hint="eastAsia" w:ascii="宋体" w:hAnsi="宋体" w:eastAsia="宋体" w:cs="宋体"/>
                <w:color w:val="000000"/>
                <w:sz w:val="21"/>
                <w:szCs w:val="21"/>
                <w:highlight w:val="none"/>
                <w:lang w:bidi="ar"/>
              </w:rPr>
            </w:r>
            <w:r/>
          </w:p>
          <w:p>
            <w:pPr>
              <w:pStyle w:val="945"/>
              <w:jc w:val="left"/>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16、主机外壳采用ABS作为主要材质，坚固耐磨；气套采用TPU+尼龙布的材质，坚韧不易损坏，同时质地柔软，保证患者治疗时的舒适感；</w:t>
            </w:r>
            <w:r>
              <w:rPr>
                <w:rFonts w:hint="eastAsia" w:ascii="宋体" w:hAnsi="宋体" w:eastAsia="宋体" w:cs="宋体"/>
                <w:color w:val="000000"/>
                <w:sz w:val="21"/>
                <w:szCs w:val="21"/>
                <w:highlight w:val="none"/>
                <w:lang w:bidi="ar"/>
              </w:rPr>
            </w:r>
            <w:r/>
          </w:p>
          <w:p>
            <w:pPr>
              <w:pStyle w:val="945"/>
              <w:jc w:val="left"/>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17、气囊已经通过中国药监局（NMPA）认证，可独立采购。</w:t>
            </w: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945"/>
              <w:jc w:val="center"/>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作为医疗器械管理，提供有效的医疗器械注册证（或备案凭证）</w:t>
            </w:r>
            <w:r>
              <w:rPr>
                <w:rFonts w:hint="eastAsia" w:ascii="宋体" w:hAnsi="宋体" w:eastAsia="宋体" w:cs="宋体"/>
                <w:color w:val="000000"/>
                <w:sz w:val="21"/>
                <w:szCs w:val="21"/>
                <w:highlight w:val="none"/>
                <w:lang w:bidi="ar"/>
              </w:rPr>
            </w:r>
            <w:r/>
          </w:p>
        </w:tc>
      </w:tr>
      <w:tr>
        <w:trPr>
          <w:trHeight w:val="5092"/>
        </w:trPr>
        <w:tc>
          <w:tcPr>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pStyle w:val="945"/>
              <w:ind w:left="425" w:hanging="425"/>
              <w:jc w:val="center"/>
              <w:spacing w:line="24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7.</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pStyle w:val="945"/>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漫游波（温热低周波）治疗仪</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pStyle w:val="945"/>
              <w:jc w:val="center"/>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1台</w:t>
            </w: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912" w:type="dxa"/>
            <w:vAlign w:val="center"/>
            <w:textDirection w:val="lrTb"/>
            <w:noWrap w:val="false"/>
          </w:tcPr>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1、设备顶部具有独立的状态指示显示，在患者治疗时，可以为患者和医护人员提供不同的状态报警指示，便于识别。</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▲2、触控操作屏幕≥10.1寸，方便医护人员使用。</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3、工作频率范围：10Hz--999Hz。</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4、最大输出电流&lt;40mA。</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5、脉冲宽度：≤0.115ms。</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6、具有电极温度控制和温控开关双重保护功能，加热板最高加热温度＜42℃。</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7、温热电极可智能切换极性，产生多个漫游波回路，治疗范围更广。</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▲8、设备内置≥35种治疗方案可供选择，独特的漫游波疗法，治疗体感舒适。</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9、具备电极脱落自动报警功能。</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10、具有强度锁定及自动归零的功能。</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11、按压式自锁回弹便携隐藏提手，一按即开，方便易用。</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12、治疗范围：通过皮肤对神经以及肌肉进行电刺激，从而达到镇痛和预防或缓解肌肉发生废用性萎缩的效果。</w:t>
            </w: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945"/>
              <w:jc w:val="center"/>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作为医疗器械管理，提供有效的医疗器械注册证（或备案凭证）</w:t>
            </w:r>
            <w:r>
              <w:rPr>
                <w:rFonts w:hint="eastAsia" w:ascii="宋体" w:hAnsi="宋体" w:eastAsia="宋体" w:cs="宋体"/>
                <w:color w:val="000000"/>
                <w:sz w:val="21"/>
                <w:szCs w:val="21"/>
                <w:highlight w:val="none"/>
                <w:lang w:bidi="ar"/>
              </w:rPr>
            </w:r>
            <w:r/>
          </w:p>
        </w:tc>
      </w:tr>
      <w:tr>
        <w:trPr>
          <w:trHeight w:val="771"/>
        </w:trPr>
        <w:tc>
          <w:tcPr>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pStyle w:val="945"/>
              <w:ind w:left="425" w:hanging="425"/>
              <w:jc w:val="center"/>
              <w:spacing w:line="24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8.</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pStyle w:val="945"/>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深层肌肉刺激仪</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pStyle w:val="945"/>
              <w:jc w:val="center"/>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1台</w:t>
            </w: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912" w:type="dxa"/>
            <w:vAlign w:val="center"/>
            <w:textDirection w:val="lrTb"/>
            <w:noWrap w:val="false"/>
          </w:tcPr>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1、主机尺寸：≥长宽高115mm×61mm×328mm, 允差：±20mm。</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2 、转速：400rpm～3200rpm 可调，当前设定值允差±5%。</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3、振动幅度：≥6mm。</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4、工作时间：≥10min，允差±5%。</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5、最高振动频率：≥75Hz，振动频率越高，可供医生选择的治疗范围越广。</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6、噪声：≤60dB(A)。</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7、电源：内部直流电源，d.c.24V, 允差±10%。</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8 、电池容量：62.4 Wh，允差±10%。</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9、充电接口：DC 插口。</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10、显示方式：液晶显示。</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11、按摩头：≥13个，可通过更换按摩头种类，模拟传统按摩手法：禅推、 雀啄、掌摩、齿梳、指揉、指压、指按、拳振、揉捏、推、垂、击、拍、 打、叩等。</w:t>
            </w: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945"/>
              <w:jc w:val="center"/>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作为医疗器械管理，提供有效的医疗器械注册证（或备案凭证）</w:t>
            </w:r>
            <w:r>
              <w:rPr>
                <w:rFonts w:hint="eastAsia" w:ascii="宋体" w:hAnsi="宋体" w:eastAsia="宋体" w:cs="宋体"/>
                <w:color w:val="000000"/>
                <w:sz w:val="21"/>
                <w:szCs w:val="21"/>
                <w:highlight w:val="none"/>
                <w:lang w:bidi="ar"/>
              </w:rPr>
            </w:r>
            <w:r/>
          </w:p>
        </w:tc>
      </w:tr>
      <w:tr>
        <w:trPr>
          <w:trHeight w:val="357"/>
        </w:trPr>
        <w:tc>
          <w:tcPr>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pStyle w:val="945"/>
              <w:ind w:left="425" w:hanging="425"/>
              <w:jc w:val="center"/>
              <w:spacing w:line="24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9.</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pStyle w:val="945"/>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三维震动按摩器</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pStyle w:val="945"/>
              <w:jc w:val="center"/>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1台</w:t>
            </w: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912" w:type="dxa"/>
            <w:vAlign w:val="center"/>
            <w:textDirection w:val="lrTb"/>
            <w:noWrap w:val="false"/>
          </w:tcPr>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1、振动治疗仪靠垫部分重量不超过3.5kg</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2、可满足X、Y、Z三个方向同时振动</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2、主机振幅＜4mm</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3、主机振动强度(加速度)＜180m/s2</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4、可实现肩、背、臂、腿、脚、踝等多部位进行理疗</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5、消毒方式：75%酒精（或其他医用消毒剂）擦拭消毒</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6、振动频率调节范围包含且不小于30-70Hz，≥9个档位。</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7、工作时长调节范围包含且不小于5-40分钟，≥8个档位。</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8、包含三种及以上全自动输出模式。至少包含CPM（周期变频）模式。</w:t>
            </w: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945"/>
              <w:jc w:val="center"/>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作为医疗器械管理，提供有效的医疗器械注册证（或备案凭证）</w:t>
            </w:r>
            <w:r>
              <w:rPr>
                <w:rFonts w:hint="eastAsia" w:ascii="宋体" w:hAnsi="宋体" w:eastAsia="宋体" w:cs="宋体"/>
                <w:color w:val="000000"/>
                <w:sz w:val="21"/>
                <w:szCs w:val="21"/>
                <w:highlight w:val="none"/>
                <w:lang w:bidi="ar"/>
              </w:rPr>
            </w:r>
            <w:r/>
          </w:p>
        </w:tc>
      </w:tr>
      <w:tr>
        <w:trPr>
          <w:trHeight w:val="466"/>
        </w:trPr>
        <w:tc>
          <w:tcPr>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pStyle w:val="945"/>
              <w:ind w:left="425" w:hanging="425"/>
              <w:jc w:val="center"/>
              <w:spacing w:line="24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10.</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pStyle w:val="945"/>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半导体激光治疗仪（核心产品）</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pStyle w:val="945"/>
              <w:jc w:val="center"/>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1台</w:t>
            </w: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912" w:type="dxa"/>
            <w:vAlign w:val="center"/>
            <w:textDirection w:val="lrTb"/>
            <w:noWrap/>
          </w:tcPr>
          <w:p>
            <w:pPr>
              <w:pStyle w:val="945"/>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1、激光类型：医用半导体激光器</w:t>
            </w:r>
            <w:r>
              <w:rPr>
                <w:rFonts w:hint="eastAsia" w:ascii="宋体" w:hAnsi="宋体" w:eastAsia="宋体" w:cs="宋体"/>
                <w:color w:val="000000"/>
                <w:sz w:val="21"/>
                <w:szCs w:val="21"/>
                <w:highlight w:val="none"/>
              </w:rPr>
            </w:r>
            <w:r/>
          </w:p>
          <w:p>
            <w:pPr>
              <w:pStyle w:val="945"/>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2、工作激光波长：800-1100nm范围内，数量≥2种</w:t>
            </w:r>
            <w:r>
              <w:rPr>
                <w:rFonts w:hint="eastAsia" w:ascii="宋体" w:hAnsi="宋体" w:eastAsia="宋体" w:cs="宋体"/>
                <w:color w:val="000000"/>
                <w:sz w:val="21"/>
                <w:szCs w:val="21"/>
                <w:highlight w:val="none"/>
              </w:rPr>
            </w:r>
            <w:r/>
          </w:p>
          <w:p>
            <w:pPr>
              <w:pStyle w:val="945"/>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▲3、最大持续输出功率：≥25W</w:t>
            </w:r>
            <w:r>
              <w:rPr>
                <w:rFonts w:hint="eastAsia" w:ascii="宋体" w:hAnsi="宋体" w:eastAsia="宋体" w:cs="宋体"/>
                <w:color w:val="000000"/>
                <w:sz w:val="21"/>
                <w:szCs w:val="21"/>
                <w:highlight w:val="none"/>
              </w:rPr>
            </w:r>
            <w:r/>
          </w:p>
          <w:p>
            <w:pPr>
              <w:pStyle w:val="945"/>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▲4、输出方式：手持式靶点治疗光学手柄，连续模式，重复脉冲模式，单脉冲输出，单脉冲串输出</w:t>
            </w:r>
            <w:r>
              <w:rPr>
                <w:rFonts w:hint="eastAsia" w:ascii="宋体" w:hAnsi="宋体" w:eastAsia="宋体" w:cs="宋体"/>
                <w:color w:val="000000"/>
                <w:sz w:val="21"/>
                <w:szCs w:val="21"/>
                <w:highlight w:val="none"/>
              </w:rPr>
            </w:r>
            <w:r/>
          </w:p>
          <w:p>
            <w:pPr>
              <w:pStyle w:val="945"/>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▲5、激光脉冲频率：1-10000Hz</w:t>
            </w:r>
            <w:r>
              <w:rPr>
                <w:rFonts w:hint="eastAsia" w:ascii="宋体" w:hAnsi="宋体" w:eastAsia="宋体" w:cs="宋体"/>
                <w:color w:val="000000"/>
                <w:sz w:val="21"/>
                <w:szCs w:val="21"/>
                <w:highlight w:val="none"/>
              </w:rPr>
            </w:r>
            <w:r/>
          </w:p>
          <w:p>
            <w:pPr>
              <w:pStyle w:val="945"/>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6、占空比：10%-90%</w:t>
            </w:r>
            <w:r>
              <w:rPr>
                <w:rFonts w:hint="eastAsia" w:ascii="宋体" w:hAnsi="宋体" w:eastAsia="宋体" w:cs="宋体"/>
                <w:color w:val="000000"/>
                <w:sz w:val="21"/>
                <w:szCs w:val="21"/>
                <w:highlight w:val="none"/>
              </w:rPr>
            </w:r>
            <w:r/>
          </w:p>
          <w:p>
            <w:pPr>
              <w:pStyle w:val="945"/>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7、手柄光纤长度：≥2m</w:t>
            </w:r>
            <w:r>
              <w:rPr>
                <w:rFonts w:hint="eastAsia" w:ascii="宋体" w:hAnsi="宋体" w:eastAsia="宋体" w:cs="宋体"/>
                <w:color w:val="000000"/>
                <w:sz w:val="21"/>
                <w:szCs w:val="21"/>
                <w:highlight w:val="none"/>
              </w:rPr>
            </w:r>
            <w:r/>
          </w:p>
          <w:p>
            <w:pPr>
              <w:pStyle w:val="945"/>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8、指示光：激光二极管650nm（±10nm）≤5mW，亮度可调</w:t>
            </w:r>
            <w:r>
              <w:rPr>
                <w:rFonts w:hint="eastAsia" w:ascii="宋体" w:hAnsi="宋体" w:eastAsia="宋体" w:cs="宋体"/>
                <w:color w:val="000000"/>
                <w:sz w:val="21"/>
                <w:szCs w:val="21"/>
                <w:highlight w:val="none"/>
              </w:rPr>
            </w:r>
            <w:r/>
          </w:p>
          <w:p>
            <w:pPr>
              <w:pStyle w:val="945"/>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9、定时功能：0—99min，可调</w:t>
            </w:r>
            <w:r>
              <w:rPr>
                <w:rFonts w:hint="eastAsia" w:ascii="宋体" w:hAnsi="宋体" w:eastAsia="宋体" w:cs="宋体"/>
                <w:color w:val="000000"/>
                <w:sz w:val="21"/>
                <w:szCs w:val="21"/>
                <w:highlight w:val="none"/>
              </w:rPr>
            </w:r>
            <w:r/>
          </w:p>
          <w:p>
            <w:pPr>
              <w:pStyle w:val="945"/>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10、智能操作系统，中英文输入，可连接WiFi，远程升级</w:t>
            </w:r>
            <w:r>
              <w:rPr>
                <w:rFonts w:hint="eastAsia" w:ascii="宋体" w:hAnsi="宋体" w:eastAsia="宋体" w:cs="宋体"/>
                <w:color w:val="000000"/>
                <w:sz w:val="21"/>
                <w:szCs w:val="21"/>
                <w:highlight w:val="none"/>
              </w:rPr>
            </w:r>
            <w:r/>
          </w:p>
          <w:p>
            <w:pPr>
              <w:pStyle w:val="945"/>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11、具备智能模式，选择治疗部位、疾病种类，根据体型（BMI）、肤色等自动生成治疗处方，包括能量、功率、时间、波长比例、输出模式等参数，并可根据需要手动调节</w:t>
            </w:r>
            <w:r>
              <w:rPr>
                <w:rFonts w:hint="eastAsia" w:ascii="宋体" w:hAnsi="宋体" w:eastAsia="宋体" w:cs="宋体"/>
                <w:color w:val="000000"/>
                <w:sz w:val="21"/>
                <w:szCs w:val="21"/>
                <w:highlight w:val="none"/>
              </w:rPr>
            </w:r>
            <w:r/>
          </w:p>
          <w:p>
            <w:pPr>
              <w:pStyle w:val="945"/>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12、具有VAS疼痛评估功能，可以评估及记录患者VAS评分，直观反映病程变化</w:t>
            </w:r>
            <w:r>
              <w:rPr>
                <w:rFonts w:hint="eastAsia" w:ascii="宋体" w:hAnsi="宋体" w:eastAsia="宋体" w:cs="宋体"/>
                <w:color w:val="000000"/>
                <w:sz w:val="21"/>
                <w:szCs w:val="21"/>
                <w:highlight w:val="none"/>
              </w:rPr>
            </w:r>
            <w:r/>
          </w:p>
          <w:p>
            <w:pPr>
              <w:pStyle w:val="945"/>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13、病例档案管理系统，可存储及管理病例姓名、性别、编号、诊断及治疗记录等信息</w:t>
            </w:r>
            <w:r>
              <w:rPr>
                <w:rFonts w:hint="eastAsia" w:ascii="宋体" w:hAnsi="宋体" w:eastAsia="宋体" w:cs="宋体"/>
                <w:color w:val="000000"/>
                <w:sz w:val="21"/>
                <w:szCs w:val="21"/>
                <w:highlight w:val="none"/>
              </w:rPr>
            </w:r>
            <w:r/>
          </w:p>
          <w:p>
            <w:pPr>
              <w:pStyle w:val="945"/>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14、操作方式：≥10英寸高档精密彩色触摸液晶屏，治疗参数、方案及机器运行情况等均可显示，触摸液晶屏可进行各种参数、模式和状态的选择和设置</w:t>
            </w:r>
            <w:r>
              <w:rPr>
                <w:rFonts w:hint="eastAsia" w:ascii="宋体" w:hAnsi="宋体" w:eastAsia="宋体" w:cs="宋体"/>
                <w:color w:val="000000"/>
                <w:sz w:val="21"/>
                <w:szCs w:val="21"/>
                <w:highlight w:val="none"/>
              </w:rPr>
            </w:r>
            <w:r/>
          </w:p>
          <w:p>
            <w:pPr>
              <w:pStyle w:val="945"/>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15、端口：内置网络连接端口，USB接口，RS232接口</w:t>
            </w:r>
            <w:r>
              <w:rPr>
                <w:rFonts w:hint="eastAsia" w:ascii="宋体" w:hAnsi="宋体" w:eastAsia="宋体" w:cs="宋体"/>
                <w:color w:val="000000"/>
                <w:sz w:val="21"/>
                <w:szCs w:val="21"/>
                <w:highlight w:val="none"/>
              </w:rPr>
            </w:r>
            <w:r/>
          </w:p>
          <w:p>
            <w:pPr>
              <w:pStyle w:val="945"/>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16、保护系统：具备钥匙开关管理；联锁开关保护；急停开关保护；精密温度控制系统，保证激光器寿命和功率稳定输出</w:t>
            </w:r>
            <w:r>
              <w:rPr>
                <w:rFonts w:hint="eastAsia" w:ascii="宋体" w:hAnsi="宋体" w:eastAsia="宋体" w:cs="宋体"/>
                <w:color w:val="000000"/>
                <w:sz w:val="21"/>
                <w:szCs w:val="21"/>
                <w:highlight w:val="none"/>
              </w:rPr>
            </w:r>
            <w:r/>
          </w:p>
          <w:p>
            <w:pPr>
              <w:pStyle w:val="945"/>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17、激光防护眼镜输出波长光密度：≥4，可见光透射比≥30%</w:t>
            </w:r>
            <w:r>
              <w:rPr>
                <w:rFonts w:hint="eastAsia" w:ascii="宋体" w:hAnsi="宋体" w:eastAsia="宋体" w:cs="宋体"/>
                <w:color w:val="000000"/>
                <w:sz w:val="21"/>
                <w:szCs w:val="21"/>
                <w:highlight w:val="none"/>
              </w:rPr>
            </w:r>
            <w:r/>
          </w:p>
          <w:p>
            <w:pPr>
              <w:pStyle w:val="945"/>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18、冷却方式：风冷</w:t>
            </w:r>
            <w:r>
              <w:rPr>
                <w:rFonts w:hint="eastAsia" w:ascii="宋体" w:hAnsi="宋体" w:eastAsia="宋体" w:cs="宋体"/>
                <w:color w:val="000000"/>
                <w:sz w:val="21"/>
                <w:szCs w:val="21"/>
                <w:highlight w:val="none"/>
              </w:rPr>
            </w:r>
            <w:r/>
          </w:p>
          <w:p>
            <w:pPr>
              <w:pStyle w:val="945"/>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19、激光类别：4类激光</w:t>
            </w:r>
            <w:r>
              <w:rPr>
                <w:rFonts w:hint="eastAsia" w:ascii="宋体" w:hAnsi="宋体" w:eastAsia="宋体" w:cs="宋体"/>
                <w:color w:val="000000"/>
                <w:sz w:val="21"/>
                <w:szCs w:val="21"/>
                <w:highlight w:val="none"/>
              </w:rPr>
            </w:r>
            <w:r/>
          </w:p>
          <w:p>
            <w:pPr>
              <w:pStyle w:val="945"/>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20、电源输入：220V，5A，50Hz</w:t>
            </w:r>
            <w:r>
              <w:rPr>
                <w:rFonts w:hint="eastAsia" w:ascii="宋体" w:hAnsi="宋体" w:eastAsia="宋体" w:cs="宋体"/>
                <w:color w:val="000000"/>
                <w:sz w:val="21"/>
                <w:szCs w:val="21"/>
                <w:highlight w:val="none"/>
              </w:rPr>
            </w:r>
            <w:r/>
          </w:p>
          <w:p>
            <w:pPr>
              <w:pStyle w:val="945"/>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21、安全分类：Ⅰ类B型</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tcPr>
          <w:p>
            <w:pPr>
              <w:pStyle w:val="945"/>
              <w:jc w:val="center"/>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作为医疗器械管理，提供有效的医疗器械注册证（或备案凭证）</w:t>
            </w:r>
            <w:r>
              <w:rPr>
                <w:rFonts w:hint="eastAsia" w:ascii="宋体" w:hAnsi="宋体" w:eastAsia="宋体" w:cs="宋体"/>
                <w:color w:val="000000"/>
                <w:sz w:val="21"/>
                <w:szCs w:val="21"/>
                <w:highlight w:val="none"/>
                <w:lang w:bidi="ar"/>
              </w:rPr>
            </w:r>
            <w:r/>
          </w:p>
        </w:tc>
      </w:tr>
      <w:tr>
        <w:trPr>
          <w:trHeight w:val="90"/>
        </w:trPr>
        <w:tc>
          <w:tcPr>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pStyle w:val="945"/>
              <w:ind w:left="425" w:hanging="425"/>
              <w:jc w:val="center"/>
              <w:spacing w:line="24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11.</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pStyle w:val="945"/>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漫游电（干扰电）治疗仪</w:t>
            </w:r>
            <w:r>
              <w:rPr>
                <w:rFonts w:hint="eastAsia" w:ascii="宋体" w:hAnsi="宋体" w:eastAsia="宋体" w:cs="宋体"/>
                <w:color w:val="000000"/>
                <w:sz w:val="21"/>
                <w:szCs w:val="21"/>
                <w:highlight w:val="none"/>
              </w:rPr>
            </w:r>
            <w:r/>
          </w:p>
          <w:p>
            <w:pPr>
              <w:pStyle w:val="945"/>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（核心产品）</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pStyle w:val="945"/>
              <w:jc w:val="center"/>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1台</w:t>
            </w: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912" w:type="dxa"/>
            <w:vAlign w:val="center"/>
            <w:textDirection w:val="lrTb"/>
            <w:noWrap w:val="false"/>
          </w:tcPr>
          <w:p>
            <w:pPr>
              <w:pStyle w:val="945"/>
              <w:jc w:val="left"/>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1、设备顶部具有独立的状态指示显示，在患者治疗时，可以为患者和医护人员提供不同的状态报警指示，便于识别。</w:t>
            </w:r>
            <w:r>
              <w:rPr>
                <w:rFonts w:hint="eastAsia" w:ascii="宋体" w:hAnsi="宋体" w:eastAsia="宋体" w:cs="宋体"/>
                <w:color w:val="000000"/>
                <w:sz w:val="21"/>
                <w:szCs w:val="21"/>
                <w:highlight w:val="none"/>
                <w:lang w:bidi="ar"/>
              </w:rPr>
            </w:r>
            <w:r/>
          </w:p>
          <w:p>
            <w:pPr>
              <w:pStyle w:val="945"/>
              <w:jc w:val="left"/>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2、触摸式操作面板≥13.5寸，方便医护人员使用。</w:t>
            </w:r>
            <w:r>
              <w:rPr>
                <w:rFonts w:hint="eastAsia" w:ascii="宋体" w:hAnsi="宋体" w:eastAsia="宋体" w:cs="宋体"/>
                <w:color w:val="000000"/>
                <w:sz w:val="21"/>
                <w:szCs w:val="21"/>
                <w:highlight w:val="none"/>
                <w:lang w:bidi="ar"/>
              </w:rPr>
            </w:r>
            <w:r/>
          </w:p>
          <w:p>
            <w:pPr>
              <w:pStyle w:val="945"/>
              <w:jc w:val="left"/>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3、具有两组隐藏式伸缩输出线挂线支架，方便易用。</w:t>
            </w:r>
            <w:r>
              <w:rPr>
                <w:rFonts w:hint="eastAsia" w:ascii="宋体" w:hAnsi="宋体" w:eastAsia="宋体" w:cs="宋体"/>
                <w:color w:val="000000"/>
                <w:sz w:val="21"/>
                <w:szCs w:val="21"/>
                <w:highlight w:val="none"/>
                <w:lang w:bidi="ar"/>
              </w:rPr>
            </w:r>
            <w:r/>
          </w:p>
          <w:p>
            <w:pPr>
              <w:pStyle w:val="945"/>
              <w:jc w:val="left"/>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4、具有一键触摸隐藏式自动温热功能，可对电极进行加热，使患者体感舒适。</w:t>
            </w:r>
            <w:r>
              <w:rPr>
                <w:rFonts w:hint="eastAsia" w:ascii="宋体" w:hAnsi="宋体" w:eastAsia="宋体" w:cs="宋体"/>
                <w:color w:val="000000"/>
                <w:sz w:val="21"/>
                <w:szCs w:val="21"/>
                <w:highlight w:val="none"/>
                <w:lang w:bidi="ar"/>
              </w:rPr>
            </w:r>
            <w:r/>
          </w:p>
          <w:p>
            <w:pPr>
              <w:pStyle w:val="945"/>
              <w:jc w:val="left"/>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▲5、输出通道：两组独立控制六通道输出，可在单路、二维、三维漫游输出相互转换，每个通道治疗模式、强度、负压开关可分别选择。</w:t>
            </w:r>
            <w:r>
              <w:rPr>
                <w:rFonts w:hint="eastAsia" w:ascii="宋体" w:hAnsi="宋体" w:eastAsia="宋体" w:cs="宋体"/>
                <w:color w:val="000000"/>
                <w:sz w:val="21"/>
                <w:szCs w:val="21"/>
                <w:highlight w:val="none"/>
                <w:lang w:bidi="ar"/>
              </w:rPr>
            </w:r>
            <w:r/>
          </w:p>
          <w:p>
            <w:pPr>
              <w:pStyle w:val="945"/>
              <w:jc w:val="left"/>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6、调制波波形≥3种：正弦波、脉冲波、方波等，调制频率范围：0Hz～150Hz。</w:t>
            </w:r>
            <w:r>
              <w:rPr>
                <w:rFonts w:hint="eastAsia" w:ascii="宋体" w:hAnsi="宋体" w:eastAsia="宋体" w:cs="宋体"/>
                <w:color w:val="000000"/>
                <w:sz w:val="21"/>
                <w:szCs w:val="21"/>
                <w:highlight w:val="none"/>
                <w:lang w:bidi="ar"/>
              </w:rPr>
            </w:r>
            <w:r/>
          </w:p>
          <w:p>
            <w:pPr>
              <w:pStyle w:val="945"/>
              <w:jc w:val="left"/>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▲7、输出载波频率范围：2000Hz～12000Hz。</w:t>
            </w:r>
            <w:r>
              <w:rPr>
                <w:rFonts w:hint="eastAsia" w:ascii="宋体" w:hAnsi="宋体" w:eastAsia="宋体" w:cs="宋体"/>
                <w:color w:val="000000"/>
                <w:sz w:val="21"/>
                <w:szCs w:val="21"/>
                <w:highlight w:val="none"/>
                <w:lang w:bidi="ar"/>
              </w:rPr>
            </w:r>
            <w:r/>
          </w:p>
          <w:p>
            <w:pPr>
              <w:pStyle w:val="945"/>
              <w:jc w:val="left"/>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8、调制幅度：0%～100%。</w:t>
            </w:r>
            <w:r>
              <w:rPr>
                <w:rFonts w:hint="eastAsia" w:ascii="宋体" w:hAnsi="宋体" w:eastAsia="宋体" w:cs="宋体"/>
                <w:color w:val="000000"/>
                <w:sz w:val="21"/>
                <w:szCs w:val="21"/>
                <w:highlight w:val="none"/>
                <w:lang w:bidi="ar"/>
              </w:rPr>
            </w:r>
            <w:r/>
          </w:p>
          <w:p>
            <w:pPr>
              <w:pStyle w:val="945"/>
              <w:jc w:val="left"/>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9、差频频率范围：1～150Hz。</w:t>
            </w:r>
            <w:r>
              <w:rPr>
                <w:rFonts w:hint="eastAsia" w:ascii="宋体" w:hAnsi="宋体" w:eastAsia="宋体" w:cs="宋体"/>
                <w:color w:val="000000"/>
                <w:sz w:val="21"/>
                <w:szCs w:val="21"/>
                <w:highlight w:val="none"/>
                <w:lang w:bidi="ar"/>
              </w:rPr>
            </w:r>
            <w:r/>
          </w:p>
          <w:p>
            <w:pPr>
              <w:pStyle w:val="945"/>
              <w:jc w:val="left"/>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10、差频变化周期：至少包含15s、30s。</w:t>
            </w:r>
            <w:r>
              <w:rPr>
                <w:rFonts w:hint="eastAsia" w:ascii="宋体" w:hAnsi="宋体" w:eastAsia="宋体" w:cs="宋体"/>
                <w:color w:val="000000"/>
                <w:sz w:val="21"/>
                <w:szCs w:val="21"/>
                <w:highlight w:val="none"/>
                <w:lang w:bidi="ar"/>
              </w:rPr>
            </w:r>
            <w:r/>
          </w:p>
          <w:p>
            <w:pPr>
              <w:pStyle w:val="945"/>
              <w:jc w:val="left"/>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11、动态节律：至少包含4s、5s 。</w:t>
            </w:r>
            <w:r>
              <w:rPr>
                <w:rFonts w:hint="eastAsia" w:ascii="宋体" w:hAnsi="宋体" w:eastAsia="宋体" w:cs="宋体"/>
                <w:color w:val="000000"/>
                <w:sz w:val="21"/>
                <w:szCs w:val="21"/>
                <w:highlight w:val="none"/>
                <w:lang w:bidi="ar"/>
              </w:rPr>
            </w:r>
            <w:r/>
          </w:p>
          <w:p>
            <w:pPr>
              <w:pStyle w:val="945"/>
              <w:jc w:val="left"/>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12、定时时间：1～60min可调。</w:t>
            </w:r>
            <w:r>
              <w:rPr>
                <w:rFonts w:hint="eastAsia" w:ascii="宋体" w:hAnsi="宋体" w:eastAsia="宋体" w:cs="宋体"/>
                <w:color w:val="000000"/>
                <w:sz w:val="21"/>
                <w:szCs w:val="21"/>
                <w:highlight w:val="none"/>
                <w:lang w:bidi="ar"/>
              </w:rPr>
            </w:r>
            <w:r/>
          </w:p>
          <w:p>
            <w:pPr>
              <w:pStyle w:val="945"/>
              <w:jc w:val="left"/>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13、具有电极加热保温和过热双重保护功能，加热板最高加热温度不大于43℃。</w:t>
            </w:r>
            <w:r>
              <w:rPr>
                <w:rFonts w:hint="eastAsia" w:ascii="宋体" w:hAnsi="宋体" w:eastAsia="宋体" w:cs="宋体"/>
                <w:color w:val="000000"/>
                <w:sz w:val="21"/>
                <w:szCs w:val="21"/>
                <w:highlight w:val="none"/>
                <w:lang w:bidi="ar"/>
              </w:rPr>
            </w:r>
            <w:r/>
          </w:p>
          <w:p>
            <w:pPr>
              <w:pStyle w:val="945"/>
              <w:jc w:val="left"/>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14、治疗模式：三种治疗模式，≥15种处方，独特的漫游电疗法，体感舒适。</w:t>
            </w:r>
            <w:r>
              <w:rPr>
                <w:rFonts w:hint="eastAsia" w:ascii="宋体" w:hAnsi="宋体" w:eastAsia="宋体" w:cs="宋体"/>
                <w:color w:val="000000"/>
                <w:sz w:val="21"/>
                <w:szCs w:val="21"/>
                <w:highlight w:val="none"/>
                <w:lang w:bidi="ar"/>
              </w:rPr>
            </w:r>
            <w:r/>
          </w:p>
          <w:p>
            <w:pPr>
              <w:pStyle w:val="945"/>
              <w:jc w:val="left"/>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▲15、具有单通道吸附电极关闭功能。</w:t>
            </w:r>
            <w:r>
              <w:rPr>
                <w:rFonts w:hint="eastAsia" w:ascii="宋体" w:hAnsi="宋体" w:eastAsia="宋体" w:cs="宋体"/>
                <w:color w:val="000000"/>
                <w:sz w:val="21"/>
                <w:szCs w:val="21"/>
                <w:highlight w:val="none"/>
                <w:lang w:bidi="ar"/>
              </w:rPr>
            </w:r>
            <w:r/>
          </w:p>
          <w:p>
            <w:pPr>
              <w:pStyle w:val="945"/>
              <w:jc w:val="left"/>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16、具备电极脱落自动报警功能。</w:t>
            </w:r>
            <w:r>
              <w:rPr>
                <w:rFonts w:hint="eastAsia" w:ascii="宋体" w:hAnsi="宋体" w:eastAsia="宋体" w:cs="宋体"/>
                <w:color w:val="000000"/>
                <w:sz w:val="21"/>
                <w:szCs w:val="21"/>
                <w:highlight w:val="none"/>
                <w:lang w:bidi="ar"/>
              </w:rPr>
            </w:r>
            <w:r/>
          </w:p>
          <w:p>
            <w:pPr>
              <w:pStyle w:val="945"/>
              <w:jc w:val="left"/>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17、具有过流保护及提示，强度锁定及自动归零的功能。</w:t>
            </w:r>
            <w:r>
              <w:rPr>
                <w:rFonts w:hint="eastAsia" w:ascii="宋体" w:hAnsi="宋体" w:eastAsia="宋体" w:cs="宋体"/>
                <w:color w:val="000000"/>
                <w:sz w:val="21"/>
                <w:szCs w:val="21"/>
                <w:highlight w:val="none"/>
                <w:lang w:bidi="ar"/>
              </w:rPr>
            </w:r>
            <w:r/>
          </w:p>
          <w:p>
            <w:pPr>
              <w:pStyle w:val="945"/>
              <w:jc w:val="left"/>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18、按压式自锁回弹储水盒，一按即开，无需拉手，方便易用。</w:t>
            </w:r>
            <w:r>
              <w:rPr>
                <w:rFonts w:hint="eastAsia" w:ascii="宋体" w:hAnsi="宋体" w:eastAsia="宋体" w:cs="宋体"/>
                <w:color w:val="000000"/>
                <w:sz w:val="21"/>
                <w:szCs w:val="21"/>
                <w:highlight w:val="none"/>
                <w:lang w:bidi="ar"/>
              </w:rPr>
            </w:r>
            <w:r/>
          </w:p>
          <w:p>
            <w:pPr>
              <w:pStyle w:val="945"/>
              <w:jc w:val="left"/>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19、治疗范围：对肩周炎、肱骨外上髁炎、颈椎病、腰椎间盘突出症、退行性骨性关节病、风湿性关节炎、类风湿关节炎、扭伤、挫伤、肌纤维织炎、肌肉劳损、狭窄性腱鞘炎、坐骨神经痛、周围神经伤病、关节挛缩具有镇痛作用，改善局部血液循环，促进炎症消散作用；对肌炎、骨折延迟愈合、雷诺病具有改善局部血液循环，促进炎症消散作用；对瘢痕、瘢痕挛缩、狭窄性腱鞘炎具有软化瘢痕、松解粘连作用。对神经或肌肉伤病后肌肉功能障碍、废用性肌萎缩、具有兴奋神经肌肉作用。</w:t>
            </w: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945"/>
              <w:jc w:val="center"/>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作为医疗器械管理，提供有效的医疗器械注册证（或备案凭证）</w:t>
            </w:r>
            <w:r>
              <w:rPr>
                <w:rFonts w:hint="eastAsia" w:ascii="宋体" w:hAnsi="宋体" w:eastAsia="宋体" w:cs="宋体"/>
                <w:color w:val="000000"/>
                <w:sz w:val="21"/>
                <w:szCs w:val="21"/>
                <w:highlight w:val="none"/>
                <w:lang w:bidi="ar"/>
              </w:rPr>
            </w:r>
            <w:r/>
          </w:p>
        </w:tc>
      </w:tr>
      <w:tr>
        <w:trPr>
          <w:trHeight w:val="90"/>
        </w:trPr>
        <w:tc>
          <w:tcPr>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pStyle w:val="945"/>
              <w:ind w:left="425" w:hanging="425"/>
              <w:jc w:val="center"/>
              <w:spacing w:line="24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12.</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pStyle w:val="945"/>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加压冷热敷机</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pStyle w:val="945"/>
              <w:jc w:val="center"/>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1台</w:t>
            </w: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912" w:type="dxa"/>
            <w:vAlign w:val="center"/>
            <w:textDirection w:val="lrTb"/>
            <w:noWrap w:val="false"/>
          </w:tcPr>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一、主机技术参数</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1、电源电压：100-240V，50Hz/60Hz</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2、耗电量：≤36VA</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3、整机重量：≤3.2kg</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4、整机外型尺寸：≤344mm×220mm×240mm</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▲5、空气加压：具备空气加压功能，空气压力0-150mmHg六档压力值可调节，并同时具备物理压力保护。</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6、可调水流：可调节冷敷循环水流大小，使包裹带温度可调节</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7、可调时间：5~120分钟单次工作时间可调</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8、提供连接线，可连接充电宝进行移动使用</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9、可通过手机控制设备（选配）</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10、具备AI功能，能根据所选使用场景自动生成适合的工作方案（选配）</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11、主机配合包裹带使用，可实现空气加压和循环冷却</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12、一台主机可配合不少于2个包裹带同时使用</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13、可提供便携包或托运箱</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14、一拖二自识别：使用一拖二连接器时，可以对接一个或者两个身体套件使用，可以一端空载作为一拖一连接器使用</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▲15、水箱扩容：可通过水箱外接组件实现水箱扩容，满足多人、多频次的集中使用需求，而不用频繁进行加冰、换水等操作</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16、恒温热敷：可通过搭配加热组件对水箱内循环水进行快速加热和恒温保持，以实现恒温热敷（加热组件需额外选配）</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17、专用身体套件包裹带具有气动加压层和冷循环层的一体化双层结构，使用防霉材质以及可拆洗布套</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二、包裹带功能参数</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（一）腿部包裹带功能参数</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1、整体重量：≤1kg</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2、整体尺寸：≥850mm*440mm</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3、材质：亲肤可降解布料，防水透湿</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4、防霉：升级防霉材质，不易损坏，便于保养</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5、功能：包裹带是具有气动加压层和冷循环层的一体化双层结构</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6、布套：包裹带具有可拆卸布套，便于拆洗更换</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（二）踝部包裹带功能参数</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1、整体重量：≤1kg</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2、整体尺寸：≥450mm*340mm</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3、材质：亲肤可降解布料，防水透湿</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4、防霉：升级防霉材质，不易损坏，便于保养</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5、功能：包裹带是具有气动加压层和冷循环层的一体化双层结构</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6、布套：包裹带具有可拆卸布套，便于拆洗更换</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（三）肩部包裹带功能参数</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1、整体重量：≤1kg</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2、整体尺寸：≥650mm*450mm</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3、材质：亲肤可降解布料，防水透湿</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4、防霉：升级防霉材质，不易损坏，便于保养</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5、功能：包裹带是具有气动加压层和冷循环层的一体化双层结构</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6、布套：包裹带具有可拆卸布套，便于拆洗更换</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（四）肘部包裹带功能参数</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1、整体重量：≤1kg</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2、整体尺寸：≥450mm*340mm</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3、材质：亲肤可降解布料，防水透湿</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4、防霉：升级防霉材质，不易损坏，便于保养</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5、功能：包裹带是具有气动加压层和冷循环层的一体化双层结构</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6、布套：包裹带具有可拆卸布套，便于拆洗更换</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（五）全腿包裹带功能参数</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1、整体重量：≤1kg</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2、整体尺寸：≥850mm*750mm</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3、材质：亲肤可降解布料，防水透湿</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4、防霉：升级防霉材质，不易损坏，便于保养</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5、功能：包裹带是具有气动加压层和冷循环层的一体化双层结构</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6、布套：包裹带具有可拆卸布套，便于拆洗更换。</w:t>
            </w: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945"/>
              <w:jc w:val="center"/>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r>
      <w:tr>
        <w:trPr>
          <w:trHeight w:val="5491"/>
        </w:trPr>
        <w:tc>
          <w:tcPr>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pStyle w:val="945"/>
              <w:ind w:left="425" w:hanging="425"/>
              <w:jc w:val="center"/>
              <w:spacing w:line="24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13.</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pStyle w:val="945"/>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超短波治疗仪</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pStyle w:val="945"/>
              <w:jc w:val="center"/>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1台</w:t>
            </w: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912" w:type="dxa"/>
            <w:vAlign w:val="center"/>
            <w:textDirection w:val="lrTb"/>
            <w:noWrap w:val="false"/>
          </w:tcPr>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1、独特垂直设计，并提供提拉把手移动方便。设备主体宽度＜200毫米，操作简便，可实时监控治疗过程</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2、一体式晶体管设计固态发振和自动调谐功能，无需手调和更换电子管。超群的双层金属网屏蔽性能及硅混合外壳，对操作者和周围环境无影响</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▲3、配备电感电极和电容电极，设备可自动识别探头</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4、输出模式≥四档可调</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5、工作频率：27.12MHz±10%</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6、脉冲频率：1025Hz-1460Hz，≥四档可调</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7、输出功率：8W-45W四档可调（允差±20%）</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▲8、脉冲持续时间：210μs～420μs</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9、定时器：≥30分钟</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10、整机尺寸：＜200×450×400mm</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ascii="宋体" w:hAnsi="宋体" w:eastAsia="宋体" w:cs="宋体"/>
                <w:color w:val="000000"/>
                <w:sz w:val="21"/>
                <w:szCs w:val="21"/>
                <w:highlight w:val="none"/>
                <w:lang w:bidi="ar"/>
              </w:rPr>
              <w:t xml:space="preserve">11</w:t>
            </w:r>
            <w:r>
              <w:rPr>
                <w:rFonts w:hint="eastAsia" w:ascii="宋体" w:hAnsi="宋体" w:eastAsia="宋体" w:cs="宋体"/>
                <w:color w:val="000000"/>
                <w:sz w:val="21"/>
                <w:szCs w:val="21"/>
                <w:highlight w:val="none"/>
                <w:lang w:bidi="ar"/>
              </w:rPr>
              <w:t xml:space="preserve">、电容导子治疗面积：≥</w:t>
            </w:r>
            <w:r>
              <w:rPr>
                <w:rFonts w:ascii="宋体" w:hAnsi="宋体" w:eastAsia="宋体" w:cs="宋体"/>
                <w:color w:val="000000"/>
                <w:sz w:val="21"/>
                <w:szCs w:val="21"/>
                <w:highlight w:val="none"/>
                <w:lang w:bidi="ar"/>
              </w:rPr>
              <w:t xml:space="preserve">256cm²</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ascii="宋体" w:hAnsi="宋体" w:eastAsia="宋体" w:cs="宋体"/>
                <w:color w:val="000000"/>
                <w:sz w:val="21"/>
                <w:szCs w:val="21"/>
                <w:highlight w:val="none"/>
                <w:lang w:bidi="ar"/>
              </w:rPr>
              <w:t xml:space="preserve">12</w:t>
            </w:r>
            <w:r>
              <w:rPr>
                <w:rFonts w:hint="eastAsia" w:ascii="宋体" w:hAnsi="宋体" w:eastAsia="宋体" w:cs="宋体"/>
                <w:color w:val="000000"/>
                <w:sz w:val="21"/>
                <w:szCs w:val="21"/>
                <w:highlight w:val="none"/>
                <w:lang w:bidi="ar"/>
              </w:rPr>
              <w:t xml:space="preserve">、电感电极治疗面积：≥</w:t>
            </w:r>
            <w:r>
              <w:rPr>
                <w:rFonts w:ascii="宋体" w:hAnsi="宋体" w:eastAsia="宋体" w:cs="宋体"/>
                <w:color w:val="000000"/>
                <w:sz w:val="21"/>
                <w:szCs w:val="21"/>
                <w:highlight w:val="none"/>
                <w:lang w:bidi="ar"/>
              </w:rPr>
              <w:t xml:space="preserve">726cm²</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13、自动调谐时间：＜5秒</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14、重量：≤10KG，携带方便</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15、采用了过度电流保护措施，如操作时实际温度高出设定温度以上就会自动关闭的安全回路，以及在强力电极的内部装上了防止温度异常上升的防护装置可以对进行使用者提供双重的保护</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16、独特的按键设计，一键切换功率输出</w:t>
            </w:r>
            <w:r>
              <w:rPr>
                <w:rFonts w:hint="eastAsia" w:ascii="宋体" w:hAnsi="宋体" w:eastAsia="宋体" w:cs="宋体"/>
                <w:color w:val="000000"/>
                <w:sz w:val="21"/>
                <w:szCs w:val="21"/>
                <w:highlight w:val="none"/>
                <w:lang w:bidi="ar"/>
              </w:rPr>
            </w:r>
            <w:r/>
          </w:p>
          <w:p>
            <w:pPr>
              <w:pStyle w:val="945"/>
              <w:jc w:val="left"/>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17、可选配肩部电容电极，丰富治疗方案</w:t>
            </w: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945"/>
              <w:jc w:val="center"/>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作为医疗器械管理，提供有效的医疗器械注册证（或备案凭证）</w:t>
            </w:r>
            <w:r>
              <w:rPr>
                <w:rFonts w:hint="eastAsia" w:ascii="宋体" w:hAnsi="宋体" w:eastAsia="宋体" w:cs="宋体"/>
                <w:color w:val="000000"/>
                <w:sz w:val="21"/>
                <w:szCs w:val="21"/>
                <w:highlight w:val="none"/>
                <w:lang w:bidi="ar"/>
              </w:rPr>
            </w:r>
            <w:r/>
          </w:p>
        </w:tc>
      </w:tr>
      <w:tr>
        <w:trPr>
          <w:trHeight w:val="274"/>
        </w:trPr>
        <w:tc>
          <w:tcPr>
            <w:gridSpan w:val="4"/>
            <w:tcBorders>
              <w:top w:val="single" w:color="000000" w:sz="4" w:space="0"/>
              <w:left w:val="single" w:color="000000" w:sz="4" w:space="0"/>
              <w:bottom w:val="single" w:color="000000" w:sz="4" w:space="0"/>
              <w:right w:val="single" w:color="000000" w:sz="4" w:space="0"/>
            </w:tcBorders>
            <w:tcW w:w="8396" w:type="dxa"/>
            <w:vAlign w:val="center"/>
            <w:textDirection w:val="lrTb"/>
            <w:noWrap w:val="false"/>
          </w:tcPr>
          <w:p>
            <w:pPr>
              <w:pStyle w:val="945"/>
              <w:jc w:val="left"/>
              <w:spacing w:line="240" w:lineRule="auto"/>
              <w:widowControl/>
              <w:tabs>
                <w:tab w:val="left" w:pos="2432" w:leader="none"/>
              </w:tabs>
              <w:rPr>
                <w:rFonts w:hint="eastAsia" w:ascii="宋体" w:hAnsi="宋体" w:eastAsia="宋体" w:cs="宋体"/>
                <w:color w:val="000000"/>
                <w:sz w:val="28"/>
                <w:szCs w:val="28"/>
                <w:highlight w:val="none"/>
                <w:lang w:bidi="ar"/>
              </w:rPr>
            </w:pPr>
            <w:r>
              <w:rPr>
                <w:rFonts w:hint="eastAsia" w:ascii="宋体" w:hAnsi="宋体" w:eastAsia="宋体" w:cs="宋体"/>
                <w:color w:val="000000"/>
                <w:sz w:val="28"/>
                <w:szCs w:val="28"/>
                <w:highlight w:val="none"/>
                <w:shd w:val="clear" w:color="auto" w:fill="ffffff"/>
              </w:rPr>
              <w:t xml:space="preserve">机能监控设备</w:t>
            </w:r>
            <w:r>
              <w:rPr>
                <w:rFonts w:hint="eastAsia" w:ascii="宋体" w:hAnsi="宋体" w:eastAsia="宋体" w:cs="宋体"/>
                <w:color w:val="000000"/>
                <w:sz w:val="28"/>
                <w:szCs w:val="28"/>
                <w:highlight w:val="none"/>
                <w:lang w:bidi="ar"/>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945"/>
              <w:jc w:val="center"/>
              <w:spacing w:line="240" w:lineRule="auto"/>
              <w:widowControl/>
              <w:rPr>
                <w:rFonts w:hint="eastAsia" w:ascii="宋体" w:hAnsi="宋体" w:eastAsia="宋体" w:cs="宋体"/>
                <w:color w:val="000000"/>
                <w:sz w:val="28"/>
                <w:szCs w:val="28"/>
                <w:highlight w:val="none"/>
                <w:lang w:bidi="ar"/>
              </w:rPr>
            </w:pPr>
            <w:r>
              <w:rPr>
                <w:rFonts w:hint="eastAsia" w:ascii="宋体" w:hAnsi="宋体" w:eastAsia="宋体" w:cs="宋体"/>
                <w:color w:val="000000"/>
                <w:sz w:val="28"/>
                <w:szCs w:val="28"/>
                <w:highlight w:val="none"/>
                <w:lang w:bidi="ar"/>
              </w:rPr>
            </w:r>
            <w:r/>
          </w:p>
        </w:tc>
      </w:tr>
      <w:tr>
        <w:trPr>
          <w:trHeight w:val="341"/>
        </w:trPr>
        <w:tc>
          <w:tcPr>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pStyle w:val="945"/>
              <w:jc w:val="center"/>
              <w:spacing w:line="24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序号</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pStyle w:val="945"/>
              <w:jc w:val="center"/>
              <w:spacing w:line="24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设备名称</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pStyle w:val="945"/>
              <w:jc w:val="center"/>
              <w:spacing w:line="240" w:lineRule="auto"/>
              <w:widowControl/>
              <w:rPr>
                <w:rFonts w:hint="eastAsia" w:ascii="宋体" w:hAnsi="宋体" w:eastAsia="宋体" w:cs="宋体"/>
                <w:b/>
                <w:bCs/>
                <w:color w:val="000000"/>
                <w:sz w:val="21"/>
                <w:szCs w:val="21"/>
                <w:highlight w:val="none"/>
                <w:lang w:bidi="ar"/>
              </w:rPr>
            </w:pPr>
            <w:r>
              <w:rPr>
                <w:rFonts w:hint="eastAsia" w:ascii="宋体" w:hAnsi="宋体" w:eastAsia="宋体" w:cs="宋体"/>
                <w:b/>
                <w:bCs/>
                <w:color w:val="000000"/>
                <w:sz w:val="21"/>
                <w:szCs w:val="21"/>
                <w:highlight w:val="none"/>
                <w:lang w:bidi="ar"/>
              </w:rPr>
              <w:t xml:space="preserve">数量</w:t>
            </w: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912" w:type="dxa"/>
            <w:vAlign w:val="center"/>
            <w:textDirection w:val="lrTb"/>
            <w:noWrap w:val="false"/>
          </w:tcPr>
          <w:p>
            <w:pPr>
              <w:pStyle w:val="945"/>
              <w:jc w:val="center"/>
              <w:spacing w:line="240" w:lineRule="auto"/>
              <w:widowControl/>
              <w:rPr>
                <w:rFonts w:hint="eastAsia" w:ascii="宋体" w:hAnsi="宋体" w:eastAsia="宋体" w:cs="宋体"/>
                <w:b/>
                <w:bCs/>
                <w:color w:val="000000"/>
                <w:sz w:val="21"/>
                <w:szCs w:val="21"/>
                <w:highlight w:val="none"/>
                <w:lang w:bidi="ar"/>
              </w:rPr>
            </w:pPr>
            <w:r>
              <w:rPr>
                <w:rFonts w:hint="eastAsia" w:ascii="宋体" w:hAnsi="宋体" w:eastAsia="宋体" w:cs="宋体"/>
                <w:b/>
                <w:bCs/>
                <w:color w:val="000000"/>
                <w:sz w:val="21"/>
                <w:szCs w:val="21"/>
                <w:highlight w:val="none"/>
              </w:rPr>
              <w:t xml:space="preserve">技术参数</w:t>
            </w: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945"/>
              <w:jc w:val="center"/>
              <w:spacing w:line="240" w:lineRule="auto"/>
              <w:widowControl/>
              <w:tabs>
                <w:tab w:val="left" w:pos="324" w:leader="none"/>
              </w:tabs>
              <w:rPr>
                <w:rFonts w:hint="eastAsia" w:ascii="宋体" w:hAnsi="宋体" w:eastAsia="宋体" w:cs="宋体"/>
                <w:color w:val="000000"/>
                <w:sz w:val="21"/>
                <w:szCs w:val="21"/>
                <w:highlight w:val="none"/>
                <w:lang w:bidi="ar"/>
              </w:rPr>
            </w:pPr>
            <w:r>
              <w:rPr>
                <w:rFonts w:hint="eastAsia" w:ascii="宋体" w:hAnsi="宋体" w:eastAsia="宋体" w:cs="宋体"/>
                <w:b/>
                <w:bCs/>
                <w:color w:val="000000"/>
                <w:sz w:val="21"/>
                <w:szCs w:val="21"/>
                <w:highlight w:val="none"/>
              </w:rPr>
              <w:t xml:space="preserve">备注</w:t>
            </w:r>
            <w:r>
              <w:rPr>
                <w:rFonts w:hint="eastAsia" w:ascii="宋体" w:hAnsi="宋体" w:eastAsia="宋体" w:cs="宋体"/>
                <w:color w:val="000000"/>
                <w:sz w:val="21"/>
                <w:szCs w:val="21"/>
                <w:highlight w:val="none"/>
                <w:lang w:bidi="ar"/>
              </w:rPr>
            </w:r>
            <w:r/>
          </w:p>
        </w:tc>
      </w:tr>
      <w:tr>
        <w:trPr>
          <w:trHeight w:val="1234"/>
        </w:trPr>
        <w:tc>
          <w:tcPr>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pStyle w:val="945"/>
              <w:jc w:val="center"/>
              <w:spacing w:line="24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pStyle w:val="945"/>
              <w:jc w:val="center"/>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全自动血液细胞分析仪</w:t>
            </w: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pStyle w:val="945"/>
              <w:jc w:val="center"/>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1台</w:t>
            </w: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912" w:type="dxa"/>
            <w:vAlign w:val="center"/>
            <w:textDirection w:val="lrTb"/>
            <w:noWrap w:val="false"/>
          </w:tcPr>
          <w:p>
            <w:pPr>
              <w:pStyle w:val="945"/>
              <w:jc w:val="left"/>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1、检测方法及原理：血细胞分析采用半导体激光法、鞘流电阻抗法、荧光染色法和流式细胞技术原理，CRP、SAA检测采用胶乳增强免疫散射比浊法。</w:t>
            </w:r>
            <w:r>
              <w:rPr>
                <w:rFonts w:hint="eastAsia" w:ascii="宋体" w:hAnsi="宋体" w:eastAsia="宋体" w:cs="宋体"/>
                <w:color w:val="000000"/>
                <w:sz w:val="21"/>
                <w:szCs w:val="21"/>
                <w:highlight w:val="none"/>
                <w:lang w:bidi="ar"/>
              </w:rPr>
            </w:r>
            <w:r/>
          </w:p>
          <w:p>
            <w:pPr>
              <w:pStyle w:val="945"/>
              <w:jc w:val="left"/>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▲2、报告参数：血液分析报告参数≥37个，三维散点图≥3个；体液分析报告参数≥7个；CRP报告参数≥2个；SAA报告参数≥1个。</w:t>
            </w:r>
            <w:r>
              <w:rPr>
                <w:rFonts w:hint="eastAsia" w:ascii="宋体" w:hAnsi="宋体" w:eastAsia="宋体" w:cs="宋体"/>
                <w:color w:val="000000"/>
                <w:sz w:val="21"/>
                <w:szCs w:val="21"/>
                <w:highlight w:val="none"/>
                <w:lang w:bidi="ar"/>
              </w:rPr>
            </w:r>
            <w:r/>
          </w:p>
          <w:p>
            <w:pPr>
              <w:pStyle w:val="945"/>
              <w:jc w:val="left"/>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▲3、单机检测速度：CBC＋DIFF＋NRBC ≥110个样本/小时；CBC＋DIFF＋NRBC＋CRP ≥100样本/小时；CBC＋DIFF＋NRBC＋SAA ≥100样本/小时。</w:t>
            </w:r>
            <w:r>
              <w:rPr>
                <w:rFonts w:hint="eastAsia" w:ascii="宋体" w:hAnsi="宋体" w:eastAsia="宋体" w:cs="宋体"/>
                <w:color w:val="000000"/>
                <w:sz w:val="21"/>
                <w:szCs w:val="21"/>
                <w:highlight w:val="none"/>
                <w:lang w:bidi="ar"/>
              </w:rPr>
            </w:r>
            <w:r/>
          </w:p>
          <w:p>
            <w:pPr>
              <w:pStyle w:val="945"/>
              <w:jc w:val="left"/>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4、进样方式及用血量：静脉血和末梢全血均可自动批量进样或手动进样；末梢全血检测CDR+CRP用血量≤37μl，末梢全血检测CDR+CRP+SAA用血量≤40μl，预稀释模式CDR+CRP+SAA用血量≤20μl。</w:t>
            </w:r>
            <w:r>
              <w:rPr>
                <w:rFonts w:hint="eastAsia" w:ascii="宋体" w:hAnsi="宋体" w:eastAsia="宋体" w:cs="宋体"/>
                <w:color w:val="000000"/>
                <w:sz w:val="21"/>
                <w:szCs w:val="21"/>
                <w:highlight w:val="none"/>
                <w:lang w:bidi="ar"/>
              </w:rPr>
            </w:r>
            <w:r/>
          </w:p>
          <w:p>
            <w:pPr>
              <w:pStyle w:val="945"/>
              <w:jc w:val="left"/>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5、标配自动进样器，自动进样器内轨标配回退功能，可选配开放进样或封闭进样装置。</w:t>
            </w:r>
            <w:r>
              <w:rPr>
                <w:rFonts w:hint="eastAsia" w:ascii="宋体" w:hAnsi="宋体" w:eastAsia="宋体" w:cs="宋体"/>
                <w:color w:val="000000"/>
                <w:sz w:val="21"/>
                <w:szCs w:val="21"/>
                <w:highlight w:val="none"/>
                <w:lang w:bidi="ar"/>
              </w:rPr>
            </w:r>
            <w:r/>
          </w:p>
          <w:p>
            <w:pPr>
              <w:pStyle w:val="945"/>
              <w:jc w:val="left"/>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6、末梢全血自动批量检测模式支持以下功能：自动扫码进样、自动混匀、异常标本自动回退复检；自动混匀功能可适配主流末梢全血采血管。</w:t>
            </w:r>
            <w:r>
              <w:rPr>
                <w:rFonts w:hint="eastAsia" w:ascii="宋体" w:hAnsi="宋体" w:eastAsia="宋体" w:cs="宋体"/>
                <w:color w:val="000000"/>
                <w:sz w:val="21"/>
                <w:szCs w:val="21"/>
                <w:highlight w:val="none"/>
                <w:lang w:bidi="ar"/>
              </w:rPr>
            </w:r>
            <w:r/>
          </w:p>
          <w:p>
            <w:pPr>
              <w:pStyle w:val="945"/>
              <w:jc w:val="left"/>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7、末梢全血预稀释模式也能进行白细胞五分类、有核红细胞、网织红细胞和CRP、SAA检测，有急诊插入功能。</w:t>
            </w:r>
            <w:r>
              <w:rPr>
                <w:rFonts w:hint="eastAsia" w:ascii="宋体" w:hAnsi="宋体" w:eastAsia="宋体" w:cs="宋体"/>
                <w:color w:val="000000"/>
                <w:sz w:val="21"/>
                <w:szCs w:val="21"/>
                <w:highlight w:val="none"/>
                <w:lang w:bidi="ar"/>
              </w:rPr>
            </w:r>
            <w:r/>
          </w:p>
          <w:p>
            <w:pPr>
              <w:pStyle w:val="945"/>
              <w:jc w:val="left"/>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8、具有全自动体液（含胸水、腹水、脑脊液和浆膜液等体液）细胞计数和对体液中的白细胞进行分类的功能；具有通过高荧光体液细胞参数对肿瘤细胞进行提示功能。</w:t>
            </w:r>
            <w:r>
              <w:rPr>
                <w:rFonts w:hint="eastAsia" w:ascii="宋体" w:hAnsi="宋体" w:eastAsia="宋体" w:cs="宋体"/>
                <w:color w:val="000000"/>
                <w:sz w:val="21"/>
                <w:szCs w:val="21"/>
                <w:highlight w:val="none"/>
                <w:lang w:bidi="ar"/>
              </w:rPr>
            </w:r>
            <w:r/>
          </w:p>
          <w:p>
            <w:pPr>
              <w:pStyle w:val="945"/>
              <w:jc w:val="left"/>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9、使用荧光染料和半导体激光检测WBC五分类，并具有有核红细胞检测功能，能自动进行对白细胞计数的校正。</w:t>
            </w:r>
            <w:r>
              <w:rPr>
                <w:rFonts w:hint="eastAsia" w:ascii="宋体" w:hAnsi="宋体" w:eastAsia="宋体" w:cs="宋体"/>
                <w:color w:val="000000"/>
                <w:sz w:val="21"/>
                <w:szCs w:val="21"/>
                <w:highlight w:val="none"/>
                <w:lang w:bidi="ar"/>
              </w:rPr>
            </w:r>
            <w:r/>
          </w:p>
          <w:p>
            <w:pPr>
              <w:pStyle w:val="945"/>
              <w:jc w:val="left"/>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10、全自动网织红细胞检测，可对网织红进行分型，提供网织红成熟度指数，网织红细胞检测无需机外染色处理,需提供原厂配套网织红校准品（提供证明）。</w:t>
            </w:r>
            <w:r>
              <w:rPr>
                <w:rFonts w:hint="eastAsia" w:ascii="宋体" w:hAnsi="宋体" w:eastAsia="宋体" w:cs="宋体"/>
                <w:color w:val="000000"/>
                <w:sz w:val="21"/>
                <w:szCs w:val="21"/>
                <w:highlight w:val="none"/>
                <w:lang w:bidi="ar"/>
              </w:rPr>
            </w:r>
            <w:r/>
          </w:p>
          <w:p>
            <w:pPr>
              <w:pStyle w:val="945"/>
              <w:jc w:val="left"/>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11、具有检测网织红细胞血红蛋白含量的功能，以帮助判断贫血的类型。</w:t>
            </w:r>
            <w:r>
              <w:rPr>
                <w:rFonts w:hint="eastAsia" w:ascii="宋体" w:hAnsi="宋体" w:eastAsia="宋体" w:cs="宋体"/>
                <w:color w:val="000000"/>
                <w:sz w:val="21"/>
                <w:szCs w:val="21"/>
                <w:highlight w:val="none"/>
                <w:lang w:bidi="ar"/>
              </w:rPr>
            </w:r>
            <w:r/>
          </w:p>
          <w:p>
            <w:pPr>
              <w:pStyle w:val="945"/>
              <w:jc w:val="left"/>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12、血小板检测采用鞘流阻抗法和荧光染色法两种方法，并可转换。</w:t>
            </w:r>
            <w:r>
              <w:rPr>
                <w:rFonts w:hint="eastAsia" w:ascii="宋体" w:hAnsi="宋体" w:eastAsia="宋体" w:cs="宋体"/>
                <w:color w:val="000000"/>
                <w:sz w:val="21"/>
                <w:szCs w:val="21"/>
                <w:highlight w:val="none"/>
                <w:lang w:bidi="ar"/>
              </w:rPr>
            </w:r>
            <w:r/>
          </w:p>
          <w:p>
            <w:pPr>
              <w:pStyle w:val="945"/>
              <w:jc w:val="left"/>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13、具有低值血小板检测功能，如遇血小板低值时通过自动增加计数颗粒数量（8倍）来保证血小板检测精度，也可以手动选择8倍进样检测模式。</w:t>
            </w:r>
            <w:r>
              <w:rPr>
                <w:rFonts w:hint="eastAsia" w:ascii="宋体" w:hAnsi="宋体" w:eastAsia="宋体" w:cs="宋体"/>
                <w:color w:val="000000"/>
                <w:sz w:val="21"/>
                <w:szCs w:val="21"/>
                <w:highlight w:val="none"/>
                <w:lang w:bidi="ar"/>
              </w:rPr>
            </w:r>
            <w:r/>
          </w:p>
          <w:p>
            <w:pPr>
              <w:pStyle w:val="945"/>
              <w:jc w:val="left"/>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14、具有对EDTA依赖性血小板聚集标本的“自解聚”功能，如遇血小板聚集时可自动加测光学法血小板，光学法血小板对聚集血小板的解聚率≥80%（提供数据证明材料）。</w:t>
            </w:r>
            <w:r>
              <w:rPr>
                <w:rFonts w:hint="eastAsia" w:ascii="宋体" w:hAnsi="宋体" w:eastAsia="宋体" w:cs="宋体"/>
                <w:color w:val="000000"/>
                <w:sz w:val="21"/>
                <w:szCs w:val="21"/>
                <w:highlight w:val="none"/>
                <w:lang w:bidi="ar"/>
              </w:rPr>
            </w:r>
            <w:r/>
          </w:p>
          <w:p>
            <w:pPr>
              <w:pStyle w:val="945"/>
              <w:jc w:val="left"/>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15、具有低值白细胞检测功能，如遇白细胞低值时自动增加计数颗粒数量来保证检测结果的准确性，无需二次折返检测。</w:t>
            </w:r>
            <w:r>
              <w:rPr>
                <w:rFonts w:hint="eastAsia" w:ascii="宋体" w:hAnsi="宋体" w:eastAsia="宋体" w:cs="宋体"/>
                <w:color w:val="000000"/>
                <w:sz w:val="21"/>
                <w:szCs w:val="21"/>
                <w:highlight w:val="none"/>
                <w:lang w:bidi="ar"/>
              </w:rPr>
            </w:r>
            <w:r/>
          </w:p>
          <w:p>
            <w:pPr>
              <w:pStyle w:val="945"/>
              <w:jc w:val="left"/>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16、具有高值SAA自动稀释重测功能，如遇样本SAA结果超出线性范围，无需人工干预，可自动回退稀释重测。</w:t>
            </w:r>
            <w:r>
              <w:rPr>
                <w:rFonts w:hint="eastAsia" w:ascii="宋体" w:hAnsi="宋体" w:eastAsia="宋体" w:cs="宋体"/>
                <w:color w:val="000000"/>
                <w:sz w:val="21"/>
                <w:szCs w:val="21"/>
                <w:highlight w:val="none"/>
                <w:lang w:bidi="ar"/>
              </w:rPr>
            </w:r>
            <w:r/>
          </w:p>
          <w:p>
            <w:pPr>
              <w:pStyle w:val="945"/>
              <w:jc w:val="left"/>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17、配备原厂中文报告及数据处理系统，血液分析仪主机自带不小于10寸彩色液晶触摸屏。</w:t>
            </w:r>
            <w:r>
              <w:rPr>
                <w:rFonts w:hint="eastAsia" w:ascii="宋体" w:hAnsi="宋体" w:eastAsia="宋体" w:cs="宋体"/>
                <w:color w:val="000000"/>
                <w:sz w:val="21"/>
                <w:szCs w:val="21"/>
                <w:highlight w:val="none"/>
                <w:lang w:bidi="ar"/>
              </w:rPr>
            </w:r>
            <w:r/>
          </w:p>
          <w:p>
            <w:pPr>
              <w:pStyle w:val="945"/>
              <w:jc w:val="left"/>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18、血液分析线性范围（静脉血）：白细胞：（0-500） 109/L，红细胞：（0-8.6） 1012/L，血小板：（0-5000） 109/L，血红蛋白：0-260g/L。</w:t>
            </w:r>
            <w:r>
              <w:rPr>
                <w:rFonts w:hint="eastAsia" w:ascii="宋体" w:hAnsi="宋体" w:eastAsia="宋体" w:cs="宋体"/>
                <w:color w:val="000000"/>
                <w:sz w:val="21"/>
                <w:szCs w:val="21"/>
                <w:highlight w:val="none"/>
                <w:lang w:bidi="ar"/>
              </w:rPr>
            </w:r>
            <w:r/>
          </w:p>
          <w:p>
            <w:pPr>
              <w:pStyle w:val="945"/>
              <w:jc w:val="left"/>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19、血液模式空白计数要求：白细胞≤0.1  109/L，红细胞≤0.02  1012/L，血红蛋白≤1g/L，阻抗法血小板≤5  109/L。</w:t>
            </w:r>
            <w:r>
              <w:rPr>
                <w:rFonts w:hint="eastAsia" w:ascii="宋体" w:hAnsi="宋体" w:eastAsia="宋体" w:cs="宋体"/>
                <w:color w:val="000000"/>
                <w:sz w:val="21"/>
                <w:szCs w:val="21"/>
                <w:highlight w:val="none"/>
                <w:lang w:bidi="ar"/>
              </w:rPr>
            </w:r>
            <w:r/>
          </w:p>
          <w:p>
            <w:pPr>
              <w:pStyle w:val="945"/>
              <w:jc w:val="left"/>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20、CRP线性范围：0.2~320mg/L。</w:t>
            </w:r>
            <w:r>
              <w:rPr>
                <w:rFonts w:hint="eastAsia" w:ascii="宋体" w:hAnsi="宋体" w:eastAsia="宋体" w:cs="宋体"/>
                <w:color w:val="000000"/>
                <w:sz w:val="21"/>
                <w:szCs w:val="21"/>
                <w:highlight w:val="none"/>
                <w:lang w:bidi="ar"/>
              </w:rPr>
            </w:r>
            <w:r/>
          </w:p>
          <w:p>
            <w:pPr>
              <w:pStyle w:val="945"/>
              <w:jc w:val="left"/>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21、SAA线性范围：5~350mg/L。</w:t>
            </w:r>
            <w:r>
              <w:rPr>
                <w:rFonts w:hint="eastAsia" w:ascii="宋体" w:hAnsi="宋体" w:eastAsia="宋体" w:cs="宋体"/>
                <w:color w:val="000000"/>
                <w:sz w:val="21"/>
                <w:szCs w:val="21"/>
                <w:highlight w:val="none"/>
                <w:lang w:bidi="ar"/>
              </w:rPr>
            </w:r>
            <w:r/>
          </w:p>
          <w:p>
            <w:pPr>
              <w:pStyle w:val="945"/>
              <w:jc w:val="left"/>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22、全血CRP检测时可校正红细胞、白细胞、血小板体积的干扰（提供证明文件）。</w:t>
            </w:r>
            <w:r>
              <w:rPr>
                <w:rFonts w:hint="eastAsia" w:ascii="宋体" w:hAnsi="宋体" w:eastAsia="宋体" w:cs="宋体"/>
                <w:color w:val="000000"/>
                <w:sz w:val="21"/>
                <w:szCs w:val="21"/>
                <w:highlight w:val="none"/>
                <w:lang w:bidi="ar"/>
              </w:rPr>
            </w:r>
            <w:r/>
          </w:p>
          <w:p>
            <w:pPr>
              <w:pStyle w:val="945"/>
              <w:jc w:val="left"/>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23、血球分析仪无需外接气源装置。</w:t>
            </w:r>
            <w:r>
              <w:rPr>
                <w:rFonts w:hint="eastAsia" w:ascii="宋体" w:hAnsi="宋体" w:eastAsia="宋体" w:cs="宋体"/>
                <w:color w:val="000000"/>
                <w:sz w:val="21"/>
                <w:szCs w:val="21"/>
                <w:highlight w:val="none"/>
                <w:lang w:bidi="ar"/>
              </w:rPr>
            </w:r>
            <w:r/>
          </w:p>
          <w:p>
            <w:pPr>
              <w:pStyle w:val="945"/>
              <w:jc w:val="left"/>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24、能提供原厂配套的CFDA注册的质控物和校准物，并提供校准物溯源性文件。</w:t>
            </w:r>
            <w:r>
              <w:rPr>
                <w:rFonts w:hint="eastAsia" w:ascii="宋体" w:hAnsi="宋体" w:eastAsia="宋体" w:cs="宋体"/>
                <w:color w:val="000000"/>
                <w:sz w:val="21"/>
                <w:szCs w:val="21"/>
                <w:highlight w:val="none"/>
                <w:lang w:bidi="ar"/>
              </w:rPr>
            </w:r>
            <w:r/>
          </w:p>
          <w:p>
            <w:pPr>
              <w:pStyle w:val="945"/>
              <w:jc w:val="left"/>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25、定期提供原厂配套的质控品：同一质控品包含 CBC、白细胞分类及网织红细胞等在内的所有报告项目。</w:t>
            </w:r>
            <w:r>
              <w:rPr>
                <w:rFonts w:hint="eastAsia" w:ascii="宋体" w:hAnsi="宋体" w:eastAsia="宋体" w:cs="宋体"/>
                <w:color w:val="000000"/>
                <w:sz w:val="21"/>
                <w:szCs w:val="21"/>
                <w:highlight w:val="none"/>
                <w:lang w:bidi="ar"/>
              </w:rPr>
            </w:r>
            <w:r/>
          </w:p>
          <w:p>
            <w:pPr>
              <w:pStyle w:val="945"/>
              <w:jc w:val="left"/>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26、原厂免费提供实时在线网络室间质量控制系统，实现实时的仪器功能监控和远程维护功能。</w:t>
            </w:r>
            <w:r>
              <w:rPr>
                <w:rFonts w:hint="eastAsia" w:ascii="宋体" w:hAnsi="宋体" w:eastAsia="宋体" w:cs="宋体"/>
                <w:color w:val="000000"/>
                <w:sz w:val="21"/>
                <w:szCs w:val="21"/>
                <w:highlight w:val="none"/>
                <w:lang w:bidi="ar"/>
              </w:rPr>
            </w:r>
            <w:r/>
          </w:p>
          <w:p>
            <w:pPr>
              <w:pStyle w:val="945"/>
              <w:jc w:val="left"/>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27、可根据医院的发展需求升级成血液分析流水线。</w:t>
            </w: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945"/>
              <w:jc w:val="center"/>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作为医疗器械管理，提供有效的医疗器械注册证（或备案凭证）</w:t>
            </w:r>
            <w:r>
              <w:rPr>
                <w:rFonts w:hint="eastAsia" w:ascii="宋体" w:hAnsi="宋体" w:eastAsia="宋体" w:cs="宋体"/>
                <w:color w:val="000000"/>
                <w:sz w:val="21"/>
                <w:szCs w:val="21"/>
                <w:highlight w:val="none"/>
                <w:lang w:bidi="ar"/>
              </w:rPr>
            </w:r>
            <w:r/>
          </w:p>
        </w:tc>
      </w:tr>
      <w:tr>
        <w:trPr>
          <w:trHeight w:val="164"/>
        </w:trPr>
        <w:tc>
          <w:tcPr>
            <w:gridSpan w:val="4"/>
            <w:tcBorders>
              <w:top w:val="single" w:color="000000" w:sz="4" w:space="0"/>
              <w:left w:val="single" w:color="000000" w:sz="4" w:space="0"/>
              <w:bottom w:val="single" w:color="000000" w:sz="4" w:space="0"/>
              <w:right w:val="single" w:color="000000" w:sz="4" w:space="0"/>
            </w:tcBorders>
            <w:tcW w:w="8396" w:type="dxa"/>
            <w:vAlign w:val="center"/>
            <w:textDirection w:val="lrTb"/>
            <w:noWrap w:val="false"/>
          </w:tcPr>
          <w:p>
            <w:pPr>
              <w:pStyle w:val="945"/>
              <w:jc w:val="left"/>
              <w:spacing w:line="240" w:lineRule="auto"/>
              <w:tabs>
                <w:tab w:val="left" w:pos="982" w:leader="none"/>
              </w:tabs>
              <w:rPr>
                <w:rFonts w:hint="eastAsia" w:ascii="宋体" w:hAnsi="宋体" w:eastAsia="宋体" w:cs="宋体"/>
                <w:color w:val="000000"/>
                <w:sz w:val="28"/>
                <w:szCs w:val="28"/>
                <w:highlight w:val="none"/>
                <w:lang w:bidi="ar"/>
              </w:rPr>
            </w:pPr>
            <w:r>
              <w:rPr>
                <w:rFonts w:hint="eastAsia" w:ascii="宋体" w:hAnsi="宋体" w:eastAsia="宋体" w:cs="宋体"/>
                <w:color w:val="000000"/>
                <w:sz w:val="28"/>
                <w:szCs w:val="28"/>
                <w:highlight w:val="none"/>
                <w:shd w:val="clear" w:color="auto" w:fill="ffffff"/>
              </w:rPr>
              <w:t xml:space="preserve">训练评估设备</w:t>
            </w:r>
            <w:r>
              <w:rPr>
                <w:rFonts w:hint="eastAsia" w:ascii="宋体" w:hAnsi="宋体" w:eastAsia="宋体" w:cs="宋体"/>
                <w:color w:val="000000"/>
                <w:sz w:val="28"/>
                <w:szCs w:val="28"/>
                <w:highlight w:val="none"/>
                <w:lang w:bidi="ar"/>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945"/>
              <w:jc w:val="center"/>
              <w:spacing w:line="240" w:lineRule="auto"/>
              <w:widowControl/>
              <w:rPr>
                <w:rFonts w:hint="eastAsia" w:ascii="宋体" w:hAnsi="宋体" w:eastAsia="宋体" w:cs="宋体"/>
                <w:color w:val="000000"/>
                <w:sz w:val="28"/>
                <w:szCs w:val="28"/>
                <w:highlight w:val="none"/>
                <w:lang w:bidi="ar"/>
              </w:rPr>
            </w:pPr>
            <w:r>
              <w:rPr>
                <w:rFonts w:hint="eastAsia" w:ascii="宋体" w:hAnsi="宋体" w:eastAsia="宋体" w:cs="宋体"/>
                <w:color w:val="000000"/>
                <w:sz w:val="28"/>
                <w:szCs w:val="28"/>
                <w:highlight w:val="none"/>
                <w:lang w:bidi="ar"/>
              </w:rPr>
            </w:r>
            <w:r/>
          </w:p>
        </w:tc>
      </w:tr>
      <w:tr>
        <w:trPr>
          <w:trHeight w:val="90"/>
        </w:trPr>
        <w:tc>
          <w:tcPr>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pStyle w:val="945"/>
              <w:jc w:val="center"/>
              <w:spacing w:line="24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序号</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pStyle w:val="945"/>
              <w:jc w:val="center"/>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b/>
                <w:bCs/>
                <w:color w:val="000000"/>
                <w:sz w:val="21"/>
                <w:szCs w:val="21"/>
                <w:highlight w:val="none"/>
                <w:lang w:bidi="ar"/>
              </w:rPr>
              <w:t xml:space="preserve">设备名称</w:t>
            </w: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pStyle w:val="945"/>
              <w:jc w:val="center"/>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b/>
                <w:bCs/>
                <w:color w:val="000000"/>
                <w:sz w:val="21"/>
                <w:szCs w:val="21"/>
                <w:highlight w:val="none"/>
                <w:lang w:bidi="ar"/>
              </w:rPr>
              <w:t xml:space="preserve">数量</w:t>
            </w: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912" w:type="dxa"/>
            <w:vAlign w:val="center"/>
            <w:textDirection w:val="lrTb"/>
            <w:noWrap w:val="false"/>
          </w:tcPr>
          <w:p>
            <w:pPr>
              <w:pStyle w:val="945"/>
              <w:jc w:val="center"/>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b/>
                <w:bCs/>
                <w:color w:val="000000"/>
                <w:sz w:val="21"/>
                <w:szCs w:val="21"/>
                <w:highlight w:val="none"/>
              </w:rPr>
              <w:t xml:space="preserve">技术参数</w:t>
            </w: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945"/>
              <w:jc w:val="center"/>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b/>
                <w:bCs/>
                <w:color w:val="000000"/>
                <w:sz w:val="21"/>
                <w:szCs w:val="21"/>
                <w:highlight w:val="none"/>
              </w:rPr>
              <w:t xml:space="preserve">备注</w:t>
            </w:r>
            <w:r>
              <w:rPr>
                <w:rFonts w:hint="eastAsia" w:ascii="宋体" w:hAnsi="宋体" w:eastAsia="宋体" w:cs="宋体"/>
                <w:color w:val="000000"/>
                <w:sz w:val="21"/>
                <w:szCs w:val="21"/>
                <w:highlight w:val="none"/>
                <w:lang w:bidi="ar"/>
              </w:rPr>
            </w:r>
            <w:r/>
          </w:p>
        </w:tc>
      </w:tr>
      <w:tr>
        <w:trPr>
          <w:trHeight w:val="467"/>
        </w:trPr>
        <w:tc>
          <w:tcPr>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pStyle w:val="945"/>
              <w:jc w:val="center"/>
              <w:spacing w:line="24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pStyle w:val="945"/>
              <w:jc w:val="center"/>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测力台</w:t>
            </w: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pStyle w:val="945"/>
              <w:jc w:val="center"/>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1台</w:t>
            </w: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912" w:type="dxa"/>
            <w:vAlign w:val="center"/>
            <w:textDirection w:val="lrTb"/>
            <w:noWrap w:val="false"/>
          </w:tcPr>
          <w:p>
            <w:pPr>
              <w:pStyle w:val="945"/>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1、测力台表面积：≥400mm×350mm；</w:t>
            </w:r>
            <w:r>
              <w:rPr>
                <w:rFonts w:hint="eastAsia" w:ascii="宋体" w:hAnsi="宋体" w:eastAsia="宋体" w:cs="宋体"/>
                <w:color w:val="000000"/>
                <w:sz w:val="21"/>
                <w:szCs w:val="21"/>
                <w:highlight w:val="none"/>
                <w:lang w:bidi="ar"/>
              </w:rPr>
            </w:r>
            <w:r/>
          </w:p>
          <w:p>
            <w:pPr>
              <w:pStyle w:val="945"/>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2、测力台重量：≤5kg；</w:t>
            </w:r>
            <w:r>
              <w:rPr>
                <w:rFonts w:hint="eastAsia" w:ascii="宋体" w:hAnsi="宋体" w:eastAsia="宋体" w:cs="宋体"/>
                <w:color w:val="000000"/>
                <w:sz w:val="21"/>
                <w:szCs w:val="21"/>
                <w:highlight w:val="none"/>
                <w:lang w:bidi="ar"/>
              </w:rPr>
            </w:r>
            <w:r/>
          </w:p>
          <w:p>
            <w:pPr>
              <w:pStyle w:val="945"/>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3、厚度：≤28mm；</w:t>
            </w:r>
            <w:r>
              <w:rPr>
                <w:rFonts w:hint="eastAsia" w:ascii="宋体" w:hAnsi="宋体" w:eastAsia="宋体" w:cs="宋体"/>
                <w:color w:val="000000"/>
                <w:sz w:val="21"/>
                <w:szCs w:val="21"/>
                <w:highlight w:val="none"/>
                <w:lang w:bidi="ar"/>
              </w:rPr>
            </w:r>
            <w:r/>
          </w:p>
          <w:p>
            <w:pPr>
              <w:pStyle w:val="945"/>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4、内置传感器类型：压阻式力传感器；</w:t>
            </w:r>
            <w:r>
              <w:rPr>
                <w:rFonts w:hint="eastAsia" w:ascii="宋体" w:hAnsi="宋体" w:eastAsia="宋体" w:cs="宋体"/>
                <w:color w:val="000000"/>
                <w:sz w:val="21"/>
                <w:szCs w:val="21"/>
                <w:highlight w:val="none"/>
                <w:lang w:bidi="ar"/>
              </w:rPr>
            </w:r>
            <w:r/>
          </w:p>
          <w:p>
            <w:pPr>
              <w:pStyle w:val="945"/>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5、温度漂移 ≤50ppm/℃；</w:t>
            </w:r>
            <w:r>
              <w:rPr>
                <w:rFonts w:hint="eastAsia" w:ascii="宋体" w:hAnsi="宋体" w:eastAsia="宋体" w:cs="宋体"/>
                <w:color w:val="000000"/>
                <w:sz w:val="21"/>
                <w:szCs w:val="21"/>
                <w:highlight w:val="none"/>
                <w:lang w:bidi="ar"/>
              </w:rPr>
            </w:r>
            <w:r/>
          </w:p>
          <w:p>
            <w:pPr>
              <w:pStyle w:val="945"/>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6、传感器数量：≥4个；</w:t>
            </w:r>
            <w:r>
              <w:rPr>
                <w:rFonts w:hint="eastAsia" w:ascii="宋体" w:hAnsi="宋体" w:eastAsia="宋体" w:cs="宋体"/>
                <w:color w:val="000000"/>
                <w:sz w:val="21"/>
                <w:szCs w:val="21"/>
                <w:highlight w:val="none"/>
                <w:lang w:bidi="ar"/>
              </w:rPr>
            </w:r>
            <w:r/>
          </w:p>
          <w:p>
            <w:pPr>
              <w:pStyle w:val="945"/>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7、测力台最大量程： Fz≥5000N；</w:t>
            </w:r>
            <w:r>
              <w:rPr>
                <w:rFonts w:hint="eastAsia" w:ascii="宋体" w:hAnsi="宋体" w:eastAsia="宋体" w:cs="宋体"/>
                <w:color w:val="000000"/>
                <w:sz w:val="21"/>
                <w:szCs w:val="21"/>
                <w:highlight w:val="none"/>
                <w:lang w:bidi="ar"/>
              </w:rPr>
            </w:r>
            <w:r/>
          </w:p>
          <w:p>
            <w:pPr>
              <w:pStyle w:val="945"/>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8、线性度：≤±0.2%；</w:t>
            </w:r>
            <w:r>
              <w:rPr>
                <w:rFonts w:hint="eastAsia" w:ascii="宋体" w:hAnsi="宋体" w:eastAsia="宋体" w:cs="宋体"/>
                <w:color w:val="000000"/>
                <w:sz w:val="21"/>
                <w:szCs w:val="21"/>
                <w:highlight w:val="none"/>
                <w:lang w:bidi="ar"/>
              </w:rPr>
            </w:r>
            <w:r/>
          </w:p>
          <w:p>
            <w:pPr>
              <w:pStyle w:val="945"/>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9、迟滞性：≤0.2%FS；</w:t>
            </w:r>
            <w:r>
              <w:rPr>
                <w:rFonts w:hint="eastAsia" w:ascii="宋体" w:hAnsi="宋体" w:eastAsia="宋体" w:cs="宋体"/>
                <w:color w:val="000000"/>
                <w:sz w:val="21"/>
                <w:szCs w:val="21"/>
                <w:highlight w:val="none"/>
                <w:lang w:bidi="ar"/>
              </w:rPr>
            </w:r>
            <w:r/>
          </w:p>
          <w:p>
            <w:pPr>
              <w:pStyle w:val="945"/>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10、综合精度：≤0.3%FS；</w:t>
            </w:r>
            <w:r>
              <w:rPr>
                <w:rFonts w:hint="eastAsia" w:ascii="宋体" w:hAnsi="宋体" w:eastAsia="宋体" w:cs="宋体"/>
                <w:color w:val="000000"/>
                <w:sz w:val="21"/>
                <w:szCs w:val="21"/>
                <w:highlight w:val="none"/>
                <w:lang w:bidi="ar"/>
              </w:rPr>
            </w:r>
            <w:r/>
          </w:p>
          <w:p>
            <w:pPr>
              <w:pStyle w:val="945"/>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11、固有频率：fn(z)≥500Hz；</w:t>
            </w:r>
            <w:r>
              <w:rPr>
                <w:rFonts w:hint="eastAsia" w:ascii="宋体" w:hAnsi="宋体" w:eastAsia="宋体" w:cs="宋体"/>
                <w:color w:val="000000"/>
                <w:sz w:val="21"/>
                <w:szCs w:val="21"/>
                <w:highlight w:val="none"/>
                <w:lang w:bidi="ar"/>
              </w:rPr>
            </w:r>
            <w:r/>
          </w:p>
          <w:p>
            <w:pPr>
              <w:pStyle w:val="945"/>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▲12、测力台内置数据采集卡，数字信号输出,以太网接口；</w:t>
            </w:r>
            <w:r>
              <w:rPr>
                <w:rFonts w:hint="eastAsia" w:ascii="宋体" w:hAnsi="宋体" w:eastAsia="宋体" w:cs="宋体"/>
                <w:color w:val="000000"/>
                <w:sz w:val="21"/>
                <w:szCs w:val="21"/>
                <w:highlight w:val="none"/>
                <w:lang w:bidi="ar"/>
              </w:rPr>
            </w:r>
            <w:r/>
          </w:p>
          <w:p>
            <w:pPr>
              <w:pStyle w:val="945"/>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13、采样分辨率：≥24 Bit；</w:t>
            </w:r>
            <w:r>
              <w:rPr>
                <w:rFonts w:hint="eastAsia" w:ascii="宋体" w:hAnsi="宋体" w:eastAsia="宋体" w:cs="宋体"/>
                <w:color w:val="000000"/>
                <w:sz w:val="21"/>
                <w:szCs w:val="21"/>
                <w:highlight w:val="none"/>
                <w:lang w:bidi="ar"/>
              </w:rPr>
            </w:r>
            <w:r/>
          </w:p>
          <w:p>
            <w:pPr>
              <w:pStyle w:val="945"/>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14、最大采样频率：≥2000 Hz；</w:t>
            </w:r>
            <w:r>
              <w:rPr>
                <w:rFonts w:hint="eastAsia" w:ascii="宋体" w:hAnsi="宋体" w:eastAsia="宋体" w:cs="宋体"/>
                <w:color w:val="000000"/>
                <w:sz w:val="21"/>
                <w:szCs w:val="21"/>
                <w:highlight w:val="none"/>
                <w:lang w:bidi="ar"/>
              </w:rPr>
            </w:r>
            <w:r/>
          </w:p>
          <w:p>
            <w:pPr>
              <w:pStyle w:val="945"/>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15、双板串联连接；</w:t>
            </w:r>
            <w:r>
              <w:rPr>
                <w:rFonts w:hint="eastAsia" w:ascii="宋体" w:hAnsi="宋体" w:eastAsia="宋体" w:cs="宋体"/>
                <w:color w:val="000000"/>
                <w:sz w:val="21"/>
                <w:szCs w:val="21"/>
                <w:highlight w:val="none"/>
                <w:lang w:bidi="ar"/>
              </w:rPr>
            </w:r>
            <w:r/>
          </w:p>
          <w:p>
            <w:pPr>
              <w:pStyle w:val="945"/>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16、测力台具有同步触发接口，可与第三方设备同步采集；</w:t>
            </w:r>
            <w:r>
              <w:rPr>
                <w:rFonts w:hint="eastAsia" w:ascii="宋体" w:hAnsi="宋体" w:eastAsia="宋体" w:cs="宋体"/>
                <w:color w:val="000000"/>
                <w:sz w:val="21"/>
                <w:szCs w:val="21"/>
                <w:highlight w:val="none"/>
                <w:lang w:bidi="ar"/>
              </w:rPr>
            </w:r>
            <w:r/>
          </w:p>
          <w:p>
            <w:pPr>
              <w:pStyle w:val="945"/>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17、内置充电锂电池，设有电源开关按钮，支持无外接电源的情况方便正常采集数据≥8个小时以上；</w:t>
            </w:r>
            <w:r>
              <w:rPr>
                <w:rFonts w:hint="eastAsia" w:ascii="宋体" w:hAnsi="宋体" w:eastAsia="宋体" w:cs="宋体"/>
                <w:color w:val="000000"/>
                <w:sz w:val="21"/>
                <w:szCs w:val="21"/>
                <w:highlight w:val="none"/>
                <w:lang w:bidi="ar"/>
              </w:rPr>
            </w:r>
            <w:r/>
          </w:p>
          <w:p>
            <w:pPr>
              <w:pStyle w:val="945"/>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▲18、软件提供压力中心（COP）分布信息（提供软件截屏作为证明材料）。</w:t>
            </w:r>
            <w:r>
              <w:rPr>
                <w:rFonts w:hint="eastAsia" w:ascii="宋体" w:hAnsi="宋体" w:eastAsia="宋体" w:cs="宋体"/>
                <w:color w:val="000000"/>
                <w:sz w:val="21"/>
                <w:szCs w:val="21"/>
                <w:highlight w:val="none"/>
                <w:lang w:bidi="ar"/>
              </w:rPr>
            </w:r>
            <w:r/>
          </w:p>
          <w:p>
            <w:pPr>
              <w:pStyle w:val="945"/>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19、软件内置测试模块≥13个,可通过力量、无氧耐力、平衡与协调方面来评价运动表现</w:t>
            </w:r>
            <w:r>
              <w:rPr>
                <w:rFonts w:hint="eastAsia" w:ascii="宋体" w:hAnsi="宋体" w:eastAsia="宋体" w:cs="宋体"/>
                <w:color w:val="000000"/>
                <w:sz w:val="21"/>
                <w:szCs w:val="21"/>
                <w:highlight w:val="none"/>
                <w:lang w:bidi="ar"/>
              </w:rPr>
            </w:r>
            <w:r/>
          </w:p>
          <w:p>
            <w:pPr>
              <w:pStyle w:val="945"/>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20、测力台配置要求：</w:t>
            </w:r>
            <w:r>
              <w:rPr>
                <w:rFonts w:hint="eastAsia" w:ascii="宋体" w:hAnsi="宋体" w:eastAsia="宋体" w:cs="宋体"/>
                <w:color w:val="000000"/>
                <w:sz w:val="21"/>
                <w:szCs w:val="21"/>
                <w:highlight w:val="none"/>
                <w:lang w:bidi="ar"/>
              </w:rPr>
            </w:r>
            <w:r/>
          </w:p>
          <w:p>
            <w:pPr>
              <w:pStyle w:val="945"/>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便携式一维测力台*2块、连接电缆*1套、移动仪器箱*1套。</w:t>
            </w: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945"/>
              <w:jc w:val="center"/>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r>
      <w:tr>
        <w:trPr>
          <w:trHeight w:val="1234"/>
        </w:trPr>
        <w:tc>
          <w:tcPr>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pStyle w:val="945"/>
              <w:jc w:val="center"/>
              <w:spacing w:line="24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pStyle w:val="945"/>
              <w:jc w:val="center"/>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rPr>
              <w:t xml:space="preserve">力速监测系统 </w:t>
            </w: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pStyle w:val="945"/>
              <w:jc w:val="center"/>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1台</w:t>
            </w: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912" w:type="dxa"/>
            <w:vAlign w:val="center"/>
            <w:textDirection w:val="lrTb"/>
            <w:noWrap w:val="false"/>
          </w:tcPr>
          <w:p>
            <w:pPr>
              <w:pStyle w:val="945"/>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1、内置高准确度线性编码器，通过测量和计算拉绳位移及速度，测算力量训练输出功率。</w:t>
            </w:r>
            <w:r>
              <w:rPr>
                <w:rFonts w:hint="eastAsia" w:ascii="宋体" w:hAnsi="宋体" w:eastAsia="宋体" w:cs="宋体"/>
                <w:color w:val="000000"/>
                <w:sz w:val="21"/>
                <w:szCs w:val="21"/>
                <w:highlight w:val="none"/>
              </w:rPr>
            </w:r>
            <w:r/>
          </w:p>
          <w:p>
            <w:pPr>
              <w:pStyle w:val="945"/>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2、内置角度感应器，测量提拉倾斜角度。</w:t>
            </w:r>
            <w:r>
              <w:rPr>
                <w:rFonts w:hint="eastAsia" w:ascii="宋体" w:hAnsi="宋体" w:eastAsia="宋体" w:cs="宋体"/>
                <w:color w:val="000000"/>
                <w:sz w:val="21"/>
                <w:szCs w:val="21"/>
                <w:highlight w:val="none"/>
              </w:rPr>
            </w:r>
            <w:r/>
          </w:p>
          <w:p>
            <w:pPr>
              <w:pStyle w:val="945"/>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3、蓝牙无线数据传输。</w:t>
            </w:r>
            <w:r>
              <w:rPr>
                <w:rFonts w:hint="eastAsia" w:ascii="宋体" w:hAnsi="宋体" w:eastAsia="宋体" w:cs="宋体"/>
                <w:color w:val="000000"/>
                <w:sz w:val="21"/>
                <w:szCs w:val="21"/>
                <w:highlight w:val="none"/>
              </w:rPr>
            </w:r>
            <w:r/>
          </w:p>
          <w:p>
            <w:pPr>
              <w:pStyle w:val="945"/>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4、训练参数至少包括：高度（米）、平均功率（瓦）、平均功率（瓦/千克）、平均速度（米/秒）、最大功率（瓦）、最大功率（瓦/千克）、最大速度（米/秒）。</w:t>
            </w:r>
            <w:r>
              <w:rPr>
                <w:rFonts w:hint="eastAsia" w:ascii="宋体" w:hAnsi="宋体" w:eastAsia="宋体" w:cs="宋体"/>
                <w:color w:val="000000"/>
                <w:sz w:val="21"/>
                <w:szCs w:val="21"/>
                <w:highlight w:val="none"/>
              </w:rPr>
            </w:r>
            <w:r/>
          </w:p>
          <w:p>
            <w:pPr>
              <w:pStyle w:val="945"/>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5、测量距离范围≥3m</w:t>
            </w:r>
            <w:r>
              <w:rPr>
                <w:rFonts w:hint="eastAsia" w:ascii="宋体" w:hAnsi="宋体" w:eastAsia="宋体" w:cs="宋体"/>
                <w:color w:val="000000"/>
                <w:sz w:val="21"/>
                <w:szCs w:val="21"/>
                <w:highlight w:val="none"/>
              </w:rPr>
            </w:r>
            <w:r/>
          </w:p>
          <w:p>
            <w:pPr>
              <w:pStyle w:val="945"/>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6、距离分辨率不低于0.3mm</w:t>
            </w:r>
            <w:r>
              <w:rPr>
                <w:rFonts w:hint="eastAsia" w:ascii="宋体" w:hAnsi="宋体" w:eastAsia="宋体" w:cs="宋体"/>
                <w:color w:val="000000"/>
                <w:sz w:val="21"/>
                <w:szCs w:val="21"/>
                <w:highlight w:val="none"/>
              </w:rPr>
            </w:r>
            <w:r/>
          </w:p>
          <w:p>
            <w:pPr>
              <w:pStyle w:val="945"/>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7、可变采样速率（VRS）的基础比率≥115200Hz</w:t>
            </w:r>
            <w:r>
              <w:rPr>
                <w:rFonts w:hint="eastAsia" w:ascii="宋体" w:hAnsi="宋体" w:eastAsia="宋体" w:cs="宋体"/>
                <w:color w:val="000000"/>
                <w:sz w:val="21"/>
                <w:szCs w:val="21"/>
                <w:highlight w:val="none"/>
              </w:rPr>
            </w:r>
            <w:r/>
          </w:p>
          <w:p>
            <w:pPr>
              <w:pStyle w:val="945"/>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8、可变采样速率的时间分辨率不低于8.6s</w:t>
            </w:r>
            <w:r>
              <w:rPr>
                <w:rFonts w:hint="eastAsia" w:ascii="宋体" w:hAnsi="宋体" w:eastAsia="宋体" w:cs="宋体"/>
                <w:color w:val="000000"/>
                <w:sz w:val="21"/>
                <w:szCs w:val="21"/>
                <w:highlight w:val="none"/>
              </w:rPr>
            </w:r>
            <w:r/>
          </w:p>
          <w:p>
            <w:pPr>
              <w:pStyle w:val="945"/>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9、角分辨率不低于0.1°</w:t>
            </w:r>
            <w:r>
              <w:rPr>
                <w:rFonts w:hint="eastAsia" w:ascii="宋体" w:hAnsi="宋体" w:eastAsia="宋体" w:cs="宋体"/>
                <w:color w:val="000000"/>
                <w:sz w:val="21"/>
                <w:szCs w:val="21"/>
                <w:highlight w:val="none"/>
              </w:rPr>
            </w:r>
            <w:r/>
          </w:p>
          <w:p>
            <w:pPr>
              <w:pStyle w:val="945"/>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10、角度补偿范围不低于-13°到+50°</w:t>
            </w:r>
            <w:r>
              <w:rPr>
                <w:rFonts w:hint="eastAsia" w:ascii="宋体" w:hAnsi="宋体" w:eastAsia="宋体" w:cs="宋体"/>
                <w:color w:val="000000"/>
                <w:sz w:val="21"/>
                <w:szCs w:val="21"/>
                <w:highlight w:val="none"/>
              </w:rPr>
            </w:r>
            <w:r/>
          </w:p>
          <w:p>
            <w:pPr>
              <w:pStyle w:val="945"/>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11、最大速率速度≥7m/s</w:t>
            </w:r>
            <w:r>
              <w:rPr>
                <w:rFonts w:hint="eastAsia" w:ascii="宋体" w:hAnsi="宋体" w:eastAsia="宋体" w:cs="宋体"/>
                <w:color w:val="000000"/>
                <w:sz w:val="21"/>
                <w:szCs w:val="21"/>
                <w:highlight w:val="none"/>
              </w:rPr>
            </w:r>
            <w:r/>
          </w:p>
          <w:p>
            <w:pPr>
              <w:pStyle w:val="945"/>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▲12、电池供电时间≥10小时</w:t>
            </w:r>
            <w:r>
              <w:rPr>
                <w:rFonts w:hint="eastAsia" w:ascii="宋体" w:hAnsi="宋体" w:eastAsia="宋体" w:cs="宋体"/>
                <w:color w:val="000000"/>
                <w:sz w:val="21"/>
                <w:szCs w:val="21"/>
                <w:highlight w:val="none"/>
              </w:rPr>
            </w:r>
            <w:r/>
          </w:p>
          <w:p>
            <w:pPr>
              <w:pStyle w:val="945"/>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13、安卓软件操控系统，不使用苹果IOS系统</w:t>
            </w:r>
            <w:r>
              <w:rPr>
                <w:rFonts w:hint="eastAsia" w:ascii="宋体" w:hAnsi="宋体" w:eastAsia="宋体" w:cs="宋体"/>
                <w:color w:val="000000"/>
                <w:sz w:val="21"/>
                <w:szCs w:val="21"/>
                <w:highlight w:val="none"/>
              </w:rPr>
            </w:r>
            <w:r/>
          </w:p>
          <w:p>
            <w:pPr>
              <w:pStyle w:val="945"/>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配置要求：</w:t>
            </w:r>
            <w:r>
              <w:rPr>
                <w:rFonts w:hint="eastAsia" w:ascii="宋体" w:hAnsi="宋体" w:eastAsia="宋体" w:cs="宋体"/>
                <w:color w:val="000000"/>
                <w:sz w:val="21"/>
                <w:szCs w:val="21"/>
                <w:highlight w:val="none"/>
              </w:rPr>
            </w:r>
            <w:r/>
          </w:p>
          <w:p>
            <w:pPr>
              <w:pStyle w:val="945"/>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力速监测系统主机1台，充电器1个，控制器1个，便携箱1个。</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945"/>
              <w:jc w:val="center"/>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r>
    </w:tbl>
    <w:p>
      <w:pPr>
        <w:pStyle w:val="945"/>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rPr>
        <w:t xml:space="preserve">注：第一标核心产品为：体外冲击波治疗仪、半导体激光治疗仪、漫游电（干扰电）治疗仪</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5"/>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45"/>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第二标段：体质监测设备，采购清单：</w:t>
      </w:r>
      <w:r>
        <w:rPr>
          <w:rFonts w:hint="eastAsia" w:ascii="宋体" w:hAnsi="宋体" w:eastAsia="宋体" w:cs="宋体"/>
          <w:b/>
          <w:bCs/>
          <w:color w:val="000000"/>
          <w:sz w:val="24"/>
          <w:szCs w:val="24"/>
          <w:highlight w:val="none"/>
        </w:rPr>
      </w:r>
      <w:r/>
    </w:p>
    <w:tbl>
      <w:tblPr>
        <w:tblW w:w="9405"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12"/>
        <w:gridCol w:w="1861"/>
        <w:gridCol w:w="811"/>
        <w:gridCol w:w="4912"/>
        <w:gridCol w:w="1009"/>
      </w:tblGrid>
      <w:tr>
        <w:trPr>
          <w:trHeight w:val="164"/>
        </w:trPr>
        <w:tc>
          <w:tcPr>
            <w:gridSpan w:val="4"/>
            <w:tcBorders>
              <w:top w:val="single" w:color="000000" w:sz="4" w:space="0"/>
              <w:left w:val="single" w:color="000000" w:sz="4" w:space="0"/>
              <w:bottom w:val="single" w:color="000000" w:sz="4" w:space="0"/>
              <w:right w:val="single" w:color="000000" w:sz="4" w:space="0"/>
            </w:tcBorders>
            <w:tcW w:w="8396" w:type="dxa"/>
            <w:vAlign w:val="center"/>
            <w:textDirection w:val="lrTb"/>
            <w:noWrap w:val="false"/>
          </w:tcPr>
          <w:p>
            <w:pPr>
              <w:pStyle w:val="945"/>
              <w:jc w:val="left"/>
              <w:tabs>
                <w:tab w:val="left" w:pos="982" w:leader="none"/>
              </w:tabs>
              <w:rPr>
                <w:rFonts w:hint="eastAsia" w:ascii="宋体" w:hAnsi="宋体" w:eastAsia="宋体" w:cs="宋体"/>
                <w:color w:val="000000"/>
                <w:sz w:val="28"/>
                <w:szCs w:val="28"/>
                <w:highlight w:val="none"/>
                <w:lang w:bidi="ar"/>
              </w:rPr>
            </w:pPr>
            <w:r>
              <w:rPr>
                <w:rFonts w:hint="eastAsia" w:ascii="宋体" w:hAnsi="宋体" w:eastAsia="宋体" w:cs="宋体"/>
                <w:color w:val="000000"/>
                <w:sz w:val="24"/>
                <w:szCs w:val="24"/>
                <w:highlight w:val="none"/>
              </w:rPr>
              <w:t xml:space="preserve">体质监测设备</w:t>
            </w:r>
            <w:r>
              <w:rPr>
                <w:rFonts w:hint="eastAsia" w:ascii="宋体" w:hAnsi="宋体" w:eastAsia="宋体" w:cs="宋体"/>
                <w:color w:val="000000"/>
                <w:sz w:val="28"/>
                <w:szCs w:val="28"/>
                <w:highlight w:val="none"/>
                <w:lang w:bidi="ar"/>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945"/>
              <w:jc w:val="center"/>
              <w:widowControl/>
              <w:rPr>
                <w:rFonts w:hint="eastAsia" w:ascii="宋体" w:hAnsi="宋体" w:eastAsia="宋体" w:cs="宋体"/>
                <w:color w:val="000000"/>
                <w:sz w:val="28"/>
                <w:szCs w:val="28"/>
                <w:highlight w:val="none"/>
                <w:lang w:bidi="ar"/>
              </w:rPr>
            </w:pPr>
            <w:r>
              <w:rPr>
                <w:rFonts w:hint="eastAsia" w:ascii="宋体" w:hAnsi="宋体" w:eastAsia="宋体" w:cs="宋体"/>
                <w:color w:val="000000"/>
                <w:sz w:val="28"/>
                <w:szCs w:val="28"/>
                <w:highlight w:val="none"/>
                <w:lang w:bidi="ar"/>
              </w:rPr>
            </w:r>
            <w:r/>
          </w:p>
        </w:tc>
      </w:tr>
      <w:tr>
        <w:trPr>
          <w:trHeight w:val="90"/>
        </w:trPr>
        <w:tc>
          <w:tcPr>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pStyle w:val="945"/>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序号</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pStyle w:val="945"/>
              <w:jc w:val="center"/>
              <w:widowControl/>
              <w:rPr>
                <w:rFonts w:hint="eastAsia" w:ascii="宋体" w:hAnsi="宋体" w:eastAsia="宋体" w:cs="宋体"/>
                <w:color w:val="000000"/>
                <w:sz w:val="21"/>
                <w:szCs w:val="21"/>
                <w:highlight w:val="none"/>
                <w:lang w:bidi="ar"/>
              </w:rPr>
            </w:pPr>
            <w:r>
              <w:rPr>
                <w:rFonts w:hint="eastAsia" w:ascii="宋体" w:hAnsi="宋体" w:eastAsia="宋体" w:cs="宋体"/>
                <w:b/>
                <w:bCs/>
                <w:color w:val="000000"/>
                <w:sz w:val="21"/>
                <w:szCs w:val="21"/>
                <w:highlight w:val="none"/>
                <w:lang w:bidi="ar"/>
              </w:rPr>
              <w:t xml:space="preserve">设备名称</w:t>
            </w: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pStyle w:val="945"/>
              <w:jc w:val="center"/>
              <w:widowControl/>
              <w:rPr>
                <w:rFonts w:hint="eastAsia" w:ascii="宋体" w:hAnsi="宋体" w:eastAsia="宋体" w:cs="宋体"/>
                <w:color w:val="000000"/>
                <w:sz w:val="21"/>
                <w:szCs w:val="21"/>
                <w:highlight w:val="none"/>
                <w:lang w:bidi="ar"/>
              </w:rPr>
            </w:pPr>
            <w:r>
              <w:rPr>
                <w:rFonts w:hint="eastAsia" w:ascii="宋体" w:hAnsi="宋体" w:eastAsia="宋体" w:cs="宋体"/>
                <w:b/>
                <w:bCs/>
                <w:color w:val="000000"/>
                <w:sz w:val="21"/>
                <w:szCs w:val="21"/>
                <w:highlight w:val="none"/>
                <w:lang w:bidi="ar"/>
              </w:rPr>
              <w:t xml:space="preserve">数量</w:t>
            </w: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912" w:type="dxa"/>
            <w:vAlign w:val="center"/>
            <w:textDirection w:val="lrTb"/>
            <w:noWrap w:val="false"/>
          </w:tcPr>
          <w:p>
            <w:pPr>
              <w:pStyle w:val="945"/>
              <w:jc w:val="center"/>
              <w:widowControl/>
              <w:rPr>
                <w:rFonts w:hint="eastAsia" w:ascii="宋体" w:hAnsi="宋体" w:eastAsia="宋体" w:cs="宋体"/>
                <w:color w:val="000000"/>
                <w:sz w:val="21"/>
                <w:szCs w:val="21"/>
                <w:highlight w:val="none"/>
                <w:lang w:bidi="ar"/>
              </w:rPr>
            </w:pPr>
            <w:r>
              <w:rPr>
                <w:rFonts w:hint="eastAsia" w:ascii="宋体" w:hAnsi="宋体" w:eastAsia="宋体" w:cs="宋体"/>
                <w:b/>
                <w:bCs/>
                <w:color w:val="000000"/>
                <w:sz w:val="21"/>
                <w:szCs w:val="21"/>
                <w:highlight w:val="none"/>
              </w:rPr>
              <w:t xml:space="preserve">技术参数</w:t>
            </w: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945"/>
              <w:jc w:val="center"/>
              <w:widowControl/>
              <w:rPr>
                <w:rFonts w:hint="eastAsia" w:ascii="宋体" w:hAnsi="宋体" w:eastAsia="宋体" w:cs="宋体"/>
                <w:color w:val="000000"/>
                <w:sz w:val="21"/>
                <w:szCs w:val="21"/>
                <w:highlight w:val="none"/>
                <w:lang w:bidi="ar"/>
              </w:rPr>
            </w:pPr>
            <w:r>
              <w:rPr>
                <w:rFonts w:hint="eastAsia" w:ascii="宋体" w:hAnsi="宋体" w:eastAsia="宋体" w:cs="宋体"/>
                <w:b/>
                <w:bCs/>
                <w:color w:val="000000"/>
                <w:sz w:val="21"/>
                <w:szCs w:val="21"/>
                <w:highlight w:val="none"/>
              </w:rPr>
              <w:t xml:space="preserve">备注</w:t>
            </w:r>
            <w:r>
              <w:rPr>
                <w:rFonts w:hint="eastAsia" w:ascii="宋体" w:hAnsi="宋体" w:eastAsia="宋体" w:cs="宋体"/>
                <w:color w:val="000000"/>
                <w:sz w:val="21"/>
                <w:szCs w:val="21"/>
                <w:highlight w:val="none"/>
                <w:lang w:bidi="ar"/>
              </w:rPr>
            </w:r>
            <w:r/>
          </w:p>
        </w:tc>
      </w:tr>
      <w:tr>
        <w:trPr>
          <w:trHeight w:val="90"/>
        </w:trPr>
        <w:tc>
          <w:tcPr>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pStyle w:val="945"/>
              <w:jc w:val="center"/>
              <w:widowControl/>
              <w:rPr>
                <w:rFonts w:hint="eastAsia" w:ascii="宋体" w:hAnsi="宋体" w:eastAsia="宋体" w:cs="宋体"/>
                <w:b/>
                <w:bCs/>
                <w:color w:val="000000"/>
                <w:sz w:val="21"/>
                <w:szCs w:val="21"/>
                <w:highlight w:val="none"/>
                <w:lang w:bidi="ar"/>
              </w:rPr>
            </w:pPr>
            <w:r>
              <w:rPr>
                <w:rFonts w:hint="eastAsia" w:ascii="宋体" w:hAnsi="宋体" w:eastAsia="宋体" w:cs="宋体"/>
                <w:b/>
                <w:bCs/>
                <w:color w:val="000000"/>
                <w:sz w:val="21"/>
                <w:szCs w:val="21"/>
                <w:highlight w:val="none"/>
              </w:rPr>
              <w:t xml:space="preserve">1</w:t>
            </w: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pStyle w:val="94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慢病运动风险评估一体机</w:t>
            </w:r>
            <w:r>
              <w:rPr>
                <w:rFonts w:hint="eastAsia" w:ascii="宋体" w:hAnsi="宋体" w:eastAsia="宋体" w:cs="宋体"/>
                <w:color w:val="000000"/>
                <w:sz w:val="21"/>
                <w:szCs w:val="21"/>
                <w:highlight w:val="none"/>
              </w:rPr>
            </w:r>
            <w:r/>
          </w:p>
          <w:p>
            <w:pPr>
              <w:pStyle w:val="945"/>
              <w:rPr>
                <w:rFonts w:hint="eastAsia" w:ascii="宋体" w:hAnsi="宋体" w:eastAsia="宋体" w:cs="宋体"/>
                <w:b/>
                <w:bCs/>
                <w:color w:val="000000"/>
                <w:sz w:val="21"/>
                <w:szCs w:val="21"/>
                <w:highlight w:val="none"/>
                <w:lang w:bidi="ar"/>
              </w:rPr>
            </w:pPr>
            <w:r>
              <w:rPr>
                <w:rFonts w:hint="eastAsia" w:ascii="宋体" w:hAnsi="宋体" w:eastAsia="宋体" w:cs="宋体"/>
                <w:color w:val="000000"/>
                <w:sz w:val="21"/>
                <w:szCs w:val="21"/>
                <w:highlight w:val="none"/>
              </w:rPr>
              <w:t xml:space="preserve">(核心产品)</w:t>
            </w: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pStyle w:val="945"/>
              <w:jc w:val="center"/>
              <w:widowControl/>
              <w:rPr>
                <w:rFonts w:hint="eastAsia" w:ascii="宋体" w:hAnsi="宋体" w:eastAsia="宋体" w:cs="宋体"/>
                <w:b/>
                <w:bCs/>
                <w:color w:val="000000"/>
                <w:sz w:val="21"/>
                <w:szCs w:val="21"/>
                <w:highlight w:val="none"/>
                <w:lang w:bidi="ar"/>
              </w:rPr>
            </w:pPr>
            <w:r>
              <w:rPr>
                <w:rFonts w:hint="eastAsia" w:ascii="宋体" w:hAnsi="宋体" w:eastAsia="宋体" w:cs="宋体"/>
                <w:color w:val="000000"/>
                <w:sz w:val="21"/>
                <w:szCs w:val="21"/>
                <w:highlight w:val="none"/>
                <w:lang w:bidi="ar"/>
              </w:rPr>
              <w:t xml:space="preserve">1台</w:t>
            </w: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912" w:type="dxa"/>
            <w:vAlign w:val="center"/>
            <w:textDirection w:val="lrTb"/>
            <w:noWrap w:val="false"/>
          </w:tcPr>
          <w:p>
            <w:pPr>
              <w:pStyle w:val="94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1.系统定制开发，支持身份证、手机号、手动输入等多种采集个人信息方式。</w:t>
            </w:r>
            <w:r>
              <w:rPr>
                <w:rFonts w:hint="eastAsia" w:ascii="宋体" w:hAnsi="宋体" w:eastAsia="宋体" w:cs="宋体"/>
                <w:color w:val="000000"/>
                <w:sz w:val="21"/>
                <w:szCs w:val="21"/>
                <w:highlight w:val="none"/>
              </w:rPr>
            </w:r>
            <w:r/>
          </w:p>
          <w:p>
            <w:pPr>
              <w:pStyle w:val="94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2.支持集成自动采集体重、体成分、腰围、臀围、握力、血压、心率、30s 蹲起，心率变异性，血糖，步态等多项体测功能，支持 PAR-Q 问卷评估。</w:t>
            </w:r>
            <w:r>
              <w:rPr>
                <w:rFonts w:hint="eastAsia" w:ascii="宋体" w:hAnsi="宋体" w:eastAsia="宋体" w:cs="宋体"/>
                <w:color w:val="000000"/>
                <w:sz w:val="21"/>
                <w:szCs w:val="21"/>
                <w:highlight w:val="none"/>
              </w:rPr>
            </w:r>
            <w:r/>
          </w:p>
          <w:p>
            <w:pPr>
              <w:pStyle w:val="94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▲3.测试终端存储了测试项的测评标准，对受试者的测试结果给出实时评估报告；并基于 FFIT-VP 原则，结合评估报告生成智能运动处方。处方显示端口可以是手机，平板电脑和台式电脑。</w:t>
            </w:r>
            <w:r>
              <w:rPr>
                <w:rFonts w:hint="eastAsia" w:ascii="宋体" w:hAnsi="宋体" w:eastAsia="宋体" w:cs="宋体"/>
                <w:color w:val="000000"/>
                <w:sz w:val="21"/>
                <w:szCs w:val="21"/>
                <w:highlight w:val="none"/>
              </w:rPr>
            </w:r>
            <w:r/>
          </w:p>
          <w:p>
            <w:pPr>
              <w:pStyle w:val="94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 自助式触摸人机互动界面，支持多媒体动画演示测试方法，指导受测者测试多媒体指引自助导操作测试，满足无人值守的运行特点。</w:t>
            </w:r>
            <w:r>
              <w:rPr>
                <w:rFonts w:hint="eastAsia" w:ascii="宋体" w:hAnsi="宋体" w:eastAsia="宋体" w:cs="宋体"/>
                <w:color w:val="000000"/>
                <w:sz w:val="21"/>
                <w:szCs w:val="21"/>
                <w:highlight w:val="none"/>
              </w:rPr>
            </w:r>
            <w:r/>
          </w:p>
          <w:p>
            <w:pPr>
              <w:pStyle w:val="94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5.采用一体化设计，安装维护简单，操作简单明了，整机带有过漏电保护，安全可靠。</w:t>
            </w:r>
            <w:r>
              <w:rPr>
                <w:rFonts w:hint="eastAsia" w:ascii="宋体" w:hAnsi="宋体" w:eastAsia="宋体" w:cs="宋体"/>
                <w:color w:val="000000"/>
                <w:sz w:val="21"/>
                <w:szCs w:val="21"/>
                <w:highlight w:val="none"/>
              </w:rPr>
            </w:r>
            <w:r/>
          </w:p>
          <w:p>
            <w:pPr>
              <w:pStyle w:val="94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6.搭载工控主板，CPU 四核 1.8GHZ，内存 8G 或以上，硬盘 64G 及以上，32 英寸投射式电容触摸 LCD显示屏 。</w:t>
            </w:r>
            <w:r>
              <w:rPr>
                <w:rFonts w:hint="eastAsia" w:ascii="宋体" w:hAnsi="宋体" w:eastAsia="宋体" w:cs="宋体"/>
                <w:color w:val="000000"/>
                <w:sz w:val="21"/>
                <w:szCs w:val="21"/>
                <w:highlight w:val="none"/>
              </w:rPr>
            </w:r>
            <w:r/>
          </w:p>
          <w:p>
            <w:pPr>
              <w:pStyle w:val="94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各分项参数：</w:t>
            </w:r>
            <w:r>
              <w:rPr>
                <w:rFonts w:hint="eastAsia" w:ascii="宋体" w:hAnsi="宋体" w:eastAsia="宋体" w:cs="宋体"/>
                <w:color w:val="000000"/>
                <w:sz w:val="21"/>
                <w:szCs w:val="21"/>
                <w:highlight w:val="none"/>
              </w:rPr>
            </w:r>
            <w:r/>
          </w:p>
          <w:p>
            <w:pPr>
              <w:pStyle w:val="94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一、握力测试仪</w:t>
            </w:r>
            <w:r>
              <w:rPr>
                <w:rFonts w:hint="eastAsia" w:ascii="宋体" w:hAnsi="宋体" w:eastAsia="宋体" w:cs="宋体"/>
                <w:color w:val="000000"/>
                <w:sz w:val="21"/>
                <w:szCs w:val="21"/>
                <w:highlight w:val="none"/>
              </w:rPr>
            </w:r>
            <w:r/>
          </w:p>
          <w:p>
            <w:pPr>
              <w:pStyle w:val="94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1.数据精准，握距可自由调节，无线传输，实时上传数据至服务器。</w:t>
            </w:r>
            <w:r>
              <w:rPr>
                <w:rFonts w:hint="eastAsia" w:ascii="宋体" w:hAnsi="宋体" w:eastAsia="宋体" w:cs="宋体"/>
                <w:color w:val="000000"/>
                <w:sz w:val="21"/>
                <w:szCs w:val="21"/>
                <w:highlight w:val="none"/>
              </w:rPr>
            </w:r>
            <w:r/>
          </w:p>
          <w:p>
            <w:pPr>
              <w:pStyle w:val="94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2.量程：5～120kgf，分度值：0.1kgf，误差： ± 0.3kgf</w:t>
            </w:r>
            <w:r>
              <w:rPr>
                <w:rFonts w:hint="eastAsia" w:ascii="宋体" w:hAnsi="宋体" w:eastAsia="宋体" w:cs="宋体"/>
                <w:color w:val="000000"/>
                <w:sz w:val="21"/>
                <w:szCs w:val="21"/>
                <w:highlight w:val="none"/>
              </w:rPr>
            </w:r>
            <w:r/>
          </w:p>
          <w:p>
            <w:pPr>
              <w:pStyle w:val="94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二、血压测试仪</w:t>
            </w:r>
            <w:r>
              <w:rPr>
                <w:rFonts w:hint="eastAsia" w:ascii="宋体" w:hAnsi="宋体" w:eastAsia="宋体" w:cs="宋体"/>
                <w:color w:val="000000"/>
                <w:sz w:val="21"/>
                <w:szCs w:val="21"/>
                <w:highlight w:val="none"/>
              </w:rPr>
            </w:r>
            <w:r/>
          </w:p>
          <w:p>
            <w:pPr>
              <w:pStyle w:val="94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1.智能匀速加压，精准无创测量；智能匀速减压，符合国际要求；语音播报，解决中老年人读数困难问题。</w:t>
            </w:r>
            <w:r>
              <w:rPr>
                <w:rFonts w:hint="eastAsia" w:ascii="宋体" w:hAnsi="宋体" w:eastAsia="宋体" w:cs="宋体"/>
                <w:color w:val="000000"/>
                <w:sz w:val="21"/>
                <w:szCs w:val="21"/>
                <w:highlight w:val="none"/>
              </w:rPr>
            </w:r>
            <w:r/>
          </w:p>
          <w:p>
            <w:pPr>
              <w:pStyle w:val="94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2.量程：0mmHg～300mmHg，分度值：0.5kpa（2mmHg），精度：0.5kpa(±3.75mmHg）</w:t>
            </w:r>
            <w:r>
              <w:rPr>
                <w:rFonts w:hint="eastAsia" w:ascii="宋体" w:hAnsi="宋体" w:eastAsia="宋体" w:cs="宋体"/>
                <w:color w:val="000000"/>
                <w:sz w:val="21"/>
                <w:szCs w:val="21"/>
                <w:highlight w:val="none"/>
              </w:rPr>
            </w:r>
            <w:r/>
          </w:p>
          <w:p>
            <w:pPr>
              <w:pStyle w:val="94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三、围度测试仪</w:t>
            </w:r>
            <w:r>
              <w:rPr>
                <w:rFonts w:hint="eastAsia" w:ascii="宋体" w:hAnsi="宋体" w:eastAsia="宋体" w:cs="宋体"/>
                <w:color w:val="000000"/>
                <w:sz w:val="21"/>
                <w:szCs w:val="21"/>
                <w:highlight w:val="none"/>
              </w:rPr>
            </w:r>
            <w:r/>
          </w:p>
          <w:p>
            <w:pPr>
              <w:pStyle w:val="94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1.数据精准，自动伸缩，蓝牙无线传输，实时上传数据。</w:t>
            </w:r>
            <w:r>
              <w:rPr>
                <w:rFonts w:hint="eastAsia" w:ascii="宋体" w:hAnsi="宋体" w:eastAsia="宋体" w:cs="宋体"/>
                <w:color w:val="000000"/>
                <w:sz w:val="21"/>
                <w:szCs w:val="21"/>
                <w:highlight w:val="none"/>
              </w:rPr>
            </w:r>
            <w:r/>
          </w:p>
          <w:p>
            <w:pPr>
              <w:pStyle w:val="94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2.量程：80mm~l500 mm，分度值：1mm，精度：± lmm</w:t>
            </w:r>
            <w:r>
              <w:rPr>
                <w:rFonts w:hint="eastAsia" w:ascii="宋体" w:hAnsi="宋体" w:eastAsia="宋体" w:cs="宋体"/>
                <w:color w:val="000000"/>
                <w:sz w:val="21"/>
                <w:szCs w:val="21"/>
                <w:highlight w:val="none"/>
              </w:rPr>
            </w:r>
            <w:r/>
          </w:p>
          <w:p>
            <w:pPr>
              <w:pStyle w:val="94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四、智能运动臂带</w:t>
            </w:r>
            <w:r>
              <w:rPr>
                <w:rFonts w:hint="eastAsia" w:ascii="宋体" w:hAnsi="宋体" w:eastAsia="宋体" w:cs="宋体"/>
                <w:color w:val="000000"/>
                <w:sz w:val="21"/>
                <w:szCs w:val="21"/>
                <w:highlight w:val="none"/>
              </w:rPr>
            </w:r>
            <w:r/>
          </w:p>
          <w:p>
            <w:pPr>
              <w:pStyle w:val="94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1.臂带舒适无束缚，佩戴简单方便 ，具有不黏手、透气、弹性伸缩的运动体感，方便依照个人手臂宽度进行松紧调整，提供精准心率监测。</w:t>
            </w:r>
            <w:r>
              <w:rPr>
                <w:rFonts w:hint="eastAsia" w:ascii="宋体" w:hAnsi="宋体" w:eastAsia="宋体" w:cs="宋体"/>
                <w:color w:val="000000"/>
                <w:sz w:val="21"/>
                <w:szCs w:val="21"/>
                <w:highlight w:val="none"/>
              </w:rPr>
            </w:r>
            <w:r/>
          </w:p>
          <w:p>
            <w:pPr>
              <w:pStyle w:val="94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2.心率量程：0-300 次/min，允差： ±1 次/min</w:t>
            </w:r>
            <w:r>
              <w:rPr>
                <w:rFonts w:hint="eastAsia" w:ascii="宋体" w:hAnsi="宋体" w:eastAsia="宋体" w:cs="宋体"/>
                <w:color w:val="000000"/>
                <w:sz w:val="21"/>
                <w:szCs w:val="21"/>
                <w:highlight w:val="none"/>
              </w:rPr>
            </w:r>
            <w:r/>
          </w:p>
          <w:p>
            <w:pPr>
              <w:pStyle w:val="94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▲五、人体成分分析仪</w:t>
            </w:r>
            <w:r>
              <w:rPr>
                <w:rFonts w:hint="eastAsia" w:ascii="宋体" w:hAnsi="宋体" w:eastAsia="宋体" w:cs="宋体"/>
                <w:color w:val="000000"/>
                <w:sz w:val="21"/>
                <w:szCs w:val="21"/>
                <w:highlight w:val="none"/>
              </w:rPr>
            </w:r>
            <w:r/>
          </w:p>
          <w:p>
            <w:pPr>
              <w:pStyle w:val="94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 电极多频率生物电阻抗测试法，测试结果更准确可靠。测试项目包含：体脂率、水份率、肌肉量、骨骼量、基础代谢量、脂肪等级、身体年龄、蛋白质率、细胞外水份率、人体各节段阻抗等。</w:t>
            </w:r>
            <w:r>
              <w:rPr>
                <w:rFonts w:hint="eastAsia" w:ascii="宋体" w:hAnsi="宋体" w:eastAsia="宋体" w:cs="宋体"/>
                <w:color w:val="000000"/>
                <w:sz w:val="21"/>
                <w:szCs w:val="21"/>
                <w:highlight w:val="none"/>
              </w:rPr>
            </w:r>
            <w:r/>
          </w:p>
          <w:p>
            <w:pPr>
              <w:pStyle w:val="94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2、测试体重范围 5-150kg；分度值：0.1kg，误差： ±0.2kg；测试身高范围 0-220cm，分度值：0.1cm，误差： ±0.2cm</w:t>
            </w:r>
            <w:r>
              <w:rPr>
                <w:rFonts w:hint="eastAsia" w:ascii="宋体" w:hAnsi="宋体" w:eastAsia="宋体" w:cs="宋体"/>
                <w:color w:val="000000"/>
                <w:sz w:val="21"/>
                <w:szCs w:val="21"/>
                <w:highlight w:val="none"/>
              </w:rPr>
            </w:r>
            <w:r/>
          </w:p>
          <w:p>
            <w:pPr>
              <w:pStyle w:val="94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3、测试年龄范围 8-80 岁；</w:t>
            </w:r>
            <w:r>
              <w:rPr>
                <w:rFonts w:hint="eastAsia" w:ascii="宋体" w:hAnsi="宋体" w:eastAsia="宋体" w:cs="宋体"/>
                <w:color w:val="000000"/>
                <w:sz w:val="21"/>
                <w:szCs w:val="21"/>
                <w:highlight w:val="none"/>
              </w:rPr>
            </w:r>
            <w:r/>
          </w:p>
          <w:p>
            <w:pPr>
              <w:pStyle w:val="94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▲六、评估仪生成的运动处方可自动下发至与其对接的伺服电机无轨迹抗阻训练系统进行科学锻炼，训练数据自动上传评估仪，数据可以本地化部署和云端自动上传，用于综合评估运动效果。</w:t>
            </w:r>
            <w:r>
              <w:rPr>
                <w:rFonts w:hint="eastAsia" w:ascii="宋体" w:hAnsi="宋体" w:eastAsia="宋体" w:cs="宋体"/>
                <w:color w:val="000000"/>
                <w:sz w:val="21"/>
                <w:szCs w:val="21"/>
                <w:highlight w:val="none"/>
              </w:rPr>
            </w:r>
            <w:r/>
          </w:p>
          <w:p>
            <w:pPr>
              <w:pStyle w:val="94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▲七，设备可升级至内嵌一维足底压力测试板用于评估平衡能力和肌少症跌倒风险。</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945"/>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pStyle w:val="945"/>
              <w:jc w:val="center"/>
              <w:widowControl/>
              <w:rPr>
                <w:rFonts w:hint="eastAsia" w:ascii="宋体" w:hAnsi="宋体" w:eastAsia="宋体" w:cs="宋体"/>
                <w:b/>
                <w:bCs/>
                <w:color w:val="000000"/>
                <w:sz w:val="21"/>
                <w:szCs w:val="21"/>
                <w:highlight w:val="none"/>
                <w:lang w:bidi="ar"/>
              </w:rPr>
            </w:pPr>
            <w:r>
              <w:rPr>
                <w:rFonts w:hint="eastAsia" w:ascii="宋体" w:hAnsi="宋体" w:eastAsia="宋体" w:cs="宋体"/>
                <w:b/>
                <w:bCs/>
                <w:color w:val="000000"/>
                <w:sz w:val="21"/>
                <w:szCs w:val="21"/>
                <w:highlight w:val="none"/>
              </w:rPr>
              <w:t xml:space="preserve">2</w:t>
            </w: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pStyle w:val="945"/>
              <w:jc w:val="center"/>
              <w:widowControl/>
              <w:rPr>
                <w:rFonts w:hint="eastAsia" w:ascii="宋体" w:hAnsi="宋体" w:eastAsia="宋体" w:cs="宋体"/>
                <w:b/>
                <w:bCs/>
                <w:color w:val="000000"/>
                <w:sz w:val="21"/>
                <w:szCs w:val="21"/>
                <w:highlight w:val="none"/>
                <w:lang w:bidi="ar"/>
              </w:rPr>
            </w:pPr>
            <w:r>
              <w:rPr>
                <w:rFonts w:hint="eastAsia" w:ascii="宋体" w:hAnsi="宋体" w:eastAsia="宋体" w:cs="宋体"/>
                <w:color w:val="000000"/>
                <w:sz w:val="21"/>
                <w:szCs w:val="21"/>
                <w:highlight w:val="none"/>
                <w:lang w:bidi="ar"/>
              </w:rPr>
              <w:t xml:space="preserve">智能力量健身器</w:t>
            </w: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pStyle w:val="945"/>
              <w:jc w:val="center"/>
              <w:widowControl/>
              <w:rPr>
                <w:rFonts w:hint="eastAsia" w:ascii="宋体" w:hAnsi="宋体" w:eastAsia="宋体" w:cs="宋体"/>
                <w:b/>
                <w:bCs/>
                <w:color w:val="000000"/>
                <w:sz w:val="21"/>
                <w:szCs w:val="21"/>
                <w:highlight w:val="none"/>
                <w:lang w:bidi="ar"/>
              </w:rPr>
            </w:pPr>
            <w:r>
              <w:rPr>
                <w:rFonts w:hint="eastAsia" w:ascii="宋体" w:hAnsi="宋体" w:eastAsia="宋体" w:cs="宋体"/>
                <w:color w:val="000000"/>
                <w:sz w:val="21"/>
                <w:szCs w:val="21"/>
                <w:highlight w:val="none"/>
                <w:lang w:bidi="ar"/>
              </w:rPr>
              <w:t xml:space="preserve">1台</w:t>
            </w: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912" w:type="dxa"/>
            <w:vAlign w:val="center"/>
            <w:textDirection w:val="lrTb"/>
            <w:noWrap w:val="false"/>
          </w:tcPr>
          <w:p>
            <w:pPr>
              <w:pStyle w:val="94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一、基本参数</w:t>
            </w:r>
            <w:r>
              <w:rPr>
                <w:rFonts w:hint="eastAsia" w:ascii="宋体" w:hAnsi="宋体" w:eastAsia="宋体" w:cs="宋体"/>
                <w:color w:val="000000"/>
                <w:sz w:val="21"/>
                <w:szCs w:val="21"/>
                <w:highlight w:val="none"/>
              </w:rPr>
            </w:r>
            <w:r/>
          </w:p>
          <w:p>
            <w:pPr>
              <w:pStyle w:val="94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1.尺寸规格：外形尺寸≤1385mm×795mm×285mm；包装尺寸≤1400mm×830mm×410mm；产品净重≤68kg，毛重≤98kg。</w:t>
            </w:r>
            <w:r>
              <w:rPr>
                <w:rFonts w:hint="eastAsia" w:ascii="宋体" w:hAnsi="宋体" w:eastAsia="宋体" w:cs="宋体"/>
                <w:color w:val="000000"/>
                <w:sz w:val="21"/>
                <w:szCs w:val="21"/>
                <w:highlight w:val="none"/>
              </w:rPr>
            </w:r>
            <w:r/>
          </w:p>
          <w:p>
            <w:pPr>
              <w:pStyle w:val="94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2.电源：内置能量回收系统，外部兼容110V AC/220V AC 供电。</w:t>
            </w:r>
            <w:r>
              <w:rPr>
                <w:rFonts w:hint="eastAsia" w:ascii="宋体" w:hAnsi="宋体" w:eastAsia="宋体" w:cs="宋体"/>
                <w:color w:val="000000"/>
                <w:sz w:val="21"/>
                <w:szCs w:val="21"/>
                <w:highlight w:val="none"/>
              </w:rPr>
            </w:r>
            <w:r/>
          </w:p>
          <w:p>
            <w:pPr>
              <w:pStyle w:val="94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▲3.动力输出：5-100KG可调</w:t>
            </w:r>
            <w:r>
              <w:rPr>
                <w:rFonts w:hint="eastAsia" w:ascii="宋体" w:hAnsi="宋体" w:eastAsia="宋体" w:cs="宋体"/>
                <w:color w:val="000000"/>
                <w:sz w:val="21"/>
                <w:szCs w:val="21"/>
                <w:highlight w:val="none"/>
              </w:rPr>
            </w:r>
            <w:r/>
          </w:p>
          <w:p>
            <w:pPr>
              <w:pStyle w:val="94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▲4.屏幕：不小于32寸高清触摸屏，全尺寸多点触摸屏。</w:t>
            </w:r>
            <w:r>
              <w:rPr>
                <w:rFonts w:hint="eastAsia" w:ascii="宋体" w:hAnsi="宋体" w:eastAsia="宋体" w:cs="宋体"/>
                <w:color w:val="000000"/>
                <w:sz w:val="21"/>
                <w:szCs w:val="21"/>
                <w:highlight w:val="none"/>
              </w:rPr>
            </w:r>
            <w:r/>
          </w:p>
          <w:p>
            <w:pPr>
              <w:pStyle w:val="94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▲5.智能力量健身器配置：包含速度与力量反馈系统、训练框架、举重平台。</w:t>
            </w:r>
            <w:r>
              <w:rPr>
                <w:rFonts w:hint="eastAsia" w:ascii="宋体" w:hAnsi="宋体" w:eastAsia="宋体" w:cs="宋体"/>
                <w:color w:val="000000"/>
                <w:sz w:val="21"/>
                <w:szCs w:val="21"/>
                <w:highlight w:val="none"/>
              </w:rPr>
            </w:r>
            <w:r/>
          </w:p>
          <w:p>
            <w:pPr>
              <w:pStyle w:val="94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二、各配置参数</w:t>
            </w:r>
            <w:r>
              <w:rPr>
                <w:rFonts w:hint="eastAsia" w:ascii="宋体" w:hAnsi="宋体" w:eastAsia="宋体" w:cs="宋体"/>
                <w:color w:val="000000"/>
                <w:sz w:val="21"/>
                <w:szCs w:val="21"/>
                <w:highlight w:val="none"/>
              </w:rPr>
            </w:r>
            <w:r/>
          </w:p>
          <w:p>
            <w:pPr>
              <w:pStyle w:val="94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1.速度与力量反馈系统训练框架</w:t>
            </w:r>
            <w:r>
              <w:rPr>
                <w:rFonts w:hint="eastAsia" w:ascii="宋体" w:hAnsi="宋体" w:eastAsia="宋体" w:cs="宋体"/>
                <w:color w:val="000000"/>
                <w:sz w:val="21"/>
                <w:szCs w:val="21"/>
                <w:highlight w:val="none"/>
              </w:rPr>
            </w:r>
            <w:r/>
          </w:p>
          <w:p>
            <w:pPr>
              <w:pStyle w:val="94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1.1智能综合训练器规格：外形尺寸≤1385mm*795mm*285mm</w:t>
            </w:r>
            <w:r>
              <w:rPr>
                <w:rFonts w:hint="eastAsia" w:ascii="宋体" w:hAnsi="宋体" w:eastAsia="宋体" w:cs="宋体"/>
                <w:color w:val="000000"/>
                <w:sz w:val="21"/>
                <w:szCs w:val="21"/>
                <w:highlight w:val="none"/>
              </w:rPr>
            </w:r>
            <w:r/>
          </w:p>
          <w:p>
            <w:pPr>
              <w:pStyle w:val="94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1.2锻炼功能：至少包含深蹲、卧推、硬拉、推肩、弯举、划船等。</w:t>
            </w:r>
            <w:r>
              <w:rPr>
                <w:rFonts w:hint="eastAsia" w:ascii="宋体" w:hAnsi="宋体" w:eastAsia="宋体" w:cs="宋体"/>
                <w:color w:val="000000"/>
                <w:sz w:val="21"/>
                <w:szCs w:val="21"/>
                <w:highlight w:val="none"/>
              </w:rPr>
            </w:r>
            <w:r/>
          </w:p>
          <w:p>
            <w:pPr>
              <w:pStyle w:val="94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1.3锻炼部位：全身肌肉。</w:t>
            </w:r>
            <w:r>
              <w:rPr>
                <w:rFonts w:hint="eastAsia" w:ascii="宋体" w:hAnsi="宋体" w:eastAsia="宋体" w:cs="宋体"/>
                <w:color w:val="000000"/>
                <w:sz w:val="21"/>
                <w:szCs w:val="21"/>
                <w:highlight w:val="none"/>
              </w:rPr>
            </w:r>
            <w:r/>
          </w:p>
          <w:p>
            <w:pPr>
              <w:pStyle w:val="94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1.4结构与材质：主体框架采用 Q235 管材制作，表面高温喷塑处理；180°可旋转立柱采用弹簧插销与旋杆插销结合设计；上下动臂采用卡簧式调节；拉力绳采用进口大力马编织绳，通过60万次拉力测试，具备耐磨、防紫外线、抗腐蚀、耐氧化特性；把手护套采用PVC/塑胶材质。</w:t>
            </w:r>
            <w:r>
              <w:rPr>
                <w:rFonts w:hint="eastAsia" w:ascii="宋体" w:hAnsi="宋体" w:eastAsia="宋体" w:cs="宋体"/>
                <w:color w:val="000000"/>
                <w:sz w:val="21"/>
                <w:szCs w:val="21"/>
                <w:highlight w:val="none"/>
              </w:rPr>
            </w:r>
            <w:r/>
          </w:p>
          <w:p>
            <w:pPr>
              <w:pStyle w:val="94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2.举重平台</w:t>
            </w:r>
            <w:r>
              <w:rPr>
                <w:rFonts w:hint="eastAsia" w:ascii="宋体" w:hAnsi="宋体" w:eastAsia="宋体" w:cs="宋体"/>
                <w:color w:val="000000"/>
                <w:sz w:val="21"/>
                <w:szCs w:val="21"/>
                <w:highlight w:val="none"/>
              </w:rPr>
            </w:r>
            <w:r/>
          </w:p>
          <w:p>
            <w:pPr>
              <w:pStyle w:val="94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2.1动力系统：采用 FOC 矢量控制系统，配置不低于1200W三相步进电机，输出扭矩不低于50Nm，阻力调节顺畅稳定。</w:t>
            </w:r>
            <w:r>
              <w:rPr>
                <w:rFonts w:hint="eastAsia" w:ascii="宋体" w:hAnsi="宋体" w:eastAsia="宋体" w:cs="宋体"/>
                <w:color w:val="000000"/>
                <w:sz w:val="21"/>
                <w:szCs w:val="21"/>
                <w:highlight w:val="none"/>
              </w:rPr>
            </w:r>
            <w:r/>
          </w:p>
          <w:p>
            <w:pPr>
              <w:pStyle w:val="94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▲2.2动臂调节：支持多种动臂调节方式，满足各种训练需求，动臂垂直旋转调节（9档调节），上下滑动调节 (11档调节)，水平旋转调节(5档调节)。</w:t>
            </w:r>
            <w:r>
              <w:rPr>
                <w:rFonts w:hint="eastAsia" w:ascii="宋体" w:hAnsi="宋体" w:eastAsia="宋体" w:cs="宋体"/>
                <w:color w:val="000000"/>
                <w:sz w:val="21"/>
                <w:szCs w:val="21"/>
                <w:highlight w:val="none"/>
              </w:rPr>
            </w:r>
            <w:r/>
          </w:p>
          <w:p>
            <w:pPr>
              <w:pStyle w:val="94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▲2.3具备恒力模式、向心等张模式、离心等张模式5-100KG动力输出、弹力模式、流体阻力模式五种力量锻炼模式，锻炼功能：深蹲、卧推、硬拉、推肩、弯举等。</w:t>
            </w:r>
            <w:r>
              <w:rPr>
                <w:rFonts w:hint="eastAsia" w:ascii="宋体" w:hAnsi="宋体" w:eastAsia="宋体" w:cs="宋体"/>
                <w:color w:val="000000"/>
                <w:sz w:val="21"/>
                <w:szCs w:val="21"/>
                <w:highlight w:val="none"/>
              </w:rPr>
            </w:r>
            <w:r/>
          </w:p>
          <w:p>
            <w:pPr>
              <w:pStyle w:val="94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2.4恒力、向心等张、离心等张三种模式支持5-100KG动力调节；弹力、流体阻力两种模式1—10档动力调节。</w:t>
            </w:r>
            <w:r>
              <w:rPr>
                <w:rFonts w:hint="eastAsia" w:ascii="宋体" w:hAnsi="宋体" w:eastAsia="宋体" w:cs="宋体"/>
                <w:color w:val="000000"/>
                <w:sz w:val="21"/>
                <w:szCs w:val="21"/>
                <w:highlight w:val="none"/>
              </w:rPr>
            </w:r>
            <w:r/>
          </w:p>
          <w:p>
            <w:pPr>
              <w:pStyle w:val="94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2.5安装与空间：支持挂墙、落地两种安装方式，占地面积不大于 1㎡，运行无噪音，可满足硬拉、举重等训练需求。</w:t>
            </w:r>
            <w:r>
              <w:rPr>
                <w:rFonts w:hint="eastAsia" w:ascii="宋体" w:hAnsi="宋体" w:eastAsia="宋体" w:cs="宋体"/>
                <w:color w:val="000000"/>
                <w:sz w:val="21"/>
                <w:szCs w:val="21"/>
                <w:highlight w:val="none"/>
              </w:rPr>
            </w:r>
            <w:r/>
          </w:p>
          <w:p>
            <w:pPr>
              <w:pStyle w:val="94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3.速度与力量反馈系统</w:t>
            </w:r>
            <w:r>
              <w:rPr>
                <w:rFonts w:hint="eastAsia" w:ascii="宋体" w:hAnsi="宋体" w:eastAsia="宋体" w:cs="宋体"/>
                <w:color w:val="000000"/>
                <w:sz w:val="21"/>
                <w:szCs w:val="21"/>
                <w:highlight w:val="none"/>
              </w:rPr>
            </w:r>
            <w:r/>
          </w:p>
          <w:p>
            <w:pPr>
              <w:pStyle w:val="94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屏幕：采用不小于32寸多点触摸大屏，采用安卓系统，支持运动数据采集与分析、语音提示、教学视频在线更新、个性化课程定制；支持模式选择、力量调节一触设置；可实时显示并回传运动数据至移动端，支持教练制定与分配训练计划、查看学员运动记录。</w:t>
            </w:r>
            <w:r>
              <w:rPr>
                <w:rFonts w:hint="eastAsia" w:ascii="宋体" w:hAnsi="宋体" w:eastAsia="宋体" w:cs="宋体"/>
                <w:color w:val="000000"/>
                <w:sz w:val="21"/>
                <w:szCs w:val="21"/>
                <w:highlight w:val="none"/>
              </w:rPr>
            </w:r>
            <w:r/>
          </w:p>
          <w:p>
            <w:pPr>
              <w:pStyle w:val="94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▲3.2智能系统：由设备前端与专属APP端两部分组成组成</w:t>
            </w:r>
            <w:r>
              <w:rPr>
                <w:rFonts w:hint="eastAsia" w:ascii="宋体" w:hAnsi="宋体" w:eastAsia="宋体" w:cs="宋体"/>
                <w:color w:val="000000"/>
                <w:sz w:val="21"/>
                <w:szCs w:val="21"/>
                <w:highlight w:val="none"/>
              </w:rPr>
            </w:r>
            <w:r/>
          </w:p>
          <w:p>
            <w:pPr>
              <w:pStyle w:val="94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（1）APP端（移动管理）：方便教练、运动员移动化使用，教练可制定/分配运动计划、查看学员运动数据（平均速度、峰值速度、平均功率、峰值功率、做功等）；学员可查看个人计划、运动记录、训练视频。</w:t>
            </w:r>
            <w:r>
              <w:rPr>
                <w:rFonts w:hint="eastAsia" w:ascii="宋体" w:hAnsi="宋体" w:eastAsia="宋体" w:cs="宋体"/>
                <w:color w:val="000000"/>
                <w:sz w:val="21"/>
                <w:szCs w:val="21"/>
                <w:highlight w:val="none"/>
              </w:rPr>
            </w:r>
            <w:r/>
          </w:p>
          <w:p>
            <w:pPr>
              <w:pStyle w:val="94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（2）设备前端（屏幕操作）：提供智能化语音提示，支持运动结果、训练视频、训练计划等数据实时查看。</w:t>
            </w:r>
            <w:r>
              <w:rPr>
                <w:rFonts w:hint="eastAsia" w:ascii="宋体" w:hAnsi="宋体" w:eastAsia="宋体" w:cs="宋体"/>
                <w:color w:val="000000"/>
                <w:sz w:val="21"/>
                <w:szCs w:val="21"/>
                <w:highlight w:val="none"/>
              </w:rPr>
            </w:r>
            <w:r/>
          </w:p>
          <w:p>
            <w:pPr>
              <w:pStyle w:val="94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3.3系统硬件主要包含动臂+32寸触摸大屏</w:t>
            </w:r>
            <w:r>
              <w:rPr>
                <w:rFonts w:hint="eastAsia" w:ascii="宋体" w:hAnsi="宋体" w:eastAsia="宋体" w:cs="宋体"/>
                <w:color w:val="000000"/>
                <w:sz w:val="21"/>
                <w:szCs w:val="21"/>
                <w:highlight w:val="none"/>
              </w:rPr>
            </w:r>
            <w:r/>
          </w:p>
          <w:p>
            <w:pPr>
              <w:pStyle w:val="94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（1）显示屏幕：运动时人机交互主要操作界面，固定安装于指定位置，不小于32寸高清 IPS 液晶触摸屏，物理分辨率不低于1920×1080，工作温度-15~70 摄氏度，通过CCC 认证。</w:t>
            </w:r>
            <w:r>
              <w:rPr>
                <w:rFonts w:hint="eastAsia" w:ascii="宋体" w:hAnsi="宋体" w:eastAsia="宋体" w:cs="宋体"/>
                <w:color w:val="000000"/>
                <w:sz w:val="21"/>
                <w:szCs w:val="21"/>
                <w:highlight w:val="none"/>
              </w:rPr>
            </w:r>
            <w:r/>
          </w:p>
          <w:p>
            <w:pPr>
              <w:pStyle w:val="94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（2）数据处理：主机本地处理运动数据，通过 LAN/WIFI联网上传云端，支持 USB、HDMI、VGA 等接口扩展，实现健身数据移动端回传与云端管理。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945"/>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pStyle w:val="945"/>
              <w:jc w:val="center"/>
              <w:widowControl/>
              <w:rPr>
                <w:rFonts w:hint="eastAsia" w:ascii="宋体" w:hAnsi="宋体" w:eastAsia="宋体" w:cs="宋体"/>
                <w:b/>
                <w:bCs/>
                <w:color w:val="000000"/>
                <w:sz w:val="21"/>
                <w:szCs w:val="21"/>
                <w:highlight w:val="none"/>
                <w:lang w:bidi="ar"/>
              </w:rPr>
            </w:pPr>
            <w:r>
              <w:rPr>
                <w:rFonts w:hint="eastAsia" w:ascii="宋体" w:hAnsi="宋体" w:eastAsia="宋体" w:cs="宋体"/>
                <w:b/>
                <w:bCs/>
                <w:color w:val="000000"/>
                <w:sz w:val="21"/>
                <w:szCs w:val="21"/>
                <w:highlight w:val="none"/>
              </w:rPr>
              <w:t xml:space="preserve">3</w:t>
            </w: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pStyle w:val="945"/>
              <w:jc w:val="center"/>
              <w:widowControl/>
              <w:rPr>
                <w:rFonts w:hint="eastAsia" w:ascii="宋体" w:hAnsi="宋体" w:eastAsia="宋体" w:cs="宋体"/>
                <w:b/>
                <w:bCs/>
                <w:color w:val="000000"/>
                <w:sz w:val="21"/>
                <w:szCs w:val="21"/>
                <w:highlight w:val="none"/>
                <w:lang w:bidi="ar"/>
              </w:rPr>
            </w:pPr>
            <w:r>
              <w:rPr>
                <w:rFonts w:hint="eastAsia" w:ascii="宋体" w:hAnsi="宋体" w:eastAsia="宋体" w:cs="宋体"/>
                <w:b/>
                <w:bCs/>
                <w:color w:val="000000"/>
                <w:sz w:val="21"/>
                <w:szCs w:val="21"/>
                <w:highlight w:val="none"/>
                <w:lang w:bidi="ar"/>
              </w:rPr>
              <w:t xml:space="preserve">超声骨密度测试仪</w:t>
            </w: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pStyle w:val="945"/>
              <w:jc w:val="center"/>
              <w:widowControl/>
              <w:rPr>
                <w:rFonts w:hint="eastAsia" w:ascii="宋体" w:hAnsi="宋体" w:eastAsia="宋体" w:cs="宋体"/>
                <w:b/>
                <w:bCs/>
                <w:color w:val="000000"/>
                <w:sz w:val="21"/>
                <w:szCs w:val="21"/>
                <w:highlight w:val="none"/>
                <w:lang w:bidi="ar"/>
              </w:rPr>
            </w:pPr>
            <w:r>
              <w:rPr>
                <w:rFonts w:hint="eastAsia" w:ascii="宋体" w:hAnsi="宋体" w:eastAsia="宋体" w:cs="宋体"/>
                <w:color w:val="000000"/>
                <w:sz w:val="21"/>
                <w:szCs w:val="21"/>
                <w:highlight w:val="none"/>
                <w:lang w:bidi="ar"/>
              </w:rPr>
              <w:t xml:space="preserve">1台</w:t>
            </w: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912" w:type="dxa"/>
            <w:vAlign w:val="center"/>
            <w:textDirection w:val="lrTb"/>
            <w:noWrap w:val="false"/>
          </w:tcPr>
          <w:p>
            <w:pPr>
              <w:pStyle w:val="94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1.测量部位：左右跟骨</w:t>
            </w:r>
            <w:r>
              <w:rPr>
                <w:rFonts w:hint="eastAsia" w:ascii="宋体" w:hAnsi="宋体" w:eastAsia="宋体" w:cs="宋体"/>
                <w:color w:val="000000"/>
                <w:sz w:val="21"/>
                <w:szCs w:val="21"/>
                <w:highlight w:val="none"/>
              </w:rPr>
            </w:r>
            <w:r/>
          </w:p>
          <w:p>
            <w:pPr>
              <w:pStyle w:val="94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2.超声频率：超声波探头中心频率0.5MHz±0.05MHz</w:t>
            </w:r>
            <w:r>
              <w:rPr>
                <w:rFonts w:hint="eastAsia" w:ascii="宋体" w:hAnsi="宋体" w:eastAsia="宋体" w:cs="宋体"/>
                <w:color w:val="000000"/>
                <w:sz w:val="21"/>
                <w:szCs w:val="21"/>
                <w:highlight w:val="none"/>
              </w:rPr>
            </w:r>
            <w:r/>
          </w:p>
          <w:p>
            <w:pPr>
              <w:pStyle w:val="94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3.测量方法：超声波穿透法，双向发射双向接收，酒精或医用耦合剂耦合，全自动测量</w:t>
            </w:r>
            <w:r>
              <w:rPr>
                <w:rFonts w:hint="eastAsia" w:ascii="宋体" w:hAnsi="宋体" w:eastAsia="宋体" w:cs="宋体"/>
                <w:color w:val="000000"/>
                <w:sz w:val="21"/>
                <w:szCs w:val="21"/>
                <w:highlight w:val="none"/>
              </w:rPr>
            </w:r>
            <w:r/>
          </w:p>
          <w:p>
            <w:pPr>
              <w:pStyle w:val="94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▲4.探头类型：永久全干式固体探头</w:t>
            </w:r>
            <w:r>
              <w:rPr>
                <w:rFonts w:hint="eastAsia" w:ascii="宋体" w:hAnsi="宋体" w:eastAsia="宋体" w:cs="宋体"/>
                <w:color w:val="000000"/>
                <w:sz w:val="21"/>
                <w:szCs w:val="21"/>
                <w:highlight w:val="none"/>
              </w:rPr>
            </w:r>
            <w:r/>
          </w:p>
          <w:p>
            <w:pPr>
              <w:pStyle w:val="94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▲5.探头定位：双侧探头全自动定位，无需手动调节</w:t>
            </w:r>
            <w:r>
              <w:rPr>
                <w:rFonts w:hint="eastAsia" w:ascii="宋体" w:hAnsi="宋体" w:eastAsia="宋体" w:cs="宋体"/>
                <w:color w:val="000000"/>
                <w:sz w:val="21"/>
                <w:szCs w:val="21"/>
                <w:highlight w:val="none"/>
              </w:rPr>
            </w:r>
            <w:r/>
          </w:p>
          <w:p>
            <w:pPr>
              <w:pStyle w:val="94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6.探头间距：12mm~136mm可变</w:t>
            </w:r>
            <w:r>
              <w:rPr>
                <w:rFonts w:hint="eastAsia" w:ascii="宋体" w:hAnsi="宋体" w:eastAsia="宋体" w:cs="宋体"/>
                <w:color w:val="000000"/>
                <w:sz w:val="21"/>
                <w:szCs w:val="21"/>
                <w:highlight w:val="none"/>
              </w:rPr>
            </w:r>
            <w:r/>
          </w:p>
          <w:p>
            <w:pPr>
              <w:pStyle w:val="94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7.测量时间：≤15秒</w:t>
            </w:r>
            <w:r>
              <w:rPr>
                <w:rFonts w:hint="eastAsia" w:ascii="宋体" w:hAnsi="宋体" w:eastAsia="宋体" w:cs="宋体"/>
                <w:color w:val="000000"/>
                <w:sz w:val="21"/>
                <w:szCs w:val="21"/>
                <w:highlight w:val="none"/>
              </w:rPr>
            </w:r>
            <w:r/>
          </w:p>
          <w:p>
            <w:pPr>
              <w:pStyle w:val="94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▲8.精确度：测量重复性(CV%)SOS≤0.8%,BUA≤0.8%</w:t>
            </w:r>
            <w:r>
              <w:rPr>
                <w:rFonts w:hint="eastAsia" w:ascii="宋体" w:hAnsi="宋体" w:eastAsia="宋体" w:cs="宋体"/>
                <w:color w:val="000000"/>
                <w:sz w:val="21"/>
                <w:szCs w:val="21"/>
                <w:highlight w:val="none"/>
              </w:rPr>
            </w:r>
            <w:r/>
          </w:p>
          <w:p>
            <w:pPr>
              <w:pStyle w:val="94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9.辅助定位：具不少于四种规格的脚垫、小腿定位托架、足部定位卡、方便测量和定位支撑</w:t>
            </w:r>
            <w:r>
              <w:rPr>
                <w:rFonts w:hint="eastAsia" w:ascii="宋体" w:hAnsi="宋体" w:eastAsia="宋体" w:cs="宋体"/>
                <w:color w:val="000000"/>
                <w:sz w:val="21"/>
                <w:szCs w:val="21"/>
                <w:highlight w:val="none"/>
              </w:rPr>
            </w:r>
            <w:r/>
          </w:p>
          <w:p>
            <w:pPr>
              <w:pStyle w:val="94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10.操作：</w:t>
            </w:r>
            <w:r>
              <w:rPr>
                <w:rFonts w:hint="eastAsia" w:ascii="宋体" w:hAnsi="宋体" w:eastAsia="宋体" w:cs="宋体"/>
                <w:color w:val="000000"/>
                <w:sz w:val="21"/>
                <w:szCs w:val="21"/>
                <w:highlight w:val="none"/>
              </w:rPr>
            </w:r>
            <w:r/>
          </w:p>
          <w:p>
            <w:pPr>
              <w:pStyle w:val="94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10.1.全中文操作界面和报告，外接工作站操作</w:t>
            </w:r>
            <w:r>
              <w:rPr>
                <w:rFonts w:hint="eastAsia" w:ascii="宋体" w:hAnsi="宋体" w:eastAsia="宋体" w:cs="宋体"/>
                <w:color w:val="000000"/>
                <w:sz w:val="21"/>
                <w:szCs w:val="21"/>
                <w:highlight w:val="none"/>
              </w:rPr>
            </w:r>
            <w:r/>
          </w:p>
          <w:p>
            <w:pPr>
              <w:pStyle w:val="94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10.2.支持扫描枪；接口开放，可与HIS、PACS等系统连接</w:t>
            </w:r>
            <w:r>
              <w:rPr>
                <w:rFonts w:hint="eastAsia" w:ascii="宋体" w:hAnsi="宋体" w:eastAsia="宋体" w:cs="宋体"/>
                <w:color w:val="000000"/>
                <w:sz w:val="21"/>
                <w:szCs w:val="21"/>
                <w:highlight w:val="none"/>
              </w:rPr>
            </w:r>
            <w:r/>
          </w:p>
          <w:p>
            <w:pPr>
              <w:pStyle w:val="94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▲11.质量控制：仿人体跟骨模块提供日常质量控制和校准</w:t>
            </w:r>
            <w:r>
              <w:rPr>
                <w:rFonts w:hint="eastAsia" w:ascii="宋体" w:hAnsi="宋体" w:eastAsia="宋体" w:cs="宋体"/>
                <w:color w:val="000000"/>
                <w:sz w:val="21"/>
                <w:szCs w:val="21"/>
                <w:highlight w:val="none"/>
              </w:rPr>
            </w:r>
            <w:r/>
          </w:p>
          <w:p>
            <w:pPr>
              <w:pStyle w:val="94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▲12.测量结果：T值/T-Ratio成人比、Z值/Z-Ratio同龄比、骨密度的超声速度(SOS),骨结构的宽频超声衰减(BUA),骨质指数(BQI),预测身高(≤19岁)</w:t>
            </w:r>
            <w:r>
              <w:rPr>
                <w:rFonts w:hint="eastAsia" w:ascii="宋体" w:hAnsi="宋体" w:eastAsia="宋体" w:cs="宋体"/>
                <w:color w:val="000000"/>
                <w:sz w:val="21"/>
                <w:szCs w:val="21"/>
                <w:highlight w:val="none"/>
              </w:rPr>
            </w:r>
            <w:r/>
          </w:p>
          <w:p>
            <w:pPr>
              <w:pStyle w:val="94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13.日检测人数：≥200人</w:t>
            </w:r>
            <w:r>
              <w:rPr>
                <w:rFonts w:hint="eastAsia" w:ascii="宋体" w:hAnsi="宋体" w:eastAsia="宋体" w:cs="宋体"/>
                <w:color w:val="000000"/>
                <w:sz w:val="21"/>
                <w:szCs w:val="21"/>
                <w:highlight w:val="none"/>
              </w:rPr>
            </w:r>
            <w:r/>
          </w:p>
          <w:p>
            <w:pPr>
              <w:pStyle w:val="94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14.重量：≤12千克</w:t>
            </w:r>
            <w:r>
              <w:rPr>
                <w:rFonts w:hint="eastAsia" w:ascii="宋体" w:hAnsi="宋体" w:eastAsia="宋体" w:cs="宋体"/>
                <w:color w:val="000000"/>
                <w:sz w:val="21"/>
                <w:szCs w:val="21"/>
                <w:highlight w:val="none"/>
              </w:rPr>
            </w:r>
            <w:r/>
          </w:p>
          <w:p>
            <w:pPr>
              <w:pStyle w:val="94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15.人种数据库：中国人数据库(其他数据库可选)</w:t>
            </w:r>
            <w:r>
              <w:rPr>
                <w:rFonts w:hint="eastAsia" w:ascii="宋体" w:hAnsi="宋体" w:eastAsia="宋体" w:cs="宋体"/>
                <w:color w:val="000000"/>
                <w:sz w:val="21"/>
                <w:szCs w:val="21"/>
                <w:highlight w:val="none"/>
              </w:rPr>
            </w:r>
            <w:r/>
          </w:p>
          <w:p>
            <w:pPr>
              <w:pStyle w:val="94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16.测量范围：0-19,20-100岁(儿童、成人)</w:t>
            </w:r>
            <w:r>
              <w:rPr>
                <w:rFonts w:hint="eastAsia" w:ascii="宋体" w:hAnsi="宋体" w:eastAsia="宋体" w:cs="宋体"/>
                <w:color w:val="000000"/>
                <w:sz w:val="21"/>
                <w:szCs w:val="21"/>
                <w:highlight w:val="none"/>
              </w:rPr>
            </w:r>
            <w:r/>
          </w:p>
          <w:p>
            <w:pPr>
              <w:pStyle w:val="94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17.软件功能：</w:t>
            </w:r>
            <w:r>
              <w:rPr>
                <w:rFonts w:hint="eastAsia" w:ascii="宋体" w:hAnsi="宋体" w:eastAsia="宋体" w:cs="宋体"/>
                <w:color w:val="000000"/>
                <w:sz w:val="21"/>
                <w:szCs w:val="21"/>
                <w:highlight w:val="none"/>
              </w:rPr>
            </w:r>
            <w:r/>
          </w:p>
          <w:p>
            <w:pPr>
              <w:pStyle w:val="94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17.1.全中文操作软件</w:t>
            </w:r>
            <w:r>
              <w:rPr>
                <w:rFonts w:hint="eastAsia" w:ascii="宋体" w:hAnsi="宋体" w:eastAsia="宋体" w:cs="宋体"/>
                <w:color w:val="000000"/>
                <w:sz w:val="21"/>
                <w:szCs w:val="21"/>
                <w:highlight w:val="none"/>
              </w:rPr>
            </w:r>
            <w:r/>
          </w:p>
          <w:p>
            <w:pPr>
              <w:pStyle w:val="94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17.2.全中文骨密度打印报告软件</w:t>
            </w:r>
            <w:r>
              <w:rPr>
                <w:rFonts w:hint="eastAsia" w:ascii="宋体" w:hAnsi="宋体" w:eastAsia="宋体" w:cs="宋体"/>
                <w:color w:val="000000"/>
                <w:sz w:val="21"/>
                <w:szCs w:val="21"/>
                <w:highlight w:val="none"/>
              </w:rPr>
            </w:r>
            <w:r/>
          </w:p>
          <w:p>
            <w:pPr>
              <w:pStyle w:val="94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17.3.儿童/成人骨密度测量软件</w:t>
            </w:r>
            <w:r>
              <w:rPr>
                <w:rFonts w:hint="eastAsia" w:ascii="宋体" w:hAnsi="宋体" w:eastAsia="宋体" w:cs="宋体"/>
                <w:color w:val="000000"/>
                <w:sz w:val="21"/>
                <w:szCs w:val="21"/>
                <w:highlight w:val="none"/>
              </w:rPr>
            </w:r>
            <w:r/>
          </w:p>
          <w:p>
            <w:pPr>
              <w:pStyle w:val="94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▲17.4.系统温度补偿校准功能</w:t>
            </w:r>
            <w:r>
              <w:rPr>
                <w:rFonts w:hint="eastAsia" w:ascii="宋体" w:hAnsi="宋体" w:eastAsia="宋体" w:cs="宋体"/>
                <w:color w:val="000000"/>
                <w:sz w:val="21"/>
                <w:szCs w:val="21"/>
                <w:highlight w:val="none"/>
              </w:rPr>
            </w:r>
            <w:r/>
          </w:p>
          <w:p>
            <w:pPr>
              <w:pStyle w:val="94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▲17.5.儿童成长发育软件</w:t>
            </w:r>
            <w:r>
              <w:rPr>
                <w:rFonts w:hint="eastAsia" w:ascii="宋体" w:hAnsi="宋体" w:eastAsia="宋体" w:cs="宋体"/>
                <w:color w:val="000000"/>
                <w:sz w:val="21"/>
                <w:szCs w:val="21"/>
                <w:highlight w:val="none"/>
              </w:rPr>
            </w:r>
            <w:r/>
          </w:p>
          <w:p>
            <w:pPr>
              <w:pStyle w:val="94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▲17.6.骨折风险预测软件(FRAX)</w:t>
            </w:r>
            <w:r>
              <w:rPr>
                <w:rFonts w:hint="eastAsia" w:ascii="宋体" w:hAnsi="宋体" w:eastAsia="宋体" w:cs="宋体"/>
                <w:color w:val="000000"/>
                <w:sz w:val="21"/>
                <w:szCs w:val="21"/>
                <w:highlight w:val="none"/>
              </w:rPr>
            </w:r>
            <w:r/>
          </w:p>
          <w:p>
            <w:pPr>
              <w:pStyle w:val="94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17.7.历史趋势对比软件</w:t>
            </w:r>
            <w:r>
              <w:rPr>
                <w:rFonts w:hint="eastAsia" w:ascii="宋体" w:hAnsi="宋体" w:eastAsia="宋体" w:cs="宋体"/>
                <w:color w:val="000000"/>
                <w:sz w:val="21"/>
                <w:szCs w:val="21"/>
                <w:highlight w:val="none"/>
              </w:rPr>
            </w:r>
            <w:r/>
          </w:p>
          <w:p>
            <w:pPr>
              <w:pStyle w:val="94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操作软件支持数据导出EXCEL功能，方便用户统计和分析。提供操作软件操作说明。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945"/>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pStyle w:val="945"/>
              <w:jc w:val="center"/>
              <w:widowControl/>
              <w:rPr>
                <w:rFonts w:hint="eastAsia" w:ascii="宋体" w:hAnsi="宋体" w:eastAsia="宋体" w:cs="宋体"/>
                <w:b/>
                <w:bCs/>
                <w:color w:val="000000"/>
                <w:sz w:val="21"/>
                <w:szCs w:val="21"/>
                <w:highlight w:val="none"/>
                <w:lang w:bidi="ar"/>
              </w:rPr>
            </w:pPr>
            <w:r>
              <w:rPr>
                <w:rFonts w:hint="eastAsia" w:ascii="宋体" w:hAnsi="宋体" w:eastAsia="宋体" w:cs="宋体"/>
                <w:b/>
                <w:bCs/>
                <w:color w:val="000000"/>
                <w:sz w:val="21"/>
                <w:szCs w:val="21"/>
                <w:highlight w:val="none"/>
              </w:rPr>
              <w:t xml:space="preserve">4</w:t>
            </w: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pStyle w:val="945"/>
              <w:jc w:val="center"/>
              <w:widowControl/>
              <w:rPr>
                <w:rFonts w:hint="eastAsia" w:ascii="宋体" w:hAnsi="宋体" w:eastAsia="宋体" w:cs="宋体"/>
                <w:b/>
                <w:bCs/>
                <w:color w:val="000000"/>
                <w:sz w:val="21"/>
                <w:szCs w:val="21"/>
                <w:highlight w:val="none"/>
                <w:lang w:bidi="ar"/>
              </w:rPr>
            </w:pPr>
            <w:r>
              <w:rPr>
                <w:rFonts w:hint="eastAsia" w:ascii="宋体" w:hAnsi="宋体" w:eastAsia="宋体" w:cs="宋体"/>
                <w:color w:val="000000"/>
                <w:sz w:val="21"/>
                <w:szCs w:val="21"/>
                <w:highlight w:val="none"/>
                <w:lang w:bidi="ar"/>
              </w:rPr>
              <w:t xml:space="preserve">国民体质监测仪器</w:t>
            </w: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pStyle w:val="945"/>
              <w:jc w:val="center"/>
              <w:widowControl/>
              <w:rPr>
                <w:rFonts w:hint="eastAsia" w:ascii="宋体" w:hAnsi="宋体" w:eastAsia="宋体" w:cs="宋体"/>
                <w:b/>
                <w:bCs/>
                <w:color w:val="000000"/>
                <w:sz w:val="21"/>
                <w:szCs w:val="21"/>
                <w:highlight w:val="none"/>
                <w:lang w:bidi="ar"/>
              </w:rPr>
            </w:pPr>
            <w:r>
              <w:rPr>
                <w:rFonts w:hint="eastAsia" w:ascii="宋体" w:hAnsi="宋体" w:eastAsia="宋体" w:cs="宋体"/>
                <w:color w:val="000000"/>
                <w:sz w:val="21"/>
                <w:szCs w:val="21"/>
                <w:highlight w:val="none"/>
                <w:lang w:bidi="ar"/>
              </w:rPr>
              <w:t xml:space="preserve">1套</w:t>
            </w: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912" w:type="dxa"/>
            <w:vAlign w:val="center"/>
            <w:textDirection w:val="lrTb"/>
            <w:noWrap w:val="false"/>
          </w:tcPr>
          <w:p>
            <w:pPr>
              <w:pStyle w:val="94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内含：</w:t>
            </w:r>
            <w:r>
              <w:rPr>
                <w:rFonts w:hint="eastAsia" w:ascii="宋体" w:hAnsi="宋体" w:eastAsia="宋体" w:cs="宋体"/>
                <w:color w:val="000000"/>
                <w:sz w:val="21"/>
                <w:szCs w:val="21"/>
                <w:highlight w:val="none"/>
              </w:rPr>
            </w:r>
            <w:r/>
          </w:p>
          <w:p>
            <w:pPr>
              <w:pStyle w:val="94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1.血压测试仪 2套</w:t>
            </w:r>
            <w:r>
              <w:rPr>
                <w:rFonts w:hint="eastAsia" w:ascii="宋体" w:hAnsi="宋体" w:eastAsia="宋体" w:cs="宋体"/>
                <w:color w:val="000000"/>
                <w:sz w:val="21"/>
                <w:szCs w:val="21"/>
                <w:highlight w:val="none"/>
              </w:rPr>
            </w:r>
            <w:r/>
          </w:p>
          <w:p>
            <w:pPr>
              <w:pStyle w:val="94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整套仪器需全套为电子式，可通过有线/无线/IC卡等多种方式采集测试数据，并能够进行国民体质监测数据传输与质量控制，支持多套主机同时测试与上传；各测试器材支持手工、射频卡、条码扫描等多种测试号输入方式，显示受测人员基本信息。为保证信息安全，主机应采用国产自研闭环操作系统。产品符合《国民体质测定标准(2023 年修订)》的规定，测试数据能够通过中心工作站与国家和省国民体质监测中心数据采集与质量控制平台对接上传。</w:t>
            </w:r>
            <w:r>
              <w:rPr>
                <w:rFonts w:hint="eastAsia" w:ascii="宋体" w:hAnsi="宋体" w:eastAsia="宋体" w:cs="宋体"/>
                <w:color w:val="000000"/>
                <w:sz w:val="21"/>
                <w:szCs w:val="21"/>
                <w:highlight w:val="none"/>
              </w:rPr>
            </w:r>
            <w:r/>
          </w:p>
          <w:p>
            <w:pPr>
              <w:pStyle w:val="94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2.功率车臂带表 3块</w:t>
            </w:r>
            <w:r>
              <w:rPr>
                <w:rFonts w:hint="eastAsia" w:ascii="宋体" w:hAnsi="宋体" w:eastAsia="宋体" w:cs="宋体"/>
                <w:color w:val="000000"/>
                <w:sz w:val="21"/>
                <w:szCs w:val="21"/>
                <w:highlight w:val="none"/>
              </w:rPr>
            </w:r>
            <w:r/>
          </w:p>
          <w:p>
            <w:pPr>
              <w:pStyle w:val="94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用光学心率监测技术，传感器搭载LED感光探头传感器，精准检测心率；能保证心率高频区的测试稳定性和灵敏度；传感器尺寸小巧，便于佩戴；佩戴方式为上臂式；无线数据传输，传感器可通过USB联网更新；充电≤3小时，可连续测试≥12小时。</w:t>
            </w:r>
            <w:r>
              <w:rPr>
                <w:rFonts w:hint="eastAsia" w:ascii="宋体" w:hAnsi="宋体" w:eastAsia="宋体" w:cs="宋体"/>
                <w:color w:val="000000"/>
                <w:sz w:val="21"/>
                <w:szCs w:val="21"/>
                <w:highlight w:val="none"/>
              </w:rPr>
            </w:r>
            <w:r/>
          </w:p>
          <w:p>
            <w:pPr>
              <w:pStyle w:val="94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3.俯卧撑测试仪 1套</w:t>
            </w:r>
            <w:r>
              <w:rPr>
                <w:rFonts w:hint="eastAsia" w:ascii="宋体" w:hAnsi="宋体" w:eastAsia="宋体" w:cs="宋体"/>
                <w:color w:val="000000"/>
                <w:sz w:val="21"/>
                <w:szCs w:val="21"/>
                <w:highlight w:val="none"/>
              </w:rPr>
            </w:r>
            <w:r/>
          </w:p>
          <w:p>
            <w:pPr>
              <w:pStyle w:val="94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（1）测试仪器应带俯卧板（垫），以保护测试者的双手/双膝。</w:t>
            </w:r>
            <w:r>
              <w:rPr>
                <w:rFonts w:hint="eastAsia" w:ascii="宋体" w:hAnsi="宋体" w:eastAsia="宋体" w:cs="宋体"/>
                <w:color w:val="000000"/>
                <w:sz w:val="21"/>
                <w:szCs w:val="21"/>
                <w:highlight w:val="none"/>
              </w:rPr>
            </w:r>
            <w:r/>
          </w:p>
          <w:p>
            <w:pPr>
              <w:pStyle w:val="94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（2）测试仪为保证不同身材的受试者，信号发射、接收器必须可调节；红外光电开关计数，可根据受试者臂长进行高度调整、全程无阻力测试，保证最佳测试效果。</w:t>
            </w:r>
            <w:r>
              <w:rPr>
                <w:rFonts w:hint="eastAsia" w:ascii="宋体" w:hAnsi="宋体" w:eastAsia="宋体" w:cs="宋体"/>
                <w:color w:val="000000"/>
                <w:sz w:val="21"/>
                <w:szCs w:val="21"/>
                <w:highlight w:val="none"/>
              </w:rPr>
            </w:r>
            <w:r/>
          </w:p>
          <w:p>
            <w:pPr>
              <w:pStyle w:val="94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4.仰卧起坐测试仪 1套</w:t>
            </w:r>
            <w:r>
              <w:rPr>
                <w:rFonts w:hint="eastAsia" w:ascii="宋体" w:hAnsi="宋体" w:eastAsia="宋体" w:cs="宋体"/>
                <w:color w:val="000000"/>
                <w:sz w:val="21"/>
                <w:szCs w:val="21"/>
                <w:highlight w:val="none"/>
              </w:rPr>
            </w:r>
            <w:r/>
          </w:p>
          <w:p>
            <w:pPr>
              <w:pStyle w:val="94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测试仪器有床体，床体设有可调式腿部屈膝90度调节器、背部压力传感器，保证测试者屈膝90度，但在测试过程中不得支撑腿部；具有红外线传感计数功能，传感器可根据人的身高调节，以保证测试动作规范。</w:t>
            </w:r>
            <w:r>
              <w:rPr>
                <w:rFonts w:hint="eastAsia" w:ascii="宋体" w:hAnsi="宋体" w:eastAsia="宋体" w:cs="宋体"/>
                <w:color w:val="000000"/>
                <w:sz w:val="21"/>
                <w:szCs w:val="21"/>
                <w:highlight w:val="none"/>
              </w:rPr>
            </w:r>
            <w:r/>
          </w:p>
          <w:p>
            <w:pPr>
              <w:pStyle w:val="94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 xml:space="preserve">背力测试仪 1套</w:t>
            </w:r>
            <w:r>
              <w:rPr>
                <w:rFonts w:hint="eastAsia" w:ascii="宋体" w:hAnsi="宋体" w:eastAsia="宋体" w:cs="宋体"/>
                <w:color w:val="000000"/>
                <w:sz w:val="21"/>
                <w:szCs w:val="21"/>
                <w:highlight w:val="none"/>
              </w:rPr>
            </w:r>
            <w:r/>
          </w:p>
          <w:p>
            <w:pPr>
              <w:pStyle w:val="94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（1）使用悬臂梁高精度力传感器。</w:t>
            </w:r>
            <w:r>
              <w:rPr>
                <w:rFonts w:hint="eastAsia" w:ascii="宋体" w:hAnsi="宋体" w:eastAsia="宋体" w:cs="宋体"/>
                <w:color w:val="000000"/>
                <w:sz w:val="21"/>
                <w:szCs w:val="21"/>
                <w:highlight w:val="none"/>
              </w:rPr>
            </w:r>
            <w:r/>
          </w:p>
          <w:p>
            <w:pPr>
              <w:pStyle w:val="94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（2）可根据身高调节测试链长度。</w:t>
            </w:r>
            <w:r>
              <w:rPr>
                <w:rFonts w:hint="eastAsia" w:ascii="宋体" w:hAnsi="宋体" w:eastAsia="宋体" w:cs="宋体"/>
                <w:color w:val="000000"/>
                <w:sz w:val="21"/>
                <w:szCs w:val="21"/>
                <w:highlight w:val="none"/>
              </w:rPr>
            </w:r>
            <w:r/>
          </w:p>
          <w:p>
            <w:pPr>
              <w:pStyle w:val="94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（3）背力拉力手柄外层应有软性材料，防硌手。</w:t>
            </w:r>
            <w:r>
              <w:rPr>
                <w:rFonts w:hint="eastAsia" w:ascii="宋体" w:hAnsi="宋体" w:eastAsia="宋体" w:cs="宋体"/>
                <w:color w:val="000000"/>
                <w:sz w:val="21"/>
                <w:szCs w:val="21"/>
                <w:highlight w:val="none"/>
              </w:rPr>
            </w:r>
            <w:r/>
          </w:p>
          <w:p>
            <w:pPr>
              <w:pStyle w:val="94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（4）配备通用主机。</w:t>
            </w:r>
            <w:r>
              <w:rPr>
                <w:rFonts w:hint="eastAsia" w:ascii="宋体" w:hAnsi="宋体" w:eastAsia="宋体" w:cs="宋体"/>
                <w:color w:val="000000"/>
                <w:sz w:val="21"/>
                <w:szCs w:val="21"/>
                <w:highlight w:val="none"/>
              </w:rPr>
            </w:r>
            <w:r/>
          </w:p>
          <w:p>
            <w:pPr>
              <w:pStyle w:val="94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6.坐位体前屈主机 1台</w:t>
            </w:r>
            <w:r>
              <w:rPr>
                <w:rFonts w:hint="eastAsia" w:ascii="宋体" w:hAnsi="宋体" w:eastAsia="宋体" w:cs="宋体"/>
                <w:color w:val="000000"/>
                <w:sz w:val="21"/>
                <w:szCs w:val="21"/>
                <w:highlight w:val="none"/>
              </w:rPr>
            </w:r>
            <w:r/>
          </w:p>
          <w:p>
            <w:pPr>
              <w:pStyle w:val="94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7.立定跳远测试仪 1套</w:t>
            </w:r>
            <w:r>
              <w:rPr>
                <w:rFonts w:hint="eastAsia" w:ascii="宋体" w:hAnsi="宋体" w:eastAsia="宋体" w:cs="宋体"/>
                <w:color w:val="000000"/>
                <w:sz w:val="21"/>
                <w:szCs w:val="21"/>
                <w:highlight w:val="none"/>
              </w:rPr>
            </w:r>
            <w:r/>
          </w:p>
          <w:p>
            <w:pPr>
              <w:pStyle w:val="94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采用一个起跳点和红外光电非接触式传感技术，适合所有年龄段儿童测试，具有智能判断和语音提示功能；起跳点带踩线防犯规功能。</w:t>
            </w:r>
            <w:r>
              <w:rPr>
                <w:rFonts w:hint="eastAsia" w:ascii="宋体" w:hAnsi="宋体" w:eastAsia="宋体" w:cs="宋体"/>
                <w:color w:val="000000"/>
                <w:sz w:val="21"/>
                <w:szCs w:val="21"/>
                <w:highlight w:val="none"/>
              </w:rPr>
            </w:r>
            <w:r/>
          </w:p>
          <w:p>
            <w:pPr>
              <w:pStyle w:val="94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 xml:space="preserve">平衡木测试仪 1套</w:t>
            </w:r>
            <w:r>
              <w:rPr>
                <w:rFonts w:hint="eastAsia" w:ascii="宋体" w:hAnsi="宋体" w:eastAsia="宋体" w:cs="宋体"/>
                <w:color w:val="000000"/>
                <w:sz w:val="21"/>
                <w:szCs w:val="21"/>
                <w:highlight w:val="none"/>
              </w:rPr>
            </w:r>
            <w:r/>
          </w:p>
          <w:p>
            <w:pPr>
              <w:pStyle w:val="94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1）电子自动计时。</w:t>
            </w:r>
            <w:r>
              <w:rPr>
                <w:rFonts w:hint="eastAsia" w:ascii="宋体" w:hAnsi="宋体" w:eastAsia="宋体" w:cs="宋体"/>
                <w:color w:val="000000"/>
                <w:sz w:val="21"/>
                <w:szCs w:val="21"/>
                <w:highlight w:val="none"/>
              </w:rPr>
            </w:r>
            <w:r/>
          </w:p>
          <w:p>
            <w:pPr>
              <w:pStyle w:val="94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（2）平衡木长为3000mm±5mm，宽为100mm±5mm，高为300mm±5mm；平衡木的两端为起点和终点，两端外各加长200mm±5mm，宽200mm±5mm，高300mm±5mm的平台。</w:t>
            </w:r>
            <w:r>
              <w:rPr>
                <w:rFonts w:hint="eastAsia" w:ascii="宋体" w:hAnsi="宋体" w:eastAsia="宋体" w:cs="宋体"/>
                <w:color w:val="000000"/>
                <w:sz w:val="21"/>
                <w:szCs w:val="21"/>
                <w:highlight w:val="none"/>
              </w:rPr>
            </w:r>
            <w:r/>
          </w:p>
          <w:p>
            <w:pPr>
              <w:pStyle w:val="94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（3）配备通用主机</w:t>
            </w:r>
            <w:r>
              <w:rPr>
                <w:rFonts w:hint="eastAsia" w:ascii="宋体" w:hAnsi="宋体" w:eastAsia="宋体" w:cs="宋体"/>
                <w:color w:val="000000"/>
                <w:sz w:val="21"/>
                <w:szCs w:val="21"/>
                <w:highlight w:val="none"/>
              </w:rPr>
            </w:r>
            <w:r/>
          </w:p>
          <w:p>
            <w:pPr>
              <w:pStyle w:val="94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9.幼儿安静心率表 2个</w:t>
            </w:r>
            <w:r>
              <w:rPr>
                <w:rFonts w:hint="eastAsia" w:ascii="宋体" w:hAnsi="宋体" w:eastAsia="宋体" w:cs="宋体"/>
                <w:color w:val="000000"/>
                <w:sz w:val="21"/>
                <w:szCs w:val="21"/>
                <w:highlight w:val="none"/>
              </w:rPr>
            </w:r>
            <w:r/>
          </w:p>
          <w:p>
            <w:pPr>
              <w:pStyle w:val="94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10..坐站测试仪测试表 2个</w:t>
            </w:r>
            <w:r>
              <w:rPr>
                <w:rFonts w:hint="eastAsia" w:ascii="宋体" w:hAnsi="宋体" w:eastAsia="宋体" w:cs="宋体"/>
                <w:color w:val="000000"/>
                <w:sz w:val="21"/>
                <w:szCs w:val="21"/>
                <w:highlight w:val="none"/>
              </w:rPr>
            </w:r>
            <w:r/>
          </w:p>
          <w:p>
            <w:pPr>
              <w:pStyle w:val="94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11.高抬腿测试仪测试表 2套（4个）</w:t>
            </w:r>
            <w:r>
              <w:rPr>
                <w:rFonts w:hint="eastAsia" w:ascii="宋体" w:hAnsi="宋体" w:eastAsia="宋体" w:cs="宋体"/>
                <w:color w:val="000000"/>
                <w:sz w:val="21"/>
                <w:szCs w:val="21"/>
                <w:highlight w:val="none"/>
              </w:rPr>
            </w:r>
            <w:r/>
          </w:p>
          <w:p>
            <w:pPr>
              <w:pStyle w:val="94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12.测试用笔记本 1个</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945"/>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bl>
    <w:p>
      <w:pPr>
        <w:pStyle w:val="945"/>
        <w:spacing w:line="360" w:lineRule="auto"/>
        <w:rPr>
          <w:rFonts w:hint="eastAsia" w:eastAsia="宋体"/>
          <w:b/>
          <w:bCs/>
          <w:color w:val="000000"/>
          <w:highlight w:val="none"/>
          <w:lang w:eastAsia="zh-CN"/>
        </w:rPr>
      </w:pPr>
      <w:r>
        <w:rPr>
          <w:rFonts w:hint="eastAsia" w:ascii="宋体" w:hAnsi="宋体" w:eastAsia="宋体" w:cs="宋体"/>
          <w:b/>
          <w:bCs/>
          <w:color w:val="000000"/>
          <w:sz w:val="24"/>
          <w:szCs w:val="24"/>
          <w:highlight w:val="none"/>
        </w:rPr>
        <w:t xml:space="preserve">注：第二标核心产品为：慢病运动风险评估一体机</w:t>
      </w:r>
      <w:r>
        <w:rPr>
          <w:rFonts w:hint="eastAsia" w:ascii="宋体" w:hAnsi="宋体" w:eastAsia="宋体" w:cs="宋体"/>
          <w:b/>
          <w:bCs/>
          <w:color w:val="000000"/>
          <w:sz w:val="24"/>
          <w:szCs w:val="24"/>
          <w:highlight w:val="none"/>
          <w:lang w:eastAsia="zh-CN"/>
        </w:rPr>
        <w:t xml:space="preserve">。</w:t>
      </w:r>
      <w:r>
        <w:rPr>
          <w:rFonts w:hint="eastAsia" w:eastAsia="宋体"/>
          <w:b/>
          <w:bCs/>
          <w:color w:val="000000"/>
          <w:highlight w:val="none"/>
          <w:lang w:eastAsia="zh-CN"/>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三、综合要求：</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1、若</w:t>
      </w:r>
      <w:r>
        <w:rPr>
          <w:rFonts w:hint="eastAsia" w:ascii="宋体" w:hAnsi="宋体" w:eastAsia="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中涉及品牌或品牌导向，则仅作参考。</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须如实进行响应，量化指标必须列明具体数值，并对于</w:t>
      </w:r>
      <w:r>
        <w:rPr>
          <w:rFonts w:hint="eastAsia" w:ascii="宋体" w:hAnsi="宋体" w:eastAsia="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要求提供的货物或服务情况均须进行完整的阐述和说明。</w:t>
      </w:r>
      <w:r>
        <w:rPr>
          <w:rFonts w:hint="eastAsia" w:ascii="宋体" w:hAnsi="宋体" w:eastAsia="宋体" w:cs="宋体"/>
          <w:color w:val="000000"/>
          <w:sz w:val="24"/>
          <w:szCs w:val="24"/>
          <w:highlight w:val="none"/>
        </w:rPr>
      </w:r>
      <w:r/>
    </w:p>
    <w:p>
      <w:pPr>
        <w:pStyle w:val="94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3、投标人如提供虚假材料将按《中华人民共和国政府采购法》第七十七条的相关办法处理。</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、项目地点：采购人指定地点（苏州大市范围内）。</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、质保要求：自验收合格之日起，提供项目整体不低于24个月的免费质保期。在质保期内，</w:t>
      </w:r>
      <w:r>
        <w:rPr>
          <w:rFonts w:hint="eastAsia" w:ascii="宋体" w:hAnsi="宋体" w:eastAsia="宋体" w:cs="宋体"/>
          <w:color w:val="000000"/>
          <w:sz w:val="24"/>
          <w:szCs w:val="24"/>
          <w:highlight w:val="none"/>
          <w:lang w:eastAsia="zh-CN"/>
        </w:rPr>
        <w:t xml:space="preserve">成交单位</w:t>
      </w:r>
      <w:r>
        <w:rPr>
          <w:rFonts w:hint="eastAsia" w:ascii="宋体" w:hAnsi="宋体" w:eastAsia="宋体" w:cs="宋体"/>
          <w:color w:val="000000"/>
          <w:sz w:val="24"/>
          <w:szCs w:val="24"/>
          <w:highlight w:val="none"/>
        </w:rPr>
        <w:t xml:space="preserve">须对项目故障负责，货物更换、维修所涉及的有关费用及由此引起的相关损失由</w:t>
      </w:r>
      <w:r>
        <w:rPr>
          <w:rFonts w:hint="eastAsia" w:ascii="宋体" w:hAnsi="宋体" w:eastAsia="宋体" w:cs="宋体"/>
          <w:color w:val="000000"/>
          <w:sz w:val="24"/>
          <w:szCs w:val="24"/>
          <w:highlight w:val="none"/>
          <w:lang w:eastAsia="zh-CN"/>
        </w:rPr>
        <w:t xml:space="preserve">成交单位</w:t>
      </w:r>
      <w:r>
        <w:rPr>
          <w:rFonts w:hint="eastAsia" w:ascii="宋体" w:hAnsi="宋体" w:eastAsia="宋体" w:cs="宋体"/>
          <w:color w:val="000000"/>
          <w:sz w:val="24"/>
          <w:szCs w:val="24"/>
          <w:highlight w:val="none"/>
        </w:rPr>
        <w:t xml:space="preserve">自行承担；对于人为损毁的有关零部件，</w:t>
      </w:r>
      <w:r>
        <w:rPr>
          <w:rFonts w:hint="eastAsia" w:ascii="宋体" w:hAnsi="宋体" w:eastAsia="宋体" w:cs="宋体"/>
          <w:color w:val="000000"/>
          <w:sz w:val="24"/>
          <w:szCs w:val="24"/>
          <w:highlight w:val="none"/>
          <w:lang w:eastAsia="zh-CN"/>
        </w:rPr>
        <w:t xml:space="preserve">成交单位</w:t>
      </w:r>
      <w:r>
        <w:rPr>
          <w:rFonts w:hint="eastAsia" w:ascii="宋体" w:hAnsi="宋体" w:eastAsia="宋体" w:cs="宋体"/>
          <w:color w:val="000000"/>
          <w:sz w:val="24"/>
          <w:szCs w:val="24"/>
          <w:highlight w:val="none"/>
        </w:rPr>
        <w:t xml:space="preserve">须以不高于在项目产品制造商的最低价格提供给采购人；在质保期外，</w:t>
      </w:r>
      <w:r>
        <w:rPr>
          <w:rFonts w:hint="eastAsia" w:ascii="宋体" w:hAnsi="宋体" w:eastAsia="宋体" w:cs="宋体"/>
          <w:color w:val="000000"/>
          <w:sz w:val="24"/>
          <w:szCs w:val="24"/>
          <w:highlight w:val="none"/>
          <w:lang w:eastAsia="zh-CN"/>
        </w:rPr>
        <w:t xml:space="preserve">成交单位</w:t>
      </w:r>
      <w:r>
        <w:rPr>
          <w:rFonts w:hint="eastAsia" w:ascii="宋体" w:hAnsi="宋体" w:eastAsia="宋体" w:cs="宋体"/>
          <w:color w:val="000000"/>
          <w:sz w:val="24"/>
          <w:szCs w:val="24"/>
          <w:highlight w:val="none"/>
        </w:rPr>
        <w:t xml:space="preserve">须提供不高于江苏省内最低价格的项目终身维护保养服务，包括但不限于维护、保养、修理等。</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、培训要求：</w:t>
      </w:r>
      <w:r>
        <w:rPr>
          <w:rFonts w:hint="eastAsia" w:ascii="宋体" w:hAnsi="宋体" w:eastAsia="宋体" w:cs="宋体"/>
          <w:color w:val="000000"/>
          <w:sz w:val="24"/>
          <w:szCs w:val="24"/>
          <w:highlight w:val="none"/>
          <w:lang w:eastAsia="zh-CN"/>
        </w:rPr>
        <w:t xml:space="preserve">成交</w:t>
      </w:r>
      <w:r>
        <w:rPr>
          <w:rFonts w:hint="eastAsia" w:ascii="宋体" w:hAnsi="宋体" w:eastAsia="宋体" w:cs="宋体"/>
          <w:color w:val="000000"/>
          <w:sz w:val="24"/>
          <w:szCs w:val="24"/>
          <w:highlight w:val="none"/>
        </w:rPr>
        <w:t xml:space="preserve">单位免费提供设备安装及使用培训1次。</w:t>
      </w:r>
      <w:r>
        <w:rPr>
          <w:rFonts w:hint="eastAsia" w:ascii="宋体" w:hAnsi="宋体" w:eastAsia="宋体" w:cs="宋体"/>
          <w:color w:val="000000"/>
          <w:sz w:val="24"/>
          <w:szCs w:val="24"/>
          <w:highlight w:val="none"/>
        </w:rPr>
      </w:r>
      <w:r/>
    </w:p>
    <w:p>
      <w:pPr>
        <w:pStyle w:val="945"/>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、验收要求：</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（1）根据《政府采购货物和服务招标投标管理办法》要求,投标设备由采购方及有关部门进行验收。验收包括：数量、外观、质量、性能；符合规定的性能，无瑕疵和缺陷，质量为合格产品。可以正常使用。</w:t>
      </w:r>
      <w:r>
        <w:rPr>
          <w:rFonts w:hint="eastAsia" w:ascii="宋体" w:hAnsi="宋体" w:eastAsia="宋体" w:cs="宋体"/>
          <w:color w:val="000000"/>
          <w:sz w:val="24"/>
          <w:szCs w:val="24"/>
          <w:highlight w:val="none"/>
          <w:lang w:eastAsia="zh-CN"/>
        </w:rPr>
        <w:t xml:space="preserve">成交单位</w:t>
      </w:r>
      <w:r>
        <w:rPr>
          <w:rFonts w:hint="eastAsia" w:ascii="宋体" w:hAnsi="宋体" w:eastAsia="宋体" w:cs="宋体"/>
          <w:color w:val="000000"/>
          <w:sz w:val="24"/>
          <w:szCs w:val="24"/>
          <w:highlight w:val="none"/>
        </w:rPr>
        <w:t xml:space="preserve">对质量问题负责包退、包换和包修，因此发生的费用由</w:t>
      </w:r>
      <w:r>
        <w:rPr>
          <w:rFonts w:hint="eastAsia" w:ascii="宋体" w:hAnsi="宋体" w:eastAsia="宋体" w:cs="宋体"/>
          <w:color w:val="000000"/>
          <w:sz w:val="24"/>
          <w:szCs w:val="24"/>
          <w:highlight w:val="none"/>
          <w:lang w:eastAsia="zh-CN"/>
        </w:rPr>
        <w:t xml:space="preserve">成交单位</w:t>
      </w:r>
      <w:r>
        <w:rPr>
          <w:rFonts w:hint="eastAsia" w:ascii="宋体" w:hAnsi="宋体" w:eastAsia="宋体" w:cs="宋体"/>
          <w:color w:val="000000"/>
          <w:sz w:val="24"/>
          <w:szCs w:val="24"/>
          <w:highlight w:val="none"/>
        </w:rPr>
        <w:t xml:space="preserve">自行负责。采购人将组织专业人员对供方提供的产品进行检验或抽检，对由此造成采购人的误工等损失，均由供方承担。</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（2）货物到达采购方指定地点，应提前通知采购方，由采购方会同专业人员根据有关清单进行验收。</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成交单位</w:t>
      </w:r>
      <w:r>
        <w:rPr>
          <w:rFonts w:hint="eastAsia" w:ascii="宋体" w:hAnsi="宋体" w:eastAsia="宋体" w:cs="宋体"/>
          <w:color w:val="000000"/>
          <w:sz w:val="24"/>
          <w:szCs w:val="24"/>
          <w:highlight w:val="none"/>
        </w:rPr>
        <w:t xml:space="preserve">需提供质保书、保修证明等书面资料，项目整体按国家有关标准、规范要求进行验收，并需通过国家有关部门的验收，费用由</w:t>
      </w:r>
      <w:r>
        <w:rPr>
          <w:rFonts w:hint="eastAsia" w:ascii="宋体" w:hAnsi="宋体" w:eastAsia="宋体" w:cs="宋体"/>
          <w:color w:val="000000"/>
          <w:sz w:val="24"/>
          <w:szCs w:val="24"/>
          <w:highlight w:val="none"/>
          <w:lang w:eastAsia="zh-CN"/>
        </w:rPr>
        <w:t xml:space="preserve">成交单位</w:t>
      </w:r>
      <w:r>
        <w:rPr>
          <w:rFonts w:hint="eastAsia" w:ascii="宋体" w:hAnsi="宋体" w:eastAsia="宋体" w:cs="宋体"/>
          <w:color w:val="000000"/>
          <w:sz w:val="24"/>
          <w:szCs w:val="24"/>
          <w:highlight w:val="none"/>
        </w:rPr>
        <w:t xml:space="preserve">支付。</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（4）验收标准：按本</w:t>
      </w:r>
      <w:r>
        <w:rPr>
          <w:rFonts w:hint="eastAsia" w:ascii="宋体" w:hAnsi="宋体" w:eastAsia="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、供应商的</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、承诺及国家相关标准为准。如双方对验收结果有分歧，则以权威质检机构的检验结果为准，检验费用由有过失的一方支付。</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highlight w:val="none"/>
        </w:rPr>
        <w:t xml:space="preserve">根据《关于贯彻执行绿色采购、促进残疾人就业和支持监狱企业发</w:t>
      </w:r>
      <w:r>
        <w:rPr>
          <w:rFonts w:hint="eastAsia" w:ascii="宋体" w:hAnsi="宋体" w:eastAsia="宋体" w:cs="宋体"/>
          <w:bCs/>
          <w:color w:val="000000"/>
          <w:sz w:val="24"/>
          <w:highlight w:val="none"/>
        </w:rPr>
        <w:t xml:space="preserve">展有关政策的通知（苏财购〔2019〕10号）》的通知规定，采购人拟采购产品属于《节能产品政府采购品目清单》、《环境标志产品政府采购品目清单》范围内的，应当通过中国政府采购网（www.ccgp.gov.cn）查询、了解国家确定的认证机构和获证产品相关情况，根据《市场监管总局关于发布参与实施政府采购节能产品、环境标志产品认证机构名录的公告》，依据认证机构出具的、处于有效期之内的节能产品、环境标志产品认证证书，对获得证书的产品实施政府优先采购或强制采购，并按照节能产品、环境标志产品政府采购执行机制的最新规定执行。</w:t>
      </w:r>
      <w:r>
        <w:rPr>
          <w:rFonts w:hint="eastAsia" w:ascii="宋体" w:hAnsi="宋体" w:eastAsia="宋体" w:cs="宋体"/>
          <w:bCs/>
          <w:color w:val="000000"/>
          <w:sz w:val="24"/>
          <w:highlight w:val="none"/>
        </w:rPr>
      </w:r>
      <w:r/>
    </w:p>
    <w:p>
      <w:pPr>
        <w:pStyle w:val="945"/>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若拟</w:t>
      </w:r>
      <w:r>
        <w:rPr>
          <w:rFonts w:hint="eastAsia" w:ascii="宋体" w:hAnsi="宋体" w:eastAsia="宋体" w:cs="宋体"/>
          <w:bCs/>
          <w:color w:val="000000"/>
          <w:sz w:val="24"/>
          <w:highlight w:val="none"/>
        </w:rPr>
        <w:t xml:space="preserve">采购产品涉及“台式计算机，便携式计算机，平板式微型计算机，激光打印机，针式打印机，液晶显示器，制冷压缩机，空调机组，专用制冷、空调设备，镇流器，空调机，电热水器，普通照明用双端荧光灯，电视设备，便器和水嘴”（以上类别为节能产品政府采购品目清单中政府强制采购产品），响应单位须按照上述要求并依据国家相关标准的最新版本在其响应文件中提供对应认证证书复印件，否则视为未实质性响应采购文件要求。</w:t>
      </w:r>
      <w:r>
        <w:rPr>
          <w:rFonts w:hint="eastAsia" w:ascii="宋体" w:hAnsi="宋体" w:eastAsia="宋体" w:cs="宋体"/>
          <w:bCs/>
          <w:color w:val="000000"/>
          <w:sz w:val="24"/>
          <w:highlight w:val="none"/>
        </w:rPr>
      </w:r>
      <w:r/>
    </w:p>
    <w:p>
      <w:pPr>
        <w:pStyle w:val="986"/>
        <w:ind w:firstLine="480"/>
        <w:spacing w:line="360" w:lineRule="auto"/>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lang w:val="en-US" w:eastAsia="zh-CN"/>
        </w:rPr>
        <w:t xml:space="preserve">若</w:t>
      </w:r>
      <w:r>
        <w:rPr>
          <w:rFonts w:hint="eastAsia" w:hAnsi="宋体" w:eastAsia="宋体" w:cs="宋体"/>
          <w:bCs/>
          <w:color w:val="000000"/>
          <w:sz w:val="24"/>
          <w:szCs w:val="24"/>
          <w:highlight w:val="none"/>
        </w:rPr>
        <w:t xml:space="preserve">拟采购产品属于政府采购节能产品（优先采购）、环境标志产品品目清单范围内的，响应单位可按照上述要求并依据国家相关标准的最新版本在其响应文件中提供对应认证证书复印件。在报价相同的前提下，属于政府采购节能产品（优先采购）、环境标志产品品目清单范围内的响应产品最多的优先成交。</w:t>
      </w:r>
      <w:r>
        <w:rPr>
          <w:rFonts w:hint="eastAsia" w:hAnsi="宋体" w:eastAsia="宋体" w:cs="宋体"/>
          <w:bCs/>
          <w:color w:val="000000"/>
          <w:sz w:val="24"/>
          <w:szCs w:val="24"/>
          <w:highlight w:val="none"/>
        </w:rPr>
      </w:r>
      <w:r/>
    </w:p>
    <w:p>
      <w:pPr>
        <w:pStyle w:val="945"/>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highlight w:val="none"/>
        </w:rPr>
        <w:t xml:space="preserve">知识产权：</w:t>
      </w:r>
      <w:r>
        <w:rPr>
          <w:rFonts w:hint="eastAsia" w:ascii="宋体" w:hAnsi="宋体" w:eastAsia="宋体" w:cs="宋体"/>
          <w:bCs/>
          <w:color w:val="000000"/>
          <w:sz w:val="24"/>
          <w:highlight w:val="none"/>
          <w:lang w:eastAsia="zh-CN"/>
        </w:rPr>
        <w:t xml:space="preserve">成交</w:t>
      </w:r>
      <w:r>
        <w:rPr>
          <w:rFonts w:hint="eastAsia" w:ascii="宋体" w:hAnsi="宋体" w:eastAsia="宋体" w:cs="宋体"/>
          <w:bCs/>
          <w:color w:val="000000"/>
          <w:sz w:val="24"/>
          <w:highlight w:val="none"/>
        </w:rPr>
        <w:t xml:space="preserve">单位应保证甲方免除且</w:t>
      </w:r>
      <w:r>
        <w:rPr>
          <w:rFonts w:hint="eastAsia" w:ascii="宋体" w:hAnsi="宋体" w:eastAsia="宋体" w:cs="宋体"/>
          <w:bCs/>
          <w:color w:val="000000"/>
          <w:sz w:val="24"/>
          <w:highlight w:val="none"/>
          <w:lang w:eastAsia="zh-CN"/>
        </w:rPr>
        <w:t xml:space="preserve">成交</w:t>
      </w:r>
      <w:r>
        <w:rPr>
          <w:rFonts w:hint="eastAsia" w:ascii="宋体" w:hAnsi="宋体" w:eastAsia="宋体" w:cs="宋体"/>
          <w:bCs/>
          <w:color w:val="000000"/>
          <w:sz w:val="24"/>
          <w:highlight w:val="none"/>
        </w:rPr>
        <w:t xml:space="preserve">单位承担由于甲方在其本国使用时而引起第三方提出的侵犯专利权、商标权或工业设计权的起诉、行动、行政程序索赔、请求等以及甲方为此而产生的损失和损害、费用和支出（包括律师费）</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highlight w:val="none"/>
        </w:rPr>
      </w:r>
      <w:r/>
    </w:p>
    <w:p>
      <w:pPr>
        <w:pStyle w:val="94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0</w:t>
      </w:r>
      <w:r>
        <w:rPr>
          <w:rFonts w:hint="eastAsia" w:ascii="宋体" w:hAnsi="宋体" w:eastAsia="宋体" w:cs="宋体"/>
          <w:bCs/>
          <w:color w:val="000000"/>
          <w:sz w:val="24"/>
          <w:szCs w:val="24"/>
          <w:highlight w:val="none"/>
          <w:lang w:val="zh-TW"/>
        </w:rPr>
        <w:t xml:space="preserve">、</w:t>
      </w:r>
      <w:r>
        <w:rPr>
          <w:rFonts w:hint="eastAsia" w:ascii="宋体" w:hAnsi="宋体" w:eastAsia="宋体" w:cs="宋体"/>
          <w:bCs/>
          <w:color w:val="000000"/>
          <w:sz w:val="24"/>
          <w:szCs w:val="24"/>
          <w:highlight w:val="none"/>
          <w:lang w:val="zh-TW" w:eastAsia="zh-TW"/>
        </w:rPr>
        <w:t xml:space="preserve">凡涉及</w:t>
      </w:r>
      <w:r>
        <w:rPr>
          <w:rFonts w:hint="eastAsia" w:ascii="宋体" w:hAnsi="宋体" w:eastAsia="宋体" w:cs="宋体"/>
          <w:bCs/>
          <w:color w:val="000000"/>
          <w:sz w:val="24"/>
          <w:szCs w:val="24"/>
          <w:highlight w:val="none"/>
          <w:lang w:val="zh-TW" w:eastAsia="zh-CN"/>
        </w:rPr>
        <w:t xml:space="preserve">采购文件</w:t>
      </w:r>
      <w:r>
        <w:rPr>
          <w:rFonts w:hint="eastAsia" w:ascii="宋体" w:hAnsi="宋体" w:eastAsia="宋体" w:cs="宋体"/>
          <w:bCs/>
          <w:color w:val="000000"/>
          <w:sz w:val="24"/>
          <w:szCs w:val="24"/>
          <w:highlight w:val="none"/>
          <w:lang w:val="zh-TW" w:eastAsia="zh-TW"/>
        </w:rPr>
        <w:t xml:space="preserve">的补充说明和修改，均以苏州市政府采购网为准。</w:t>
      </w:r>
      <w:r>
        <w:rPr>
          <w:rFonts w:hint="eastAsia" w:ascii="宋体" w:hAnsi="宋体" w:eastAsia="宋体" w:cs="宋体"/>
          <w:bCs/>
          <w:color w:val="000000"/>
          <w:sz w:val="24"/>
          <w:szCs w:val="24"/>
          <w:highlight w:val="none"/>
        </w:rPr>
      </w:r>
      <w:r/>
    </w:p>
    <w:p>
      <w:pPr>
        <w:pStyle w:val="977"/>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rPr>
        <w:br w:type="page" w:clear="all"/>
      </w:r>
      <w:r>
        <w:rPr>
          <w:rFonts w:hint="eastAsia" w:ascii="宋体" w:hAnsi="宋体" w:eastAsia="宋体" w:cs="宋体"/>
          <w:b/>
          <w:bCs/>
          <w:color w:val="000000"/>
          <w:sz w:val="24"/>
          <w:szCs w:val="24"/>
          <w:highlight w:val="none"/>
        </w:rPr>
        <w:t xml:space="preserve">第五章 合同主要条款</w:t>
      </w:r>
      <w:r>
        <w:rPr>
          <w:rFonts w:hint="eastAsia" w:ascii="宋体" w:hAnsi="宋体" w:eastAsia="宋体" w:cs="宋体"/>
          <w:b/>
          <w:color w:val="000000"/>
          <w:sz w:val="24"/>
          <w:szCs w:val="24"/>
          <w:highlight w:val="none"/>
        </w:rPr>
      </w:r>
      <w:r/>
    </w:p>
    <w:p>
      <w:pPr>
        <w:pStyle w:val="945"/>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项目名称：                       </w:t>
      </w:r>
      <w:r>
        <w:rPr>
          <w:rFonts w:hint="eastAsia" w:ascii="宋体" w:hAnsi="宋体" w:eastAsia="宋体" w:cs="宋体"/>
          <w:b/>
          <w:color w:val="000000"/>
          <w:sz w:val="24"/>
          <w:szCs w:val="24"/>
          <w:highlight w:val="none"/>
        </w:rPr>
      </w:r>
      <w:r/>
    </w:p>
    <w:p>
      <w:pPr>
        <w:pStyle w:val="945"/>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项目编号：</w:t>
      </w:r>
      <w:r>
        <w:rPr>
          <w:rFonts w:hint="eastAsia" w:ascii="宋体" w:hAnsi="宋体" w:eastAsia="宋体" w:cs="宋体"/>
          <w:color w:val="000000"/>
          <w:sz w:val="24"/>
          <w:szCs w:val="24"/>
          <w:highlight w:val="none"/>
        </w:rPr>
      </w:r>
      <w:r/>
    </w:p>
    <w:p>
      <w:pPr>
        <w:pStyle w:val="945"/>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45"/>
        <w:ind w:firstLine="482"/>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甲方（项目采购人）：</w:t>
      </w:r>
      <w:r>
        <w:rPr>
          <w:rFonts w:hint="eastAsia" w:ascii="宋体" w:hAnsi="宋体" w:eastAsia="宋体" w:cs="宋体"/>
          <w:b/>
          <w:color w:val="000000"/>
          <w:sz w:val="24"/>
          <w:szCs w:val="24"/>
          <w:highlight w:val="none"/>
        </w:rPr>
      </w:r>
      <w:r/>
    </w:p>
    <w:p>
      <w:pPr>
        <w:pStyle w:val="94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 </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r>
      <w:r/>
    </w:p>
    <w:p>
      <w:pPr>
        <w:pStyle w:val="94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单位地址： </w:t>
      </w:r>
      <w:r>
        <w:rPr>
          <w:rFonts w:hint="eastAsia" w:ascii="宋体" w:hAnsi="宋体" w:eastAsia="宋体" w:cs="宋体"/>
          <w:color w:val="000000"/>
          <w:sz w:val="24"/>
          <w:szCs w:val="24"/>
          <w:highlight w:val="none"/>
        </w:rPr>
      </w:r>
      <w:r/>
    </w:p>
    <w:p>
      <w:pPr>
        <w:pStyle w:val="94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rPr>
      </w:r>
      <w:r/>
    </w:p>
    <w:p>
      <w:pPr>
        <w:pStyle w:val="945"/>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45"/>
        <w:ind w:firstLine="482"/>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乙方（</w:t>
      </w:r>
      <w:r>
        <w:rPr>
          <w:rFonts w:hint="eastAsia" w:ascii="宋体" w:hAnsi="宋体" w:eastAsia="宋体" w:cs="宋体"/>
          <w:b/>
          <w:color w:val="000000"/>
          <w:sz w:val="24"/>
          <w:szCs w:val="24"/>
          <w:highlight w:val="none"/>
          <w:lang w:eastAsia="zh-CN"/>
        </w:rPr>
        <w:t xml:space="preserve">成交单位</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rPr>
      </w:r>
      <w:r/>
    </w:p>
    <w:p>
      <w:pPr>
        <w:pStyle w:val="94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 </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r>
      <w:r/>
    </w:p>
    <w:p>
      <w:pPr>
        <w:pStyle w:val="94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单位地址： </w:t>
      </w:r>
      <w:r>
        <w:rPr>
          <w:rFonts w:hint="eastAsia" w:ascii="宋体" w:hAnsi="宋体" w:eastAsia="宋体" w:cs="宋体"/>
          <w:color w:val="000000"/>
          <w:sz w:val="24"/>
          <w:szCs w:val="24"/>
          <w:highlight w:val="none"/>
        </w:rPr>
      </w:r>
      <w:r/>
    </w:p>
    <w:p>
      <w:pPr>
        <w:pStyle w:val="94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甲方所需</w:t>
      </w:r>
      <w:r>
        <w:rPr>
          <w:rFonts w:hint="eastAsia" w:ascii="宋体" w:hAnsi="宋体" w:eastAsia="宋体" w:cs="宋体"/>
          <w:color w:val="000000"/>
          <w:sz w:val="24"/>
          <w:szCs w:val="24"/>
          <w:highlight w:val="none"/>
          <w:u w:val="single"/>
        </w:rPr>
        <w:t xml:space="preserve">苏州市体育监管保障中心专项仪器购置</w:t>
      </w:r>
      <w:r>
        <w:rPr>
          <w:rFonts w:hint="eastAsia" w:ascii="宋体" w:hAnsi="宋体" w:eastAsia="宋体" w:cs="宋体"/>
          <w:color w:val="000000"/>
          <w:sz w:val="24"/>
          <w:szCs w:val="24"/>
          <w:highlight w:val="none"/>
        </w:rPr>
        <w:t xml:space="preserve">项目经</w:t>
      </w:r>
      <w:r>
        <w:rPr>
          <w:rFonts w:hint="eastAsia" w:ascii="宋体" w:hAnsi="宋体" w:eastAsia="宋体" w:cs="宋体"/>
          <w:color w:val="000000"/>
          <w:sz w:val="24"/>
          <w:szCs w:val="24"/>
          <w:highlight w:val="none"/>
          <w:u w:val="single"/>
        </w:rPr>
        <w:t xml:space="preserve">苏州正杰招投标咨询服务有限公司</w:t>
      </w:r>
      <w:r>
        <w:rPr>
          <w:rFonts w:hint="eastAsia" w:ascii="宋体" w:hAnsi="宋体" w:eastAsia="宋体" w:cs="宋体"/>
          <w:color w:val="000000"/>
          <w:sz w:val="24"/>
          <w:szCs w:val="24"/>
          <w:highlight w:val="none"/>
        </w:rPr>
        <w:t xml:space="preserve">以公开招标方式进行采购，并依法确定乙方为</w:t>
      </w:r>
      <w:r>
        <w:rPr>
          <w:rFonts w:hint="eastAsia" w:ascii="宋体" w:hAnsi="宋体" w:eastAsia="宋体" w:cs="宋体"/>
          <w:color w:val="000000"/>
          <w:sz w:val="24"/>
          <w:szCs w:val="24"/>
          <w:highlight w:val="none"/>
          <w:lang w:eastAsia="zh-CN"/>
        </w:rPr>
        <w:t xml:space="preserve">成交</w:t>
      </w:r>
      <w:r>
        <w:rPr>
          <w:rFonts w:hint="eastAsia" w:ascii="宋体" w:hAnsi="宋体" w:eastAsia="宋体" w:cs="宋体"/>
          <w:bCs/>
          <w:color w:val="000000"/>
          <w:sz w:val="24"/>
          <w:szCs w:val="24"/>
          <w:highlight w:val="none"/>
        </w:rPr>
        <w:t xml:space="preserve">单位</w:t>
      </w:r>
      <w:r>
        <w:rPr>
          <w:rFonts w:hint="eastAsia" w:ascii="宋体" w:hAnsi="宋体" w:eastAsia="宋体" w:cs="宋体"/>
          <w:color w:val="000000"/>
          <w:sz w:val="24"/>
          <w:szCs w:val="24"/>
          <w:highlight w:val="none"/>
        </w:rPr>
        <w:t xml:space="preserve">。根据《中华人民共和国民法典》和《中华人民共和国政府采购法》等有关法律法规，为明确甲方和乙方招标过程中的权利、义务和经济责任，双方遵循平等、自愿、公平和诚实信用原则，经友好协商，同意按照下面的条款和条件订立本合同，以资共同遵守。</w:t>
      </w:r>
      <w:r>
        <w:rPr>
          <w:rFonts w:hint="eastAsia" w:ascii="宋体" w:hAnsi="宋体" w:eastAsia="宋体" w:cs="宋体"/>
          <w:color w:val="000000"/>
          <w:sz w:val="24"/>
          <w:szCs w:val="24"/>
          <w:highlight w:val="none"/>
        </w:rPr>
      </w:r>
      <w:r/>
    </w:p>
    <w:p>
      <w:pPr>
        <w:pStyle w:val="945"/>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w:t>
      </w:r>
      <w:r>
        <w:rPr>
          <w:rFonts w:hint="eastAsia" w:ascii="宋体" w:hAnsi="宋体" w:eastAsia="宋体" w:cs="宋体"/>
          <w:b/>
          <w:bCs/>
          <w:color w:val="000000"/>
          <w:sz w:val="24"/>
          <w:szCs w:val="24"/>
          <w:highlight w:val="none"/>
        </w:rPr>
        <w:t xml:space="preserve">合同内容</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zh-CN"/>
        </w:rPr>
        <w:t xml:space="preserve">乙方负责</w:t>
      </w:r>
      <w:r>
        <w:rPr>
          <w:rFonts w:hint="eastAsia" w:ascii="宋体" w:hAnsi="宋体" w:eastAsia="宋体" w:cs="宋体"/>
          <w:color w:val="000000"/>
          <w:sz w:val="24"/>
          <w:szCs w:val="24"/>
          <w:highlight w:val="none"/>
        </w:rPr>
        <w:t xml:space="preserve">甲方的（第一标段/第二标段）</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项目的实施</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在合同有效期内一方不得擅无故更或解除此项合同，如未经双方同意，擅自变更或解除此项</w:t>
      </w:r>
      <w:r>
        <w:rPr>
          <w:rFonts w:hint="eastAsia" w:ascii="宋体" w:hAnsi="宋体" w:eastAsia="宋体" w:cs="宋体"/>
          <w:color w:val="000000"/>
          <w:highlight w:val="none"/>
        </w:rPr>
        <w:t xml:space="preserve">合同</w:t>
      </w:r>
      <w:r>
        <w:rPr>
          <w:rFonts w:hint="eastAsia" w:ascii="宋体" w:hAnsi="宋体" w:eastAsia="宋体" w:cs="宋体"/>
          <w:color w:val="000000"/>
          <w:sz w:val="24"/>
          <w:szCs w:val="24"/>
          <w:highlight w:val="none"/>
        </w:rPr>
        <w:t xml:space="preserve">的一方要负违约责任。</w:t>
      </w:r>
      <w:r>
        <w:rPr>
          <w:rFonts w:hint="eastAsia" w:ascii="宋体" w:hAnsi="宋体" w:eastAsia="宋体" w:cs="宋体"/>
          <w:color w:val="000000"/>
          <w:highlight w:val="none"/>
        </w:rPr>
      </w:r>
      <w:r/>
    </w:p>
    <w:tbl>
      <w:tblPr>
        <w:tblStyle w:val="1142"/>
        <w:tblW w:w="4989"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8"/>
        <w:gridCol w:w="1904"/>
        <w:gridCol w:w="1948"/>
        <w:gridCol w:w="1796"/>
        <w:gridCol w:w="1452"/>
        <w:gridCol w:w="1994"/>
      </w:tblGrid>
      <w:tr>
        <w:trPr>
          <w:trHeight w:val="506"/>
        </w:trPr>
        <w:tc>
          <w:tcPr>
            <w:tcW w:w="739" w:type="dxa"/>
            <w:vAlign w:val="center"/>
            <w:textDirection w:val="lrTb"/>
            <w:noWrap w:val="false"/>
          </w:tcPr>
          <w:p>
            <w:pPr>
              <w:pStyle w:val="94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905" w:type="dxa"/>
            <w:vAlign w:val="center"/>
            <w:textDirection w:val="lrTb"/>
            <w:noWrap w:val="false"/>
          </w:tcPr>
          <w:p>
            <w:pPr>
              <w:pStyle w:val="94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rPr>
            </w:r>
            <w:r/>
          </w:p>
        </w:tc>
        <w:tc>
          <w:tcPr>
            <w:tcW w:w="1948" w:type="dxa"/>
            <w:vAlign w:val="center"/>
            <w:textDirection w:val="lrTb"/>
            <w:noWrap w:val="false"/>
          </w:tcPr>
          <w:p>
            <w:pPr>
              <w:pStyle w:val="94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品牌规格型号</w:t>
            </w:r>
            <w:r>
              <w:rPr>
                <w:rFonts w:hint="eastAsia" w:ascii="宋体" w:hAnsi="宋体" w:eastAsia="宋体" w:cs="宋体"/>
                <w:color w:val="000000"/>
                <w:sz w:val="24"/>
                <w:szCs w:val="24"/>
                <w:highlight w:val="none"/>
              </w:rPr>
            </w:r>
            <w:r/>
          </w:p>
        </w:tc>
        <w:tc>
          <w:tcPr>
            <w:tcW w:w="1796" w:type="dxa"/>
            <w:vAlign w:val="center"/>
            <w:textDirection w:val="lrTb"/>
            <w:noWrap w:val="false"/>
          </w:tcPr>
          <w:p>
            <w:pPr>
              <w:pStyle w:val="94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w:t>
            </w:r>
            <w:r>
              <w:rPr>
                <w:rFonts w:hint="eastAsia" w:ascii="宋体" w:hAnsi="宋体" w:eastAsia="宋体" w:cs="宋体"/>
                <w:color w:val="000000"/>
                <w:sz w:val="24"/>
                <w:szCs w:val="24"/>
                <w:highlight w:val="none"/>
              </w:rPr>
            </w:r>
            <w:r/>
          </w:p>
        </w:tc>
        <w:tc>
          <w:tcPr>
            <w:tcW w:w="1452" w:type="dxa"/>
            <w:vAlign w:val="center"/>
            <w:textDirection w:val="lrTb"/>
            <w:noWrap w:val="false"/>
          </w:tcPr>
          <w:p>
            <w:pPr>
              <w:pStyle w:val="94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单价（元）</w:t>
            </w:r>
            <w:r>
              <w:rPr>
                <w:rFonts w:hint="eastAsia" w:ascii="宋体" w:hAnsi="宋体" w:eastAsia="宋体" w:cs="宋体"/>
                <w:color w:val="000000"/>
                <w:sz w:val="24"/>
                <w:szCs w:val="24"/>
                <w:highlight w:val="none"/>
              </w:rPr>
            </w:r>
            <w:r/>
          </w:p>
        </w:tc>
        <w:tc>
          <w:tcPr>
            <w:tcW w:w="1994" w:type="dxa"/>
            <w:vAlign w:val="center"/>
            <w:textDirection w:val="lrTb"/>
            <w:noWrap w:val="false"/>
          </w:tcPr>
          <w:p>
            <w:pPr>
              <w:pStyle w:val="94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总价（元）</w:t>
            </w:r>
            <w:r>
              <w:rPr>
                <w:rFonts w:hint="eastAsia" w:ascii="宋体" w:hAnsi="宋体" w:eastAsia="宋体" w:cs="宋体"/>
                <w:color w:val="000000"/>
                <w:sz w:val="24"/>
                <w:szCs w:val="24"/>
                <w:highlight w:val="none"/>
              </w:rPr>
            </w:r>
            <w:r/>
          </w:p>
        </w:tc>
      </w:tr>
      <w:tr>
        <w:trPr>
          <w:trHeight w:val="570"/>
        </w:trPr>
        <w:tc>
          <w:tcPr>
            <w:tcW w:w="739" w:type="dxa"/>
            <w:vAlign w:val="center"/>
            <w:textDirection w:val="lrTb"/>
            <w:noWrap w:val="false"/>
          </w:tcPr>
          <w:p>
            <w:pPr>
              <w:pStyle w:val="94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905" w:type="dxa"/>
            <w:vAlign w:val="center"/>
            <w:textDirection w:val="lrTb"/>
            <w:noWrap w:val="false"/>
          </w:tcPr>
          <w:p>
            <w:pPr>
              <w:pStyle w:val="94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48" w:type="dxa"/>
            <w:vAlign w:val="center"/>
            <w:textDirection w:val="lrTb"/>
            <w:noWrap w:val="false"/>
          </w:tcPr>
          <w:p>
            <w:pPr>
              <w:pStyle w:val="94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96" w:type="dxa"/>
            <w:vAlign w:val="center"/>
            <w:textDirection w:val="lrTb"/>
            <w:noWrap w:val="false"/>
          </w:tcPr>
          <w:p>
            <w:pPr>
              <w:pStyle w:val="94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2" w:type="dxa"/>
            <w:vAlign w:val="center"/>
            <w:textDirection w:val="lrTb"/>
            <w:noWrap w:val="false"/>
          </w:tcPr>
          <w:p>
            <w:pPr>
              <w:pStyle w:val="94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94" w:type="dxa"/>
            <w:vAlign w:val="center"/>
            <w:textDirection w:val="lrTb"/>
            <w:noWrap w:val="false"/>
          </w:tcPr>
          <w:p>
            <w:pPr>
              <w:pStyle w:val="945"/>
              <w:jc w:val="center"/>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419"/>
        </w:trPr>
        <w:tc>
          <w:tcPr>
            <w:gridSpan w:val="6"/>
            <w:tcW w:w="9834" w:type="dxa"/>
            <w:vAlign w:val="center"/>
            <w:textDirection w:val="lrTb"/>
            <w:noWrap w:val="false"/>
          </w:tcPr>
          <w:p>
            <w:pPr>
              <w:pStyle w:val="945"/>
              <w:jc w:val="center"/>
              <w:widowControl/>
              <w:rPr>
                <w:rFonts w:hint="eastAsia" w:ascii="宋体" w:hAnsi="宋体" w:eastAsia="宋体" w:cs="宋体"/>
                <w:color w:val="000000"/>
                <w:sz w:val="24"/>
                <w:szCs w:val="24"/>
                <w:highlight w:val="none"/>
              </w:rPr>
            </w:pPr>
            <w:r>
              <w:rPr>
                <w:rFonts w:hint="eastAsia" w:ascii="宋体" w:hAnsi="宋体" w:eastAsia="宋体" w:cs="宋体"/>
                <w:b/>
                <w:bCs/>
                <w:color w:val="000000"/>
                <w:sz w:val="24"/>
                <w:highlight w:val="none"/>
              </w:rPr>
              <w:t xml:space="preserve">总金额：                （¥           ）</w:t>
            </w:r>
            <w:r>
              <w:rPr>
                <w:rFonts w:hint="eastAsia" w:ascii="宋体" w:hAnsi="宋体" w:eastAsia="宋体" w:cs="宋体"/>
                <w:color w:val="000000"/>
                <w:sz w:val="24"/>
                <w:szCs w:val="24"/>
                <w:highlight w:val="none"/>
              </w:rPr>
            </w:r>
            <w:r/>
          </w:p>
        </w:tc>
      </w:tr>
    </w:tbl>
    <w:p>
      <w:pPr>
        <w:pStyle w:val="945"/>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具体参数详见乙方投标文件。</w:t>
      </w:r>
      <w:r>
        <w:rPr>
          <w:rFonts w:hint="eastAsia" w:ascii="宋体" w:hAnsi="宋体" w:eastAsia="宋体" w:cs="宋体"/>
          <w:b/>
          <w:bCs/>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2、下列文件为本合同不可分割部分：</w:t>
      </w:r>
      <w:r>
        <w:rPr>
          <w:rFonts w:hint="eastAsia" w:ascii="宋体" w:hAnsi="宋体" w:eastAsia="宋体" w:cs="宋体"/>
          <w:color w:val="000000"/>
          <w:sz w:val="24"/>
          <w:szCs w:val="24"/>
          <w:highlight w:val="none"/>
          <w:lang w:val="zh-CN"/>
        </w:rPr>
      </w:r>
      <w:r/>
    </w:p>
    <w:p>
      <w:pPr>
        <w:pStyle w:val="945"/>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①中标</w:t>
      </w:r>
      <w:r>
        <w:rPr>
          <w:rFonts w:hint="eastAsia" w:ascii="宋体" w:hAnsi="宋体" w:eastAsia="宋体" w:cs="宋体"/>
          <w:color w:val="000000"/>
          <w:sz w:val="24"/>
          <w:szCs w:val="24"/>
          <w:highlight w:val="none"/>
          <w:lang w:val="en-US" w:eastAsia="zh-CN"/>
        </w:rPr>
        <w:t xml:space="preserve">/成交</w:t>
      </w:r>
      <w:r>
        <w:rPr>
          <w:rFonts w:hint="eastAsia" w:ascii="宋体" w:hAnsi="宋体" w:eastAsia="宋体" w:cs="宋体"/>
          <w:color w:val="000000"/>
          <w:sz w:val="24"/>
          <w:szCs w:val="24"/>
          <w:highlight w:val="none"/>
          <w:lang w:val="zh-CN"/>
        </w:rPr>
        <w:t xml:space="preserve">通知书；</w:t>
      </w:r>
      <w:r>
        <w:rPr>
          <w:rFonts w:hint="eastAsia" w:ascii="宋体" w:hAnsi="宋体" w:eastAsia="宋体" w:cs="宋体"/>
          <w:color w:val="000000"/>
          <w:sz w:val="24"/>
          <w:szCs w:val="24"/>
          <w:highlight w:val="none"/>
          <w:lang w:val="zh-CN"/>
        </w:rPr>
      </w:r>
      <w:r/>
    </w:p>
    <w:p>
      <w:pPr>
        <w:pStyle w:val="945"/>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②乙方中标的投标书；</w:t>
      </w:r>
      <w:r>
        <w:rPr>
          <w:rFonts w:hint="eastAsia" w:ascii="宋体" w:hAnsi="宋体" w:eastAsia="宋体" w:cs="宋体"/>
          <w:color w:val="000000"/>
          <w:sz w:val="24"/>
          <w:szCs w:val="24"/>
          <w:highlight w:val="none"/>
          <w:lang w:val="zh-CN"/>
        </w:rPr>
      </w:r>
      <w:r/>
    </w:p>
    <w:p>
      <w:pPr>
        <w:pStyle w:val="945"/>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③招标文件；</w:t>
      </w:r>
      <w:r>
        <w:rPr>
          <w:rFonts w:hint="eastAsia" w:ascii="宋体" w:hAnsi="宋体" w:eastAsia="宋体" w:cs="宋体"/>
          <w:color w:val="000000"/>
          <w:sz w:val="24"/>
          <w:szCs w:val="24"/>
          <w:highlight w:val="none"/>
          <w:lang w:val="zh-CN"/>
        </w:rPr>
      </w:r>
      <w:r/>
    </w:p>
    <w:p>
      <w:pPr>
        <w:pStyle w:val="945"/>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④乙方在招投标过程中所作的其它承诺、声明、书面澄清等。</w:t>
      </w:r>
      <w:r>
        <w:rPr>
          <w:rFonts w:hint="eastAsia" w:ascii="宋体" w:hAnsi="宋体" w:eastAsia="宋体" w:cs="宋体"/>
          <w:color w:val="000000"/>
          <w:sz w:val="24"/>
          <w:szCs w:val="24"/>
          <w:highlight w:val="none"/>
          <w:lang w:val="zh-CN"/>
        </w:rPr>
      </w:r>
      <w:r/>
    </w:p>
    <w:p>
      <w:pPr>
        <w:pStyle w:val="945"/>
        <w:ind w:firstLine="482"/>
        <w:jc w:val="left"/>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zh-CN"/>
        </w:rPr>
        <w:t xml:space="preserve">二、交货时间</w:t>
      </w:r>
      <w:r>
        <w:rPr>
          <w:rFonts w:hint="eastAsia" w:ascii="宋体" w:hAnsi="宋体" w:eastAsia="宋体" w:cs="宋体"/>
          <w:b/>
          <w:bCs/>
          <w:color w:val="000000"/>
          <w:sz w:val="24"/>
          <w:szCs w:val="24"/>
          <w:highlight w:val="none"/>
        </w:rPr>
        <w:t xml:space="preserve">及地点</w:t>
      </w:r>
      <w:r>
        <w:rPr>
          <w:rFonts w:hint="eastAsia" w:ascii="宋体" w:hAnsi="宋体" w:eastAsia="宋体" w:cs="宋体"/>
          <w:b/>
          <w:bCs/>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zh-CN"/>
        </w:rPr>
        <w:t xml:space="preserve">交货时间：</w:t>
      </w:r>
      <w:r>
        <w:rPr>
          <w:rFonts w:hint="eastAsia" w:ascii="宋体" w:hAnsi="宋体" w:eastAsia="宋体" w:cs="宋体"/>
          <w:color w:val="000000"/>
          <w:sz w:val="24"/>
          <w:szCs w:val="24"/>
          <w:highlight w:val="none"/>
        </w:rPr>
        <w:t xml:space="preserve">自合同签订之日起30日内交货，且通过采购人验收合格后正常使用。</w:t>
      </w:r>
      <w:r>
        <w:rPr>
          <w:rFonts w:hint="eastAsia" w:ascii="宋体" w:hAnsi="宋体" w:eastAsia="宋体" w:cs="宋体"/>
          <w:color w:val="000000"/>
          <w:sz w:val="24"/>
          <w:szCs w:val="24"/>
          <w:highlight w:val="none"/>
          <w:lang w:val="zh-CN"/>
        </w:rPr>
      </w:r>
      <w:r/>
    </w:p>
    <w:p>
      <w:pPr>
        <w:pStyle w:val="945"/>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zh-CN"/>
        </w:rPr>
        <w:t xml:space="preserve">交货地点：苏州市体育监管保障中心内（</w:t>
      </w:r>
      <w:r>
        <w:rPr>
          <w:rFonts w:hint="eastAsia" w:ascii="宋体" w:hAnsi="宋体" w:eastAsia="宋体" w:cs="宋体"/>
          <w:color w:val="000000"/>
          <w:sz w:val="24"/>
          <w:szCs w:val="24"/>
          <w:highlight w:val="none"/>
        </w:rPr>
        <w:t xml:space="preserve">甲方</w:t>
      </w:r>
      <w:r>
        <w:rPr>
          <w:rFonts w:hint="eastAsia" w:ascii="宋体" w:hAnsi="宋体" w:eastAsia="宋体" w:cs="宋体"/>
          <w:color w:val="000000"/>
          <w:sz w:val="24"/>
          <w:szCs w:val="24"/>
          <w:highlight w:val="none"/>
          <w:lang w:val="zh-CN"/>
        </w:rPr>
        <w:t xml:space="preserve">指定地点）。</w:t>
      </w:r>
      <w:r>
        <w:rPr>
          <w:rFonts w:hint="eastAsia" w:ascii="宋体" w:hAnsi="宋体" w:eastAsia="宋体" w:cs="宋体"/>
          <w:color w:val="000000"/>
          <w:sz w:val="24"/>
          <w:szCs w:val="24"/>
          <w:highlight w:val="none"/>
        </w:rPr>
      </w:r>
      <w:r/>
    </w:p>
    <w:p>
      <w:pPr>
        <w:pStyle w:val="945"/>
        <w:ind w:firstLine="482"/>
        <w:jc w:val="left"/>
        <w:spacing w:line="360" w:lineRule="auto"/>
        <w:widowControl/>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rPr>
        <w:t xml:space="preserve">三、</w:t>
      </w:r>
      <w:r>
        <w:rPr>
          <w:rFonts w:hint="eastAsia" w:ascii="宋体" w:hAnsi="宋体" w:eastAsia="宋体" w:cs="宋体"/>
          <w:b/>
          <w:bCs/>
          <w:color w:val="000000"/>
          <w:sz w:val="24"/>
          <w:szCs w:val="24"/>
          <w:highlight w:val="none"/>
          <w:lang w:val="zh-CN"/>
        </w:rPr>
        <w:t xml:space="preserve">合同价格与支付</w:t>
      </w:r>
      <w:r>
        <w:rPr>
          <w:rFonts w:hint="eastAsia" w:ascii="宋体" w:hAnsi="宋体" w:eastAsia="宋体" w:cs="宋体"/>
          <w:b/>
          <w:bCs/>
          <w:color w:val="000000"/>
          <w:sz w:val="24"/>
          <w:szCs w:val="24"/>
          <w:highlight w:val="none"/>
          <w:lang w:val="zh-CN"/>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成交</w:t>
      </w:r>
      <w:r>
        <w:rPr>
          <w:rFonts w:hint="eastAsia" w:ascii="宋体" w:hAnsi="宋体" w:eastAsia="宋体" w:cs="宋体"/>
          <w:color w:val="000000"/>
          <w:sz w:val="24"/>
          <w:szCs w:val="24"/>
          <w:highlight w:val="none"/>
        </w:rPr>
        <w:t xml:space="preserve">合同价：人民币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包括全部货物、辅助材料、样品、人工、运输、仓储、保险、运费、各种税费、劳保、专利技术、检测、验收费用与质保期间等一切费用。同时，除非合同条款中另有规定，否则，乙方所报价格在合同实施期间不因市场变化因素而变动。</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3、付款步骤：</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highlight w:val="none"/>
        </w:rPr>
        <w:t xml:space="preserve">合同签订生效后，待乙方完成全部货物的供货、安装、调试并通过甲方验收后，由甲方支付至合同金额的95</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，剩余合同金额5</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待质保期满后一次性付清。</w:t>
      </w:r>
      <w:r>
        <w:rPr>
          <w:rFonts w:hint="eastAsia" w:ascii="宋体" w:hAnsi="宋体" w:eastAsia="宋体" w:cs="宋体"/>
          <w:bCs/>
          <w:color w:val="000000"/>
          <w:sz w:val="24"/>
          <w:szCs w:val="24"/>
          <w:highlight w:val="none"/>
        </w:rPr>
      </w:r>
      <w:r/>
    </w:p>
    <w:p>
      <w:pPr>
        <w:pStyle w:val="945"/>
        <w:ind w:firstLine="482"/>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乙方按期交货后向甲方结算货款时须提供下列单据：</w:t>
      </w:r>
      <w:r>
        <w:rPr>
          <w:rFonts w:hint="eastAsia" w:ascii="宋体" w:hAnsi="宋体" w:eastAsia="宋体" w:cs="宋体"/>
          <w:color w:val="000000"/>
          <w:sz w:val="24"/>
          <w:szCs w:val="24"/>
          <w:highlight w:val="none"/>
        </w:rPr>
      </w:r>
      <w:r/>
    </w:p>
    <w:p>
      <w:pPr>
        <w:pStyle w:val="945"/>
        <w:ind w:firstLine="482"/>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A、合格销售发票，每次付款前须提供相应金额的发票；</w:t>
      </w:r>
      <w:r>
        <w:rPr>
          <w:rFonts w:hint="eastAsia" w:ascii="宋体" w:hAnsi="宋体" w:eastAsia="宋体" w:cs="宋体"/>
          <w:color w:val="000000"/>
          <w:sz w:val="24"/>
          <w:szCs w:val="24"/>
          <w:highlight w:val="none"/>
        </w:rPr>
      </w:r>
      <w:r/>
    </w:p>
    <w:p>
      <w:pPr>
        <w:pStyle w:val="945"/>
        <w:ind w:firstLine="482"/>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B、最后一批付款由甲乙双方及招标代理机构签章的《货物类项目完成采购验收报告单》；</w:t>
      </w:r>
      <w:r>
        <w:rPr>
          <w:rFonts w:hint="eastAsia" w:ascii="宋体" w:hAnsi="宋体" w:eastAsia="宋体" w:cs="宋体"/>
          <w:color w:val="000000"/>
          <w:sz w:val="24"/>
          <w:szCs w:val="24"/>
          <w:highlight w:val="none"/>
        </w:rPr>
      </w:r>
      <w:r/>
    </w:p>
    <w:p>
      <w:pPr>
        <w:pStyle w:val="945"/>
        <w:ind w:firstLine="482"/>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C、甲方签收后的入库单。</w:t>
      </w:r>
      <w:r>
        <w:rPr>
          <w:rFonts w:hint="eastAsia" w:ascii="宋体" w:hAnsi="宋体" w:eastAsia="宋体" w:cs="宋体"/>
          <w:color w:val="000000"/>
          <w:sz w:val="24"/>
          <w:szCs w:val="24"/>
          <w:highlight w:val="none"/>
        </w:rPr>
      </w:r>
      <w:r/>
    </w:p>
    <w:p>
      <w:pPr>
        <w:pStyle w:val="945"/>
        <w:ind w:firstLine="482"/>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4、根据现行税法对甲方征收的与本合同有关的一切税费均由甲方承担；根据现行税法对乙方征收的与本合同有关的一切税费均由乙方承担。</w:t>
      </w:r>
      <w:r>
        <w:rPr>
          <w:rFonts w:hint="eastAsia" w:ascii="宋体" w:hAnsi="宋体" w:eastAsia="宋体" w:cs="宋体"/>
          <w:color w:val="000000"/>
          <w:sz w:val="24"/>
          <w:szCs w:val="24"/>
          <w:highlight w:val="none"/>
        </w:rPr>
      </w:r>
      <w:r/>
    </w:p>
    <w:p>
      <w:pPr>
        <w:pStyle w:val="945"/>
        <w:ind w:firstLine="482"/>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5、支付方式：银行转账。</w:t>
      </w:r>
      <w:r>
        <w:rPr>
          <w:rFonts w:hint="eastAsia" w:ascii="宋体" w:hAnsi="宋体" w:eastAsia="宋体" w:cs="宋体"/>
          <w:color w:val="000000"/>
          <w:sz w:val="24"/>
          <w:szCs w:val="24"/>
          <w:highlight w:val="none"/>
        </w:rPr>
      </w:r>
      <w:r/>
    </w:p>
    <w:p>
      <w:pPr>
        <w:pStyle w:val="945"/>
        <w:ind w:firstLine="482"/>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乙方账户信息如下：</w:t>
      </w:r>
      <w:r>
        <w:rPr>
          <w:rFonts w:hint="eastAsia" w:ascii="宋体" w:hAnsi="宋体" w:eastAsia="宋体" w:cs="宋体"/>
          <w:color w:val="000000"/>
          <w:sz w:val="24"/>
          <w:szCs w:val="24"/>
          <w:highlight w:val="none"/>
        </w:rPr>
      </w:r>
      <w:r/>
    </w:p>
    <w:p>
      <w:pPr>
        <w:pStyle w:val="945"/>
        <w:ind w:firstLine="482"/>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账户名：</w:t>
      </w:r>
      <w:r>
        <w:rPr>
          <w:rFonts w:hint="eastAsia" w:ascii="宋体" w:hAnsi="宋体" w:eastAsia="宋体" w:cs="宋体"/>
          <w:color w:val="000000"/>
          <w:sz w:val="24"/>
          <w:szCs w:val="24"/>
          <w:highlight w:val="none"/>
        </w:rPr>
      </w:r>
      <w:r/>
    </w:p>
    <w:p>
      <w:pPr>
        <w:pStyle w:val="945"/>
        <w:ind w:firstLine="482"/>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账  号：</w:t>
      </w:r>
      <w:r>
        <w:rPr>
          <w:rFonts w:hint="eastAsia" w:ascii="宋体" w:hAnsi="宋体" w:eastAsia="宋体" w:cs="宋体"/>
          <w:color w:val="000000"/>
          <w:sz w:val="24"/>
          <w:szCs w:val="24"/>
          <w:highlight w:val="none"/>
        </w:rPr>
      </w:r>
      <w:r/>
    </w:p>
    <w:p>
      <w:pPr>
        <w:pStyle w:val="945"/>
        <w:ind w:firstLine="482"/>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开户行：</w:t>
      </w:r>
      <w:r>
        <w:rPr>
          <w:rFonts w:hint="eastAsia" w:ascii="宋体" w:hAnsi="宋体" w:eastAsia="宋体" w:cs="宋体"/>
          <w:color w:val="000000"/>
          <w:sz w:val="24"/>
          <w:szCs w:val="24"/>
          <w:highlight w:val="none"/>
        </w:rPr>
      </w:r>
      <w:r/>
    </w:p>
    <w:p>
      <w:pPr>
        <w:pStyle w:val="945"/>
        <w:ind w:firstLine="440"/>
        <w:spacing w:line="360" w:lineRule="auto"/>
        <w:rPr>
          <w:rFonts w:hint="eastAsia" w:ascii="宋体" w:hAnsi="宋体" w:eastAsia="宋体" w:cs="宋体"/>
          <w:b/>
          <w:color w:val="000000"/>
          <w:sz w:val="24"/>
          <w:szCs w:val="24"/>
          <w:highlight w:val="none"/>
          <w:lang w:val="zh-CN"/>
        </w:rPr>
      </w:pPr>
      <w:r>
        <w:rPr>
          <w:rFonts w:hint="eastAsia" w:ascii="宋体" w:hAnsi="宋体" w:eastAsia="宋体" w:cs="宋体"/>
          <w:color w:val="000000"/>
          <w:spacing w:val="-10"/>
          <w:sz w:val="24"/>
          <w:szCs w:val="24"/>
          <w:highlight w:val="none"/>
        </w:rPr>
        <w:t xml:space="preserve">上述信息为乙方指定的接受甲方付款的账户信息。如乙方银行账户或付款方式需变更，乙方应于付款期限届满前10个工作日内书面通知甲方，否则产生的一切责任、因变更引起的额外费用由乙方承担</w:t>
      </w:r>
      <w:r>
        <w:rPr>
          <w:rFonts w:hint="eastAsia" w:ascii="宋体" w:hAnsi="宋体" w:eastAsia="宋体" w:cs="宋体"/>
          <w:bCs/>
          <w:color w:val="000000"/>
          <w:sz w:val="24"/>
          <w:szCs w:val="24"/>
          <w:highlight w:val="none"/>
          <w:lang w:val="zh-CN"/>
        </w:rPr>
        <w:t xml:space="preserve">。</w:t>
      </w:r>
      <w:r>
        <w:rPr>
          <w:rFonts w:hint="eastAsia" w:ascii="宋体" w:hAnsi="宋体" w:eastAsia="宋体" w:cs="宋体"/>
          <w:b/>
          <w:color w:val="000000"/>
          <w:sz w:val="24"/>
          <w:szCs w:val="24"/>
          <w:highlight w:val="none"/>
          <w:lang w:val="zh-CN"/>
        </w:rPr>
      </w:r>
      <w:r/>
    </w:p>
    <w:p>
      <w:pPr>
        <w:pStyle w:val="945"/>
        <w:ind w:firstLine="482"/>
        <w:spacing w:line="360" w:lineRule="auto"/>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t xml:space="preserve">四、售后服务</w:t>
      </w:r>
      <w:r>
        <w:rPr>
          <w:rFonts w:hint="eastAsia" w:ascii="宋体" w:hAnsi="宋体" w:eastAsia="宋体" w:cs="宋体"/>
          <w:b/>
          <w:color w:val="000000"/>
          <w:sz w:val="24"/>
          <w:szCs w:val="24"/>
          <w:highlight w:val="none"/>
          <w:lang w:val="zh-CN"/>
        </w:rPr>
      </w:r>
      <w:r/>
    </w:p>
    <w:p>
      <w:pPr>
        <w:pStyle w:val="986"/>
        <w:ind w:firstLine="480"/>
        <w:spacing w:line="360" w:lineRule="auto"/>
        <w:rPr>
          <w:rFonts w:hint="eastAsia" w:hAnsi="宋体" w:eastAsia="宋体" w:cs="宋体"/>
          <w:color w:val="000000"/>
          <w:sz w:val="24"/>
          <w:szCs w:val="24"/>
          <w:highlight w:val="none"/>
        </w:rPr>
      </w:pPr>
      <w:r>
        <w:rPr>
          <w:rFonts w:hint="eastAsia" w:hAnsi="宋体" w:eastAsia="宋体" w:cs="宋体"/>
          <w:bCs/>
          <w:color w:val="000000"/>
          <w:sz w:val="24"/>
          <w:szCs w:val="24"/>
          <w:highlight w:val="none"/>
        </w:rPr>
        <w:t xml:space="preserve">项目全面验收合格之日起，免费质保期贰年。甲方的产品发放、使用过程中若发现疵点现象乙方应无条件进行调换。乙方应以优良的服务态度，在2小时内响应，8小时内解决甲方提出的退换要求</w:t>
      </w:r>
      <w:r>
        <w:rPr>
          <w:rFonts w:hint="eastAsia" w:hAnsi="宋体" w:eastAsia="宋体" w:cs="宋体"/>
          <w:color w:val="000000"/>
          <w:sz w:val="24"/>
          <w:szCs w:val="24"/>
          <w:highlight w:val="none"/>
        </w:rPr>
        <w:t xml:space="preserve">。</w:t>
      </w:r>
      <w:r>
        <w:rPr>
          <w:rFonts w:hint="eastAsia" w:hAnsi="宋体" w:eastAsia="宋体" w:cs="宋体"/>
          <w:color w:val="000000"/>
          <w:sz w:val="24"/>
          <w:szCs w:val="24"/>
          <w:highlight w:val="none"/>
        </w:rPr>
      </w:r>
      <w:r/>
    </w:p>
    <w:p>
      <w:pPr>
        <w:pStyle w:val="945"/>
        <w:ind w:firstLine="482"/>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五、质量保证</w:t>
      </w:r>
      <w:r>
        <w:rPr>
          <w:rFonts w:hint="eastAsia" w:ascii="宋体" w:hAnsi="宋体" w:eastAsia="宋体" w:cs="宋体"/>
          <w:b/>
          <w:bCs/>
          <w:color w:val="000000"/>
          <w:sz w:val="24"/>
          <w:szCs w:val="24"/>
          <w:highlight w:val="none"/>
        </w:rPr>
      </w:r>
      <w:r/>
    </w:p>
    <w:p>
      <w:pPr>
        <w:pStyle w:val="945"/>
        <w:ind w:firstLine="482"/>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所提供货物是全新的、未使用过的、原包装未拆封的商品，完全符合采购产品规定的质量、规格和性能的要求，产品配置必须原厂出厂时全部自带，所有产品外包装箱不得自行拆封，包装箱上所有标签等不得涂改或撕毁，除有特殊要求外，其余均为标准配置，否则甲方有权拒绝验收。</w:t>
      </w:r>
      <w:r>
        <w:rPr>
          <w:rFonts w:hint="eastAsia" w:ascii="宋体" w:hAnsi="宋体" w:eastAsia="宋体" w:cs="宋体"/>
          <w:color w:val="000000"/>
          <w:sz w:val="24"/>
          <w:szCs w:val="24"/>
          <w:highlight w:val="none"/>
        </w:rPr>
      </w:r>
      <w:r/>
    </w:p>
    <w:p>
      <w:pPr>
        <w:pStyle w:val="945"/>
        <w:ind w:firstLine="482"/>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应保证所提供货物涉及到的知识产权是合法取得，并享有完整的知识产权，甲方在使用过程中不会因知识产权问题被责令停止使用、追偿或要求赔偿损失，如出现此情况，一切经济和法律责任均由乙方承担。乙方应按招标书的有关规定提供合格货物及服务，确保质量符合国际或国家通用标准。</w:t>
      </w:r>
      <w:r>
        <w:rPr>
          <w:rFonts w:hint="eastAsia" w:ascii="宋体" w:hAnsi="宋体" w:eastAsia="宋体" w:cs="宋体"/>
          <w:color w:val="000000"/>
          <w:sz w:val="24"/>
          <w:szCs w:val="24"/>
          <w:highlight w:val="none"/>
        </w:rPr>
      </w:r>
      <w:r/>
    </w:p>
    <w:p>
      <w:pPr>
        <w:pStyle w:val="945"/>
        <w:ind w:firstLine="482"/>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六、包装</w:t>
      </w:r>
      <w:r>
        <w:rPr>
          <w:rFonts w:hint="eastAsia" w:ascii="宋体" w:hAnsi="宋体" w:eastAsia="宋体" w:cs="宋体"/>
          <w:b/>
          <w:bCs/>
          <w:color w:val="000000"/>
          <w:sz w:val="24"/>
          <w:szCs w:val="24"/>
          <w:highlight w:val="none"/>
        </w:rPr>
      </w:r>
      <w:r/>
    </w:p>
    <w:p>
      <w:pPr>
        <w:pStyle w:val="945"/>
        <w:ind w:firstLine="482"/>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乙方提供的标的物必须为原包装，在送交甲方验收前不得拆箱。</w:t>
      </w:r>
      <w:r>
        <w:rPr>
          <w:rFonts w:hint="eastAsia" w:ascii="宋体" w:hAnsi="宋体" w:eastAsia="宋体" w:cs="宋体"/>
          <w:color w:val="000000"/>
          <w:sz w:val="24"/>
          <w:szCs w:val="24"/>
          <w:highlight w:val="none"/>
        </w:rPr>
      </w:r>
      <w:r/>
    </w:p>
    <w:p>
      <w:pPr>
        <w:pStyle w:val="945"/>
        <w:ind w:firstLine="482"/>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七、标的物的交付</w:t>
      </w:r>
      <w:r>
        <w:rPr>
          <w:rFonts w:hint="eastAsia" w:ascii="宋体" w:hAnsi="宋体" w:eastAsia="宋体" w:cs="宋体"/>
          <w:b/>
          <w:bCs/>
          <w:color w:val="000000"/>
          <w:sz w:val="24"/>
          <w:szCs w:val="24"/>
          <w:highlight w:val="none"/>
        </w:rPr>
      </w:r>
      <w:r/>
    </w:p>
    <w:p>
      <w:pPr>
        <w:pStyle w:val="945"/>
        <w:ind w:firstLine="482"/>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1、标的物的所有权自标的物交付时转移。</w:t>
      </w:r>
      <w:r>
        <w:rPr>
          <w:rFonts w:hint="eastAsia" w:ascii="宋体" w:hAnsi="宋体" w:eastAsia="宋体" w:cs="宋体"/>
          <w:color w:val="000000"/>
          <w:sz w:val="24"/>
          <w:szCs w:val="24"/>
          <w:highlight w:val="none"/>
        </w:rPr>
      </w:r>
      <w:r/>
    </w:p>
    <w:p>
      <w:pPr>
        <w:pStyle w:val="945"/>
        <w:ind w:firstLine="482"/>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2、乙方应当按照约定的期限和约定的地点交付标的物。</w:t>
      </w:r>
      <w:r>
        <w:rPr>
          <w:rFonts w:hint="eastAsia" w:ascii="宋体" w:hAnsi="宋体" w:eastAsia="宋体" w:cs="宋体"/>
          <w:color w:val="000000"/>
          <w:sz w:val="24"/>
          <w:szCs w:val="24"/>
          <w:highlight w:val="none"/>
        </w:rPr>
      </w:r>
      <w:r/>
    </w:p>
    <w:p>
      <w:pPr>
        <w:pStyle w:val="945"/>
        <w:ind w:firstLine="482"/>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3、乙方应当按照约定或者交易习惯向甲方交付提取标的物单证以外的有关单证和资料。</w:t>
      </w:r>
      <w:r>
        <w:rPr>
          <w:rFonts w:hint="eastAsia" w:ascii="宋体" w:hAnsi="宋体" w:eastAsia="宋体" w:cs="宋体"/>
          <w:color w:val="000000"/>
          <w:sz w:val="24"/>
          <w:szCs w:val="24"/>
          <w:highlight w:val="none"/>
        </w:rPr>
      </w:r>
      <w:r/>
    </w:p>
    <w:p>
      <w:pPr>
        <w:pStyle w:val="945"/>
        <w:ind w:firstLine="482"/>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八、标的物的检验和验收</w:t>
      </w:r>
      <w:r>
        <w:rPr>
          <w:rFonts w:hint="eastAsia" w:ascii="宋体" w:hAnsi="宋体" w:eastAsia="宋体" w:cs="宋体"/>
          <w:b/>
          <w:bCs/>
          <w:color w:val="000000"/>
          <w:sz w:val="24"/>
          <w:szCs w:val="24"/>
          <w:highlight w:val="none"/>
        </w:rPr>
      </w:r>
      <w:r/>
    </w:p>
    <w:p>
      <w:pPr>
        <w:pStyle w:val="945"/>
        <w:ind w:firstLine="482"/>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1、验收标准：乙方提供的货物必须符合我国最新颁布的与之相关的技术规范与标准，同时必须满足招标文件中所列规格、具体配置、技术条件及功能要求和乙方承诺的其它指标。</w:t>
      </w:r>
      <w:r>
        <w:rPr>
          <w:rFonts w:hint="eastAsia" w:ascii="宋体" w:hAnsi="宋体" w:eastAsia="宋体" w:cs="宋体"/>
          <w:color w:val="000000"/>
          <w:sz w:val="24"/>
          <w:szCs w:val="24"/>
          <w:highlight w:val="none"/>
        </w:rPr>
      </w:r>
      <w:r/>
    </w:p>
    <w:p>
      <w:pPr>
        <w:pStyle w:val="945"/>
        <w:ind w:firstLine="482"/>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根据甲方检验的结果或当地质监部门的检验结果，在质量保证期内，如果标的物的数量、质量或规格与合同不符或证实标的物是具有缺陷的，包括潜在缺陷或使用不符合要求的材料等，甲方应尽快以书面形式通知乙方整改，若乙方未按照合同约定时间响应并整改完成，甲方可进行退货并拒付货款，退货产生的人工及运输费用由乙方承担。</w:t>
      </w:r>
      <w:r>
        <w:rPr>
          <w:rFonts w:hint="eastAsia" w:ascii="宋体" w:hAnsi="宋体" w:eastAsia="宋体" w:cs="宋体"/>
          <w:color w:val="000000"/>
          <w:sz w:val="24"/>
          <w:szCs w:val="24"/>
          <w:highlight w:val="none"/>
        </w:rPr>
      </w:r>
      <w:r/>
    </w:p>
    <w:p>
      <w:pPr>
        <w:pStyle w:val="945"/>
        <w:ind w:firstLine="482"/>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3、甲方根据合同规定的内容和验收标准进行验收，同时比较乙方出具的检验证明，经检验无误后出具验收合格证明，该证明作为最终付款所需文件的组成部分。</w:t>
      </w:r>
      <w:r>
        <w:rPr>
          <w:rFonts w:hint="eastAsia" w:ascii="宋体" w:hAnsi="宋体" w:eastAsia="宋体" w:cs="宋体"/>
          <w:color w:val="000000"/>
          <w:sz w:val="24"/>
          <w:szCs w:val="24"/>
          <w:highlight w:val="none"/>
        </w:rPr>
      </w:r>
      <w:r/>
    </w:p>
    <w:p>
      <w:pPr>
        <w:pStyle w:val="945"/>
        <w:ind w:firstLine="482"/>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4、验收结果经双方确认后，双方代表须按规定的验收项目对照本合同填好验收结果并签名盖章。如双方对验收结果有分歧，则以第三方权威机构的检验结果为准，检验费由有过失的一方支付。</w:t>
      </w:r>
      <w:r>
        <w:rPr>
          <w:rFonts w:hint="eastAsia" w:ascii="宋体" w:hAnsi="宋体" w:eastAsia="宋体" w:cs="宋体"/>
          <w:color w:val="000000"/>
          <w:sz w:val="24"/>
          <w:szCs w:val="24"/>
          <w:highlight w:val="none"/>
        </w:rPr>
      </w:r>
      <w:r/>
    </w:p>
    <w:p>
      <w:pPr>
        <w:pStyle w:val="945"/>
        <w:ind w:firstLine="482"/>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九、标的物提出异议的时间和办法</w:t>
      </w:r>
      <w:r>
        <w:rPr>
          <w:rFonts w:hint="eastAsia" w:ascii="宋体" w:hAnsi="宋体" w:eastAsia="宋体" w:cs="宋体"/>
          <w:b/>
          <w:bCs/>
          <w:color w:val="000000"/>
          <w:sz w:val="24"/>
          <w:szCs w:val="24"/>
          <w:highlight w:val="none"/>
        </w:rPr>
      </w:r>
      <w:r/>
    </w:p>
    <w:p>
      <w:pPr>
        <w:pStyle w:val="945"/>
        <w:ind w:firstLine="482"/>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1、甲方在验收过程中，应当于双方约定的检验期间内将标的物的数量或质量不符合约定的情况及处理方式以书面方式通知乙方。</w:t>
      </w:r>
      <w:r>
        <w:rPr>
          <w:rFonts w:hint="eastAsia" w:ascii="宋体" w:hAnsi="宋体" w:eastAsia="宋体" w:cs="宋体"/>
          <w:color w:val="000000"/>
          <w:sz w:val="24"/>
          <w:szCs w:val="24"/>
          <w:highlight w:val="none"/>
        </w:rPr>
      </w:r>
      <w:r/>
    </w:p>
    <w:p>
      <w:pPr>
        <w:pStyle w:val="945"/>
        <w:ind w:firstLine="482"/>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2、乙方应在收到甲方书面异议后七天内负责处理问题，否则将视为默认甲方提出的异议和处理意见。</w:t>
      </w:r>
      <w:r>
        <w:rPr>
          <w:rFonts w:hint="eastAsia" w:ascii="宋体" w:hAnsi="宋体" w:eastAsia="宋体" w:cs="宋体"/>
          <w:color w:val="000000"/>
          <w:sz w:val="24"/>
          <w:szCs w:val="24"/>
          <w:highlight w:val="none"/>
        </w:rPr>
      </w:r>
      <w:r/>
    </w:p>
    <w:p>
      <w:pPr>
        <w:pStyle w:val="945"/>
        <w:ind w:firstLine="482"/>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十、违约责任</w:t>
      </w:r>
      <w:r>
        <w:rPr>
          <w:rFonts w:hint="eastAsia" w:ascii="宋体" w:hAnsi="宋体" w:eastAsia="宋体" w:cs="宋体"/>
          <w:b/>
          <w:bCs/>
          <w:color w:val="000000"/>
          <w:sz w:val="24"/>
          <w:szCs w:val="24"/>
          <w:highlight w:val="none"/>
        </w:rPr>
      </w:r>
      <w:r/>
    </w:p>
    <w:p>
      <w:pPr>
        <w:pStyle w:val="945"/>
        <w:ind w:firstLine="482"/>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合同一方不履行合同义务或者履行合同义务不符合约定的，应当承担继续履行、采取补救措施或赔偿损失等违约责任。</w:t>
      </w:r>
      <w:r>
        <w:rPr>
          <w:rFonts w:hint="eastAsia" w:ascii="宋体" w:hAnsi="宋体" w:eastAsia="宋体" w:cs="宋体"/>
          <w:color w:val="000000"/>
          <w:sz w:val="24"/>
          <w:szCs w:val="24"/>
          <w:highlight w:val="none"/>
        </w:rPr>
      </w:r>
      <w:r/>
    </w:p>
    <w:p>
      <w:pPr>
        <w:pStyle w:val="945"/>
        <w:ind w:firstLine="482"/>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1、甲方违约责任</w:t>
      </w:r>
      <w:r>
        <w:rPr>
          <w:rFonts w:hint="eastAsia" w:ascii="宋体" w:hAnsi="宋体" w:eastAsia="宋体" w:cs="宋体"/>
          <w:color w:val="000000"/>
          <w:sz w:val="24"/>
          <w:szCs w:val="24"/>
          <w:highlight w:val="none"/>
        </w:rPr>
      </w:r>
      <w:r/>
    </w:p>
    <w:p>
      <w:pPr>
        <w:pStyle w:val="945"/>
        <w:ind w:firstLine="482"/>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1.1在合同生效后，甲方无合理理由要求退货的，应向乙方偿付合同总价款的5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，作为违约金，违约金不足以补偿损失的，乙方有权要求甲方补足。</w:t>
      </w:r>
      <w:r>
        <w:rPr>
          <w:rFonts w:hint="eastAsia" w:ascii="宋体" w:hAnsi="宋体" w:eastAsia="宋体" w:cs="宋体"/>
          <w:color w:val="000000"/>
          <w:sz w:val="24"/>
          <w:szCs w:val="24"/>
          <w:highlight w:val="none"/>
        </w:rPr>
      </w:r>
      <w:r/>
    </w:p>
    <w:p>
      <w:pPr>
        <w:pStyle w:val="945"/>
        <w:ind w:firstLine="482"/>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 甲方无故支付货款的，每天应按照逾期付款金额的万分之一支付逾期付款违约金。</w:t>
      </w:r>
      <w:r>
        <w:rPr>
          <w:rFonts w:hint="eastAsia" w:ascii="宋体" w:hAnsi="宋体" w:eastAsia="宋体" w:cs="宋体"/>
          <w:color w:val="000000"/>
          <w:sz w:val="24"/>
          <w:szCs w:val="24"/>
          <w:highlight w:val="none"/>
        </w:rPr>
      </w:r>
      <w:r/>
    </w:p>
    <w:p>
      <w:pPr>
        <w:pStyle w:val="945"/>
        <w:ind w:firstLine="482"/>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 甲方违反合同规定，拒绝接收乙方交付的合格标的物，应当承担乙方由此造成的损失。</w:t>
      </w:r>
      <w:r>
        <w:rPr>
          <w:rFonts w:hint="eastAsia" w:ascii="宋体" w:hAnsi="宋体" w:eastAsia="宋体" w:cs="宋体"/>
          <w:color w:val="000000"/>
          <w:sz w:val="24"/>
          <w:szCs w:val="24"/>
          <w:highlight w:val="none"/>
        </w:rPr>
      </w:r>
      <w:r/>
    </w:p>
    <w:p>
      <w:pPr>
        <w:pStyle w:val="945"/>
        <w:ind w:firstLine="482"/>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2、乙方违约责任</w:t>
      </w:r>
      <w:r>
        <w:rPr>
          <w:rFonts w:hint="eastAsia" w:ascii="宋体" w:hAnsi="宋体" w:eastAsia="宋体" w:cs="宋体"/>
          <w:color w:val="000000"/>
          <w:sz w:val="24"/>
          <w:szCs w:val="24"/>
          <w:highlight w:val="none"/>
        </w:rPr>
      </w:r>
      <w:r/>
    </w:p>
    <w:p>
      <w:pPr>
        <w:pStyle w:val="945"/>
        <w:ind w:firstLine="482"/>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2.1乙方不能交货，或交货不合格从而影响甲方按期正常使用的，应向甲方偿付合同总价款5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的违约金，违约金不足以补偿损失的，甲方有权要求乙方补足；同时甲方有权终止合同并要求乙方承担甲方因此遭致的损失费用。</w:t>
      </w:r>
      <w:r>
        <w:rPr>
          <w:rFonts w:hint="eastAsia" w:ascii="宋体" w:hAnsi="宋体" w:eastAsia="宋体" w:cs="宋体"/>
          <w:color w:val="000000"/>
          <w:sz w:val="24"/>
          <w:szCs w:val="24"/>
          <w:highlight w:val="none"/>
        </w:rPr>
      </w:r>
      <w:r/>
    </w:p>
    <w:p>
      <w:pPr>
        <w:pStyle w:val="945"/>
        <w:ind w:firstLine="482"/>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2.2乙方逾期交货的，应提前与甲方协商，甲方仍同意供货的，乙方应立即发货，每天应按照逾期交货部分货款的万分之四支付逾期交货违约金，若甲方不同意继续供货，则合同直接终止，相关损失由乙方承担。</w:t>
      </w:r>
      <w:r>
        <w:rPr>
          <w:rFonts w:hint="eastAsia" w:ascii="宋体" w:hAnsi="宋体" w:eastAsia="宋体" w:cs="宋体"/>
          <w:color w:val="000000"/>
          <w:sz w:val="24"/>
          <w:szCs w:val="24"/>
          <w:highlight w:val="none"/>
        </w:rPr>
      </w:r>
      <w:r/>
    </w:p>
    <w:p>
      <w:pPr>
        <w:pStyle w:val="979"/>
        <w:ind w:left="0" w:firstLine="480"/>
        <w:rPr>
          <w:rFonts w:hint="eastAsia"/>
          <w:color w:val="000000"/>
          <w:highlight w:val="none"/>
        </w:rPr>
      </w:pPr>
      <w:r>
        <w:rPr>
          <w:rFonts w:hint="eastAsia" w:ascii="宋体" w:hAnsi="宋体" w:eastAsia="宋体" w:cs="宋体"/>
          <w:color w:val="000000"/>
          <w:szCs w:val="24"/>
          <w:highlight w:val="none"/>
          <w:lang w:bidi="ar"/>
        </w:rPr>
        <w:t xml:space="preserve">2.3乙方</w:t>
      </w:r>
      <w:r>
        <w:rPr>
          <w:rFonts w:hint="eastAsia" w:ascii="宋体" w:hAnsi="宋体" w:eastAsia="宋体" w:cs="宋体"/>
          <w:bCs/>
          <w:color w:val="000000"/>
          <w:szCs w:val="24"/>
          <w:highlight w:val="none"/>
          <w:lang w:bidi="ar"/>
        </w:rPr>
        <w:t xml:space="preserve">严格遵守甲方院内规章制度，</w:t>
      </w:r>
      <w:r>
        <w:rPr>
          <w:rFonts w:hint="eastAsia" w:ascii="宋体" w:hAnsi="宋体" w:eastAsia="宋体" w:cs="宋体"/>
          <w:color w:val="000000"/>
          <w:szCs w:val="24"/>
          <w:highlight w:val="none"/>
          <w:lang w:bidi="ar"/>
        </w:rPr>
        <w:t xml:space="preserve">进出各部门及时关门上锁，保护服务对象的隐私，不得拍照，造成服务对象逃跑或其它恶劣影响，甲方有权立刻终止合同，所造成的损失由乙方负责。</w:t>
      </w:r>
      <w:r>
        <w:rPr>
          <w:rFonts w:hint="eastAsia"/>
          <w:color w:val="000000"/>
          <w:highlight w:val="none"/>
        </w:rPr>
      </w:r>
      <w:r/>
    </w:p>
    <w:p>
      <w:pPr>
        <w:pStyle w:val="945"/>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十一、不可抗力</w:t>
      </w:r>
      <w:r>
        <w:rPr>
          <w:rFonts w:hint="eastAsia" w:ascii="宋体" w:hAnsi="宋体" w:eastAsia="宋体" w:cs="宋体"/>
          <w:b/>
          <w:bCs/>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1、因不可抗力不能履行合同的，根据不可抗力的影响，免除部分或者全部责任。但合同一方延迟履行后发生不可抗力的，不能免除责任。</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2、合同一方因不可抗力不能履行合同的，应当及时通知对方，以减轻可能给对方造成的损失，并应当在合理期限内提供证明。</w:t>
      </w:r>
      <w:r>
        <w:rPr>
          <w:rFonts w:hint="eastAsia" w:ascii="宋体" w:hAnsi="宋体" w:eastAsia="宋体" w:cs="宋体"/>
          <w:color w:val="000000"/>
          <w:sz w:val="24"/>
          <w:szCs w:val="24"/>
          <w:highlight w:val="none"/>
        </w:rPr>
      </w:r>
      <w:r/>
    </w:p>
    <w:p>
      <w:pPr>
        <w:pStyle w:val="945"/>
        <w:ind w:firstLine="440"/>
        <w:spacing w:line="360" w:lineRule="auto"/>
        <w:rPr>
          <w:rFonts w:hint="eastAsia" w:ascii="宋体" w:hAnsi="宋体" w:eastAsia="宋体" w:cs="宋体"/>
          <w:b/>
          <w:bCs/>
          <w:color w:val="000000"/>
          <w:spacing w:val="-10"/>
          <w:sz w:val="24"/>
          <w:szCs w:val="24"/>
          <w:highlight w:val="none"/>
        </w:rPr>
      </w:pPr>
      <w:r>
        <w:rPr>
          <w:rFonts w:hint="eastAsia" w:ascii="宋体" w:hAnsi="宋体" w:eastAsia="宋体" w:cs="宋体"/>
          <w:b/>
          <w:bCs/>
          <w:color w:val="000000"/>
          <w:spacing w:val="-10"/>
          <w:sz w:val="24"/>
          <w:szCs w:val="24"/>
          <w:highlight w:val="none"/>
        </w:rPr>
        <w:t xml:space="preserve">十二、履约保证金</w:t>
      </w:r>
      <w:r>
        <w:rPr>
          <w:rFonts w:hint="eastAsia" w:ascii="宋体" w:hAnsi="宋体" w:eastAsia="宋体" w:cs="宋体"/>
          <w:b/>
          <w:bCs/>
          <w:color w:val="000000"/>
          <w:spacing w:val="-10"/>
          <w:sz w:val="24"/>
          <w:szCs w:val="24"/>
          <w:highlight w:val="none"/>
        </w:rPr>
      </w:r>
      <w:r/>
    </w:p>
    <w:p>
      <w:pPr>
        <w:pStyle w:val="945"/>
        <w:ind w:firstLine="440"/>
        <w:spacing w:line="360" w:lineRule="auto"/>
        <w:rPr>
          <w:rFonts w:hint="eastAsia" w:ascii="宋体" w:hAnsi="宋体" w:eastAsia="宋体" w:cs="宋体"/>
          <w:color w:val="000000"/>
          <w:spacing w:val="-10"/>
          <w:sz w:val="24"/>
          <w:szCs w:val="24"/>
          <w:highlight w:val="none"/>
        </w:rPr>
      </w:pPr>
      <w:r>
        <w:rPr>
          <w:rFonts w:hint="eastAsia" w:ascii="宋体" w:hAnsi="宋体" w:eastAsia="宋体" w:cs="宋体"/>
          <w:color w:val="000000"/>
          <w:spacing w:val="-10"/>
          <w:sz w:val="24"/>
          <w:szCs w:val="24"/>
          <w:highlight w:val="none"/>
        </w:rPr>
        <w:t xml:space="preserve">1、乙方在签订合同后15个工作日内按</w:t>
      </w:r>
      <w:r>
        <w:rPr>
          <w:rFonts w:hint="eastAsia" w:ascii="宋体" w:hAnsi="宋体" w:eastAsia="宋体" w:cs="宋体"/>
          <w:color w:val="000000"/>
          <w:spacing w:val="-10"/>
          <w:sz w:val="24"/>
          <w:szCs w:val="24"/>
          <w:highlight w:val="none"/>
          <w:lang w:eastAsia="zh-CN"/>
        </w:rPr>
        <w:t xml:space="preserve">成交</w:t>
      </w:r>
      <w:r>
        <w:rPr>
          <w:rFonts w:hint="eastAsia" w:ascii="宋体" w:hAnsi="宋体" w:eastAsia="宋体" w:cs="宋体"/>
          <w:color w:val="000000"/>
          <w:spacing w:val="-10"/>
          <w:sz w:val="24"/>
          <w:szCs w:val="24"/>
          <w:highlight w:val="none"/>
        </w:rPr>
        <w:t xml:space="preserve">金额的5</w:t>
      </w:r>
      <w:r>
        <w:rPr>
          <w:rFonts w:hint="eastAsia" w:ascii="宋体" w:hAnsi="宋体" w:eastAsia="宋体" w:cs="宋体"/>
          <w:color w:val="000000"/>
          <w:spacing w:val="-10"/>
          <w:sz w:val="24"/>
          <w:szCs w:val="24"/>
          <w:highlight w:val="none"/>
          <w:lang w:eastAsia="zh-CN"/>
        </w:rPr>
        <w:t xml:space="preserve">％</w:t>
      </w:r>
      <w:r>
        <w:rPr>
          <w:rFonts w:hint="eastAsia" w:ascii="宋体" w:hAnsi="宋体" w:eastAsia="宋体" w:cs="宋体"/>
          <w:color w:val="000000"/>
          <w:spacing w:val="-10"/>
          <w:sz w:val="24"/>
          <w:szCs w:val="24"/>
          <w:highlight w:val="none"/>
        </w:rPr>
        <w:t xml:space="preserve">缴纳履约保证金至甲方指定账户，履约保证金可采用转账支票、银行汇票等方式缴纳。</w:t>
      </w:r>
      <w:r>
        <w:rPr>
          <w:rFonts w:hint="eastAsia" w:ascii="宋体" w:hAnsi="宋体" w:eastAsia="宋体" w:cs="宋体"/>
          <w:color w:val="000000"/>
          <w:spacing w:val="-10"/>
          <w:sz w:val="24"/>
          <w:szCs w:val="24"/>
          <w:highlight w:val="none"/>
        </w:rPr>
      </w:r>
      <w:r/>
    </w:p>
    <w:p>
      <w:pPr>
        <w:pStyle w:val="945"/>
        <w:ind w:firstLine="440"/>
        <w:spacing w:line="360" w:lineRule="auto"/>
        <w:rPr>
          <w:rFonts w:hint="eastAsia" w:ascii="宋体" w:hAnsi="宋体" w:eastAsia="宋体" w:cs="宋体"/>
          <w:color w:val="000000"/>
          <w:spacing w:val="-10"/>
          <w:sz w:val="24"/>
          <w:szCs w:val="24"/>
          <w:highlight w:val="none"/>
        </w:rPr>
      </w:pPr>
      <w:r>
        <w:rPr>
          <w:rFonts w:hint="eastAsia" w:ascii="宋体" w:hAnsi="宋体" w:eastAsia="宋体" w:cs="宋体"/>
          <w:color w:val="000000"/>
          <w:spacing w:val="-10"/>
          <w:sz w:val="24"/>
          <w:szCs w:val="24"/>
          <w:highlight w:val="none"/>
        </w:rPr>
        <w:t xml:space="preserve">2、如果乙方未能履行合同规定的任何义务，或因乙方工作过失造成的损失，应由乙方承担的赔偿未完成，甲方有权从履约保证金中取得补偿。</w:t>
      </w:r>
      <w:r>
        <w:rPr>
          <w:rFonts w:hint="eastAsia" w:ascii="宋体" w:hAnsi="宋体" w:eastAsia="宋体" w:cs="宋体"/>
          <w:color w:val="000000"/>
          <w:spacing w:val="-10"/>
          <w:sz w:val="24"/>
          <w:szCs w:val="24"/>
          <w:highlight w:val="none"/>
        </w:rPr>
      </w:r>
      <w:r/>
    </w:p>
    <w:p>
      <w:pPr>
        <w:pStyle w:val="945"/>
        <w:ind w:firstLine="440"/>
        <w:spacing w:line="360" w:lineRule="auto"/>
        <w:rPr>
          <w:color w:val="000000"/>
          <w:highlight w:val="none"/>
        </w:rPr>
      </w:pPr>
      <w:r>
        <w:rPr>
          <w:rFonts w:hint="eastAsia" w:ascii="宋体" w:hAnsi="宋体" w:eastAsia="宋体" w:cs="宋体"/>
          <w:color w:val="000000"/>
          <w:spacing w:val="-10"/>
          <w:sz w:val="24"/>
          <w:szCs w:val="24"/>
          <w:highlight w:val="none"/>
        </w:rPr>
        <w:t xml:space="preserve">3、履约保证金（无息）在合同履行过程中，如无违约扣款项目，服务期满，在合约结束时由甲方在30个工作日内全部退回履约保证金（无息）。</w:t>
      </w:r>
      <w:r>
        <w:rPr>
          <w:color w:val="000000"/>
          <w:highlight w:val="none"/>
        </w:rPr>
      </w:r>
      <w:r/>
    </w:p>
    <w:p>
      <w:pPr>
        <w:pStyle w:val="945"/>
        <w:ind w:firstLine="482"/>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十三、索赔</w:t>
      </w:r>
      <w:r>
        <w:rPr>
          <w:rFonts w:hint="eastAsia" w:ascii="宋体" w:hAnsi="宋体" w:eastAsia="宋体" w:cs="宋体"/>
          <w:b/>
          <w:bCs/>
          <w:color w:val="000000"/>
          <w:sz w:val="24"/>
          <w:szCs w:val="24"/>
          <w:highlight w:val="none"/>
        </w:rPr>
      </w:r>
      <w:r/>
    </w:p>
    <w:p>
      <w:pPr>
        <w:pStyle w:val="945"/>
        <w:ind w:firstLine="482"/>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1、甲方有权根据当地产品质量检验机构或其他相关部门出具的检验证书向乙方提出索赔。</w:t>
      </w:r>
      <w:r>
        <w:rPr>
          <w:rFonts w:hint="eastAsia" w:ascii="宋体" w:hAnsi="宋体" w:eastAsia="宋体" w:cs="宋体"/>
          <w:color w:val="000000"/>
          <w:sz w:val="24"/>
          <w:szCs w:val="24"/>
          <w:highlight w:val="none"/>
        </w:rPr>
      </w:r>
      <w:r/>
    </w:p>
    <w:p>
      <w:pPr>
        <w:pStyle w:val="945"/>
        <w:ind w:firstLine="482"/>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2、在本合同规定的检验期限和质量保证期内，如果乙方对甲方提出的索赔或货物质量有责任，则乙方应按甲方同意的下列一种或多种方式解决索赔事宜。</w:t>
      </w:r>
      <w:r>
        <w:rPr>
          <w:rFonts w:hint="eastAsia" w:ascii="宋体" w:hAnsi="宋体" w:eastAsia="宋体" w:cs="宋体"/>
          <w:color w:val="000000"/>
          <w:sz w:val="24"/>
          <w:szCs w:val="24"/>
          <w:highlight w:val="none"/>
        </w:rPr>
      </w:r>
      <w:r/>
    </w:p>
    <w:p>
      <w:pPr>
        <w:pStyle w:val="945"/>
        <w:ind w:firstLine="482"/>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2.1乙方同意退货，并按合同规定将货款退还给甲方，并且承担由此发生的一切损失和费用，包括利息、银行手续费、运费、保险费、检验费、仓储费、装卸费以及为保护退回标的物所需的其他必要费用。</w:t>
      </w:r>
      <w:r>
        <w:rPr>
          <w:rFonts w:hint="eastAsia" w:ascii="宋体" w:hAnsi="宋体" w:eastAsia="宋体" w:cs="宋体"/>
          <w:color w:val="000000"/>
          <w:sz w:val="24"/>
          <w:szCs w:val="24"/>
          <w:highlight w:val="none"/>
        </w:rPr>
      </w:r>
      <w:r/>
    </w:p>
    <w:p>
      <w:pPr>
        <w:pStyle w:val="945"/>
        <w:ind w:firstLine="482"/>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2.2根据标的物的低劣程度、损坏程度以及甲方遭受损失的数额，经双方协商确定降低标的物的价格。</w:t>
      </w:r>
      <w:r>
        <w:rPr>
          <w:rFonts w:hint="eastAsia" w:ascii="宋体" w:hAnsi="宋体" w:eastAsia="宋体" w:cs="宋体"/>
          <w:color w:val="000000"/>
          <w:sz w:val="24"/>
          <w:szCs w:val="24"/>
          <w:highlight w:val="none"/>
        </w:rPr>
      </w:r>
      <w:r/>
    </w:p>
    <w:p>
      <w:pPr>
        <w:pStyle w:val="945"/>
        <w:ind w:firstLine="482"/>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用符合规格、质量和性能要求的新零件、部件或标的物来更换有缺陷的部分或修补缺陷部分，乙方应承担一切费用和风险并且负担甲方所发生的一切直接费用。同时，乙方应按合同规定，相应延长修补或被更换部件或标的物的质量保证期。</w:t>
      </w:r>
      <w:r>
        <w:rPr>
          <w:rFonts w:hint="eastAsia" w:ascii="宋体" w:hAnsi="宋体" w:eastAsia="宋体" w:cs="宋体"/>
          <w:color w:val="000000"/>
          <w:sz w:val="24"/>
          <w:szCs w:val="24"/>
          <w:highlight w:val="none"/>
        </w:rPr>
      </w:r>
      <w:r/>
    </w:p>
    <w:p>
      <w:pPr>
        <w:pStyle w:val="945"/>
        <w:ind w:firstLine="482"/>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如果在甲方发出索赔通知后七天内，乙方未能答复，上述索赔应视为已被乙方接受。若乙方未在甲方提出索赔通知后七天内或甲方同意的更长时间内，按照合同规定的任何一种方法解决索赔事宜，甲方将从未付货款中扣回索赔金额，如果这些金额不足以补偿索赔金额，甲方有权向乙方提出对不足部分的补偿。 </w:t>
      </w:r>
      <w:r>
        <w:rPr>
          <w:rFonts w:hint="eastAsia" w:ascii="宋体" w:hAnsi="宋体" w:eastAsia="宋体" w:cs="宋体"/>
          <w:color w:val="000000"/>
          <w:sz w:val="24"/>
          <w:szCs w:val="24"/>
          <w:highlight w:val="none"/>
        </w:rPr>
      </w:r>
      <w:r/>
    </w:p>
    <w:p>
      <w:pPr>
        <w:pStyle w:val="945"/>
        <w:ind w:firstLine="482"/>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十四、合同的解除和转让</w:t>
      </w:r>
      <w:r>
        <w:rPr>
          <w:rFonts w:hint="eastAsia" w:ascii="宋体" w:hAnsi="宋体" w:eastAsia="宋体" w:cs="宋体"/>
          <w:b/>
          <w:bCs/>
          <w:color w:val="000000"/>
          <w:sz w:val="24"/>
          <w:szCs w:val="24"/>
          <w:highlight w:val="none"/>
        </w:rPr>
      </w:r>
      <w:r/>
    </w:p>
    <w:p>
      <w:pPr>
        <w:pStyle w:val="945"/>
        <w:ind w:firstLine="482"/>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1、有下列情形之一，合同一方可以解除合同：</w:t>
      </w:r>
      <w:r>
        <w:rPr>
          <w:rFonts w:hint="eastAsia" w:ascii="宋体" w:hAnsi="宋体" w:eastAsia="宋体" w:cs="宋体"/>
          <w:color w:val="000000"/>
          <w:sz w:val="24"/>
          <w:szCs w:val="24"/>
          <w:highlight w:val="none"/>
        </w:rPr>
      </w:r>
      <w:r/>
    </w:p>
    <w:p>
      <w:pPr>
        <w:pStyle w:val="945"/>
        <w:ind w:firstLine="482"/>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1.1因不可抗力致使不能实现合同目的，未受不可抗力影响的一方有权解除合同；</w:t>
      </w:r>
      <w:r>
        <w:rPr>
          <w:rFonts w:hint="eastAsia" w:ascii="宋体" w:hAnsi="宋体" w:eastAsia="宋体" w:cs="宋体"/>
          <w:color w:val="000000"/>
          <w:sz w:val="24"/>
          <w:szCs w:val="24"/>
          <w:highlight w:val="none"/>
        </w:rPr>
      </w:r>
      <w:r/>
    </w:p>
    <w:p>
      <w:pPr>
        <w:pStyle w:val="945"/>
        <w:ind w:firstLine="482"/>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1.2因合同一方违约导致合同不能履行，另一方有权解除合同；</w:t>
      </w:r>
      <w:r>
        <w:rPr>
          <w:rFonts w:hint="eastAsia" w:ascii="宋体" w:hAnsi="宋体" w:eastAsia="宋体" w:cs="宋体"/>
          <w:color w:val="000000"/>
          <w:sz w:val="24"/>
          <w:szCs w:val="24"/>
          <w:highlight w:val="none"/>
        </w:rPr>
      </w:r>
      <w:r/>
    </w:p>
    <w:p>
      <w:pPr>
        <w:pStyle w:val="945"/>
        <w:ind w:firstLine="482"/>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1.3有权解除合同的一方，应当在违约事实或不可抗力发生之后三十天内书面通知对方以主张解除合同，合同在书面通知到达对方时解除。</w:t>
      </w:r>
      <w:r>
        <w:rPr>
          <w:rFonts w:hint="eastAsia" w:ascii="宋体" w:hAnsi="宋体" w:eastAsia="宋体" w:cs="宋体"/>
          <w:color w:val="000000"/>
          <w:sz w:val="24"/>
          <w:szCs w:val="24"/>
          <w:highlight w:val="none"/>
        </w:rPr>
      </w:r>
      <w:r/>
    </w:p>
    <w:p>
      <w:pPr>
        <w:pStyle w:val="945"/>
        <w:ind w:firstLine="482"/>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2、合同的部分和全部都不得转让。</w:t>
      </w:r>
      <w:r>
        <w:rPr>
          <w:rFonts w:hint="eastAsia" w:ascii="宋体" w:hAnsi="宋体" w:eastAsia="宋体" w:cs="宋体"/>
          <w:color w:val="000000"/>
          <w:sz w:val="24"/>
          <w:szCs w:val="24"/>
          <w:highlight w:val="none"/>
        </w:rPr>
      </w:r>
      <w:r/>
    </w:p>
    <w:p>
      <w:pPr>
        <w:pStyle w:val="945"/>
        <w:ind w:firstLine="482"/>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十五、合同的生效</w:t>
      </w:r>
      <w:r>
        <w:rPr>
          <w:rFonts w:hint="eastAsia" w:ascii="宋体" w:hAnsi="宋体" w:eastAsia="宋体" w:cs="宋体"/>
          <w:b/>
          <w:bCs/>
          <w:color w:val="000000"/>
          <w:sz w:val="24"/>
          <w:szCs w:val="24"/>
          <w:highlight w:val="none"/>
        </w:rPr>
      </w:r>
      <w:r/>
    </w:p>
    <w:p>
      <w:pPr>
        <w:pStyle w:val="945"/>
        <w:ind w:firstLine="482"/>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本合同在双方签字盖章后生效。</w:t>
      </w:r>
      <w:r>
        <w:rPr>
          <w:rFonts w:hint="eastAsia" w:ascii="宋体" w:hAnsi="宋体" w:eastAsia="宋体" w:cs="宋体"/>
          <w:color w:val="000000"/>
          <w:sz w:val="24"/>
          <w:szCs w:val="24"/>
          <w:highlight w:val="none"/>
        </w:rPr>
      </w:r>
      <w:r/>
    </w:p>
    <w:p>
      <w:pPr>
        <w:pStyle w:val="945"/>
        <w:ind w:firstLine="482"/>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十六、争议的解决</w:t>
      </w:r>
      <w:r>
        <w:rPr>
          <w:rFonts w:hint="eastAsia" w:ascii="宋体" w:hAnsi="宋体" w:eastAsia="宋体" w:cs="宋体"/>
          <w:b/>
          <w:bCs/>
          <w:color w:val="000000"/>
          <w:sz w:val="24"/>
          <w:szCs w:val="24"/>
          <w:highlight w:val="none"/>
        </w:rPr>
      </w:r>
      <w:r/>
    </w:p>
    <w:p>
      <w:pPr>
        <w:pStyle w:val="945"/>
        <w:ind w:firstLine="482"/>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甲乙双方因合同发生争议，应在招标机构的主持下进行调解，协商不成，任何一方可以向甲方所在地人民法院起诉。</w:t>
      </w:r>
      <w:r>
        <w:rPr>
          <w:rFonts w:hint="eastAsia" w:ascii="宋体" w:hAnsi="宋体" w:eastAsia="宋体" w:cs="宋体"/>
          <w:color w:val="000000"/>
          <w:sz w:val="24"/>
          <w:szCs w:val="24"/>
          <w:highlight w:val="none"/>
        </w:rPr>
      </w:r>
      <w:r/>
    </w:p>
    <w:p>
      <w:pPr>
        <w:pStyle w:val="945"/>
        <w:ind w:firstLine="482"/>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十七、附则</w:t>
      </w:r>
      <w:r>
        <w:rPr>
          <w:rFonts w:hint="eastAsia" w:ascii="宋体" w:hAnsi="宋体" w:eastAsia="宋体" w:cs="宋体"/>
          <w:b/>
          <w:bCs/>
          <w:color w:val="000000"/>
          <w:sz w:val="24"/>
          <w:szCs w:val="24"/>
          <w:highlight w:val="none"/>
        </w:rPr>
      </w:r>
      <w:r/>
    </w:p>
    <w:p>
      <w:pPr>
        <w:pStyle w:val="945"/>
        <w:ind w:firstLine="482"/>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1、合同份数：本合同一式陆份，甲方执贰份，乙方执贰份，招标机构一份，政府采购管理部门一份。</w:t>
      </w:r>
      <w:r>
        <w:rPr>
          <w:rFonts w:hint="eastAsia" w:ascii="宋体" w:hAnsi="宋体" w:eastAsia="宋体" w:cs="宋体"/>
          <w:color w:val="000000"/>
          <w:sz w:val="24"/>
          <w:szCs w:val="24"/>
          <w:highlight w:val="none"/>
        </w:rPr>
      </w:r>
      <w:r/>
    </w:p>
    <w:p>
      <w:pPr>
        <w:pStyle w:val="945"/>
        <w:ind w:firstLine="482"/>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2、本合同文件使用中文书写、解释和说明。</w:t>
      </w:r>
      <w:r>
        <w:rPr>
          <w:rFonts w:hint="eastAsia" w:ascii="宋体" w:hAnsi="宋体" w:eastAsia="宋体" w:cs="宋体"/>
          <w:color w:val="000000"/>
          <w:sz w:val="24"/>
          <w:szCs w:val="24"/>
          <w:highlight w:val="none"/>
        </w:rPr>
      </w:r>
      <w:r/>
    </w:p>
    <w:p>
      <w:pPr>
        <w:pStyle w:val="945"/>
        <w:ind w:firstLine="482"/>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3、本合同履行过程中产生的纪要、协议以及</w:t>
      </w:r>
      <w:r>
        <w:rPr>
          <w:rFonts w:hint="eastAsia" w:ascii="宋体" w:hAnsi="宋体" w:eastAsia="宋体" w:cs="宋体"/>
          <w:color w:val="000000"/>
          <w:sz w:val="24"/>
          <w:szCs w:val="24"/>
          <w:highlight w:val="none"/>
          <w:lang w:eastAsia="zh-CN"/>
        </w:rPr>
        <w:t xml:space="preserve">成交</w:t>
      </w:r>
      <w:r>
        <w:rPr>
          <w:rFonts w:hint="eastAsia" w:ascii="宋体" w:hAnsi="宋体" w:eastAsia="宋体" w:cs="宋体"/>
          <w:color w:val="000000"/>
          <w:sz w:val="24"/>
          <w:szCs w:val="24"/>
          <w:highlight w:val="none"/>
        </w:rPr>
        <w:t xml:space="preserve">通知书、投标响应文件和采购文件为本合同的附件，与合同具有同等效力。</w:t>
      </w:r>
      <w:r>
        <w:rPr>
          <w:rFonts w:hint="eastAsia" w:ascii="宋体" w:hAnsi="宋体" w:eastAsia="宋体" w:cs="宋体"/>
          <w:color w:val="000000"/>
          <w:sz w:val="24"/>
          <w:szCs w:val="24"/>
          <w:highlight w:val="none"/>
        </w:rPr>
      </w:r>
      <w:r/>
    </w:p>
    <w:p>
      <w:pPr>
        <w:pStyle w:val="945"/>
        <w:ind w:firstLine="482"/>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4、送达条款：</w:t>
      </w:r>
      <w:r>
        <w:rPr>
          <w:rFonts w:hint="eastAsia" w:ascii="宋体" w:hAnsi="宋体" w:eastAsia="宋体" w:cs="宋体"/>
          <w:color w:val="000000"/>
          <w:sz w:val="24"/>
          <w:szCs w:val="24"/>
          <w:highlight w:val="none"/>
        </w:rPr>
      </w:r>
      <w:r/>
    </w:p>
    <w:p>
      <w:pPr>
        <w:pStyle w:val="945"/>
        <w:ind w:firstLine="482"/>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就写明的联系地址及联系方式之任何一种，就本合同有关事项向对方发送相关通知等，均视为有效送达与告知对方，上述邮寄送达地址同时作为有效司法送达地址。一方变更通知或联系地址，应自变更之日其三日内，以书面形式通知对方；否则，用原方式或地址的送达视为有效送达，送达日为寄出后的第二日。</w:t>
      </w:r>
      <w:r>
        <w:rPr>
          <w:rFonts w:hint="eastAsia" w:ascii="宋体" w:hAnsi="宋体" w:eastAsia="宋体" w:cs="宋体"/>
          <w:color w:val="000000"/>
          <w:sz w:val="24"/>
          <w:szCs w:val="24"/>
          <w:highlight w:val="none"/>
        </w:rPr>
      </w:r>
      <w:r/>
    </w:p>
    <w:p>
      <w:pPr>
        <w:pStyle w:val="945"/>
        <w:ind w:firstLine="482"/>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5、未尽事宜</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本合同未尽事宜应按照《中华人民共和国民法典》、《中华人民共和国政府采购法》之规定解释。</w:t>
      </w:r>
      <w:r>
        <w:rPr>
          <w:rFonts w:hint="eastAsia" w:ascii="宋体" w:hAnsi="宋体" w:eastAsia="宋体" w:cs="宋体"/>
          <w:color w:val="000000"/>
          <w:sz w:val="24"/>
          <w:szCs w:val="24"/>
          <w:highlight w:val="none"/>
        </w:rPr>
      </w:r>
      <w:r/>
    </w:p>
    <w:p>
      <w:pPr>
        <w:pStyle w:val="97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甲    方：                                乙    方：</w:t>
      </w:r>
      <w:r>
        <w:rPr>
          <w:rFonts w:hint="eastAsia" w:ascii="宋体" w:hAnsi="宋体" w:eastAsia="宋体" w:cs="宋体"/>
          <w:bCs/>
          <w:color w:val="000000"/>
          <w:sz w:val="24"/>
          <w:szCs w:val="24"/>
          <w:highlight w:val="none"/>
        </w:rPr>
      </w:r>
      <w:r/>
    </w:p>
    <w:p>
      <w:pPr>
        <w:pStyle w:val="94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名称（公章）：                              名称（公章）：</w:t>
      </w:r>
      <w:r>
        <w:rPr>
          <w:rFonts w:hint="eastAsia" w:ascii="宋体" w:hAnsi="宋体" w:eastAsia="宋体" w:cs="宋体"/>
          <w:bCs/>
          <w:color w:val="000000"/>
          <w:sz w:val="24"/>
          <w:szCs w:val="24"/>
          <w:highlight w:val="none"/>
        </w:rPr>
      </w:r>
      <w:r/>
    </w:p>
    <w:p>
      <w:pPr>
        <w:pStyle w:val="94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法定代表人/负责人：                       法定代表人/负责人：</w:t>
      </w:r>
      <w:r>
        <w:rPr>
          <w:rFonts w:hint="eastAsia" w:ascii="宋体" w:hAnsi="宋体" w:eastAsia="宋体" w:cs="宋体"/>
          <w:bCs/>
          <w:color w:val="000000"/>
          <w:sz w:val="24"/>
          <w:szCs w:val="24"/>
          <w:highlight w:val="none"/>
        </w:rPr>
      </w:r>
      <w:r/>
    </w:p>
    <w:p>
      <w:pPr>
        <w:pStyle w:val="94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或授权代理人                              或授权代理人：</w:t>
      </w:r>
      <w:r>
        <w:rPr>
          <w:rFonts w:hint="eastAsia" w:ascii="宋体" w:hAnsi="宋体" w:eastAsia="宋体" w:cs="宋体"/>
          <w:bCs/>
          <w:color w:val="000000"/>
          <w:sz w:val="24"/>
          <w:szCs w:val="24"/>
          <w:highlight w:val="none"/>
        </w:rPr>
      </w:r>
      <w:r/>
    </w:p>
    <w:p>
      <w:pPr>
        <w:pStyle w:val="94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（签字）                                 （签字）</w:t>
      </w:r>
      <w:r>
        <w:rPr>
          <w:rFonts w:hint="eastAsia" w:ascii="宋体" w:hAnsi="宋体" w:eastAsia="宋体" w:cs="宋体"/>
          <w:bCs/>
          <w:color w:val="000000"/>
          <w:sz w:val="24"/>
          <w:szCs w:val="24"/>
          <w:highlight w:val="none"/>
        </w:rPr>
      </w:r>
      <w:r/>
    </w:p>
    <w:p>
      <w:pPr>
        <w:pStyle w:val="945"/>
        <w:ind w:firstLine="480"/>
        <w:spacing w:line="360" w:lineRule="auto"/>
        <w:rPr>
          <w:rFonts w:hint="eastAsia" w:ascii="宋体" w:hAnsi="宋体" w:eastAsia="宋体" w:cs="宋体"/>
          <w:b/>
          <w:color w:val="000000"/>
          <w:sz w:val="24"/>
          <w:szCs w:val="24"/>
          <w:highlight w:val="none"/>
        </w:rPr>
        <w:sectPr>
          <w:footnotePr/>
          <w:endnotePr/>
          <w:type w:val="nextPage"/>
          <w:pgSz w:w="11906" w:h="16838" w:orient="portrait"/>
          <w:pgMar w:top="1134" w:right="1134" w:bottom="1134" w:left="1134" w:header="851" w:footer="992" w:gutter="0"/>
          <w:cols w:num="1" w:sep="0" w:space="1701" w:equalWidth="1"/>
          <w:docGrid w:linePitch="360"/>
        </w:sectPr>
      </w:pPr>
      <w:r>
        <w:rPr>
          <w:rFonts w:hint="eastAsia" w:ascii="宋体" w:hAnsi="宋体" w:eastAsia="宋体" w:cs="宋体"/>
          <w:bCs/>
          <w:color w:val="000000"/>
          <w:sz w:val="24"/>
          <w:szCs w:val="24"/>
          <w:highlight w:val="none"/>
        </w:rPr>
        <w:t xml:space="preserve">签订日期：                                签订日期：</w:t>
      </w:r>
      <w:r>
        <w:rPr>
          <w:rFonts w:hint="eastAsia" w:ascii="宋体" w:hAnsi="宋体" w:eastAsia="宋体" w:cs="宋体"/>
          <w:b/>
          <w:color w:val="000000"/>
          <w:sz w:val="24"/>
          <w:szCs w:val="24"/>
          <w:highlight w:val="none"/>
        </w:rPr>
      </w:r>
      <w:r/>
    </w:p>
    <w:p>
      <w:pPr>
        <w:pStyle w:val="977"/>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第六章 评审方法及评审标准</w:t>
      </w:r>
      <w:r>
        <w:rPr>
          <w:rFonts w:hint="eastAsia" w:ascii="宋体" w:hAnsi="宋体" w:eastAsia="宋体" w:cs="宋体"/>
          <w:b/>
          <w:bCs/>
          <w:color w:val="000000"/>
          <w:sz w:val="24"/>
          <w:szCs w:val="24"/>
          <w:highlight w:val="none"/>
        </w:rPr>
      </w:r>
      <w:r/>
    </w:p>
    <w:p>
      <w:pPr>
        <w:pStyle w:val="945"/>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一、评审方法</w:t>
      </w:r>
      <w:r>
        <w:rPr>
          <w:rFonts w:hint="eastAsia" w:ascii="宋体" w:hAnsi="宋体" w:eastAsia="宋体" w:cs="宋体"/>
          <w:b/>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1、本次评审方法采用综合评分法，即在满足磋商文件实质性要求前提下，按照磋商文件中规定的评审标准和各项因素进行综合评审，以评审总得分最高的供应商作为成交候选人。</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综合评分的主要因素为：价格、人员配备、技术力量、项目方案、服务保障、供应商的综合情况、业绩、服务、承诺、对磋商文件的响应程度，以及相应的比重或者数值等。总分值为100分，评审因素及各比重如下：价格分值占总分值的比重为</w:t>
      </w: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％（权重），技术与质量及其它占</w:t>
      </w:r>
      <w:r>
        <w:rPr>
          <w:rFonts w:hint="eastAsia" w:ascii="宋体" w:hAnsi="宋体" w:eastAsia="宋体" w:cs="宋体"/>
          <w:color w:val="000000"/>
          <w:sz w:val="24"/>
          <w:szCs w:val="24"/>
          <w:highlight w:val="none"/>
          <w:lang w:val="en-US" w:eastAsia="zh-CN"/>
        </w:rPr>
        <w:t xml:space="preserve">70</w:t>
      </w:r>
      <w:r>
        <w:rPr>
          <w:rFonts w:hint="eastAsia" w:ascii="宋体" w:hAnsi="宋体" w:eastAsia="宋体" w:cs="宋体"/>
          <w:color w:val="000000"/>
          <w:sz w:val="24"/>
          <w:szCs w:val="24"/>
          <w:highlight w:val="none"/>
        </w:rPr>
        <w:t xml:space="preserve">％（权重）。</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评审时，磋商小组各成员应当独立对每个有效响应的文件进行评价、打分，然后汇总每个供应商每项评分因素的得分。将磋商小组各成员对响应文件的评审评分按算术平均法汇总，计算出每个供应商的得分（保留小数点后两位）。报价得分按文件规定的计算公式直接计算取得，技术、资质评审得分和价格标得分相加即为供应商的总得分。</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4、提供相同品牌产品且实质性响应的不同供应商参加同一合同项下磋商项目的，按一家供应商计算，评审后得分最高的同品牌供应商获得</w:t>
      </w:r>
      <w:r>
        <w:rPr>
          <w:rFonts w:hint="eastAsia" w:ascii="宋体" w:hAnsi="宋体" w:eastAsia="宋体" w:cs="宋体"/>
          <w:color w:val="000000"/>
          <w:sz w:val="24"/>
          <w:szCs w:val="24"/>
          <w:highlight w:val="none"/>
          <w:lang w:eastAsia="zh-CN"/>
        </w:rPr>
        <w:t xml:space="preserve">成交单位</w:t>
      </w:r>
      <w:r>
        <w:rPr>
          <w:rFonts w:hint="eastAsia" w:ascii="宋体" w:hAnsi="宋体" w:eastAsia="宋体" w:cs="宋体"/>
          <w:color w:val="000000"/>
          <w:sz w:val="24"/>
          <w:szCs w:val="24"/>
          <w:highlight w:val="none"/>
        </w:rPr>
        <w:t xml:space="preserve">推荐资格；评审得分相同的，由报价较低的供应商获得</w:t>
      </w:r>
      <w:r>
        <w:rPr>
          <w:rFonts w:hint="eastAsia" w:ascii="宋体" w:hAnsi="宋体" w:eastAsia="宋体" w:cs="宋体"/>
          <w:color w:val="000000"/>
          <w:sz w:val="24"/>
          <w:szCs w:val="24"/>
          <w:highlight w:val="none"/>
          <w:lang w:eastAsia="zh-CN"/>
        </w:rPr>
        <w:t xml:space="preserve">成交单位</w:t>
      </w:r>
      <w:r>
        <w:rPr>
          <w:rFonts w:hint="eastAsia" w:ascii="宋体" w:hAnsi="宋体" w:eastAsia="宋体" w:cs="宋体"/>
          <w:color w:val="000000"/>
          <w:sz w:val="24"/>
          <w:szCs w:val="24"/>
          <w:highlight w:val="none"/>
        </w:rPr>
        <w:t xml:space="preserve">推荐资格，如报价也相同，则采取随机抽取方式确定，其他同品牌供应商不作为</w:t>
      </w:r>
      <w:r>
        <w:rPr>
          <w:rFonts w:hint="eastAsia" w:ascii="宋体" w:hAnsi="宋体" w:eastAsia="宋体" w:cs="宋体"/>
          <w:color w:val="000000"/>
          <w:sz w:val="24"/>
          <w:szCs w:val="24"/>
          <w:highlight w:val="none"/>
          <w:lang w:eastAsia="zh-CN"/>
        </w:rPr>
        <w:t xml:space="preserve">成交单位</w:t>
      </w:r>
      <w:r>
        <w:rPr>
          <w:rFonts w:hint="eastAsia" w:ascii="宋体" w:hAnsi="宋体" w:eastAsia="宋体" w:cs="宋体"/>
          <w:color w:val="000000"/>
          <w:sz w:val="24"/>
          <w:szCs w:val="24"/>
          <w:highlight w:val="none"/>
        </w:rPr>
        <w:t xml:space="preserve">。非单一产品采购项目，多家供应商提供的核心产品（标注）品牌相同的，按上述规定处理。（如涉及）</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5、如出现评审总得分最高的供应商有两个或两个以上的，以实际最后报价较低者优先作为</w:t>
      </w:r>
      <w:r>
        <w:rPr>
          <w:rFonts w:hint="eastAsia" w:ascii="宋体" w:hAnsi="宋体" w:eastAsia="宋体" w:cs="宋体"/>
          <w:color w:val="000000"/>
          <w:sz w:val="24"/>
          <w:szCs w:val="24"/>
          <w:highlight w:val="none"/>
          <w:lang w:eastAsia="zh-CN"/>
        </w:rPr>
        <w:t xml:space="preserve">成交单位</w:t>
      </w:r>
      <w:r>
        <w:rPr>
          <w:rFonts w:hint="eastAsia" w:ascii="宋体" w:hAnsi="宋体" w:eastAsia="宋体" w:cs="宋体"/>
          <w:color w:val="000000"/>
          <w:sz w:val="24"/>
          <w:szCs w:val="24"/>
          <w:highlight w:val="none"/>
        </w:rPr>
        <w:t xml:space="preserve">，如果最后报价也相同的，以提供优先采购产品最多的供应商优先中标（如属优先采购产品），否则由磋商小组组织以抽签方式确定</w:t>
      </w:r>
      <w:r>
        <w:rPr>
          <w:rFonts w:hint="eastAsia" w:ascii="宋体" w:hAnsi="宋体" w:eastAsia="宋体" w:cs="宋体"/>
          <w:color w:val="000000"/>
          <w:sz w:val="24"/>
          <w:szCs w:val="24"/>
          <w:highlight w:val="none"/>
          <w:lang w:eastAsia="zh-CN"/>
        </w:rPr>
        <w:t xml:space="preserve">成交单位</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6、磋商小组对最后报价进行复核，报价以大写为准。</w:t>
      </w:r>
      <w:r>
        <w:rPr>
          <w:rFonts w:hint="eastAsia" w:ascii="宋体" w:hAnsi="宋体" w:eastAsia="宋体" w:cs="宋体"/>
          <w:color w:val="000000"/>
          <w:sz w:val="24"/>
          <w:szCs w:val="24"/>
          <w:highlight w:val="none"/>
        </w:rPr>
      </w:r>
      <w:r/>
    </w:p>
    <w:p>
      <w:pPr>
        <w:pStyle w:val="945"/>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二、评分标准：</w:t>
      </w:r>
      <w:r>
        <w:rPr>
          <w:rFonts w:hint="eastAsia" w:ascii="宋体" w:hAnsi="宋体" w:eastAsia="宋体" w:cs="宋体"/>
          <w:b/>
          <w:color w:val="000000"/>
          <w:sz w:val="24"/>
          <w:szCs w:val="24"/>
          <w:highlight w:val="none"/>
        </w:rPr>
      </w:r>
      <w:r/>
    </w:p>
    <w:p>
      <w:pPr>
        <w:pStyle w:val="945"/>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总分值为100分，评审因素及各比重如下：价格分值占总分值的比重为30％（权重），技术及其他分值占总分值的比重为70％（权重）。</w:t>
      </w:r>
      <w:r>
        <w:rPr>
          <w:rFonts w:hint="eastAsia" w:ascii="宋体" w:hAnsi="宋体" w:eastAsia="宋体" w:cs="宋体"/>
          <w:color w:val="000000"/>
          <w:highlight w:val="none"/>
        </w:rPr>
      </w:r>
      <w:r/>
    </w:p>
    <w:p>
      <w:pPr>
        <w:pStyle w:val="945"/>
        <w:ind w:firstLine="482"/>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（一）价格分（30分）</w:t>
      </w:r>
      <w:r>
        <w:rPr>
          <w:rFonts w:hint="eastAsia" w:ascii="宋体" w:hAnsi="宋体" w:eastAsia="宋体" w:cs="宋体"/>
          <w:b/>
          <w:color w:val="000000"/>
          <w:sz w:val="24"/>
          <w:szCs w:val="24"/>
          <w:highlight w:val="none"/>
        </w:rPr>
      </w:r>
      <w:r/>
    </w:p>
    <w:p>
      <w:pPr>
        <w:pStyle w:val="945"/>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第一步：投标报价在等于或者低于采购预算价格的，为有效投标报价。超出此范围的投标报价为无效投标报价。无效投标报价的投标文件不进行评审，也不得标。</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第二步：以满足招标文件实质性要求且投标价格最低的投标有效报价为评标基准价，其价格分为满分，即30分。其他有效投标报价分统一按照下列公式计算：</w:t>
      </w:r>
      <w:r>
        <w:rPr>
          <w:rFonts w:hint="eastAsia" w:ascii="宋体" w:hAnsi="宋体" w:eastAsia="宋体" w:cs="宋体"/>
          <w:color w:val="000000"/>
          <w:sz w:val="24"/>
          <w:szCs w:val="24"/>
          <w:highlight w:val="none"/>
        </w:rPr>
      </w:r>
      <w:r/>
    </w:p>
    <w:p>
      <w:pPr>
        <w:pStyle w:val="945"/>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u w:val="single"/>
        </w:rPr>
        <w:t xml:space="preserve">投标报价得分＝（基准报价/投标报价）×30％×100（保留到小数点后二位四舍五入）</w:t>
      </w:r>
      <w:r>
        <w:rPr>
          <w:rFonts w:hint="eastAsia" w:ascii="宋体" w:hAnsi="宋体" w:eastAsia="宋体" w:cs="宋体"/>
          <w:b/>
          <w:color w:val="000000"/>
          <w:sz w:val="24"/>
          <w:szCs w:val="24"/>
          <w:highlight w:val="none"/>
        </w:rPr>
      </w:r>
      <w:r/>
    </w:p>
    <w:p>
      <w:pPr>
        <w:pStyle w:val="945"/>
        <w:ind w:firstLine="482"/>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第一标段：</w:t>
      </w:r>
      <w:r>
        <w:rPr>
          <w:rFonts w:hint="eastAsia" w:ascii="宋体" w:hAnsi="宋体" w:eastAsia="宋体" w:cs="宋体"/>
          <w:color w:val="000000"/>
          <w:sz w:val="24"/>
          <w:szCs w:val="24"/>
          <w:highlight w:val="none"/>
          <w:lang w:eastAsia="zh-CN"/>
        </w:rPr>
        <w:t xml:space="preserve">理疗设备</w:t>
      </w:r>
      <w:r>
        <w:rPr>
          <w:rFonts w:hint="eastAsia" w:ascii="宋体" w:hAnsi="宋体" w:eastAsia="宋体" w:cs="宋体"/>
          <w:color w:val="000000"/>
          <w:sz w:val="24"/>
          <w:szCs w:val="24"/>
          <w:highlight w:val="none"/>
        </w:rPr>
        <w:t xml:space="preserve">、机能监控设备、训练评估设备</w:t>
      </w:r>
      <w:r>
        <w:rPr>
          <w:rFonts w:hint="eastAsia" w:ascii="宋体" w:hAnsi="宋体" w:eastAsia="宋体" w:cs="宋体"/>
          <w:b/>
          <w:color w:val="000000"/>
          <w:sz w:val="24"/>
          <w:szCs w:val="24"/>
          <w:highlight w:val="none"/>
        </w:rPr>
      </w:r>
      <w:r/>
    </w:p>
    <w:p>
      <w:pPr>
        <w:pStyle w:val="945"/>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（二）技术分（70分）</w:t>
      </w:r>
      <w:r>
        <w:rPr>
          <w:rFonts w:hint="eastAsia" w:ascii="宋体" w:hAnsi="宋体" w:eastAsia="宋体" w:cs="宋体"/>
          <w:bCs/>
          <w:color w:val="000000"/>
          <w:sz w:val="24"/>
          <w:szCs w:val="24"/>
          <w:highlight w:val="none"/>
        </w:rPr>
      </w:r>
      <w:r/>
    </w:p>
    <w:p>
      <w:pPr>
        <w:pStyle w:val="945"/>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1、所投设备技术、质量情况（</w:t>
      </w:r>
      <w:r>
        <w:rPr>
          <w:rFonts w:hint="eastAsia" w:ascii="宋体" w:hAnsi="宋体" w:eastAsia="宋体" w:cs="宋体"/>
          <w:bCs/>
          <w:color w:val="000000"/>
          <w:sz w:val="24"/>
          <w:szCs w:val="24"/>
          <w:highlight w:val="none"/>
          <w:lang w:val="en-US" w:eastAsia="zh-CN"/>
        </w:rPr>
        <w:t xml:space="preserve">30</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45"/>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①针对采购文件中列出的设备要求，提供投标产品性能指标对照表（格式自拟，供应商须并对照采购要求逐条列出，在投标文件中对应列出全部投标产品的性能项，并注明“无偏离”或“负偏离”，不得遗漏）。投标产品全部满足或高于采购要求的视为无偏离，得</w:t>
      </w:r>
      <w:r>
        <w:rPr>
          <w:rFonts w:hint="eastAsia" w:ascii="宋体" w:hAnsi="宋体" w:eastAsia="宋体" w:cs="宋体"/>
          <w:bCs/>
          <w:color w:val="000000"/>
          <w:sz w:val="24"/>
          <w:szCs w:val="24"/>
          <w:highlight w:val="none"/>
          <w:lang w:val="en-US" w:eastAsia="zh-CN"/>
        </w:rPr>
        <w:t xml:space="preserve">30</w:t>
      </w:r>
      <w:r>
        <w:rPr>
          <w:rFonts w:hint="eastAsia" w:ascii="宋体" w:hAnsi="宋体" w:eastAsia="宋体" w:cs="宋体"/>
          <w:bCs/>
          <w:color w:val="000000"/>
          <w:sz w:val="24"/>
          <w:szCs w:val="24"/>
          <w:highlight w:val="none"/>
        </w:rPr>
        <w:t xml:space="preserve">分。其中：标注“</w:t>
      </w:r>
      <w:r>
        <w:rPr>
          <w:rFonts w:hint="eastAsia" w:ascii="宋体" w:hAnsi="宋体" w:eastAsia="宋体" w:cs="宋体"/>
          <w:color w:val="000000"/>
          <w:sz w:val="21"/>
          <w:szCs w:val="21"/>
          <w:highlight w:val="none"/>
          <w:lang w:bidi="ar"/>
        </w:rPr>
        <w:t xml:space="preserve">▲</w:t>
      </w:r>
      <w:r>
        <w:rPr>
          <w:rFonts w:hint="eastAsia" w:ascii="宋体" w:hAnsi="宋体" w:eastAsia="宋体" w:cs="宋体"/>
          <w:bCs/>
          <w:color w:val="000000"/>
          <w:sz w:val="24"/>
          <w:szCs w:val="24"/>
          <w:highlight w:val="none"/>
        </w:rPr>
        <w:t xml:space="preserve">”性能指标若出现负偏离每项扣1分；其他一般性能指标若出现负偏离每项扣0.5分。</w:t>
      </w:r>
      <w:r>
        <w:rPr>
          <w:rFonts w:hint="eastAsia" w:ascii="宋体" w:hAnsi="宋体" w:eastAsia="宋体" w:cs="宋体"/>
          <w:bCs/>
          <w:color w:val="000000"/>
          <w:sz w:val="24"/>
          <w:szCs w:val="24"/>
          <w:highlight w:val="none"/>
        </w:rPr>
      </w:r>
      <w:r/>
    </w:p>
    <w:p>
      <w:pPr>
        <w:pStyle w:val="945"/>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注：产品要求中的“</w:t>
      </w:r>
      <w:r>
        <w:rPr>
          <w:rFonts w:hint="eastAsia" w:ascii="宋体" w:hAnsi="宋体" w:eastAsia="宋体" w:cs="宋体"/>
          <w:color w:val="000000"/>
          <w:sz w:val="21"/>
          <w:szCs w:val="21"/>
          <w:highlight w:val="none"/>
          <w:lang w:bidi="ar"/>
        </w:rPr>
        <w:t xml:space="preserve">▲</w:t>
      </w:r>
      <w:r>
        <w:rPr>
          <w:rFonts w:hint="eastAsia" w:ascii="宋体" w:hAnsi="宋体" w:eastAsia="宋体" w:cs="宋体"/>
          <w:bCs/>
          <w:color w:val="000000"/>
          <w:sz w:val="24"/>
          <w:szCs w:val="24"/>
          <w:highlight w:val="none"/>
        </w:rPr>
        <w:t xml:space="preserve">”项技术情况，投标单位必须</w:t>
      </w:r>
      <w:r>
        <w:rPr>
          <w:rFonts w:ascii="宋体" w:eastAsia="宋体" w:cs="宋体"/>
          <w:color w:val="000000"/>
          <w:sz w:val="24"/>
          <w:szCs w:val="24"/>
          <w:highlight w:val="none"/>
        </w:rPr>
        <w:t xml:space="preserve">提供计量检测部门出具的检测报告或制造商公开发行的仪器说明书或产品彩页或官网截图复印件作为证明材料</w:t>
      </w:r>
      <w:r>
        <w:rPr>
          <w:rFonts w:hint="eastAsia" w:ascii="宋体" w:eastAsia="宋体" w:cs="宋体"/>
          <w:color w:val="000000"/>
          <w:sz w:val="24"/>
          <w:szCs w:val="24"/>
          <w:highlight w:val="none"/>
        </w:rPr>
        <w:t xml:space="preserve">，否则对应项不得分</w:t>
      </w:r>
      <w:r>
        <w:rPr>
          <w:rFonts w:asci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r>
      <w:r/>
    </w:p>
    <w:p>
      <w:pPr>
        <w:pStyle w:val="945"/>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2、针对本项目各方案比较（36分）</w:t>
      </w:r>
      <w:r>
        <w:rPr>
          <w:rFonts w:hint="eastAsia" w:ascii="宋体" w:hAnsi="宋体" w:eastAsia="宋体" w:cs="宋体"/>
          <w:bCs/>
          <w:color w:val="000000"/>
          <w:sz w:val="24"/>
          <w:szCs w:val="24"/>
          <w:highlight w:val="none"/>
        </w:rPr>
      </w:r>
      <w:r/>
    </w:p>
    <w:p>
      <w:pPr>
        <w:pStyle w:val="945"/>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①</w:t>
      </w:r>
      <w:r>
        <w:rPr>
          <w:rFonts w:hint="eastAsia" w:ascii="宋体" w:hAnsi="宋体" w:eastAsia="宋体"/>
          <w:color w:val="000000"/>
          <w:spacing w:val="-6"/>
          <w:sz w:val="24"/>
          <w:szCs w:val="24"/>
          <w:highlight w:val="none"/>
        </w:rPr>
        <w:t xml:space="preserve">根据投标人提供的针对本项目的实施方案进行评分</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945"/>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内容详细完整、技术可行性强、流程标准规范、高度契合实际情况的得9分；</w:t>
      </w:r>
      <w:r>
        <w:rPr>
          <w:rFonts w:hint="eastAsia" w:ascii="宋体" w:hAnsi="宋体" w:eastAsia="宋体" w:cs="宋体"/>
          <w:bCs/>
          <w:color w:val="000000"/>
          <w:sz w:val="24"/>
          <w:szCs w:val="24"/>
          <w:highlight w:val="none"/>
        </w:rPr>
      </w:r>
      <w:r/>
    </w:p>
    <w:p>
      <w:pPr>
        <w:pStyle w:val="945"/>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内容较为完整、技术可行性较强、流程符合规范的得7分；</w:t>
      </w:r>
      <w:r>
        <w:rPr>
          <w:rFonts w:hint="eastAsia" w:ascii="宋体" w:hAnsi="宋体" w:eastAsia="宋体" w:cs="宋体"/>
          <w:bCs/>
          <w:color w:val="000000"/>
          <w:sz w:val="24"/>
          <w:szCs w:val="24"/>
          <w:highlight w:val="none"/>
        </w:rPr>
      </w:r>
      <w:r/>
    </w:p>
    <w:p>
      <w:pPr>
        <w:pStyle w:val="945"/>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内容简单、技术可行性一般、流程基本符合规范的得4分；</w:t>
      </w:r>
      <w:r>
        <w:rPr>
          <w:rFonts w:hint="eastAsia" w:ascii="宋体" w:hAnsi="宋体" w:eastAsia="宋体" w:cs="宋体"/>
          <w:bCs/>
          <w:color w:val="000000"/>
          <w:sz w:val="24"/>
          <w:szCs w:val="24"/>
          <w:highlight w:val="none"/>
        </w:rPr>
      </w:r>
      <w:r/>
    </w:p>
    <w:p>
      <w:pPr>
        <w:pStyle w:val="945"/>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内容笼统、技术可行性弱、流程规范性有不足的得2分；未提供内容的不得分。</w:t>
      </w:r>
      <w:r>
        <w:rPr>
          <w:rFonts w:hint="eastAsia" w:ascii="宋体" w:hAnsi="宋体" w:eastAsia="宋体" w:cs="宋体"/>
          <w:bCs/>
          <w:color w:val="000000"/>
          <w:sz w:val="24"/>
          <w:szCs w:val="24"/>
          <w:highlight w:val="none"/>
        </w:rPr>
      </w:r>
      <w:r/>
    </w:p>
    <w:p>
      <w:pPr>
        <w:pStyle w:val="945"/>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②根据投标人提供的针对本项目的服务保障方案进行评分：</w:t>
      </w:r>
      <w:r>
        <w:rPr>
          <w:rFonts w:hint="eastAsia" w:ascii="宋体" w:hAnsi="宋体" w:eastAsia="宋体" w:cs="宋体"/>
          <w:bCs/>
          <w:color w:val="000000"/>
          <w:sz w:val="24"/>
          <w:szCs w:val="24"/>
          <w:highlight w:val="none"/>
        </w:rPr>
      </w:r>
      <w:r/>
    </w:p>
    <w:p>
      <w:pPr>
        <w:pStyle w:val="945"/>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内容详细完整、技术可行性强、流程标准规范、高度契合实际情况的得9分；</w:t>
      </w:r>
      <w:r>
        <w:rPr>
          <w:rFonts w:hint="eastAsia" w:ascii="宋体" w:hAnsi="宋体" w:eastAsia="宋体" w:cs="宋体"/>
          <w:bCs/>
          <w:color w:val="000000"/>
          <w:sz w:val="24"/>
          <w:szCs w:val="24"/>
          <w:highlight w:val="none"/>
        </w:rPr>
      </w:r>
      <w:r/>
    </w:p>
    <w:p>
      <w:pPr>
        <w:pStyle w:val="945"/>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内容较为完整、技术可行性较强、流程符合规范的得7分；</w:t>
      </w:r>
      <w:r>
        <w:rPr>
          <w:rFonts w:hint="eastAsia" w:ascii="宋体" w:hAnsi="宋体" w:eastAsia="宋体" w:cs="宋体"/>
          <w:bCs/>
          <w:color w:val="000000"/>
          <w:sz w:val="24"/>
          <w:szCs w:val="24"/>
          <w:highlight w:val="none"/>
        </w:rPr>
      </w:r>
      <w:r/>
    </w:p>
    <w:p>
      <w:pPr>
        <w:pStyle w:val="945"/>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内容简单、技术可行性一般、流程基本符合规范的得4分；</w:t>
      </w:r>
      <w:r>
        <w:rPr>
          <w:rFonts w:hint="eastAsia" w:ascii="宋体" w:hAnsi="宋体" w:eastAsia="宋体" w:cs="宋体"/>
          <w:bCs/>
          <w:color w:val="000000"/>
          <w:sz w:val="24"/>
          <w:szCs w:val="24"/>
          <w:highlight w:val="none"/>
        </w:rPr>
      </w:r>
      <w:r/>
    </w:p>
    <w:p>
      <w:pPr>
        <w:pStyle w:val="945"/>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内容笼统、技术可行性弱、流程规范性有不足的得2分；未提供内容的不得分。</w:t>
      </w:r>
      <w:r>
        <w:rPr>
          <w:rFonts w:hint="eastAsia" w:ascii="宋体" w:hAnsi="宋体" w:eastAsia="宋体" w:cs="宋体"/>
          <w:bCs/>
          <w:color w:val="000000"/>
          <w:sz w:val="24"/>
          <w:szCs w:val="24"/>
          <w:highlight w:val="none"/>
        </w:rPr>
      </w:r>
      <w:r/>
    </w:p>
    <w:p>
      <w:pPr>
        <w:pStyle w:val="945"/>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③根据投标人提供的针对本项目的人员培训方案进行评分：</w:t>
      </w:r>
      <w:r>
        <w:rPr>
          <w:rFonts w:hint="eastAsia" w:ascii="宋体" w:hAnsi="宋体" w:eastAsia="宋体" w:cs="宋体"/>
          <w:bCs/>
          <w:color w:val="000000"/>
          <w:sz w:val="24"/>
          <w:szCs w:val="24"/>
          <w:highlight w:val="none"/>
        </w:rPr>
      </w:r>
      <w:r/>
    </w:p>
    <w:p>
      <w:pPr>
        <w:pStyle w:val="945"/>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内容详细完整、技术可行性强、流程标准规范、高度契合实际情况的得9分；</w:t>
      </w:r>
      <w:r>
        <w:rPr>
          <w:rFonts w:hint="eastAsia" w:ascii="宋体" w:hAnsi="宋体" w:eastAsia="宋体" w:cs="宋体"/>
          <w:bCs/>
          <w:color w:val="000000"/>
          <w:sz w:val="24"/>
          <w:szCs w:val="24"/>
          <w:highlight w:val="none"/>
        </w:rPr>
      </w:r>
      <w:r/>
    </w:p>
    <w:p>
      <w:pPr>
        <w:pStyle w:val="945"/>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内容较为完整、技术可行性较强、流程符合规范的得7分；</w:t>
      </w:r>
      <w:r>
        <w:rPr>
          <w:rFonts w:hint="eastAsia" w:ascii="宋体" w:hAnsi="宋体" w:eastAsia="宋体" w:cs="宋体"/>
          <w:bCs/>
          <w:color w:val="000000"/>
          <w:sz w:val="24"/>
          <w:szCs w:val="24"/>
          <w:highlight w:val="none"/>
        </w:rPr>
      </w:r>
      <w:r/>
    </w:p>
    <w:p>
      <w:pPr>
        <w:pStyle w:val="945"/>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内容简单、技术可行性一般、流程基本符合规范的得4分；</w:t>
      </w:r>
      <w:r>
        <w:rPr>
          <w:rFonts w:hint="eastAsia" w:ascii="宋体" w:hAnsi="宋体" w:eastAsia="宋体" w:cs="宋体"/>
          <w:bCs/>
          <w:color w:val="000000"/>
          <w:sz w:val="24"/>
          <w:szCs w:val="24"/>
          <w:highlight w:val="none"/>
        </w:rPr>
      </w:r>
      <w:r/>
    </w:p>
    <w:p>
      <w:pPr>
        <w:pStyle w:val="945"/>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内容笼统、技术可行性弱、流程规范性有不足的得2分；未提供内容的不得分。</w:t>
      </w:r>
      <w:r>
        <w:rPr>
          <w:rFonts w:hint="eastAsia" w:ascii="宋体" w:hAnsi="宋体" w:eastAsia="宋体" w:cs="宋体"/>
          <w:bCs/>
          <w:color w:val="000000"/>
          <w:sz w:val="24"/>
          <w:szCs w:val="24"/>
          <w:highlight w:val="none"/>
        </w:rPr>
      </w:r>
      <w:r/>
    </w:p>
    <w:p>
      <w:pPr>
        <w:pStyle w:val="945"/>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fldChar w:fldCharType="begin"/>
      </w:r>
      <w:r>
        <w:rPr>
          <w:rFonts w:hint="eastAsia" w:ascii="宋体" w:hAnsi="宋体" w:eastAsia="宋体" w:cs="宋体"/>
          <w:bCs/>
          <w:color w:val="000000"/>
          <w:sz w:val="24"/>
          <w:szCs w:val="24"/>
          <w:highlight w:val="none"/>
        </w:rPr>
        <w:instrText xml:space="preserve"> = 4 \* GB3 </w:instrText>
      </w:r>
      <w:r>
        <w:rPr>
          <w:rFonts w:hint="eastAsia" w:ascii="宋体" w:hAnsi="宋体" w:eastAsia="宋体" w:cs="宋体"/>
          <w:bCs/>
          <w:color w:val="000000"/>
          <w:sz w:val="24"/>
          <w:szCs w:val="24"/>
          <w:highlight w:val="none"/>
        </w:rPr>
        <w:fldChar w:fldCharType="separate"/>
      </w:r>
      <w:r>
        <w:rPr>
          <w:rFonts w:hint="eastAsia" w:ascii="宋体" w:hAnsi="宋体" w:eastAsia="宋体" w:cs="宋体"/>
          <w:bCs/>
          <w:color w:val="000000"/>
          <w:sz w:val="24"/>
          <w:szCs w:val="24"/>
          <w:highlight w:val="none"/>
        </w:rPr>
        <w:t xml:space="preserve">④</w:t>
      </w:r>
      <w:r>
        <w:rPr>
          <w:rFonts w:hint="eastAsia" w:ascii="宋体" w:hAnsi="宋体" w:eastAsia="宋体" w:cs="宋体"/>
          <w:bCs/>
          <w:color w:val="000000"/>
          <w:sz w:val="24"/>
          <w:szCs w:val="24"/>
          <w:highlight w:val="none"/>
        </w:rPr>
        <w:fldChar w:fldCharType="end"/>
      </w:r>
      <w:r>
        <w:rPr>
          <w:rFonts w:hint="eastAsia" w:ascii="宋体" w:hAnsi="宋体" w:eastAsia="宋体" w:cs="宋体"/>
          <w:bCs/>
          <w:color w:val="000000"/>
          <w:sz w:val="24"/>
          <w:szCs w:val="24"/>
          <w:highlight w:val="none"/>
        </w:rPr>
        <w:t xml:space="preserve">根据投标人提供的针对本项目的应急预案进行评分：</w:t>
      </w:r>
      <w:r>
        <w:rPr>
          <w:rFonts w:hint="eastAsia" w:ascii="宋体" w:hAnsi="宋体" w:eastAsia="宋体" w:cs="宋体"/>
          <w:bCs/>
          <w:color w:val="000000"/>
          <w:sz w:val="24"/>
          <w:szCs w:val="24"/>
          <w:highlight w:val="none"/>
        </w:rPr>
      </w:r>
      <w:r/>
    </w:p>
    <w:p>
      <w:pPr>
        <w:pStyle w:val="945"/>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内容详细完整、技术可行性强、流程标准规范、高度契合实际情况的得9分；</w:t>
      </w:r>
      <w:r>
        <w:rPr>
          <w:rFonts w:hint="eastAsia" w:ascii="宋体" w:hAnsi="宋体" w:eastAsia="宋体" w:cs="宋体"/>
          <w:bCs/>
          <w:color w:val="000000"/>
          <w:sz w:val="24"/>
          <w:szCs w:val="24"/>
          <w:highlight w:val="none"/>
        </w:rPr>
      </w:r>
      <w:r/>
    </w:p>
    <w:p>
      <w:pPr>
        <w:pStyle w:val="945"/>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内容较为完整、技术可行性较强、流程符合规范的得7分；</w:t>
      </w:r>
      <w:r>
        <w:rPr>
          <w:rFonts w:hint="eastAsia" w:ascii="宋体" w:hAnsi="宋体" w:eastAsia="宋体" w:cs="宋体"/>
          <w:bCs/>
          <w:color w:val="000000"/>
          <w:sz w:val="24"/>
          <w:szCs w:val="24"/>
          <w:highlight w:val="none"/>
        </w:rPr>
      </w:r>
      <w:r/>
    </w:p>
    <w:p>
      <w:pPr>
        <w:pStyle w:val="945"/>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内容简单、技术可行性一般、流程基本符合规范的得4分；</w:t>
      </w:r>
      <w:r>
        <w:rPr>
          <w:rFonts w:hint="eastAsia" w:ascii="宋体" w:hAnsi="宋体" w:eastAsia="宋体" w:cs="宋体"/>
          <w:bCs/>
          <w:color w:val="000000"/>
          <w:sz w:val="24"/>
          <w:szCs w:val="24"/>
          <w:highlight w:val="none"/>
        </w:rPr>
      </w:r>
      <w:r/>
    </w:p>
    <w:p>
      <w:pPr>
        <w:pStyle w:val="945"/>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内容笼统、技术可行性弱、流程规范性有不足的得2分；未提供内容的不得分。</w:t>
      </w:r>
      <w:r>
        <w:rPr>
          <w:rFonts w:hint="eastAsia" w:ascii="宋体" w:hAnsi="宋体" w:eastAsia="宋体" w:cs="宋体"/>
          <w:bCs/>
          <w:color w:val="000000"/>
          <w:sz w:val="24"/>
          <w:szCs w:val="24"/>
          <w:highlight w:val="none"/>
        </w:rPr>
      </w:r>
      <w:r/>
    </w:p>
    <w:p>
      <w:pPr>
        <w:pStyle w:val="94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eastAsia="宋体" w:cs="宋体"/>
          <w:color w:val="000000"/>
          <w:sz w:val="24"/>
          <w:szCs w:val="24"/>
          <w:highlight w:val="none"/>
        </w:rPr>
        <w:t xml:space="preserve">综合实力</w:t>
      </w:r>
      <w:r>
        <w:rPr>
          <w:rFonts w:hint="eastAsia" w:ascii="宋体" w:hAnsi="宋体" w:eastAsia="宋体" w:cs="宋体"/>
          <w:bCs/>
          <w:color w:val="000000"/>
          <w:sz w:val="24"/>
          <w:szCs w:val="24"/>
          <w:highlight w:val="none"/>
        </w:rPr>
        <w:t xml:space="preserve">（4分）</w:t>
      </w:r>
      <w:r>
        <w:rPr>
          <w:rFonts w:hint="eastAsia" w:ascii="宋体" w:hAnsi="宋体" w:eastAsia="宋体" w:cs="宋体"/>
          <w:bCs/>
          <w:color w:val="000000"/>
          <w:sz w:val="24"/>
          <w:szCs w:val="24"/>
          <w:highlight w:val="none"/>
        </w:rPr>
      </w:r>
      <w:r/>
    </w:p>
    <w:p>
      <w:pPr>
        <w:pStyle w:val="945"/>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①投标单位自2023年1月至今（以合同签订日期为准），具有类似项目业绩，每提供一份得2分，最高4分。（提供完整业绩合同证明材料扫描件并加盖公章）。</w:t>
      </w:r>
      <w:r>
        <w:rPr>
          <w:rFonts w:hint="eastAsia" w:ascii="宋体" w:hAnsi="宋体" w:eastAsia="宋体" w:cs="宋体"/>
          <w:bCs/>
          <w:color w:val="000000"/>
          <w:sz w:val="24"/>
          <w:szCs w:val="24"/>
          <w:highlight w:val="none"/>
        </w:rPr>
      </w:r>
      <w:r/>
    </w:p>
    <w:p>
      <w:pPr>
        <w:pStyle w:val="945"/>
        <w:ind w:firstLine="482"/>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45"/>
        <w:ind w:firstLine="482"/>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第二标段：</w:t>
      </w:r>
      <w:r>
        <w:rPr>
          <w:rFonts w:hint="eastAsia" w:ascii="宋体" w:hAnsi="宋体" w:eastAsia="宋体" w:cs="宋体"/>
          <w:color w:val="000000"/>
          <w:sz w:val="24"/>
          <w:szCs w:val="24"/>
          <w:highlight w:val="none"/>
        </w:rPr>
        <w:t xml:space="preserve">体质监测设备</w:t>
      </w:r>
      <w:r>
        <w:rPr>
          <w:rFonts w:hint="eastAsia" w:ascii="宋体" w:hAnsi="宋体" w:eastAsia="宋体" w:cs="宋体"/>
          <w:b/>
          <w:color w:val="000000"/>
          <w:sz w:val="24"/>
          <w:szCs w:val="24"/>
          <w:highlight w:val="none"/>
        </w:rPr>
      </w:r>
      <w:r/>
    </w:p>
    <w:p>
      <w:pPr>
        <w:pStyle w:val="945"/>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（二）技术分（70分）</w:t>
      </w:r>
      <w:r>
        <w:rPr>
          <w:rFonts w:hint="eastAsia" w:ascii="宋体" w:hAnsi="宋体" w:eastAsia="宋体" w:cs="宋体"/>
          <w:bCs/>
          <w:color w:val="000000"/>
          <w:sz w:val="24"/>
          <w:szCs w:val="24"/>
          <w:highlight w:val="none"/>
        </w:rPr>
      </w:r>
      <w:r/>
    </w:p>
    <w:p>
      <w:pPr>
        <w:pStyle w:val="945"/>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1、所投设备技术、质量情况（</w:t>
      </w:r>
      <w:r>
        <w:rPr>
          <w:rFonts w:hint="eastAsia" w:ascii="宋体" w:hAnsi="宋体" w:eastAsia="宋体" w:cs="宋体"/>
          <w:bCs/>
          <w:color w:val="000000"/>
          <w:sz w:val="24"/>
          <w:szCs w:val="24"/>
          <w:highlight w:val="none"/>
          <w:lang w:val="en-US" w:eastAsia="zh-CN"/>
        </w:rPr>
        <w:t xml:space="preserve">18</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45"/>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①针对采购文件中列出的设备要求，提供投标产品性能指标对照表（格式自拟，供应商须并对照采购要求逐条列出，在投标文件中对应列出全部投标产品的性能项，并注明“无偏离”或“负偏离”，不得遗漏）。投标产品全部满足或高于采购要求的视为无偏离，得</w:t>
      </w:r>
      <w:r>
        <w:rPr>
          <w:rFonts w:hint="eastAsia" w:ascii="宋体" w:hAnsi="宋体" w:eastAsia="宋体" w:cs="宋体"/>
          <w:bCs/>
          <w:color w:val="000000"/>
          <w:sz w:val="24"/>
          <w:szCs w:val="24"/>
          <w:highlight w:val="none"/>
          <w:lang w:val="en-US" w:eastAsia="zh-CN"/>
        </w:rPr>
        <w:t xml:space="preserve">18</w:t>
      </w:r>
      <w:r>
        <w:rPr>
          <w:rFonts w:hint="eastAsia" w:ascii="宋体" w:hAnsi="宋体" w:eastAsia="宋体" w:cs="宋体"/>
          <w:bCs/>
          <w:color w:val="000000"/>
          <w:sz w:val="24"/>
          <w:szCs w:val="24"/>
          <w:highlight w:val="none"/>
        </w:rPr>
        <w:t xml:space="preserve">分。其中：标注“</w:t>
      </w:r>
      <w:r>
        <w:rPr>
          <w:rFonts w:hint="eastAsia" w:ascii="宋体" w:hAnsi="宋体" w:eastAsia="宋体" w:cs="宋体"/>
          <w:color w:val="000000"/>
          <w:sz w:val="21"/>
          <w:szCs w:val="21"/>
          <w:highlight w:val="none"/>
          <w:lang w:bidi="ar"/>
        </w:rPr>
        <w:t xml:space="preserve">▲</w:t>
      </w:r>
      <w:r>
        <w:rPr>
          <w:rFonts w:hint="eastAsia" w:ascii="宋体" w:hAnsi="宋体" w:eastAsia="宋体" w:cs="宋体"/>
          <w:bCs/>
          <w:color w:val="000000"/>
          <w:sz w:val="24"/>
          <w:szCs w:val="24"/>
          <w:highlight w:val="none"/>
        </w:rPr>
        <w:t xml:space="preserve">”性能指标若出现负偏离每项扣1分；其他一般性能指标若出现负偏离每项扣0.5分。</w:t>
      </w:r>
      <w:r>
        <w:rPr>
          <w:rFonts w:hint="eastAsia" w:ascii="宋体" w:hAnsi="宋体" w:eastAsia="宋体" w:cs="宋体"/>
          <w:bCs/>
          <w:color w:val="000000"/>
          <w:sz w:val="24"/>
          <w:szCs w:val="24"/>
          <w:highlight w:val="none"/>
        </w:rPr>
      </w:r>
      <w:r/>
    </w:p>
    <w:p>
      <w:pPr>
        <w:pStyle w:val="945"/>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注：产品要求中的“</w:t>
      </w:r>
      <w:r>
        <w:rPr>
          <w:rFonts w:hint="eastAsia" w:ascii="宋体" w:hAnsi="宋体" w:eastAsia="宋体" w:cs="宋体"/>
          <w:color w:val="000000"/>
          <w:sz w:val="21"/>
          <w:szCs w:val="21"/>
          <w:highlight w:val="none"/>
          <w:lang w:bidi="ar"/>
        </w:rPr>
        <w:t xml:space="preserve">▲</w:t>
      </w:r>
      <w:r>
        <w:rPr>
          <w:rFonts w:hint="eastAsia" w:ascii="宋体" w:hAnsi="宋体" w:eastAsia="宋体" w:cs="宋体"/>
          <w:bCs/>
          <w:color w:val="000000"/>
          <w:sz w:val="24"/>
          <w:szCs w:val="24"/>
          <w:highlight w:val="none"/>
        </w:rPr>
        <w:t xml:space="preserve">”项技术情况，投标单位必须</w:t>
      </w:r>
      <w:r>
        <w:rPr>
          <w:rFonts w:ascii="宋体" w:eastAsia="宋体" w:cs="宋体"/>
          <w:color w:val="000000"/>
          <w:sz w:val="24"/>
          <w:szCs w:val="24"/>
          <w:highlight w:val="none"/>
        </w:rPr>
        <w:t xml:space="preserve">提供计量检测部门出具的检测报告或制造商公开发行的仪器说明书或产品彩页或官网截图复印件作为证明材料</w:t>
      </w:r>
      <w:r>
        <w:rPr>
          <w:rFonts w:hint="eastAsia" w:ascii="宋体" w:eastAsia="宋体" w:cs="宋体"/>
          <w:color w:val="000000"/>
          <w:sz w:val="24"/>
          <w:szCs w:val="24"/>
          <w:highlight w:val="none"/>
        </w:rPr>
        <w:t xml:space="preserve">，否则对应项不得分</w:t>
      </w:r>
      <w:r>
        <w:rPr>
          <w:rFonts w:asci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r>
      <w:r/>
    </w:p>
    <w:p>
      <w:pPr>
        <w:pStyle w:val="945"/>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2、针对本项目各方案比较（</w:t>
      </w:r>
      <w:r>
        <w:rPr>
          <w:rFonts w:hint="eastAsia" w:ascii="宋体" w:hAnsi="宋体" w:eastAsia="宋体" w:cs="宋体"/>
          <w:bCs/>
          <w:color w:val="000000"/>
          <w:sz w:val="24"/>
          <w:szCs w:val="24"/>
          <w:highlight w:val="none"/>
          <w:lang w:val="en-US" w:eastAsia="zh-CN"/>
        </w:rPr>
        <w:t xml:space="preserve">48</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45"/>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①</w:t>
      </w:r>
      <w:r>
        <w:rPr>
          <w:rFonts w:hint="eastAsia" w:ascii="宋体" w:hAnsi="宋体" w:eastAsia="宋体"/>
          <w:color w:val="000000"/>
          <w:spacing w:val="-6"/>
          <w:sz w:val="24"/>
          <w:szCs w:val="24"/>
          <w:highlight w:val="none"/>
        </w:rPr>
        <w:t xml:space="preserve">根据投标人提供的针对本项目的实施方案进行评分</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945"/>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内容详细完整、技术可行性强、流程标准规范、高度契合实际情况的得</w:t>
      </w:r>
      <w:r>
        <w:rPr>
          <w:rFonts w:hint="eastAsia" w:ascii="宋体" w:hAnsi="宋体" w:eastAsia="宋体" w:cs="宋体"/>
          <w:bCs/>
          <w:color w:val="000000"/>
          <w:sz w:val="24"/>
          <w:szCs w:val="24"/>
          <w:highlight w:val="none"/>
          <w:lang w:val="en-US" w:eastAsia="zh-CN"/>
        </w:rPr>
        <w:t xml:space="preserve">12</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45"/>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内容较为完整、技术可行性较强、流程符合规范的得</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45"/>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内容简单、技术可行性一般、流程基本符合规范的得</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45"/>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内容笼统、技术可行性弱、流程规范性有不足的得</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分；未提供内容的不得分。</w:t>
      </w:r>
      <w:r>
        <w:rPr>
          <w:rFonts w:hint="eastAsia" w:ascii="宋体" w:hAnsi="宋体" w:eastAsia="宋体" w:cs="宋体"/>
          <w:bCs/>
          <w:color w:val="000000"/>
          <w:sz w:val="24"/>
          <w:szCs w:val="24"/>
          <w:highlight w:val="none"/>
        </w:rPr>
      </w:r>
      <w:r/>
    </w:p>
    <w:p>
      <w:pPr>
        <w:pStyle w:val="945"/>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②根据投标人提供的针对本项目的服务保障方案进行评分：</w:t>
      </w:r>
      <w:r>
        <w:rPr>
          <w:rFonts w:hint="eastAsia" w:ascii="宋体" w:hAnsi="宋体" w:eastAsia="宋体" w:cs="宋体"/>
          <w:bCs/>
          <w:color w:val="000000"/>
          <w:sz w:val="24"/>
          <w:szCs w:val="24"/>
          <w:highlight w:val="none"/>
        </w:rPr>
      </w:r>
      <w:r/>
    </w:p>
    <w:p>
      <w:pPr>
        <w:pStyle w:val="945"/>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内容详细完整、技术可行性强、流程标准规范、高度契合实际情况的得</w:t>
      </w:r>
      <w:r>
        <w:rPr>
          <w:rFonts w:hint="eastAsia" w:ascii="宋体" w:hAnsi="宋体" w:eastAsia="宋体" w:cs="宋体"/>
          <w:bCs/>
          <w:color w:val="000000"/>
          <w:sz w:val="24"/>
          <w:szCs w:val="24"/>
          <w:highlight w:val="none"/>
          <w:lang w:val="en-US" w:eastAsia="zh-CN"/>
        </w:rPr>
        <w:t xml:space="preserve">12</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45"/>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内容较为完整、技术可行性较强、流程符合规范的得</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45"/>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内容简单、技术可行性一般、流程基本符合规范的得</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45"/>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内容笼统、技术可行性弱、流程规范性有不足的得</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分；未提供内容的不得分。</w:t>
      </w:r>
      <w:r>
        <w:rPr>
          <w:rFonts w:hint="eastAsia" w:ascii="宋体" w:hAnsi="宋体" w:eastAsia="宋体" w:cs="宋体"/>
          <w:bCs/>
          <w:color w:val="000000"/>
          <w:sz w:val="24"/>
          <w:szCs w:val="24"/>
          <w:highlight w:val="none"/>
        </w:rPr>
      </w:r>
      <w:r/>
    </w:p>
    <w:p>
      <w:pPr>
        <w:pStyle w:val="945"/>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③根据投标人提供的针对本项目的人员培训方案进行评分：</w:t>
      </w:r>
      <w:r>
        <w:rPr>
          <w:rFonts w:hint="eastAsia" w:ascii="宋体" w:hAnsi="宋体" w:eastAsia="宋体" w:cs="宋体"/>
          <w:bCs/>
          <w:color w:val="000000"/>
          <w:sz w:val="24"/>
          <w:szCs w:val="24"/>
          <w:highlight w:val="none"/>
        </w:rPr>
      </w:r>
      <w:r/>
    </w:p>
    <w:p>
      <w:pPr>
        <w:pStyle w:val="945"/>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内容详细完整、技术可行性强、流程标准规范、高度契合实际情况的得</w:t>
      </w:r>
      <w:r>
        <w:rPr>
          <w:rFonts w:hint="eastAsia" w:ascii="宋体" w:hAnsi="宋体" w:eastAsia="宋体" w:cs="宋体"/>
          <w:bCs/>
          <w:color w:val="000000"/>
          <w:sz w:val="24"/>
          <w:szCs w:val="24"/>
          <w:highlight w:val="none"/>
          <w:lang w:val="en-US" w:eastAsia="zh-CN"/>
        </w:rPr>
        <w:t xml:space="preserve">12</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45"/>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内容较为完整、技术可行性较强、流程符合规范的得</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45"/>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内容简单、技术可行性一般、流程基本符合规范的得</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45"/>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内容笼统、技术可行性弱、流程规范性有不足的得</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分；未提供内容的不得分。</w:t>
      </w:r>
      <w:r>
        <w:rPr>
          <w:rFonts w:hint="eastAsia" w:ascii="宋体" w:hAnsi="宋体" w:eastAsia="宋体" w:cs="宋体"/>
          <w:bCs/>
          <w:color w:val="000000"/>
          <w:sz w:val="24"/>
          <w:szCs w:val="24"/>
          <w:highlight w:val="none"/>
        </w:rPr>
      </w:r>
      <w:r/>
    </w:p>
    <w:p>
      <w:pPr>
        <w:pStyle w:val="945"/>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fldChar w:fldCharType="begin"/>
      </w:r>
      <w:r>
        <w:rPr>
          <w:rFonts w:hint="eastAsia" w:ascii="宋体" w:hAnsi="宋体" w:eastAsia="宋体" w:cs="宋体"/>
          <w:bCs/>
          <w:color w:val="000000"/>
          <w:sz w:val="24"/>
          <w:szCs w:val="24"/>
          <w:highlight w:val="none"/>
        </w:rPr>
        <w:instrText xml:space="preserve"> = 4 \* GB3 </w:instrText>
      </w:r>
      <w:r>
        <w:rPr>
          <w:rFonts w:hint="eastAsia" w:ascii="宋体" w:hAnsi="宋体" w:eastAsia="宋体" w:cs="宋体"/>
          <w:bCs/>
          <w:color w:val="000000"/>
          <w:sz w:val="24"/>
          <w:szCs w:val="24"/>
          <w:highlight w:val="none"/>
        </w:rPr>
        <w:fldChar w:fldCharType="separate"/>
      </w:r>
      <w:r>
        <w:rPr>
          <w:rFonts w:hint="eastAsia" w:ascii="宋体" w:hAnsi="宋体" w:eastAsia="宋体" w:cs="宋体"/>
          <w:bCs/>
          <w:color w:val="000000"/>
          <w:sz w:val="24"/>
          <w:szCs w:val="24"/>
          <w:highlight w:val="none"/>
        </w:rPr>
        <w:t xml:space="preserve">④</w:t>
      </w:r>
      <w:r>
        <w:rPr>
          <w:rFonts w:hint="eastAsia" w:ascii="宋体" w:hAnsi="宋体" w:eastAsia="宋体" w:cs="宋体"/>
          <w:bCs/>
          <w:color w:val="000000"/>
          <w:sz w:val="24"/>
          <w:szCs w:val="24"/>
          <w:highlight w:val="none"/>
        </w:rPr>
        <w:fldChar w:fldCharType="end"/>
      </w:r>
      <w:r>
        <w:rPr>
          <w:rFonts w:hint="eastAsia" w:ascii="宋体" w:hAnsi="宋体" w:eastAsia="宋体" w:cs="宋体"/>
          <w:bCs/>
          <w:color w:val="000000"/>
          <w:sz w:val="24"/>
          <w:szCs w:val="24"/>
          <w:highlight w:val="none"/>
        </w:rPr>
        <w:t xml:space="preserve">根据投标人提供的针对本项目的应急预案进行评分：</w:t>
      </w:r>
      <w:r>
        <w:rPr>
          <w:rFonts w:hint="eastAsia" w:ascii="宋体" w:hAnsi="宋体" w:eastAsia="宋体" w:cs="宋体"/>
          <w:bCs/>
          <w:color w:val="000000"/>
          <w:sz w:val="24"/>
          <w:szCs w:val="24"/>
          <w:highlight w:val="none"/>
        </w:rPr>
      </w:r>
      <w:r/>
    </w:p>
    <w:p>
      <w:pPr>
        <w:pStyle w:val="945"/>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内容详细完整、技术可行性强、流程标准规范、高度契合实际情况的得</w:t>
      </w:r>
      <w:r>
        <w:rPr>
          <w:rFonts w:hint="eastAsia" w:ascii="宋体" w:hAnsi="宋体" w:eastAsia="宋体" w:cs="宋体"/>
          <w:bCs/>
          <w:color w:val="000000"/>
          <w:sz w:val="24"/>
          <w:szCs w:val="24"/>
          <w:highlight w:val="none"/>
          <w:lang w:val="en-US" w:eastAsia="zh-CN"/>
        </w:rPr>
        <w:t xml:space="preserve">12</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45"/>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内容较为完整、技术可行性较强、流程符合规范的得</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45"/>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内容简单、技术可行性一般、流程基本符合规范的得</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45"/>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内容笼统、技术可行性弱、流程规范性有不足的得</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分；未提供内容的不得分。</w:t>
      </w:r>
      <w:r>
        <w:rPr>
          <w:rFonts w:hint="eastAsia" w:ascii="宋体" w:hAnsi="宋体" w:eastAsia="宋体" w:cs="宋体"/>
          <w:bCs/>
          <w:color w:val="000000"/>
          <w:sz w:val="24"/>
          <w:szCs w:val="24"/>
          <w:highlight w:val="none"/>
        </w:rPr>
      </w:r>
      <w:r/>
    </w:p>
    <w:p>
      <w:pPr>
        <w:pStyle w:val="94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eastAsia="宋体" w:cs="宋体"/>
          <w:color w:val="000000"/>
          <w:sz w:val="24"/>
          <w:szCs w:val="24"/>
          <w:highlight w:val="none"/>
        </w:rPr>
        <w:t xml:space="preserve">综合实力</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45"/>
        <w:ind w:firstLine="480"/>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Cs/>
          <w:color w:val="000000"/>
          <w:sz w:val="24"/>
          <w:szCs w:val="24"/>
          <w:highlight w:val="none"/>
        </w:rPr>
        <w:t xml:space="preserve">①投标单位自2023年1月至今（以合同签订日期为准），具有类似项目业绩，每提供一份得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分，最高</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分。（提供完整业绩合同证明材料扫描件并加盖公章）。</w:t>
      </w:r>
      <w:r>
        <w:rPr>
          <w:rFonts w:hint="eastAsia" w:ascii="宋体" w:hAnsi="宋体" w:eastAsia="宋体" w:cs="宋体"/>
          <w:b/>
          <w:color w:val="000000"/>
          <w:sz w:val="24"/>
          <w:szCs w:val="24"/>
          <w:highlight w:val="none"/>
        </w:rPr>
      </w:r>
      <w:r/>
    </w:p>
    <w:p>
      <w:pPr>
        <w:pStyle w:val="945"/>
        <w:ind w:firstLine="482"/>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评审说明：其他评审未尽事宜由评审委员会根据有关规定讨论决定。</w:t>
      </w:r>
      <w:r>
        <w:rPr>
          <w:rFonts w:hint="eastAsia" w:ascii="宋体" w:hAnsi="宋体" w:eastAsia="宋体" w:cs="宋体"/>
          <w:color w:val="000000"/>
          <w:sz w:val="24"/>
          <w:szCs w:val="24"/>
          <w:highlight w:val="none"/>
        </w:rPr>
      </w:r>
      <w:r/>
    </w:p>
    <w:p>
      <w:pPr>
        <w:pStyle w:val="945"/>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45"/>
        <w:ind w:firstLine="482"/>
        <w:spacing w:line="360" w:lineRule="auto"/>
        <w:rPr>
          <w:rFonts w:hint="eastAsia" w:ascii="宋体" w:hAnsi="宋体" w:eastAsia="宋体" w:cs="宋体"/>
          <w:bCs/>
          <w:color w:val="000000"/>
          <w:sz w:val="24"/>
          <w:highlight w:val="none"/>
        </w:rPr>
      </w:pPr>
      <w:r>
        <w:rPr>
          <w:rFonts w:hint="eastAsia" w:ascii="宋体" w:hAnsi="宋体" w:eastAsia="宋体" w:cs="宋体"/>
          <w:b/>
          <w:color w:val="000000"/>
          <w:sz w:val="24"/>
          <w:szCs w:val="24"/>
          <w:highlight w:val="none"/>
        </w:rPr>
        <w:t xml:space="preserve">三、政府采购政策：</w:t>
      </w:r>
      <w:r>
        <w:rPr>
          <w:rFonts w:hint="eastAsia" w:ascii="宋体" w:hAnsi="宋体" w:eastAsia="宋体" w:cs="宋体"/>
          <w:bCs/>
          <w:color w:val="000000"/>
          <w:sz w:val="24"/>
          <w:highlight w:val="none"/>
        </w:rPr>
      </w:r>
      <w:r/>
    </w:p>
    <w:p>
      <w:pPr>
        <w:pStyle w:val="945"/>
        <w:ind w:firstLine="480"/>
        <w:spacing w:line="360" w:lineRule="auto"/>
        <w:tabs>
          <w:tab w:val="left" w:pos="287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1、针对中小型企业的评审：</w:t>
      </w:r>
      <w:r>
        <w:rPr>
          <w:rFonts w:hint="eastAsia" w:ascii="宋体" w:hAnsi="宋体" w:eastAsia="宋体" w:cs="宋体"/>
          <w:color w:val="000000"/>
          <w:sz w:val="24"/>
          <w:szCs w:val="24"/>
          <w:highlight w:val="none"/>
        </w:rPr>
      </w:r>
      <w:r/>
    </w:p>
    <w:p>
      <w:pPr>
        <w:pStyle w:val="945"/>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（1）本项目</w:t>
      </w:r>
      <w:r>
        <w:rPr>
          <w:rFonts w:hint="eastAsia" w:ascii="宋体" w:hAnsi="宋体" w:eastAsia="宋体" w:cs="宋体"/>
          <w:b/>
          <w:color w:val="000000"/>
          <w:sz w:val="24"/>
          <w:szCs w:val="24"/>
          <w:highlight w:val="none"/>
          <w:lang w:val="en-US" w:eastAsia="zh-CN"/>
        </w:rPr>
        <w:t xml:space="preserve">非专</w:t>
      </w:r>
      <w:r>
        <w:rPr>
          <w:rFonts w:hint="eastAsia" w:ascii="宋体" w:hAnsi="宋体" w:eastAsia="宋体" w:cs="宋体"/>
          <w:b/>
          <w:color w:val="000000"/>
          <w:sz w:val="24"/>
          <w:szCs w:val="24"/>
          <w:highlight w:val="none"/>
        </w:rPr>
        <w:t xml:space="preserve">门面向中小企业采购。</w:t>
      </w:r>
      <w:r>
        <w:rPr>
          <w:rFonts w:hint="eastAsia" w:ascii="宋体" w:hAnsi="宋体" w:eastAsia="宋体" w:cs="宋体"/>
          <w:b/>
          <w:color w:val="000000"/>
          <w:sz w:val="24"/>
          <w:szCs w:val="24"/>
          <w:highlight w:val="none"/>
        </w:rPr>
      </w:r>
      <w:r/>
    </w:p>
    <w:p>
      <w:pPr>
        <w:pStyle w:val="94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（2）依据《政府采购促进中小企业发展管理办法》规定享受扶持政策获得政府采购合同的，小微企业不得将合同分包给大中型企业，中型企业不得将合同分包给大型企业。</w:t>
      </w:r>
      <w:r>
        <w:rPr>
          <w:rFonts w:hint="eastAsia" w:ascii="宋体" w:hAnsi="宋体" w:eastAsia="宋体" w:cs="宋体"/>
          <w:bCs/>
          <w:color w:val="000000"/>
          <w:sz w:val="24"/>
          <w:szCs w:val="24"/>
          <w:highlight w:val="none"/>
        </w:rPr>
      </w:r>
      <w:r/>
    </w:p>
    <w:p>
      <w:pPr>
        <w:pStyle w:val="945"/>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bCs/>
          <w:color w:val="000000"/>
          <w:sz w:val="24"/>
          <w:szCs w:val="24"/>
          <w:highlight w:val="none"/>
        </w:rPr>
        <w:t xml:space="preserve">（3）本项目采购标的对应的中小企业划型标准规定所属行业为：</w:t>
      </w:r>
      <w:r>
        <w:rPr>
          <w:rFonts w:hint="eastAsia" w:ascii="宋体" w:hAnsi="宋体" w:eastAsia="宋体" w:cs="宋体"/>
          <w:b/>
          <w:color w:val="000000"/>
          <w:sz w:val="24"/>
          <w:szCs w:val="24"/>
          <w:highlight w:val="none"/>
          <w:u w:val="single"/>
        </w:rPr>
        <w:t xml:space="preserve">工业。</w:t>
      </w:r>
      <w:r>
        <w:rPr>
          <w:rFonts w:hint="eastAsia" w:ascii="宋体" w:hAnsi="宋体" w:eastAsia="宋体" w:cs="宋体"/>
          <w:b/>
          <w:color w:val="000000"/>
          <w:sz w:val="24"/>
          <w:szCs w:val="24"/>
          <w:highlight w:val="none"/>
        </w:rPr>
      </w:r>
      <w:r/>
    </w:p>
    <w:p>
      <w:pPr>
        <w:pStyle w:val="94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（4）中小企业参加政府采购活动，应当出具《政府采购促进中小企业发展管理办法》附件规定《中小企业声明函》，</w:t>
      </w:r>
      <w:r>
        <w:rPr>
          <w:rFonts w:hint="eastAsia" w:ascii="宋体" w:hAnsi="宋体" w:eastAsia="宋体" w:cs="宋体"/>
          <w:color w:val="000000"/>
          <w:sz w:val="24"/>
          <w:szCs w:val="24"/>
          <w:highlight w:val="none"/>
        </w:rPr>
        <w:t xml:space="preserve">对其报价给予</w:t>
      </w:r>
      <w:r>
        <w:rPr>
          <w:rFonts w:hint="eastAsia" w:ascii="宋体" w:hAnsi="宋体" w:eastAsia="宋体" w:cs="宋体"/>
          <w:color w:val="000000"/>
          <w:sz w:val="24"/>
          <w:szCs w:val="24"/>
          <w:highlight w:val="none"/>
          <w:u w:val="single"/>
        </w:rPr>
        <w:t xml:space="preserve">20％</w:t>
      </w:r>
      <w:r>
        <w:rPr>
          <w:rFonts w:hint="eastAsia" w:ascii="宋体" w:hAnsi="宋体" w:eastAsia="宋体" w:cs="宋体"/>
          <w:color w:val="000000"/>
          <w:sz w:val="24"/>
          <w:szCs w:val="24"/>
          <w:highlight w:val="none"/>
        </w:rPr>
        <w:t xml:space="preserve">的扣除，</w:t>
      </w:r>
      <w:r>
        <w:rPr>
          <w:rFonts w:hint="eastAsia" w:ascii="宋体" w:hAnsi="宋体" w:eastAsia="宋体" w:cs="宋体"/>
          <w:color w:val="000000"/>
          <w:sz w:val="24"/>
          <w:szCs w:val="24"/>
          <w:highlight w:val="none"/>
        </w:rPr>
        <w:t xml:space="preserve">扣除后的价格参与价格评审</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t xml:space="preserve">否则不得享受相关中小企业扶持政策。</w:t>
      </w:r>
      <w:r>
        <w:rPr>
          <w:rFonts w:hint="eastAsia" w:ascii="宋体" w:hAnsi="宋体" w:eastAsia="宋体" w:cs="宋体"/>
          <w:bCs/>
          <w:color w:val="000000"/>
          <w:sz w:val="24"/>
          <w:szCs w:val="24"/>
          <w:highlight w:val="none"/>
        </w:rPr>
      </w:r>
      <w:r/>
    </w:p>
    <w:p>
      <w:pPr>
        <w:pStyle w:val="94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注：在货物采购项目中，供应商提供的货物既有中小企业制造货物，也有大型企业制造货物的，不享受《政府采购促进中小企业发展管理办法》规定的中小企业扶持政策。若供应商提供的《中小企业声明函》为虚假声明则视同提供虚假材料，按政府采购相关规定处理并报请政府监管部门给予行政处罚。</w:t>
      </w:r>
      <w:r>
        <w:rPr>
          <w:rFonts w:hint="eastAsia" w:ascii="宋体" w:hAnsi="宋体" w:eastAsia="宋体" w:cs="宋体"/>
          <w:bCs/>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未按本项目采购标的对应的中小企业划型标准规定所属行业承诺的《中小企业声明函》为无效《中小企业声明函》。</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3、针对监狱企业的评审加分：</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根据财政部、司法部《关于政府采购支持监狱企业发展有关问题的通知》（财库〔2014〕68号）的规定，对属于监狱企业的供应商给予评审加分：</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对其报价给予20％的扣除，</w:t>
      </w:r>
      <w:r>
        <w:rPr>
          <w:rFonts w:hint="eastAsia" w:ascii="宋体" w:hAnsi="宋体" w:eastAsia="宋体" w:cs="宋体"/>
          <w:color w:val="000000"/>
          <w:sz w:val="24"/>
          <w:szCs w:val="24"/>
          <w:highlight w:val="none"/>
        </w:rPr>
        <w:t xml:space="preserve">扣除后的价格参与价格评审</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4、针对残疾人福利性单位的评审加分：</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根据财政部、民政部、中国残疾人联合会《关于促进残疾人就业政府采购政策的通知》（财库〔2017〕141号）</w:t>
      </w:r>
      <w:r>
        <w:rPr>
          <w:rFonts w:hint="eastAsia" w:ascii="宋体" w:hAnsi="宋体" w:eastAsia="宋体" w:cs="宋体"/>
          <w:bCs/>
          <w:color w:val="000000"/>
          <w:sz w:val="24"/>
          <w:szCs w:val="24"/>
          <w:highlight w:val="none"/>
        </w:rPr>
        <w:t xml:space="preserve">的规定</w:t>
      </w:r>
      <w:r>
        <w:rPr>
          <w:rFonts w:hint="eastAsia" w:ascii="宋体" w:hAnsi="宋体" w:eastAsia="宋体" w:cs="宋体"/>
          <w:color w:val="000000"/>
          <w:sz w:val="24"/>
          <w:szCs w:val="24"/>
          <w:highlight w:val="none"/>
        </w:rPr>
        <w:t xml:space="preserve">，对属于残疾人福利性单位的供应商给予评审加分：</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根据供应商提供的《残疾人福利性单位声明函》对其报价给予20％的扣除，扣除后的价格参与价格评审。</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（1）供应商对上述声明的真实性负责，若供应商提供的《残疾人福利性单位声明函》与事实不符的，依照《政府采购法》第七十七条第一款的规定追究法律责任。</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（2）供应商为残疾人福利性单位的，采购代理机构将随中标结果同时公告其《残疾人福利性单位声明函》，接受社会监督。</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5、上述针对中小型企业、监狱企业和残疾人福利性单位的评审加分政策不重复享受。</w:t>
      </w:r>
      <w:r>
        <w:rPr>
          <w:rFonts w:hint="eastAsia" w:ascii="宋体" w:hAnsi="宋体" w:eastAsia="宋体" w:cs="宋体"/>
          <w:color w:val="000000"/>
          <w:sz w:val="24"/>
          <w:szCs w:val="24"/>
          <w:highlight w:val="none"/>
        </w:rPr>
      </w:r>
      <w:r/>
    </w:p>
    <w:p>
      <w:pPr>
        <w:pStyle w:val="945"/>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6、实施本国产品标准及相关政策：</w:t>
      </w:r>
      <w:r>
        <w:rPr>
          <w:rFonts w:hint="eastAsia" w:ascii="宋体" w:hAnsi="宋体" w:eastAsia="宋体" w:cs="宋体"/>
          <w:color w:val="000000"/>
          <w:sz w:val="24"/>
          <w:szCs w:val="24"/>
          <w:highlight w:val="none"/>
          <w:lang w:val="en-US" w:eastAsia="zh-CN"/>
        </w:rPr>
      </w:r>
      <w:r/>
    </w:p>
    <w:p>
      <w:pPr>
        <w:pStyle w:val="945"/>
        <w:ind w:firstLine="422"/>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b/>
          <w:bCs/>
          <w:color w:val="000000"/>
          <w:sz w:val="24"/>
          <w:szCs w:val="24"/>
          <w:highlight w:val="none"/>
        </w:rPr>
        <w:t xml:space="preserve">根据《国务院办公厅关于在政府采购中实施本国产品标准及相关政策的通知》（国办发（2025）34号）的规定，本项目对采购本国产品给予政策支持。</w:t>
      </w:r>
      <w:r>
        <w:rPr>
          <w:rFonts w:hint="eastAsia" w:ascii="宋体" w:hAnsi="宋体" w:eastAsia="宋体" w:cs="宋体"/>
          <w:b/>
          <w:bCs/>
          <w:color w:val="000000"/>
          <w:sz w:val="24"/>
          <w:szCs w:val="24"/>
          <w:highlight w:val="none"/>
        </w:rPr>
      </w:r>
      <w:r/>
    </w:p>
    <w:p>
      <w:pPr>
        <w:pStyle w:val="945"/>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sz w:val="24"/>
          <w:szCs w:val="24"/>
          <w:highlight w:val="none"/>
        </w:rPr>
      </w:r>
      <w:r/>
    </w:p>
    <w:p>
      <w:pPr>
        <w:pStyle w:val="945"/>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color w:val="000000"/>
          <w:sz w:val="24"/>
          <w:szCs w:val="24"/>
          <w:highlight w:val="none"/>
        </w:rPr>
      </w:r>
      <w:r/>
    </w:p>
    <w:p>
      <w:pPr>
        <w:pStyle w:val="945"/>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）本项目政府采购活动中既有本国产品又有非本国产品参与竞争的，依法对本国产品给予价格评审优惠，对本国产品的报价给予</w:t>
      </w:r>
      <w:r>
        <w:rPr>
          <w:rFonts w:hint="eastAsia" w:ascii="宋体" w:hAnsi="宋体" w:eastAsia="宋体" w:cs="宋体"/>
          <w:color w:val="000000"/>
          <w:sz w:val="24"/>
          <w:szCs w:val="24"/>
          <w:highlight w:val="none"/>
          <w:u w:val="single"/>
        </w:rPr>
        <w:t xml:space="preserve">20</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rPr>
        <w:t xml:space="preserve">的价格扣除，用扣除后的价格参与评审。</w:t>
      </w:r>
      <w:r>
        <w:rPr>
          <w:rFonts w:hint="eastAsia" w:ascii="宋体" w:hAnsi="宋体" w:eastAsia="宋体" w:cs="宋体"/>
          <w:color w:val="000000"/>
          <w:sz w:val="24"/>
          <w:szCs w:val="24"/>
          <w:highlight w:val="none"/>
        </w:rPr>
      </w:r>
      <w:r/>
    </w:p>
    <w:p>
      <w:pPr>
        <w:pStyle w:val="945"/>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000000"/>
          <w:sz w:val="24"/>
          <w:szCs w:val="24"/>
          <w:highlight w:val="none"/>
          <w:u w:val="single"/>
        </w:rPr>
        <w:t xml:space="preserve">80</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rPr>
        <w:t xml:space="preserve">以上时（供应商需在“第三章 投标文件格式”的“公开分项报价表”中填写比例数值），依法对该供应商提供的全部产品给予价格评审优惠，即对该供应商提供的全部产品的总报价给予</w:t>
      </w:r>
      <w:r>
        <w:rPr>
          <w:rFonts w:hint="eastAsia" w:ascii="宋体" w:hAnsi="宋体" w:eastAsia="宋体" w:cs="宋体"/>
          <w:color w:val="000000"/>
          <w:sz w:val="24"/>
          <w:szCs w:val="24"/>
          <w:highlight w:val="none"/>
          <w:u w:val="single"/>
        </w:rPr>
        <w:t xml:space="preserve">20</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rPr>
        <w:t xml:space="preserve">的价格扣除，用扣除后的价格参与评审。</w:t>
      </w:r>
      <w:r>
        <w:rPr>
          <w:rFonts w:hint="eastAsia" w:ascii="宋体" w:hAnsi="宋体" w:eastAsia="宋体" w:cs="宋体"/>
          <w:b/>
          <w:bCs/>
          <w:color w:val="000000"/>
          <w:sz w:val="24"/>
          <w:szCs w:val="24"/>
          <w:highlight w:val="none"/>
        </w:rPr>
        <w:t xml:space="preserve">供应商未填写比例数值，或比例数值未达到</w:t>
      </w:r>
      <w:r>
        <w:rPr>
          <w:rFonts w:hint="eastAsia" w:ascii="宋体" w:hAnsi="宋体" w:eastAsia="宋体" w:cs="宋体"/>
          <w:b/>
          <w:bCs/>
          <w:color w:val="000000"/>
          <w:sz w:val="24"/>
          <w:szCs w:val="24"/>
          <w:highlight w:val="none"/>
          <w:u w:val="single"/>
        </w:rPr>
        <w:t xml:space="preserve">80</w:t>
      </w:r>
      <w:r>
        <w:rPr>
          <w:rFonts w:hint="eastAsia" w:ascii="宋体" w:hAnsi="宋体" w:eastAsia="宋体" w:cs="宋体"/>
          <w:b/>
          <w:bCs/>
          <w:color w:val="000000"/>
          <w:sz w:val="24"/>
          <w:szCs w:val="24"/>
          <w:highlight w:val="none"/>
          <w:u w:val="single"/>
          <w:lang w:eastAsia="zh-CN"/>
        </w:rPr>
        <w:t xml:space="preserve">％</w:t>
      </w:r>
      <w:r>
        <w:rPr>
          <w:rFonts w:hint="eastAsia" w:ascii="宋体" w:hAnsi="宋体" w:eastAsia="宋体" w:cs="宋体"/>
          <w:b/>
          <w:bCs/>
          <w:color w:val="000000"/>
          <w:sz w:val="24"/>
          <w:szCs w:val="24"/>
          <w:highlight w:val="none"/>
        </w:rPr>
        <w:t xml:space="preserve">的，</w:t>
      </w:r>
      <w:r>
        <w:rPr>
          <w:rFonts w:hint="eastAsia" w:ascii="宋体" w:hAnsi="宋体" w:eastAsia="宋体" w:cs="宋体"/>
          <w:b/>
          <w:color w:val="000000"/>
          <w:sz w:val="24"/>
          <w:szCs w:val="24"/>
          <w:highlight w:val="none"/>
        </w:rPr>
        <w:t xml:space="preserve">将不享受本国产品价格评审优惠。</w:t>
      </w:r>
      <w:r>
        <w:rPr>
          <w:rFonts w:hint="eastAsia" w:ascii="宋体" w:hAnsi="宋体" w:eastAsia="宋体" w:cs="宋体"/>
          <w:color w:val="000000"/>
          <w:sz w:val="24"/>
          <w:szCs w:val="24"/>
          <w:highlight w:val="none"/>
        </w:rPr>
      </w:r>
      <w:r/>
    </w:p>
    <w:p>
      <w:pPr>
        <w:pStyle w:val="945"/>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）供应商需按照招标文件的要求提供《关于符合本国产品标准的声明函》（以下简称《声明函》）或财政部会同有关部门规定的有关证明文件的，</w:t>
      </w:r>
      <w:r>
        <w:rPr>
          <w:rFonts w:hint="eastAsia" w:ascii="宋体" w:hAnsi="宋体" w:eastAsia="宋体" w:cs="宋体"/>
          <w:b/>
          <w:color w:val="000000"/>
          <w:sz w:val="24"/>
          <w:szCs w:val="24"/>
          <w:highlight w:val="none"/>
        </w:rPr>
        <w:t xml:space="preserve">如不提供或提供不符要求的将不享受本国产品价格评审优惠。</w:t>
      </w:r>
      <w:r>
        <w:rPr>
          <w:rFonts w:hint="eastAsia" w:ascii="宋体" w:hAnsi="宋体" w:eastAsia="宋体" w:cs="宋体"/>
          <w:color w:val="000000"/>
          <w:sz w:val="24"/>
          <w:szCs w:val="24"/>
          <w:highlight w:val="none"/>
        </w:rPr>
      </w:r>
      <w:r/>
    </w:p>
    <w:p>
      <w:pPr>
        <w:pStyle w:val="945"/>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）供应商需在《声明函》中逐一、准确填写产品名称、厂名、生产厂址三项信息（《声明函》中用斜线划除的地方无需填写），</w:t>
      </w:r>
      <w:r>
        <w:rPr>
          <w:rFonts w:hint="eastAsia" w:ascii="宋体" w:hAnsi="宋体" w:eastAsia="宋体" w:cs="宋体"/>
          <w:b/>
          <w:color w:val="000000"/>
          <w:sz w:val="24"/>
          <w:szCs w:val="24"/>
          <w:highlight w:val="none"/>
        </w:rPr>
        <w:t xml:space="preserve">三项信息中任意一项未填写的视为该项产品不符合本国产品标准，不享受本国产品价格评审优惠。</w:t>
      </w:r>
      <w:r>
        <w:rPr>
          <w:rFonts w:hint="eastAsia" w:ascii="宋体" w:hAnsi="宋体" w:eastAsia="宋体" w:cs="宋体"/>
          <w:color w:val="000000"/>
          <w:sz w:val="24"/>
          <w:szCs w:val="24"/>
          <w:highlight w:val="none"/>
        </w:rPr>
      </w:r>
      <w:r/>
    </w:p>
    <w:p>
      <w:pPr>
        <w:pStyle w:val="945"/>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w:t>
      </w:r>
      <w:r>
        <w:rPr>
          <w:rFonts w:hint="eastAsia" w:ascii="宋体" w:hAnsi="宋体" w:eastAsia="宋体" w:cs="宋体"/>
          <w:b/>
          <w:color w:val="000000"/>
          <w:sz w:val="24"/>
          <w:szCs w:val="24"/>
          <w:highlight w:val="none"/>
        </w:rPr>
        <w:t xml:space="preserve">供应商提供的相关产品视为不符合本国产品标准。</w:t>
      </w:r>
      <w:r>
        <w:rPr>
          <w:rFonts w:hint="eastAsia" w:ascii="宋体" w:hAnsi="宋体" w:eastAsia="宋体" w:cs="宋体"/>
          <w:color w:val="000000"/>
          <w:sz w:val="24"/>
          <w:szCs w:val="24"/>
          <w:highlight w:val="none"/>
        </w:rPr>
      </w:r>
      <w:r/>
    </w:p>
    <w:p>
      <w:pPr>
        <w:pStyle w:val="945"/>
        <w:jc w:val="righ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5"/>
        <w:jc w:val="right"/>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（全文完）</w:t>
      </w:r>
      <w:r>
        <w:rPr>
          <w:rFonts w:hint="eastAsia" w:ascii="宋体" w:hAnsi="宋体" w:eastAsia="宋体" w:cs="宋体"/>
          <w:bCs/>
          <w:color w:val="000000"/>
          <w:sz w:val="24"/>
          <w:szCs w:val="24"/>
          <w:highlight w:val="none"/>
        </w:rPr>
      </w:r>
      <w:r/>
    </w:p>
    <w:sectPr>
      <w:footnotePr/>
      <w:endnotePr/>
      <w:type w:val="nextPage"/>
      <w:pgSz w:w="11906" w:h="16838" w:orient="portrait"/>
      <w:pgMar w:top="1134" w:right="1134" w:bottom="1134" w:left="1134" w:header="851" w:footer="56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华文细黑">
    <w:panose1 w:val="02010600040101010101"/>
  </w:font>
  <w:font w:name="Cambria">
    <w:panose1 w:val="02040503050406030204"/>
  </w:font>
  <w:font w:name="仿宋">
    <w:panose1 w:val="02010609060101010101"/>
  </w:font>
  <w:font w:name="Calibri">
    <w:panose1 w:val="020F0502020204030204"/>
  </w:font>
  <w:font w:name="微软雅黑">
    <w:panose1 w:val="020B0503020204020204"/>
  </w:font>
  <w:font w:name="Batang">
    <w:panose1 w:val="02010600040101010101"/>
  </w:font>
  <w:font w:name="Courier New">
    <w:panose1 w:val="02070309020205020404"/>
  </w:font>
  <w:font w:name="Tahoma">
    <w:panose1 w:val="020B0604030504040204"/>
  </w:font>
  <w:font w:name="方正仿宋简体">
    <w:panose1 w:val="020B0503020202020204"/>
  </w:font>
  <w:font w:name="Verdana">
    <w:panose1 w:val="020B0604030504040204"/>
  </w:font>
  <w:font w:name="仿宋_GB2312">
    <w:panose1 w:val="02010609060101010101"/>
  </w:font>
  <w:font w:name="黑体">
    <w:panose1 w:val="02010609060101010101"/>
  </w:font>
  <w:font w:name="Tms Rmn">
    <w:panose1 w:val="020B0503020202020204"/>
  </w:font>
  <w:font w:name="楷体_GB2312">
    <w:panose1 w:val="02010609060101010101"/>
  </w:font>
  <w:font w:name="Arial Unicode MS">
    <w:panose1 w:val="020B0604020202020204"/>
  </w:font>
  <w:font w:name="Arial">
    <w:panose1 w:val="020B0604020202020204"/>
  </w:font>
  <w:font w:name="创艺简仿宋">
    <w:panose1 w:val="020B0503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ind w:right="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ind w:right="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96"/>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945"/>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96"/>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945"/>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ind w:right="360"/>
      <w:tabs>
        <w:tab w:val="center" w:pos="4819"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96"/>
                            <w:tabs>
                              <w:tab w:val="clear" w:pos="4153" w:leader="none"/>
                              <w:tab w:val="clear" w:pos="8306" w:leader="none"/>
                            </w:tabs>
                          </w:pPr>
                          <w:r>
                            <w:fldChar w:fldCharType="begin"/>
                          </w:r>
                          <w:r>
                            <w:instrText xml:space="preserve"> PAGE  \* MERGEFORMAT </w:instrText>
                          </w:r>
                          <w:r>
                            <w:fldChar w:fldCharType="separate"/>
                          </w:r>
                          <w:r>
                            <w:t xml:space="preserve">- 37 -</w:t>
                          </w:r>
                          <w:r>
                            <w:fldChar w:fldCharType="end"/>
                          </w:r>
                          <w:r/>
                        </w:p>
                        <w:p>
                          <w:pPr>
                            <w:pStyle w:val="945"/>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96"/>
                      <w:tabs>
                        <w:tab w:val="clear" w:pos="4153" w:leader="none"/>
                        <w:tab w:val="clear" w:pos="8306" w:leader="none"/>
                      </w:tabs>
                    </w:pPr>
                    <w:r>
                      <w:fldChar w:fldCharType="begin"/>
                    </w:r>
                    <w:r>
                      <w:instrText xml:space="preserve"> PAGE  \* MERGEFORMAT </w:instrText>
                    </w:r>
                    <w:r>
                      <w:fldChar w:fldCharType="separate"/>
                    </w:r>
                    <w:r>
                      <w:t xml:space="preserve">- 37 -</w:t>
                    </w:r>
                    <w:r>
                      <w:fldChar w:fldCharType="end"/>
                    </w:r>
                    <w:r/>
                  </w:p>
                  <w:p>
                    <w:pPr>
                      <w:pStyle w:val="94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jc w:val="left"/>
      <w:tabs>
        <w:tab w:val="center" w:pos="4153" w:leader="none"/>
        <w:tab w:val="right" w:pos="8306" w:leader="none"/>
      </w:tabs>
      <w:rPr>
        <w:rFonts w:hint="eastAsia" w:ascii="宋体" w:hAnsi="宋体" w:eastAsia="宋体" w:cs="宋体"/>
        <w:lang w:eastAsia="zh-CN"/>
      </w:rPr>
    </w:pPr>
    <w:r>
      <w:rPr>
        <w:rFonts w:hint="eastAsia" w:ascii="宋体" w:hAnsi="宋体" w:cs="宋体"/>
      </w:rPr>
      <w:t xml:space="preserve">政府采购文件                                              </w:t>
    </w:r>
    <w:r>
      <w:rPr>
        <w:rFonts w:hint="eastAsia" w:ascii="宋体" w:hAnsi="宋体" w:cs="宋体"/>
        <w:lang w:val="en-US" w:eastAsia="zh-CN"/>
      </w:rPr>
      <w:t xml:space="preserve"> </w:t>
    </w:r>
    <w:r>
      <w:rPr>
        <w:rFonts w:hint="eastAsia" w:ascii="宋体" w:hAnsi="宋体" w:cs="宋体"/>
      </w:rPr>
      <w:t xml:space="preserve">          </w:t>
    </w:r>
    <w:r>
      <w:rPr>
        <w:rFonts w:ascii="宋体" w:hAnsi="宋体"/>
      </w:rPr>
      <w:t xml:space="preserve"> </w:t>
    </w:r>
    <w:r>
      <w:rPr>
        <w:rFonts w:hint="eastAsia" w:ascii="宋体" w:hAnsi="宋体"/>
      </w:rPr>
      <w:t xml:space="preserve">项目编号：</w:t>
    </w:r>
    <w:r>
      <w:rPr>
        <w:rFonts w:hint="eastAsia" w:ascii="宋体" w:hAnsi="宋体" w:cs="宋体"/>
        <w:lang w:eastAsia="zh-CN"/>
      </w:rPr>
      <w:t xml:space="preserve">JSZC-320500-SZZJ-C2026-0015</w:t>
    </w:r>
    <w:r>
      <w:rPr>
        <w:rFonts w:hint="eastAsia" w:ascii="宋体" w:hAnsi="宋体" w:eastAsia="宋体" w:cs="宋体"/>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space"/>
      <w:lvlText w:val="第%1章"/>
      <w:lvlJc w:val="left"/>
      <w:pPr>
        <w:pStyle w:val="94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8">
    <w:name w:val="Heading 1"/>
    <w:basedOn w:val="945"/>
    <w:next w:val="945"/>
    <w:link w:val="769"/>
    <w:uiPriority w:val="9"/>
    <w:qFormat/>
    <w:pPr>
      <w:keepLines/>
      <w:keepNext/>
      <w:spacing w:before="480" w:after="200"/>
      <w:outlineLvl w:val="0"/>
    </w:pPr>
    <w:rPr>
      <w:rFonts w:ascii="Arial" w:hAnsi="Arial" w:eastAsia="Arial" w:cs="Arial"/>
      <w:sz w:val="40"/>
      <w:szCs w:val="40"/>
    </w:rPr>
  </w:style>
  <w:style w:type="character" w:styleId="769">
    <w:name w:val="Heading 1 Char"/>
    <w:link w:val="768"/>
    <w:uiPriority w:val="9"/>
    <w:rPr>
      <w:rFonts w:ascii="Arial" w:hAnsi="Arial" w:eastAsia="Arial" w:cs="Arial"/>
      <w:sz w:val="40"/>
      <w:szCs w:val="40"/>
    </w:rPr>
  </w:style>
  <w:style w:type="paragraph" w:styleId="770">
    <w:name w:val="Heading 2"/>
    <w:basedOn w:val="945"/>
    <w:next w:val="945"/>
    <w:link w:val="771"/>
    <w:uiPriority w:val="9"/>
    <w:unhideWhenUsed/>
    <w:qFormat/>
    <w:pPr>
      <w:keepLines/>
      <w:keepNext/>
      <w:spacing w:before="360" w:after="200"/>
      <w:outlineLvl w:val="1"/>
    </w:pPr>
    <w:rPr>
      <w:rFonts w:ascii="Arial" w:hAnsi="Arial" w:eastAsia="Arial" w:cs="Arial"/>
      <w:sz w:val="34"/>
    </w:rPr>
  </w:style>
  <w:style w:type="character" w:styleId="771">
    <w:name w:val="Heading 2 Char"/>
    <w:link w:val="770"/>
    <w:uiPriority w:val="9"/>
    <w:rPr>
      <w:rFonts w:ascii="Arial" w:hAnsi="Arial" w:eastAsia="Arial" w:cs="Arial"/>
      <w:sz w:val="34"/>
    </w:rPr>
  </w:style>
  <w:style w:type="paragraph" w:styleId="772">
    <w:name w:val="Heading 3"/>
    <w:basedOn w:val="945"/>
    <w:next w:val="945"/>
    <w:link w:val="773"/>
    <w:uiPriority w:val="9"/>
    <w:unhideWhenUsed/>
    <w:qFormat/>
    <w:pPr>
      <w:keepLines/>
      <w:keepNext/>
      <w:spacing w:before="320" w:after="200"/>
      <w:outlineLvl w:val="2"/>
    </w:pPr>
    <w:rPr>
      <w:rFonts w:ascii="Arial" w:hAnsi="Arial" w:eastAsia="Arial" w:cs="Arial"/>
      <w:sz w:val="30"/>
      <w:szCs w:val="30"/>
    </w:rPr>
  </w:style>
  <w:style w:type="character" w:styleId="773">
    <w:name w:val="Heading 3 Char"/>
    <w:link w:val="772"/>
    <w:uiPriority w:val="9"/>
    <w:rPr>
      <w:rFonts w:ascii="Arial" w:hAnsi="Arial" w:eastAsia="Arial" w:cs="Arial"/>
      <w:sz w:val="30"/>
      <w:szCs w:val="30"/>
    </w:rPr>
  </w:style>
  <w:style w:type="paragraph" w:styleId="774">
    <w:name w:val="Heading 4"/>
    <w:basedOn w:val="945"/>
    <w:next w:val="945"/>
    <w:link w:val="775"/>
    <w:uiPriority w:val="9"/>
    <w:unhideWhenUsed/>
    <w:qFormat/>
    <w:pPr>
      <w:keepLines/>
      <w:keepNext/>
      <w:spacing w:before="320" w:after="200"/>
      <w:outlineLvl w:val="3"/>
    </w:pPr>
    <w:rPr>
      <w:rFonts w:ascii="Arial" w:hAnsi="Arial" w:eastAsia="Arial" w:cs="Arial"/>
      <w:b/>
      <w:bCs/>
      <w:sz w:val="26"/>
      <w:szCs w:val="26"/>
    </w:rPr>
  </w:style>
  <w:style w:type="character" w:styleId="775">
    <w:name w:val="Heading 4 Char"/>
    <w:link w:val="774"/>
    <w:uiPriority w:val="9"/>
    <w:rPr>
      <w:rFonts w:ascii="Arial" w:hAnsi="Arial" w:eastAsia="Arial" w:cs="Arial"/>
      <w:b/>
      <w:bCs/>
      <w:sz w:val="26"/>
      <w:szCs w:val="26"/>
    </w:rPr>
  </w:style>
  <w:style w:type="paragraph" w:styleId="776">
    <w:name w:val="Heading 5"/>
    <w:basedOn w:val="945"/>
    <w:next w:val="945"/>
    <w:link w:val="777"/>
    <w:uiPriority w:val="9"/>
    <w:unhideWhenUsed/>
    <w:qFormat/>
    <w:pPr>
      <w:keepLines/>
      <w:keepNext/>
      <w:spacing w:before="320" w:after="200"/>
      <w:outlineLvl w:val="4"/>
    </w:pPr>
    <w:rPr>
      <w:rFonts w:ascii="Arial" w:hAnsi="Arial" w:eastAsia="Arial" w:cs="Arial"/>
      <w:b/>
      <w:bCs/>
      <w:sz w:val="24"/>
      <w:szCs w:val="24"/>
    </w:rPr>
  </w:style>
  <w:style w:type="character" w:styleId="777">
    <w:name w:val="Heading 5 Char"/>
    <w:link w:val="776"/>
    <w:uiPriority w:val="9"/>
    <w:rPr>
      <w:rFonts w:ascii="Arial" w:hAnsi="Arial" w:eastAsia="Arial" w:cs="Arial"/>
      <w:b/>
      <w:bCs/>
      <w:sz w:val="24"/>
      <w:szCs w:val="24"/>
    </w:rPr>
  </w:style>
  <w:style w:type="paragraph" w:styleId="778">
    <w:name w:val="Heading 6"/>
    <w:basedOn w:val="945"/>
    <w:next w:val="945"/>
    <w:link w:val="779"/>
    <w:uiPriority w:val="9"/>
    <w:unhideWhenUsed/>
    <w:qFormat/>
    <w:pPr>
      <w:keepLines/>
      <w:keepNext/>
      <w:spacing w:before="320" w:after="200"/>
      <w:outlineLvl w:val="5"/>
    </w:pPr>
    <w:rPr>
      <w:rFonts w:ascii="Arial" w:hAnsi="Arial" w:eastAsia="Arial" w:cs="Arial"/>
      <w:b/>
      <w:bCs/>
      <w:sz w:val="22"/>
      <w:szCs w:val="22"/>
    </w:rPr>
  </w:style>
  <w:style w:type="character" w:styleId="779">
    <w:name w:val="Heading 6 Char"/>
    <w:link w:val="778"/>
    <w:uiPriority w:val="9"/>
    <w:rPr>
      <w:rFonts w:ascii="Arial" w:hAnsi="Arial" w:eastAsia="Arial" w:cs="Arial"/>
      <w:b/>
      <w:bCs/>
      <w:sz w:val="22"/>
      <w:szCs w:val="22"/>
    </w:rPr>
  </w:style>
  <w:style w:type="paragraph" w:styleId="780">
    <w:name w:val="Heading 7"/>
    <w:basedOn w:val="945"/>
    <w:next w:val="945"/>
    <w:link w:val="781"/>
    <w:uiPriority w:val="9"/>
    <w:unhideWhenUsed/>
    <w:qFormat/>
    <w:pPr>
      <w:keepLines/>
      <w:keepNext/>
      <w:spacing w:before="320" w:after="200"/>
      <w:outlineLvl w:val="6"/>
    </w:pPr>
    <w:rPr>
      <w:rFonts w:ascii="Arial" w:hAnsi="Arial" w:eastAsia="Arial" w:cs="Arial"/>
      <w:b/>
      <w:bCs/>
      <w:i/>
      <w:iCs/>
      <w:sz w:val="22"/>
      <w:szCs w:val="22"/>
    </w:rPr>
  </w:style>
  <w:style w:type="character" w:styleId="781">
    <w:name w:val="Heading 7 Char"/>
    <w:link w:val="780"/>
    <w:uiPriority w:val="9"/>
    <w:rPr>
      <w:rFonts w:ascii="Arial" w:hAnsi="Arial" w:eastAsia="Arial" w:cs="Arial"/>
      <w:b/>
      <w:bCs/>
      <w:i/>
      <w:iCs/>
      <w:sz w:val="22"/>
      <w:szCs w:val="22"/>
    </w:rPr>
  </w:style>
  <w:style w:type="paragraph" w:styleId="782">
    <w:name w:val="Heading 8"/>
    <w:basedOn w:val="945"/>
    <w:next w:val="945"/>
    <w:link w:val="783"/>
    <w:uiPriority w:val="9"/>
    <w:unhideWhenUsed/>
    <w:qFormat/>
    <w:pPr>
      <w:keepLines/>
      <w:keepNext/>
      <w:spacing w:before="320" w:after="200"/>
      <w:outlineLvl w:val="7"/>
    </w:pPr>
    <w:rPr>
      <w:rFonts w:ascii="Arial" w:hAnsi="Arial" w:eastAsia="Arial" w:cs="Arial"/>
      <w:i/>
      <w:iCs/>
      <w:sz w:val="22"/>
      <w:szCs w:val="22"/>
    </w:rPr>
  </w:style>
  <w:style w:type="character" w:styleId="783">
    <w:name w:val="Heading 8 Char"/>
    <w:link w:val="782"/>
    <w:uiPriority w:val="9"/>
    <w:rPr>
      <w:rFonts w:ascii="Arial" w:hAnsi="Arial" w:eastAsia="Arial" w:cs="Arial"/>
      <w:i/>
      <w:iCs/>
      <w:sz w:val="22"/>
      <w:szCs w:val="22"/>
    </w:rPr>
  </w:style>
  <w:style w:type="paragraph" w:styleId="784">
    <w:name w:val="Heading 9"/>
    <w:basedOn w:val="945"/>
    <w:next w:val="945"/>
    <w:link w:val="785"/>
    <w:uiPriority w:val="9"/>
    <w:unhideWhenUsed/>
    <w:qFormat/>
    <w:pPr>
      <w:keepLines/>
      <w:keepNext/>
      <w:spacing w:before="320" w:after="200"/>
      <w:outlineLvl w:val="8"/>
    </w:pPr>
    <w:rPr>
      <w:rFonts w:ascii="Arial" w:hAnsi="Arial" w:eastAsia="Arial" w:cs="Arial"/>
      <w:i/>
      <w:iCs/>
      <w:sz w:val="21"/>
      <w:szCs w:val="21"/>
    </w:rPr>
  </w:style>
  <w:style w:type="character" w:styleId="785">
    <w:name w:val="Heading 9 Char"/>
    <w:link w:val="784"/>
    <w:uiPriority w:val="9"/>
    <w:rPr>
      <w:rFonts w:ascii="Arial" w:hAnsi="Arial" w:eastAsia="Arial" w:cs="Arial"/>
      <w:i/>
      <w:iCs/>
      <w:sz w:val="21"/>
      <w:szCs w:val="21"/>
    </w:rPr>
  </w:style>
  <w:style w:type="paragraph" w:styleId="786">
    <w:name w:val="No Spacing"/>
    <w:uiPriority w:val="1"/>
    <w:qFormat/>
    <w:pPr>
      <w:spacing w:before="0" w:after="0" w:line="240" w:lineRule="auto"/>
    </w:pPr>
  </w:style>
  <w:style w:type="paragraph" w:styleId="787">
    <w:name w:val="Title"/>
    <w:basedOn w:val="945"/>
    <w:next w:val="945"/>
    <w:link w:val="788"/>
    <w:uiPriority w:val="10"/>
    <w:qFormat/>
    <w:pPr>
      <w:contextualSpacing/>
      <w:spacing w:before="300" w:after="200"/>
    </w:pPr>
    <w:rPr>
      <w:sz w:val="48"/>
      <w:szCs w:val="48"/>
    </w:rPr>
  </w:style>
  <w:style w:type="character" w:styleId="788">
    <w:name w:val="Title Char"/>
    <w:link w:val="787"/>
    <w:uiPriority w:val="10"/>
    <w:rPr>
      <w:sz w:val="48"/>
      <w:szCs w:val="48"/>
    </w:rPr>
  </w:style>
  <w:style w:type="paragraph" w:styleId="789">
    <w:name w:val="Subtitle"/>
    <w:basedOn w:val="945"/>
    <w:next w:val="945"/>
    <w:link w:val="790"/>
    <w:uiPriority w:val="11"/>
    <w:qFormat/>
    <w:pPr>
      <w:spacing w:before="200" w:after="200"/>
    </w:pPr>
    <w:rPr>
      <w:sz w:val="24"/>
      <w:szCs w:val="24"/>
    </w:rPr>
  </w:style>
  <w:style w:type="character" w:styleId="790">
    <w:name w:val="Subtitle Char"/>
    <w:link w:val="789"/>
    <w:uiPriority w:val="11"/>
    <w:rPr>
      <w:sz w:val="24"/>
      <w:szCs w:val="24"/>
    </w:rPr>
  </w:style>
  <w:style w:type="paragraph" w:styleId="791">
    <w:name w:val="Quote"/>
    <w:basedOn w:val="945"/>
    <w:next w:val="945"/>
    <w:link w:val="792"/>
    <w:uiPriority w:val="29"/>
    <w:qFormat/>
    <w:pPr>
      <w:ind w:left="720" w:right="720"/>
    </w:pPr>
    <w:rPr>
      <w:i/>
    </w:rPr>
  </w:style>
  <w:style w:type="character" w:styleId="792">
    <w:name w:val="Quote Char"/>
    <w:link w:val="791"/>
    <w:uiPriority w:val="29"/>
    <w:rPr>
      <w:i/>
    </w:rPr>
  </w:style>
  <w:style w:type="paragraph" w:styleId="793">
    <w:name w:val="Intense Quote"/>
    <w:basedOn w:val="945"/>
    <w:next w:val="945"/>
    <w:link w:val="79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4">
    <w:name w:val="Intense Quote Char"/>
    <w:link w:val="793"/>
    <w:uiPriority w:val="30"/>
    <w:rPr>
      <w:i/>
    </w:rPr>
  </w:style>
  <w:style w:type="paragraph" w:styleId="795">
    <w:name w:val="Header"/>
    <w:basedOn w:val="945"/>
    <w:link w:val="796"/>
    <w:uiPriority w:val="99"/>
    <w:unhideWhenUsed/>
    <w:pPr>
      <w:spacing w:after="0" w:line="240" w:lineRule="auto"/>
      <w:tabs>
        <w:tab w:val="center" w:pos="7143" w:leader="none"/>
        <w:tab w:val="right" w:pos="14287" w:leader="none"/>
      </w:tabs>
    </w:pPr>
  </w:style>
  <w:style w:type="character" w:styleId="796">
    <w:name w:val="Header Char"/>
    <w:link w:val="795"/>
    <w:uiPriority w:val="99"/>
  </w:style>
  <w:style w:type="paragraph" w:styleId="797">
    <w:name w:val="Footer"/>
    <w:basedOn w:val="945"/>
    <w:link w:val="800"/>
    <w:uiPriority w:val="99"/>
    <w:unhideWhenUsed/>
    <w:pPr>
      <w:spacing w:after="0" w:line="240" w:lineRule="auto"/>
      <w:tabs>
        <w:tab w:val="center" w:pos="7143" w:leader="none"/>
        <w:tab w:val="right" w:pos="14287" w:leader="none"/>
      </w:tabs>
    </w:pPr>
  </w:style>
  <w:style w:type="character" w:styleId="798">
    <w:name w:val="Footer Char"/>
    <w:link w:val="797"/>
    <w:uiPriority w:val="99"/>
  </w:style>
  <w:style w:type="paragraph" w:styleId="799">
    <w:name w:val="Caption"/>
    <w:basedOn w:val="945"/>
    <w:next w:val="945"/>
    <w:uiPriority w:val="35"/>
    <w:semiHidden/>
    <w:unhideWhenUsed/>
    <w:qFormat/>
    <w:pPr>
      <w:spacing w:line="276" w:lineRule="auto"/>
    </w:pPr>
    <w:rPr>
      <w:b/>
      <w:bCs/>
      <w:color w:val="4f81bd" w:themeColor="accent1"/>
      <w:sz w:val="18"/>
      <w:szCs w:val="18"/>
    </w:rPr>
  </w:style>
  <w:style w:type="character" w:styleId="800">
    <w:name w:val="Caption Char"/>
    <w:basedOn w:val="799"/>
    <w:link w:val="797"/>
    <w:uiPriority w:val="99"/>
  </w:style>
  <w:style w:type="table" w:styleId="80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7">
    <w:name w:val="Hyperlink"/>
    <w:uiPriority w:val="99"/>
    <w:unhideWhenUsed/>
    <w:rPr>
      <w:color w:val="0000ff" w:themeColor="hyperlink"/>
      <w:u w:val="single"/>
    </w:rPr>
  </w:style>
  <w:style w:type="paragraph" w:styleId="928">
    <w:name w:val="footnote text"/>
    <w:basedOn w:val="945"/>
    <w:link w:val="929"/>
    <w:uiPriority w:val="99"/>
    <w:semiHidden/>
    <w:unhideWhenUsed/>
    <w:pPr>
      <w:spacing w:after="40" w:line="240" w:lineRule="auto"/>
    </w:pPr>
    <w:rPr>
      <w:sz w:val="18"/>
    </w:rPr>
  </w:style>
  <w:style w:type="character" w:styleId="929">
    <w:name w:val="Footnote Text Char"/>
    <w:link w:val="928"/>
    <w:uiPriority w:val="99"/>
    <w:rPr>
      <w:sz w:val="18"/>
    </w:rPr>
  </w:style>
  <w:style w:type="character" w:styleId="930">
    <w:name w:val="footnote reference"/>
    <w:uiPriority w:val="99"/>
    <w:unhideWhenUsed/>
    <w:rPr>
      <w:vertAlign w:val="superscript"/>
    </w:rPr>
  </w:style>
  <w:style w:type="paragraph" w:styleId="931">
    <w:name w:val="endnote text"/>
    <w:basedOn w:val="945"/>
    <w:link w:val="932"/>
    <w:uiPriority w:val="99"/>
    <w:semiHidden/>
    <w:unhideWhenUsed/>
    <w:pPr>
      <w:spacing w:after="0" w:line="240" w:lineRule="auto"/>
    </w:pPr>
    <w:rPr>
      <w:sz w:val="20"/>
    </w:rPr>
  </w:style>
  <w:style w:type="character" w:styleId="932">
    <w:name w:val="Endnote Text Char"/>
    <w:link w:val="931"/>
    <w:uiPriority w:val="99"/>
    <w:rPr>
      <w:sz w:val="20"/>
    </w:rPr>
  </w:style>
  <w:style w:type="character" w:styleId="933">
    <w:name w:val="endnote reference"/>
    <w:uiPriority w:val="99"/>
    <w:semiHidden/>
    <w:unhideWhenUsed/>
    <w:rPr>
      <w:vertAlign w:val="superscript"/>
    </w:rPr>
  </w:style>
  <w:style w:type="paragraph" w:styleId="934">
    <w:name w:val="toc 1"/>
    <w:basedOn w:val="945"/>
    <w:next w:val="945"/>
    <w:uiPriority w:val="39"/>
    <w:unhideWhenUsed/>
    <w:pPr>
      <w:ind w:left="0" w:right="0" w:firstLine="0"/>
      <w:spacing w:after="57"/>
    </w:pPr>
  </w:style>
  <w:style w:type="paragraph" w:styleId="935">
    <w:name w:val="toc 2"/>
    <w:basedOn w:val="945"/>
    <w:next w:val="945"/>
    <w:uiPriority w:val="39"/>
    <w:unhideWhenUsed/>
    <w:pPr>
      <w:ind w:left="283" w:right="0" w:firstLine="0"/>
      <w:spacing w:after="57"/>
    </w:pPr>
  </w:style>
  <w:style w:type="paragraph" w:styleId="936">
    <w:name w:val="toc 3"/>
    <w:basedOn w:val="945"/>
    <w:next w:val="945"/>
    <w:uiPriority w:val="39"/>
    <w:unhideWhenUsed/>
    <w:pPr>
      <w:ind w:left="567" w:right="0" w:firstLine="0"/>
      <w:spacing w:after="57"/>
    </w:pPr>
  </w:style>
  <w:style w:type="paragraph" w:styleId="937">
    <w:name w:val="toc 4"/>
    <w:basedOn w:val="945"/>
    <w:next w:val="945"/>
    <w:uiPriority w:val="39"/>
    <w:unhideWhenUsed/>
    <w:pPr>
      <w:ind w:left="850" w:right="0" w:firstLine="0"/>
      <w:spacing w:after="57"/>
    </w:pPr>
  </w:style>
  <w:style w:type="paragraph" w:styleId="938">
    <w:name w:val="toc 5"/>
    <w:basedOn w:val="945"/>
    <w:next w:val="945"/>
    <w:uiPriority w:val="39"/>
    <w:unhideWhenUsed/>
    <w:pPr>
      <w:ind w:left="1134" w:right="0" w:firstLine="0"/>
      <w:spacing w:after="57"/>
    </w:pPr>
  </w:style>
  <w:style w:type="paragraph" w:styleId="939">
    <w:name w:val="toc 6"/>
    <w:basedOn w:val="945"/>
    <w:next w:val="945"/>
    <w:uiPriority w:val="39"/>
    <w:unhideWhenUsed/>
    <w:pPr>
      <w:ind w:left="1417" w:right="0" w:firstLine="0"/>
      <w:spacing w:after="57"/>
    </w:pPr>
  </w:style>
  <w:style w:type="paragraph" w:styleId="940">
    <w:name w:val="toc 7"/>
    <w:basedOn w:val="945"/>
    <w:next w:val="945"/>
    <w:uiPriority w:val="39"/>
    <w:unhideWhenUsed/>
    <w:pPr>
      <w:ind w:left="1701" w:right="0" w:firstLine="0"/>
      <w:spacing w:after="57"/>
    </w:pPr>
  </w:style>
  <w:style w:type="paragraph" w:styleId="941">
    <w:name w:val="toc 8"/>
    <w:basedOn w:val="945"/>
    <w:next w:val="945"/>
    <w:uiPriority w:val="39"/>
    <w:unhideWhenUsed/>
    <w:pPr>
      <w:ind w:left="1984" w:right="0" w:firstLine="0"/>
      <w:spacing w:after="57"/>
    </w:pPr>
  </w:style>
  <w:style w:type="paragraph" w:styleId="942">
    <w:name w:val="toc 9"/>
    <w:basedOn w:val="945"/>
    <w:next w:val="945"/>
    <w:uiPriority w:val="39"/>
    <w:unhideWhenUsed/>
    <w:pPr>
      <w:ind w:left="2268" w:right="0" w:firstLine="0"/>
      <w:spacing w:after="57"/>
    </w:pPr>
  </w:style>
  <w:style w:type="paragraph" w:styleId="943">
    <w:name w:val="TOC Heading"/>
    <w:uiPriority w:val="39"/>
    <w:unhideWhenUsed/>
  </w:style>
  <w:style w:type="paragraph" w:styleId="944">
    <w:name w:val="table of figures"/>
    <w:basedOn w:val="945"/>
    <w:next w:val="945"/>
    <w:uiPriority w:val="99"/>
    <w:unhideWhenUsed/>
    <w:pPr>
      <w:spacing w:after="0" w:afterAutospacing="0"/>
    </w:pPr>
  </w:style>
  <w:style w:type="paragraph" w:styleId="945" w:default="1">
    <w:name w:val="Normal"/>
    <w:next w:val="945"/>
    <w:link w:val="945"/>
    <w:qFormat/>
    <w:pPr>
      <w:jc w:val="both"/>
      <w:widowControl w:val="off"/>
    </w:pPr>
    <w:rPr>
      <w:rFonts w:eastAsia="楷体_GB2312"/>
      <w:sz w:val="26"/>
      <w:lang w:val="en-US" w:eastAsia="zh-CN" w:bidi="ar-SA"/>
    </w:rPr>
  </w:style>
  <w:style w:type="paragraph" w:styleId="946">
    <w:name w:val="标题 1"/>
    <w:basedOn w:val="945"/>
    <w:next w:val="945"/>
    <w:link w:val="957"/>
    <w:qFormat/>
    <w:pPr>
      <w:keepLines/>
      <w:keepNext/>
      <w:spacing w:before="340" w:after="330" w:line="578" w:lineRule="auto"/>
      <w:outlineLvl w:val="0"/>
    </w:pPr>
    <w:rPr>
      <w:b/>
      <w:sz w:val="44"/>
    </w:rPr>
  </w:style>
  <w:style w:type="paragraph" w:styleId="947">
    <w:name w:val="标题 2"/>
    <w:basedOn w:val="945"/>
    <w:next w:val="945"/>
    <w:link w:val="958"/>
    <w:qFormat/>
    <w:pPr>
      <w:jc w:val="left"/>
      <w:keepLines/>
      <w:keepNext/>
      <w:outlineLvl w:val="1"/>
    </w:pPr>
    <w:rPr>
      <w:rFonts w:ascii="宋体" w:hAnsi="宋体"/>
      <w:b/>
    </w:rPr>
  </w:style>
  <w:style w:type="paragraph" w:styleId="948">
    <w:name w:val="标题 3"/>
    <w:basedOn w:val="945"/>
    <w:next w:val="945"/>
    <w:link w:val="959"/>
    <w:qFormat/>
    <w:pPr>
      <w:jc w:val="left"/>
      <w:keepLines/>
      <w:keepNext/>
      <w:outlineLvl w:val="2"/>
    </w:pPr>
    <w:rPr>
      <w:b/>
    </w:rPr>
  </w:style>
  <w:style w:type="paragraph" w:styleId="949">
    <w:name w:val="标题 4"/>
    <w:basedOn w:val="945"/>
    <w:next w:val="945"/>
    <w:link w:val="960"/>
    <w:qFormat/>
    <w:pPr>
      <w:keepLines/>
      <w:keepNext/>
      <w:spacing w:before="280" w:after="290" w:line="376" w:lineRule="auto"/>
      <w:outlineLvl w:val="3"/>
    </w:pPr>
    <w:rPr>
      <w:rFonts w:ascii="Arial" w:hAnsi="Arial" w:eastAsia="黑体"/>
      <w:b/>
      <w:bCs/>
      <w:sz w:val="28"/>
      <w:szCs w:val="28"/>
    </w:rPr>
  </w:style>
  <w:style w:type="paragraph" w:styleId="950">
    <w:name w:val="标题 5"/>
    <w:basedOn w:val="945"/>
    <w:next w:val="945"/>
    <w:link w:val="961"/>
    <w:qFormat/>
    <w:pPr>
      <w:jc w:val="left"/>
      <w:keepLines/>
      <w:keepNext/>
      <w:spacing w:before="280" w:after="290" w:line="376" w:lineRule="atLeast"/>
      <w:outlineLvl w:val="4"/>
    </w:pPr>
    <w:rPr>
      <w:rFonts w:ascii="宋体" w:hAnsi="Tms Rmn" w:eastAsia="宋体"/>
      <w:b/>
      <w:sz w:val="28"/>
    </w:rPr>
  </w:style>
  <w:style w:type="paragraph" w:styleId="951">
    <w:name w:val="标题 6"/>
    <w:basedOn w:val="945"/>
    <w:next w:val="945"/>
    <w:link w:val="962"/>
    <w:qFormat/>
    <w:pPr>
      <w:jc w:val="left"/>
      <w:keepLines/>
      <w:keepNext/>
      <w:spacing w:before="240" w:after="64" w:line="320" w:lineRule="atLeast"/>
      <w:outlineLvl w:val="5"/>
    </w:pPr>
    <w:rPr>
      <w:rFonts w:ascii="黑体" w:hAnsi="Tms Rmn" w:eastAsia="黑体"/>
      <w:b/>
      <w:sz w:val="24"/>
    </w:rPr>
  </w:style>
  <w:style w:type="paragraph" w:styleId="952">
    <w:name w:val="标题 7"/>
    <w:basedOn w:val="945"/>
    <w:next w:val="945"/>
    <w:link w:val="963"/>
    <w:qFormat/>
    <w:pPr>
      <w:jc w:val="left"/>
      <w:keepLines/>
      <w:keepNext/>
      <w:spacing w:before="240" w:after="64" w:line="320" w:lineRule="atLeast"/>
      <w:outlineLvl w:val="6"/>
    </w:pPr>
    <w:rPr>
      <w:rFonts w:ascii="宋体" w:hAnsi="Tms Rmn" w:eastAsia="宋体"/>
      <w:b/>
      <w:sz w:val="24"/>
    </w:rPr>
  </w:style>
  <w:style w:type="paragraph" w:styleId="953">
    <w:name w:val="标题 8"/>
    <w:basedOn w:val="945"/>
    <w:next w:val="945"/>
    <w:link w:val="964"/>
    <w:qFormat/>
    <w:pPr>
      <w:keepLines/>
      <w:keepNext/>
      <w:spacing w:before="240" w:after="64" w:line="320" w:lineRule="auto"/>
      <w:outlineLvl w:val="7"/>
    </w:pPr>
    <w:rPr>
      <w:rFonts w:ascii="Arial" w:hAnsi="Arial" w:eastAsia="黑体"/>
      <w:sz w:val="24"/>
      <w:szCs w:val="24"/>
    </w:rPr>
  </w:style>
  <w:style w:type="paragraph" w:styleId="954">
    <w:name w:val="标题 9"/>
    <w:basedOn w:val="945"/>
    <w:next w:val="945"/>
    <w:link w:val="965"/>
    <w:qFormat/>
    <w:pPr>
      <w:keepLines/>
      <w:keepNext/>
      <w:spacing w:before="240" w:after="64" w:line="320" w:lineRule="auto"/>
      <w:outlineLvl w:val="8"/>
    </w:pPr>
    <w:rPr>
      <w:rFonts w:ascii="Arial" w:hAnsi="Arial" w:eastAsia="黑体"/>
      <w:sz w:val="24"/>
      <w:szCs w:val="21"/>
    </w:rPr>
  </w:style>
  <w:style w:type="character" w:styleId="955">
    <w:name w:val="默认段落字体"/>
    <w:next w:val="955"/>
    <w:link w:val="945"/>
    <w:rPr>
      <w:rFonts w:ascii="Tahoma" w:hAnsi="Tahoma" w:eastAsia="宋体"/>
      <w:sz w:val="24"/>
    </w:rPr>
  </w:style>
  <w:style w:type="table" w:styleId="956">
    <w:name w:val="普通表格"/>
    <w:next w:val="956"/>
    <w:link w:val="945"/>
    <w:uiPriority w:val="99"/>
    <w:unhideWhenUsed/>
    <w:tblPr/>
  </w:style>
  <w:style w:type="character" w:styleId="957">
    <w:name w:val="标题 1 字符"/>
    <w:next w:val="957"/>
    <w:link w:val="946"/>
    <w:rPr>
      <w:rFonts w:ascii="Times New Roman" w:hAnsi="Times New Roman" w:eastAsia="楷体_GB2312" w:cs="Times New Roman"/>
      <w:b/>
      <w:sz w:val="44"/>
      <w:szCs w:val="20"/>
    </w:rPr>
  </w:style>
  <w:style w:type="character" w:styleId="958">
    <w:name w:val="标题 2 字符"/>
    <w:next w:val="958"/>
    <w:link w:val="947"/>
    <w:rPr>
      <w:rFonts w:ascii="宋体" w:hAnsi="宋体" w:eastAsia="楷体_GB2312" w:cs="Times New Roman"/>
      <w:b/>
      <w:sz w:val="26"/>
      <w:szCs w:val="20"/>
    </w:rPr>
  </w:style>
  <w:style w:type="character" w:styleId="959">
    <w:name w:val="标题 3 字符"/>
    <w:next w:val="959"/>
    <w:link w:val="948"/>
    <w:rPr>
      <w:rFonts w:ascii="Times New Roman" w:hAnsi="Times New Roman" w:eastAsia="楷体_GB2312" w:cs="Times New Roman"/>
      <w:b/>
      <w:sz w:val="26"/>
      <w:szCs w:val="20"/>
    </w:rPr>
  </w:style>
  <w:style w:type="character" w:styleId="960">
    <w:name w:val="标题 4 字符"/>
    <w:next w:val="960"/>
    <w:link w:val="949"/>
    <w:rPr>
      <w:rFonts w:ascii="Arial" w:hAnsi="Arial" w:eastAsia="黑体" w:cs="Times New Roman"/>
      <w:b/>
      <w:bCs/>
      <w:sz w:val="28"/>
      <w:szCs w:val="28"/>
    </w:rPr>
  </w:style>
  <w:style w:type="character" w:styleId="961">
    <w:name w:val="标题 5 字符"/>
    <w:next w:val="961"/>
    <w:link w:val="950"/>
    <w:rPr>
      <w:rFonts w:ascii="宋体" w:hAnsi="Tms Rmn" w:eastAsia="宋体" w:cs="Times New Roman"/>
      <w:b/>
      <w:sz w:val="28"/>
      <w:szCs w:val="20"/>
    </w:rPr>
  </w:style>
  <w:style w:type="character" w:styleId="962">
    <w:name w:val="标题 6 字符"/>
    <w:next w:val="962"/>
    <w:link w:val="951"/>
    <w:rPr>
      <w:rFonts w:ascii="黑体" w:hAnsi="Tms Rmn" w:eastAsia="黑体" w:cs="Times New Roman"/>
      <w:b/>
      <w:sz w:val="24"/>
      <w:szCs w:val="20"/>
    </w:rPr>
  </w:style>
  <w:style w:type="character" w:styleId="963">
    <w:name w:val="标题 7 字符"/>
    <w:next w:val="963"/>
    <w:link w:val="952"/>
    <w:rPr>
      <w:rFonts w:ascii="宋体" w:hAnsi="Tms Rmn" w:eastAsia="宋体" w:cs="Times New Roman"/>
      <w:b/>
      <w:sz w:val="24"/>
      <w:szCs w:val="20"/>
    </w:rPr>
  </w:style>
  <w:style w:type="character" w:styleId="964">
    <w:name w:val="标题 8 字符"/>
    <w:next w:val="964"/>
    <w:link w:val="953"/>
    <w:rPr>
      <w:rFonts w:ascii="Arial" w:hAnsi="Arial" w:eastAsia="黑体" w:cs="Times New Roman"/>
      <w:sz w:val="24"/>
      <w:szCs w:val="24"/>
    </w:rPr>
  </w:style>
  <w:style w:type="character" w:styleId="965">
    <w:name w:val="标题 9 字符"/>
    <w:next w:val="965"/>
    <w:link w:val="954"/>
    <w:rPr>
      <w:rFonts w:ascii="Arial" w:hAnsi="Arial" w:eastAsia="黑体" w:cs="Times New Roman"/>
      <w:sz w:val="24"/>
      <w:szCs w:val="21"/>
    </w:rPr>
  </w:style>
  <w:style w:type="paragraph" w:styleId="966">
    <w:name w:val="目录 7"/>
    <w:basedOn w:val="946"/>
    <w:next w:val="945"/>
    <w:link w:val="945"/>
    <w:pPr>
      <w:ind w:left="2520"/>
    </w:pPr>
  </w:style>
  <w:style w:type="paragraph" w:styleId="967">
    <w:name w:val="索引 8"/>
    <w:basedOn w:val="945"/>
    <w:next w:val="945"/>
    <w:link w:val="945"/>
    <w:pPr>
      <w:ind w:left="2940"/>
    </w:pPr>
  </w:style>
  <w:style w:type="paragraph" w:styleId="968">
    <w:name w:val="列表编号"/>
    <w:basedOn w:val="945"/>
    <w:next w:val="968"/>
    <w:link w:val="945"/>
    <w:pPr>
      <w:ind w:left="1125" w:hanging="555"/>
      <w:tabs>
        <w:tab w:val="left" w:pos="1125" w:leader="none"/>
      </w:tabs>
    </w:pPr>
    <w:rPr>
      <w:rFonts w:eastAsia="宋体"/>
      <w:sz w:val="21"/>
      <w:szCs w:val="24"/>
    </w:rPr>
  </w:style>
  <w:style w:type="paragraph" w:styleId="969">
    <w:name w:val="正文缩进"/>
    <w:basedOn w:val="945"/>
    <w:next w:val="945"/>
    <w:link w:val="970"/>
    <w:qFormat/>
    <w:pPr>
      <w:ind w:firstLine="420"/>
      <w:jc w:val="left"/>
    </w:pPr>
    <w:rPr>
      <w:sz w:val="24"/>
    </w:rPr>
  </w:style>
  <w:style w:type="character" w:styleId="970">
    <w:name w:val="正文缩进 字符"/>
    <w:next w:val="970"/>
    <w:link w:val="969"/>
    <w:qFormat/>
    <w:rPr>
      <w:rFonts w:eastAsia="楷体_GB2312"/>
      <w:sz w:val="24"/>
    </w:rPr>
  </w:style>
  <w:style w:type="paragraph" w:styleId="971">
    <w:name w:val="索引 5"/>
    <w:basedOn w:val="945"/>
    <w:next w:val="945"/>
    <w:link w:val="945"/>
    <w:pPr>
      <w:ind w:left="1680"/>
    </w:pPr>
  </w:style>
  <w:style w:type="paragraph" w:styleId="972">
    <w:name w:val="文档结构图"/>
    <w:basedOn w:val="945"/>
    <w:next w:val="972"/>
    <w:link w:val="973"/>
    <w:pPr>
      <w:shd w:val="clear" w:color="auto" w:fill="000080"/>
    </w:pPr>
    <w:rPr>
      <w:rFonts w:eastAsia="宋体"/>
      <w:sz w:val="24"/>
      <w:shd w:val="clear" w:color="auto" w:fill="000080"/>
    </w:rPr>
  </w:style>
  <w:style w:type="character" w:styleId="973">
    <w:name w:val="文档结构图 字符"/>
    <w:next w:val="973"/>
    <w:link w:val="972"/>
    <w:rPr>
      <w:rFonts w:ascii="Times New Roman" w:hAnsi="Times New Roman" w:eastAsia="宋体" w:cs="Times New Roman"/>
      <w:sz w:val="24"/>
      <w:szCs w:val="20"/>
      <w:shd w:val="clear" w:color="auto" w:fill="000080"/>
    </w:rPr>
  </w:style>
  <w:style w:type="paragraph" w:styleId="974">
    <w:name w:val="批注文字"/>
    <w:basedOn w:val="945"/>
    <w:next w:val="974"/>
    <w:link w:val="975"/>
    <w:pPr>
      <w:jc w:val="left"/>
    </w:pPr>
  </w:style>
  <w:style w:type="character" w:styleId="975">
    <w:name w:val="批注文字 字符1"/>
    <w:next w:val="975"/>
    <w:link w:val="974"/>
    <w:rPr>
      <w:rFonts w:ascii="Times New Roman" w:hAnsi="Times New Roman" w:eastAsia="楷体_GB2312" w:cs="Times New Roman"/>
      <w:sz w:val="26"/>
      <w:szCs w:val="20"/>
    </w:rPr>
  </w:style>
  <w:style w:type="paragraph" w:styleId="976">
    <w:name w:val="索引 6"/>
    <w:basedOn w:val="945"/>
    <w:next w:val="945"/>
    <w:link w:val="945"/>
    <w:pPr>
      <w:ind w:left="2100"/>
    </w:pPr>
  </w:style>
  <w:style w:type="paragraph" w:styleId="977">
    <w:name w:val="正文文本"/>
    <w:basedOn w:val="945"/>
    <w:next w:val="945"/>
    <w:link w:val="978"/>
    <w:pPr>
      <w:spacing w:line="400" w:lineRule="exact"/>
    </w:pPr>
    <w:rPr>
      <w:rFonts w:ascii="楷体_GB2312"/>
      <w:sz w:val="28"/>
    </w:rPr>
  </w:style>
  <w:style w:type="character" w:styleId="978">
    <w:name w:val="正文文本 字符"/>
    <w:next w:val="978"/>
    <w:link w:val="977"/>
    <w:rPr>
      <w:rFonts w:ascii="楷体_GB2312" w:hAnsi="Times New Roman" w:eastAsia="楷体_GB2312" w:cs="Times New Roman"/>
      <w:sz w:val="28"/>
      <w:szCs w:val="20"/>
    </w:rPr>
  </w:style>
  <w:style w:type="paragraph" w:styleId="979">
    <w:name w:val="正文文本缩进"/>
    <w:basedOn w:val="945"/>
    <w:next w:val="945"/>
    <w:link w:val="980"/>
    <w:pPr>
      <w:ind w:left="570"/>
      <w:spacing w:line="520" w:lineRule="exact"/>
    </w:pPr>
    <w:rPr>
      <w:rFonts w:ascii="方正仿宋简体" w:hAnsi="创艺简仿宋" w:eastAsia="方正仿宋简体"/>
      <w:sz w:val="24"/>
    </w:rPr>
  </w:style>
  <w:style w:type="character" w:styleId="980">
    <w:name w:val="正文文本缩进 字符"/>
    <w:next w:val="980"/>
    <w:link w:val="979"/>
    <w:rPr>
      <w:rFonts w:ascii="方正仿宋简体" w:hAnsi="创艺简仿宋" w:eastAsia="方正仿宋简体" w:cs="Times New Roman"/>
      <w:sz w:val="24"/>
      <w:szCs w:val="20"/>
    </w:rPr>
  </w:style>
  <w:style w:type="paragraph" w:styleId="981">
    <w:name w:val="列表 2"/>
    <w:basedOn w:val="946"/>
    <w:next w:val="966"/>
    <w:link w:val="945"/>
    <w:qFormat/>
    <w:pPr>
      <w:ind w:left="100" w:firstLine="3640"/>
      <w:spacing w:before="0" w:after="0" w:line="240" w:lineRule="auto"/>
    </w:pPr>
    <w:rPr>
      <w:rFonts w:ascii="Times New Roman" w:hAnsi="Times New Roman" w:cs="Times New Roman"/>
    </w:rPr>
  </w:style>
  <w:style w:type="paragraph" w:styleId="982">
    <w:name w:val="文本块"/>
    <w:basedOn w:val="945"/>
    <w:next w:val="982"/>
    <w:link w:val="945"/>
    <w:pPr>
      <w:ind w:left="630" w:right="-609" w:firstLine="420"/>
      <w:spacing w:line="360" w:lineRule="auto"/>
    </w:pPr>
    <w:rPr>
      <w:rFonts w:ascii="仿宋_GB2312" w:eastAsia="仿宋_GB2312"/>
      <w:sz w:val="21"/>
    </w:rPr>
  </w:style>
  <w:style w:type="paragraph" w:styleId="983">
    <w:name w:val="索引 4"/>
    <w:basedOn w:val="945"/>
    <w:next w:val="945"/>
    <w:link w:val="945"/>
    <w:pPr>
      <w:ind w:left="1260"/>
    </w:pPr>
  </w:style>
  <w:style w:type="paragraph" w:styleId="984">
    <w:name w:val="目录 5"/>
    <w:basedOn w:val="945"/>
    <w:next w:val="945"/>
    <w:link w:val="945"/>
    <w:pPr>
      <w:ind w:left="1680"/>
    </w:pPr>
  </w:style>
  <w:style w:type="paragraph" w:styleId="985">
    <w:name w:val="目录 3"/>
    <w:basedOn w:val="945"/>
    <w:next w:val="945"/>
    <w:link w:val="945"/>
    <w:pPr>
      <w:ind w:left="840"/>
    </w:pPr>
  </w:style>
  <w:style w:type="paragraph" w:styleId="986">
    <w:name w:val="纯文本"/>
    <w:basedOn w:val="945"/>
    <w:next w:val="986"/>
    <w:link w:val="987"/>
    <w:qFormat/>
    <w:rPr>
      <w:rFonts w:ascii="宋体" w:hAnsi="Courier New"/>
    </w:rPr>
  </w:style>
  <w:style w:type="character" w:styleId="987">
    <w:name w:val="纯文本 字符"/>
    <w:next w:val="987"/>
    <w:link w:val="986"/>
    <w:qFormat/>
    <w:rPr>
      <w:rFonts w:ascii="宋体" w:hAnsi="Courier New" w:eastAsia="楷体_GB2312"/>
      <w:sz w:val="26"/>
    </w:rPr>
  </w:style>
  <w:style w:type="paragraph" w:styleId="988">
    <w:name w:val="目录 8"/>
    <w:basedOn w:val="945"/>
    <w:next w:val="945"/>
    <w:link w:val="945"/>
    <w:pPr>
      <w:ind w:left="2940"/>
    </w:pPr>
  </w:style>
  <w:style w:type="paragraph" w:styleId="989">
    <w:name w:val="索引 3"/>
    <w:basedOn w:val="945"/>
    <w:next w:val="945"/>
    <w:link w:val="945"/>
    <w:pPr>
      <w:ind w:left="840"/>
    </w:pPr>
  </w:style>
  <w:style w:type="paragraph" w:styleId="990">
    <w:name w:val="日期"/>
    <w:basedOn w:val="945"/>
    <w:next w:val="945"/>
    <w:link w:val="991"/>
    <w:rPr>
      <w:rFonts w:ascii="宋体" w:hAnsi="宋体"/>
      <w:sz w:val="24"/>
    </w:rPr>
  </w:style>
  <w:style w:type="character" w:styleId="991">
    <w:name w:val="日期 字符"/>
    <w:next w:val="991"/>
    <w:link w:val="990"/>
    <w:rPr>
      <w:rFonts w:ascii="宋体" w:hAnsi="宋体" w:eastAsia="楷体_GB2312" w:cs="Times New Roman"/>
      <w:sz w:val="24"/>
      <w:szCs w:val="20"/>
    </w:rPr>
  </w:style>
  <w:style w:type="paragraph" w:styleId="992">
    <w:name w:val="正文文本缩进 2"/>
    <w:basedOn w:val="945"/>
    <w:next w:val="992"/>
    <w:link w:val="993"/>
    <w:pPr>
      <w:ind w:firstLine="502"/>
      <w:spacing w:line="360" w:lineRule="auto"/>
      <w:tabs>
        <w:tab w:val="left" w:pos="0" w:leader="none"/>
      </w:tabs>
    </w:pPr>
    <w:rPr>
      <w:rFonts w:ascii="宋体" w:eastAsia="宋体"/>
      <w:b/>
      <w:bCs/>
      <w:sz w:val="24"/>
    </w:rPr>
  </w:style>
  <w:style w:type="character" w:styleId="993">
    <w:name w:val="正文文本缩进 2 字符"/>
    <w:next w:val="993"/>
    <w:link w:val="992"/>
    <w:rPr>
      <w:rFonts w:ascii="宋体" w:hAnsi="Times New Roman" w:eastAsia="宋体" w:cs="Times New Roman"/>
      <w:b/>
      <w:bCs/>
      <w:sz w:val="24"/>
      <w:szCs w:val="20"/>
    </w:rPr>
  </w:style>
  <w:style w:type="paragraph" w:styleId="994">
    <w:name w:val="批注框文本"/>
    <w:basedOn w:val="945"/>
    <w:next w:val="994"/>
    <w:link w:val="995"/>
    <w:rPr>
      <w:sz w:val="18"/>
      <w:szCs w:val="18"/>
    </w:rPr>
  </w:style>
  <w:style w:type="character" w:styleId="995">
    <w:name w:val="批注框文本 字符"/>
    <w:next w:val="995"/>
    <w:link w:val="994"/>
    <w:rPr>
      <w:rFonts w:ascii="Times New Roman" w:hAnsi="Times New Roman" w:eastAsia="楷体_GB2312" w:cs="Times New Roman"/>
      <w:sz w:val="18"/>
      <w:szCs w:val="18"/>
    </w:rPr>
  </w:style>
  <w:style w:type="paragraph" w:styleId="996">
    <w:name w:val="页脚"/>
    <w:basedOn w:val="945"/>
    <w:next w:val="996"/>
    <w:link w:val="997"/>
    <w:uiPriority w:val="99"/>
    <w:pPr>
      <w:jc w:val="left"/>
      <w:tabs>
        <w:tab w:val="center" w:pos="4153" w:leader="none"/>
        <w:tab w:val="right" w:pos="8306" w:leader="none"/>
      </w:tabs>
    </w:pPr>
    <w:rPr>
      <w:rFonts w:ascii="Tahoma" w:hAnsi="Tahoma" w:eastAsia="宋体"/>
      <w:sz w:val="18"/>
      <w:szCs w:val="18"/>
    </w:rPr>
  </w:style>
  <w:style w:type="character" w:styleId="997">
    <w:name w:val="页脚 字符"/>
    <w:next w:val="997"/>
    <w:link w:val="996"/>
    <w:uiPriority w:val="99"/>
    <w:rPr>
      <w:rFonts w:ascii="Tahoma" w:hAnsi="Tahoma" w:eastAsia="宋体"/>
      <w:sz w:val="18"/>
      <w:szCs w:val="18"/>
    </w:rPr>
  </w:style>
  <w:style w:type="paragraph" w:styleId="998">
    <w:name w:val="寄信人地址"/>
    <w:basedOn w:val="945"/>
    <w:next w:val="998"/>
    <w:link w:val="945"/>
    <w:qFormat/>
    <w:rPr>
      <w:rFonts w:ascii="Arial" w:hAnsi="Arial"/>
    </w:rPr>
  </w:style>
  <w:style w:type="paragraph" w:styleId="999">
    <w:name w:val="页眉"/>
    <w:basedOn w:val="945"/>
    <w:next w:val="999"/>
    <w:link w:val="1000"/>
    <w:qFormat/>
    <w:pPr>
      <w:jc w:val="center"/>
      <w:tabs>
        <w:tab w:val="center" w:pos="4153" w:leader="none"/>
        <w:tab w:val="right" w:pos="8306" w:leader="none"/>
      </w:tabs>
      <w:pBdr>
        <w:bottom w:val="single" w:color="000000" w:sz="6" w:space="1"/>
      </w:pBdr>
    </w:pPr>
    <w:rPr>
      <w:rFonts w:ascii="Tahoma" w:hAnsi="Tahoma" w:eastAsia="宋体"/>
      <w:sz w:val="18"/>
      <w:szCs w:val="18"/>
    </w:rPr>
  </w:style>
  <w:style w:type="character" w:styleId="1000">
    <w:name w:val="页眉 字符"/>
    <w:next w:val="1000"/>
    <w:link w:val="999"/>
    <w:qFormat/>
    <w:rPr>
      <w:rFonts w:ascii="Tahoma" w:hAnsi="Tahoma" w:eastAsia="宋体"/>
      <w:sz w:val="18"/>
      <w:szCs w:val="18"/>
    </w:rPr>
  </w:style>
  <w:style w:type="paragraph" w:styleId="1001">
    <w:name w:val="目录 1"/>
    <w:basedOn w:val="945"/>
    <w:next w:val="945"/>
    <w:link w:val="945"/>
    <w:pPr>
      <w:ind w:firstLine="751"/>
      <w:jc w:val="left"/>
      <w:spacing w:line="360" w:lineRule="auto"/>
      <w:tabs>
        <w:tab w:val="right" w:pos="9538" w:leader="dot"/>
      </w:tabs>
    </w:pPr>
    <w:rPr>
      <w:sz w:val="24"/>
    </w:rPr>
  </w:style>
  <w:style w:type="paragraph" w:styleId="1002">
    <w:name w:val="目录 4"/>
    <w:basedOn w:val="945"/>
    <w:next w:val="945"/>
    <w:link w:val="945"/>
    <w:pPr>
      <w:ind w:left="1260"/>
    </w:pPr>
  </w:style>
  <w:style w:type="paragraph" w:styleId="1003">
    <w:name w:val="索引标题"/>
    <w:basedOn w:val="945"/>
    <w:next w:val="1004"/>
    <w:link w:val="945"/>
  </w:style>
  <w:style w:type="paragraph" w:styleId="1004">
    <w:name w:val="索引 1"/>
    <w:basedOn w:val="945"/>
    <w:next w:val="945"/>
    <w:link w:val="945"/>
  </w:style>
  <w:style w:type="paragraph" w:styleId="1005">
    <w:name w:val="脚注文本"/>
    <w:basedOn w:val="945"/>
    <w:next w:val="1005"/>
    <w:link w:val="1006"/>
    <w:pPr>
      <w:jc w:val="left"/>
    </w:pPr>
    <w:rPr>
      <w:sz w:val="18"/>
    </w:rPr>
  </w:style>
  <w:style w:type="character" w:styleId="1006">
    <w:name w:val="脚注文本 字符"/>
    <w:next w:val="1006"/>
    <w:link w:val="1005"/>
    <w:rPr>
      <w:rFonts w:ascii="Times New Roman" w:hAnsi="Times New Roman" w:eastAsia="楷体_GB2312" w:cs="Times New Roman"/>
      <w:sz w:val="18"/>
      <w:szCs w:val="20"/>
    </w:rPr>
  </w:style>
  <w:style w:type="paragraph" w:styleId="1007">
    <w:name w:val="目录 6"/>
    <w:basedOn w:val="945"/>
    <w:next w:val="945"/>
    <w:link w:val="945"/>
    <w:pPr>
      <w:ind w:left="2100"/>
    </w:pPr>
  </w:style>
  <w:style w:type="paragraph" w:styleId="1008">
    <w:name w:val="正文文本缩进 3"/>
    <w:basedOn w:val="945"/>
    <w:next w:val="1008"/>
    <w:link w:val="1009"/>
    <w:pPr>
      <w:ind w:firstLine="617"/>
      <w:spacing w:line="360" w:lineRule="auto"/>
    </w:pPr>
    <w:rPr>
      <w:rFonts w:eastAsia="宋体"/>
      <w:sz w:val="24"/>
      <w:szCs w:val="24"/>
    </w:rPr>
  </w:style>
  <w:style w:type="character" w:styleId="1009">
    <w:name w:val="正文文本缩进 3 字符"/>
    <w:next w:val="1009"/>
    <w:link w:val="1008"/>
    <w:rPr>
      <w:rFonts w:ascii="Times New Roman" w:hAnsi="Times New Roman" w:eastAsia="宋体" w:cs="Times New Roman"/>
      <w:sz w:val="24"/>
      <w:szCs w:val="24"/>
    </w:rPr>
  </w:style>
  <w:style w:type="paragraph" w:styleId="1010">
    <w:name w:val="索引 7"/>
    <w:basedOn w:val="945"/>
    <w:next w:val="945"/>
    <w:link w:val="945"/>
    <w:pPr>
      <w:ind w:left="2520"/>
    </w:pPr>
  </w:style>
  <w:style w:type="paragraph" w:styleId="1011">
    <w:name w:val="索引 9"/>
    <w:basedOn w:val="945"/>
    <w:next w:val="945"/>
    <w:link w:val="945"/>
    <w:pPr>
      <w:ind w:left="3360"/>
    </w:pPr>
  </w:style>
  <w:style w:type="paragraph" w:styleId="1012">
    <w:name w:val="图表目录"/>
    <w:basedOn w:val="945"/>
    <w:next w:val="945"/>
    <w:link w:val="945"/>
    <w:pPr>
      <w:ind w:left="420" w:hanging="420"/>
      <w:jc w:val="left"/>
    </w:pPr>
    <w:rPr>
      <w:smallCaps/>
      <w:sz w:val="24"/>
    </w:rPr>
  </w:style>
  <w:style w:type="paragraph" w:styleId="1013">
    <w:name w:val="目录 2"/>
    <w:basedOn w:val="945"/>
    <w:next w:val="945"/>
    <w:link w:val="945"/>
    <w:pPr>
      <w:ind w:left="420"/>
    </w:pPr>
  </w:style>
  <w:style w:type="paragraph" w:styleId="1014">
    <w:name w:val="目录 9"/>
    <w:basedOn w:val="945"/>
    <w:next w:val="945"/>
    <w:link w:val="945"/>
    <w:pPr>
      <w:ind w:left="3360"/>
    </w:pPr>
  </w:style>
  <w:style w:type="paragraph" w:styleId="1015">
    <w:name w:val="HTML 预设格式"/>
    <w:basedOn w:val="945"/>
    <w:next w:val="1015"/>
    <w:link w:val="1016"/>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016">
    <w:name w:val="HTML 预设格式 字符"/>
    <w:next w:val="1016"/>
    <w:link w:val="1015"/>
    <w:rPr>
      <w:rFonts w:ascii="黑体" w:hAnsi="Courier New" w:eastAsia="黑体" w:cs="楷体_GB2312"/>
      <w:sz w:val="20"/>
      <w:szCs w:val="20"/>
    </w:rPr>
  </w:style>
  <w:style w:type="paragraph" w:styleId="1017">
    <w:name w:val="普通(网站)"/>
    <w:basedOn w:val="945"/>
    <w:next w:val="1017"/>
    <w:link w:val="945"/>
    <w:uiPriority w:val="99"/>
    <w:qFormat/>
    <w:pPr>
      <w:jc w:val="left"/>
      <w:spacing w:before="100" w:beforeAutospacing="1" w:after="100" w:afterAutospacing="1"/>
      <w:widowControl/>
    </w:pPr>
    <w:rPr>
      <w:rFonts w:hint="eastAsia" w:ascii="宋体" w:hAnsi="宋体" w:eastAsia="宋体"/>
      <w:sz w:val="24"/>
      <w:szCs w:val="24"/>
    </w:rPr>
  </w:style>
  <w:style w:type="paragraph" w:styleId="1018">
    <w:name w:val="索引 2"/>
    <w:basedOn w:val="945"/>
    <w:next w:val="945"/>
    <w:link w:val="945"/>
    <w:pPr>
      <w:ind w:left="420"/>
    </w:pPr>
  </w:style>
  <w:style w:type="paragraph" w:styleId="1019">
    <w:name w:val="批注主题"/>
    <w:basedOn w:val="974"/>
    <w:next w:val="974"/>
    <w:link w:val="1020"/>
    <w:rPr>
      <w:b/>
      <w:bCs/>
    </w:rPr>
  </w:style>
  <w:style w:type="character" w:styleId="1020">
    <w:name w:val="批注主题 字符"/>
    <w:next w:val="1020"/>
    <w:link w:val="1019"/>
    <w:rPr>
      <w:rFonts w:ascii="Times New Roman" w:hAnsi="Times New Roman" w:eastAsia="楷体_GB2312" w:cs="Times New Roman"/>
      <w:b/>
      <w:bCs/>
      <w:sz w:val="26"/>
      <w:szCs w:val="20"/>
    </w:rPr>
  </w:style>
  <w:style w:type="paragraph" w:styleId="1021">
    <w:name w:val="正文首行缩进"/>
    <w:basedOn w:val="977"/>
    <w:next w:val="1021"/>
    <w:link w:val="1022"/>
    <w:pPr>
      <w:ind w:firstLine="420"/>
      <w:spacing w:after="120" w:line="240" w:lineRule="auto"/>
    </w:pPr>
    <w:rPr>
      <w:rFonts w:ascii="Times New Roman"/>
      <w:sz w:val="26"/>
    </w:rPr>
  </w:style>
  <w:style w:type="character" w:styleId="1022">
    <w:name w:val="正文文本首行缩进 字符"/>
    <w:next w:val="1022"/>
    <w:link w:val="1021"/>
    <w:rPr>
      <w:rFonts w:ascii="Times New Roman" w:hAnsi="Times New Roman" w:eastAsia="楷体_GB2312" w:cs="Times New Roman"/>
      <w:sz w:val="26"/>
      <w:szCs w:val="20"/>
    </w:rPr>
  </w:style>
  <w:style w:type="paragraph" w:styleId="1023">
    <w:name w:val="正文首行缩进 2"/>
    <w:basedOn w:val="979"/>
    <w:next w:val="1023"/>
    <w:link w:val="945"/>
    <w:qFormat/>
    <w:pPr>
      <w:ind w:firstLine="420"/>
    </w:pPr>
  </w:style>
  <w:style w:type="table" w:styleId="1024">
    <w:name w:val="网格型"/>
    <w:basedOn w:val="956"/>
    <w:next w:val="1024"/>
    <w:link w:val="945"/>
    <w:uiPriority w:val="59"/>
    <w:unhideWhenUsed/>
    <w:qFormat/>
    <w:pPr>
      <w:jc w:val="both"/>
      <w:widowControl w:val="off"/>
    </w:pPr>
    <w:tblPr/>
  </w:style>
  <w:style w:type="character" w:styleId="1025">
    <w:name w:val="要点"/>
    <w:next w:val="1025"/>
    <w:link w:val="945"/>
    <w:qFormat/>
    <w:rPr>
      <w:rFonts w:ascii="Tahoma" w:hAnsi="Tahoma" w:eastAsia="宋体"/>
      <w:b/>
      <w:sz w:val="24"/>
    </w:rPr>
  </w:style>
  <w:style w:type="character" w:styleId="1026">
    <w:name w:val="页码"/>
    <w:basedOn w:val="955"/>
    <w:next w:val="1026"/>
    <w:link w:val="945"/>
  </w:style>
  <w:style w:type="character" w:styleId="1027">
    <w:name w:val="强调"/>
    <w:next w:val="1027"/>
    <w:link w:val="945"/>
    <w:uiPriority w:val="20"/>
    <w:qFormat/>
    <w:rPr>
      <w:b/>
      <w:bCs/>
      <w:i w:val="0"/>
      <w:iCs w:val="0"/>
    </w:rPr>
  </w:style>
  <w:style w:type="character" w:styleId="1028">
    <w:name w:val="HTML 定义"/>
    <w:next w:val="1028"/>
    <w:link w:val="945"/>
    <w:uiPriority w:val="99"/>
    <w:unhideWhenUsed/>
    <w:rPr>
      <w:i w:val="0"/>
      <w:iCs w:val="0"/>
    </w:rPr>
  </w:style>
  <w:style w:type="character" w:styleId="1029">
    <w:name w:val="HTML 打字机"/>
    <w:next w:val="1029"/>
    <w:link w:val="945"/>
    <w:uiPriority w:val="99"/>
    <w:unhideWhenUsed/>
    <w:rPr>
      <w:rFonts w:ascii="monospace" w:hAnsi="monospace" w:eastAsia="monospace" w:cs="monospace"/>
      <w:sz w:val="20"/>
    </w:rPr>
  </w:style>
  <w:style w:type="character" w:styleId="1030">
    <w:name w:val="HTML 缩写"/>
    <w:next w:val="1030"/>
    <w:link w:val="945"/>
    <w:uiPriority w:val="99"/>
    <w:unhideWhenUsed/>
  </w:style>
  <w:style w:type="character" w:styleId="1031">
    <w:name w:val="HTML 变量"/>
    <w:next w:val="1031"/>
    <w:link w:val="945"/>
    <w:uiPriority w:val="99"/>
    <w:unhideWhenUsed/>
    <w:rPr>
      <w:i w:val="0"/>
      <w:iCs w:val="0"/>
    </w:rPr>
  </w:style>
  <w:style w:type="character" w:styleId="1032">
    <w:name w:val="超链接"/>
    <w:next w:val="1032"/>
    <w:link w:val="945"/>
    <w:rPr>
      <w:color w:val="0000ff"/>
      <w:u w:val="none"/>
    </w:rPr>
  </w:style>
  <w:style w:type="character" w:styleId="1033">
    <w:name w:val="HTML 代码"/>
    <w:next w:val="1033"/>
    <w:link w:val="945"/>
    <w:uiPriority w:val="99"/>
    <w:unhideWhenUsed/>
    <w:rPr>
      <w:rFonts w:ascii="monospace" w:hAnsi="monospace" w:eastAsia="monospace" w:cs="monospace"/>
      <w:i w:val="0"/>
      <w:iCs w:val="0"/>
      <w:sz w:val="20"/>
    </w:rPr>
  </w:style>
  <w:style w:type="character" w:styleId="1034">
    <w:name w:val="批注引用"/>
    <w:next w:val="1034"/>
    <w:link w:val="945"/>
    <w:rPr>
      <w:sz w:val="21"/>
      <w:szCs w:val="21"/>
    </w:rPr>
  </w:style>
  <w:style w:type="character" w:styleId="1035">
    <w:name w:val="HTML 引文"/>
    <w:next w:val="1035"/>
    <w:link w:val="945"/>
    <w:uiPriority w:val="99"/>
    <w:unhideWhenUsed/>
    <w:rPr>
      <w:i w:val="0"/>
      <w:iCs w:val="0"/>
    </w:rPr>
  </w:style>
  <w:style w:type="character" w:styleId="1036">
    <w:name w:val="脚注引用"/>
    <w:next w:val="1036"/>
    <w:link w:val="945"/>
    <w:rPr>
      <w:vertAlign w:val="superscript"/>
    </w:rPr>
  </w:style>
  <w:style w:type="character" w:styleId="1037">
    <w:name w:val="HTML 键盘"/>
    <w:next w:val="1037"/>
    <w:link w:val="945"/>
    <w:uiPriority w:val="99"/>
    <w:unhideWhenUsed/>
    <w:rPr>
      <w:rFonts w:ascii="monospace" w:hAnsi="monospace" w:eastAsia="monospace" w:cs="monospace"/>
      <w:sz w:val="20"/>
    </w:rPr>
  </w:style>
  <w:style w:type="character" w:styleId="1038">
    <w:name w:val="HTML 样本"/>
    <w:next w:val="1038"/>
    <w:link w:val="945"/>
    <w:uiPriority w:val="99"/>
    <w:unhideWhenUsed/>
    <w:rPr>
      <w:rFonts w:ascii="monospace" w:hAnsi="monospace" w:eastAsia="monospace" w:cs="monospace"/>
    </w:rPr>
  </w:style>
  <w:style w:type="paragraph" w:styleId="1039">
    <w:name w:val="正文1"/>
    <w:next w:val="945"/>
    <w:link w:val="945"/>
    <w:qFormat/>
    <w:pPr>
      <w:jc w:val="both"/>
      <w:spacing w:line="360" w:lineRule="atLeast"/>
      <w:widowControl w:val="off"/>
    </w:pPr>
    <w:rPr>
      <w:lang w:val="en-US" w:eastAsia="zh-CN" w:bidi="ar-SA"/>
    </w:rPr>
  </w:style>
  <w:style w:type="paragraph" w:styleId="1040">
    <w:name w:val="正文首行缩进 211"/>
    <w:basedOn w:val="1041"/>
    <w:next w:val="1040"/>
    <w:link w:val="945"/>
    <w:qFormat/>
    <w:pPr>
      <w:ind w:left="420"/>
      <w:spacing w:after="120" w:line="240" w:lineRule="auto"/>
    </w:pPr>
    <w:rPr>
      <w:rFonts w:ascii="Times New Roman" w:hAnsi="Times New Roman"/>
      <w:sz w:val="21"/>
      <w:szCs w:val="20"/>
      <w:lang w:val="en-US" w:eastAsia="zh-CN"/>
    </w:rPr>
  </w:style>
  <w:style w:type="paragraph" w:styleId="1041">
    <w:name w:val="正文文本缩进11"/>
    <w:basedOn w:val="945"/>
    <w:next w:val="945"/>
    <w:link w:val="945"/>
    <w:qFormat/>
    <w:pPr>
      <w:ind w:firstLine="420"/>
      <w:spacing w:line="360" w:lineRule="exact"/>
    </w:pPr>
    <w:rPr>
      <w:sz w:val="24"/>
    </w:rPr>
  </w:style>
  <w:style w:type="paragraph" w:styleId="1042">
    <w:name w:val="段"/>
    <w:next w:val="945"/>
    <w:link w:val="945"/>
    <w:uiPriority w:val="99"/>
    <w:pPr>
      <w:ind w:firstLine="200"/>
      <w:jc w:val="both"/>
      <w:spacing w:line="360" w:lineRule="auto"/>
    </w:pPr>
    <w:rPr>
      <w:rFonts w:ascii="宋体" w:hAnsi="Calibri"/>
      <w:sz w:val="24"/>
      <w:szCs w:val="22"/>
      <w:lang w:val="en-US" w:eastAsia="zh-CN" w:bidi="ar-SA"/>
    </w:rPr>
  </w:style>
  <w:style w:type="character" w:styleId="1043">
    <w:name w:val="font121"/>
    <w:next w:val="1043"/>
    <w:link w:val="945"/>
    <w:rPr>
      <w:rFonts w:ascii="微软雅黑" w:hAnsi="微软雅黑" w:eastAsia="微软雅黑" w:cs="微软雅黑"/>
      <w:i w:val="0"/>
      <w:color w:val="000000"/>
      <w:sz w:val="21"/>
      <w:szCs w:val="21"/>
      <w:u w:val="none"/>
    </w:rPr>
  </w:style>
  <w:style w:type="character" w:styleId="1044">
    <w:name w:val="font91"/>
    <w:next w:val="1044"/>
    <w:link w:val="945"/>
    <w:rPr>
      <w:rFonts w:ascii="微软雅黑" w:hAnsi="微软雅黑" w:eastAsia="微软雅黑" w:cs="微软雅黑"/>
      <w:i w:val="0"/>
      <w:color w:val="ff0000"/>
      <w:sz w:val="21"/>
      <w:szCs w:val="21"/>
      <w:u w:val="none"/>
    </w:rPr>
  </w:style>
  <w:style w:type="character" w:styleId="1045">
    <w:name w:val="font191"/>
    <w:next w:val="1045"/>
    <w:link w:val="945"/>
    <w:rPr>
      <w:rFonts w:hint="eastAsia" w:ascii="宋体" w:hAnsi="宋体" w:eastAsia="宋体" w:cs="宋体"/>
      <w:i w:val="0"/>
      <w:color w:val="000000"/>
      <w:sz w:val="21"/>
      <w:szCs w:val="21"/>
      <w:u w:val="none"/>
    </w:rPr>
  </w:style>
  <w:style w:type="character" w:styleId="1046">
    <w:name w:val="纯文本 Char1"/>
    <w:next w:val="1046"/>
    <w:link w:val="945"/>
    <w:rPr>
      <w:rFonts w:ascii="宋体" w:hAnsi="Courier New" w:eastAsia="宋体" w:cs="Courier New"/>
      <w:sz w:val="24"/>
      <w:szCs w:val="21"/>
    </w:rPr>
  </w:style>
  <w:style w:type="character" w:styleId="1047">
    <w:name w:val="font161"/>
    <w:next w:val="1047"/>
    <w:link w:val="945"/>
    <w:rPr>
      <w:rFonts w:hint="eastAsia" w:ascii="宋体" w:hAnsi="宋体" w:eastAsia="宋体" w:cs="宋体"/>
      <w:i w:val="0"/>
      <w:color w:val="333333"/>
      <w:sz w:val="20"/>
      <w:szCs w:val="20"/>
      <w:u w:val="none"/>
    </w:rPr>
  </w:style>
  <w:style w:type="character" w:styleId="1048">
    <w:name w:val="font51"/>
    <w:next w:val="1048"/>
    <w:link w:val="945"/>
    <w:rPr>
      <w:rFonts w:ascii="Times New Roman" w:hAnsi="Times New Roman" w:eastAsia="宋体" w:cs="Times New Roman"/>
      <w:i w:val="0"/>
      <w:color w:val="000000"/>
      <w:sz w:val="21"/>
      <w:szCs w:val="21"/>
      <w:u w:val="none"/>
    </w:rPr>
  </w:style>
  <w:style w:type="character" w:styleId="1049">
    <w:name w:val="font101"/>
    <w:next w:val="1049"/>
    <w:link w:val="945"/>
    <w:rPr>
      <w:rFonts w:hint="eastAsia" w:ascii="宋体" w:hAnsi="宋体" w:eastAsia="宋体" w:cs="宋体"/>
      <w:i w:val="0"/>
      <w:color w:val="000000"/>
      <w:sz w:val="21"/>
      <w:szCs w:val="21"/>
      <w:u w:val="none"/>
    </w:rPr>
  </w:style>
  <w:style w:type="character" w:styleId="1050">
    <w:name w:val="font151"/>
    <w:next w:val="1050"/>
    <w:link w:val="945"/>
    <w:rPr>
      <w:rFonts w:ascii="Times New Roman" w:hAnsi="Times New Roman" w:eastAsia="宋体" w:cs="Times New Roman"/>
      <w:i w:val="0"/>
      <w:color w:val="dd0806"/>
      <w:sz w:val="21"/>
      <w:szCs w:val="21"/>
      <w:u w:val="none"/>
    </w:rPr>
  </w:style>
  <w:style w:type="character" w:styleId="1051">
    <w:name w:val="font31"/>
    <w:next w:val="1051"/>
    <w:link w:val="945"/>
    <w:rPr>
      <w:rFonts w:ascii="微软雅黑" w:hAnsi="微软雅黑" w:eastAsia="微软雅黑" w:cs="微软雅黑"/>
      <w:i w:val="0"/>
      <w:color w:val="000000"/>
      <w:sz w:val="21"/>
      <w:szCs w:val="21"/>
      <w:u w:val="none"/>
    </w:rPr>
  </w:style>
  <w:style w:type="character" w:styleId="1052">
    <w:name w:val="mini-outputtext1"/>
    <w:next w:val="1052"/>
    <w:link w:val="945"/>
  </w:style>
  <w:style w:type="character" w:styleId="1053">
    <w:name w:val="Plain Text Char1"/>
    <w:next w:val="1053"/>
    <w:link w:val="1054"/>
    <w:qFormat/>
    <w:rPr>
      <w:rFonts w:ascii="宋体" w:hAnsi="Courier New" w:eastAsia="楷体_GB2312"/>
      <w:sz w:val="26"/>
    </w:rPr>
  </w:style>
  <w:style w:type="paragraph" w:styleId="1054">
    <w:name w:val="纯文本1"/>
    <w:basedOn w:val="945"/>
    <w:next w:val="1054"/>
    <w:link w:val="1053"/>
    <w:qFormat/>
    <w:rPr>
      <w:rFonts w:ascii="宋体" w:hAnsi="Courier New"/>
    </w:rPr>
  </w:style>
  <w:style w:type="character" w:styleId="1055">
    <w:name w:val="font71"/>
    <w:next w:val="1055"/>
    <w:link w:val="945"/>
    <w:rPr>
      <w:rFonts w:ascii="Times New Roman" w:hAnsi="Times New Roman" w:eastAsia="宋体" w:cs="Times New Roman"/>
      <w:i w:val="0"/>
      <w:color w:val="000000"/>
      <w:sz w:val="21"/>
      <w:szCs w:val="21"/>
      <w:u w:val="none"/>
    </w:rPr>
  </w:style>
  <w:style w:type="character" w:styleId="1056">
    <w:name w:val="批注文字 字符"/>
    <w:next w:val="1056"/>
    <w:link w:val="945"/>
    <w:rPr>
      <w:rFonts w:ascii="Times New Roman" w:hAnsi="Times New Roman" w:eastAsia="楷体_GB2312" w:cs="Times New Roman"/>
      <w:sz w:val="26"/>
      <w:szCs w:val="20"/>
    </w:rPr>
  </w:style>
  <w:style w:type="character" w:styleId="1057">
    <w:name w:val="font81"/>
    <w:next w:val="1057"/>
    <w:link w:val="945"/>
    <w:rPr>
      <w:rFonts w:ascii="微软雅黑" w:hAnsi="微软雅黑" w:eastAsia="微软雅黑" w:cs="微软雅黑"/>
      <w:i w:val="0"/>
      <w:color w:val="000000"/>
      <w:sz w:val="21"/>
      <w:szCs w:val="21"/>
      <w:u w:val="none"/>
    </w:rPr>
  </w:style>
  <w:style w:type="character" w:styleId="1058">
    <w:name w:val="font181"/>
    <w:next w:val="1058"/>
    <w:link w:val="945"/>
    <w:rPr>
      <w:rFonts w:ascii="Times New Roman" w:hAnsi="Times New Roman" w:eastAsia="宋体" w:cs="Times New Roman"/>
      <w:i w:val="0"/>
      <w:color w:val="000000"/>
      <w:sz w:val="21"/>
      <w:szCs w:val="21"/>
      <w:u w:val="none"/>
      <w:vertAlign w:val="subscript"/>
    </w:rPr>
  </w:style>
  <w:style w:type="character" w:styleId="1059">
    <w:name w:val="apple-style-span"/>
    <w:next w:val="1059"/>
    <w:link w:val="945"/>
  </w:style>
  <w:style w:type="character" w:styleId="1060">
    <w:name w:val="font21"/>
    <w:next w:val="1060"/>
    <w:link w:val="945"/>
    <w:rPr>
      <w:rFonts w:hint="eastAsia" w:ascii="宋体" w:hAnsi="宋体" w:eastAsia="宋体" w:cs="宋体"/>
      <w:b/>
      <w:i w:val="0"/>
      <w:color w:val="000000"/>
      <w:sz w:val="22"/>
      <w:szCs w:val="22"/>
      <w:u w:val="none"/>
    </w:rPr>
  </w:style>
  <w:style w:type="character" w:styleId="1061">
    <w:name w:val="hover2"/>
    <w:next w:val="1061"/>
    <w:link w:val="945"/>
    <w:rPr>
      <w:color w:val="2590eb"/>
    </w:rPr>
  </w:style>
  <w:style w:type="character" w:styleId="1062">
    <w:name w:val="font171"/>
    <w:next w:val="1062"/>
    <w:link w:val="945"/>
    <w:rPr>
      <w:rFonts w:ascii="微软雅黑" w:hAnsi="微软雅黑" w:eastAsia="微软雅黑" w:cs="微软雅黑"/>
      <w:i w:val="0"/>
      <w:color w:val="000000"/>
      <w:sz w:val="21"/>
      <w:szCs w:val="21"/>
      <w:u w:val="none"/>
    </w:rPr>
  </w:style>
  <w:style w:type="character" w:styleId="1063">
    <w:name w:val="font01"/>
    <w:next w:val="1063"/>
    <w:link w:val="945"/>
    <w:rPr>
      <w:rFonts w:hint="eastAsia" w:ascii="宋体" w:hAnsi="宋体" w:eastAsia="宋体" w:cs="宋体"/>
      <w:i w:val="0"/>
      <w:color w:val="333333"/>
      <w:sz w:val="24"/>
      <w:szCs w:val="24"/>
      <w:u w:val="none"/>
    </w:rPr>
  </w:style>
  <w:style w:type="character" w:styleId="1064">
    <w:name w:val="font131"/>
    <w:next w:val="1064"/>
    <w:link w:val="945"/>
    <w:rPr>
      <w:rFonts w:ascii="Times New Roman" w:hAnsi="Times New Roman" w:eastAsia="宋体" w:cs="Times New Roman"/>
      <w:i w:val="0"/>
      <w:color w:val="333333"/>
      <w:sz w:val="20"/>
      <w:szCs w:val="20"/>
      <w:u w:val="none"/>
    </w:rPr>
  </w:style>
  <w:style w:type="character" w:styleId="1065">
    <w:name w:val="font11"/>
    <w:next w:val="1065"/>
    <w:link w:val="945"/>
    <w:rPr>
      <w:rFonts w:hint="eastAsia" w:ascii="宋体" w:hAnsi="宋体" w:eastAsia="宋体" w:cs="宋体"/>
      <w:i w:val="0"/>
      <w:color w:val="000000"/>
      <w:sz w:val="24"/>
      <w:szCs w:val="24"/>
      <w:u w:val="none"/>
    </w:rPr>
  </w:style>
  <w:style w:type="character" w:styleId="1066">
    <w:name w:val="hover1"/>
    <w:next w:val="1066"/>
    <w:link w:val="945"/>
    <w:rPr>
      <w:color w:val="2590eb"/>
    </w:rPr>
  </w:style>
  <w:style w:type="character" w:styleId="1067">
    <w:name w:val="无间隔 字符"/>
    <w:next w:val="1067"/>
    <w:link w:val="1068"/>
    <w:rPr>
      <w:sz w:val="22"/>
      <w:szCs w:val="22"/>
      <w:lang w:val="en-US" w:eastAsia="en-US" w:bidi="ar-SA"/>
    </w:rPr>
  </w:style>
  <w:style w:type="paragraph" w:styleId="1068">
    <w:name w:val="无间隔"/>
    <w:next w:val="1068"/>
    <w:link w:val="1067"/>
    <w:qFormat/>
    <w:rPr>
      <w:sz w:val="22"/>
      <w:szCs w:val="22"/>
      <w:lang w:val="en-US" w:eastAsia="en-US" w:bidi="ar-SA"/>
    </w:rPr>
  </w:style>
  <w:style w:type="character" w:styleId="1069">
    <w:name w:val="hover"/>
    <w:next w:val="1069"/>
    <w:link w:val="945"/>
  </w:style>
  <w:style w:type="character" w:styleId="1070">
    <w:name w:val="font61"/>
    <w:next w:val="1070"/>
    <w:link w:val="945"/>
    <w:rPr>
      <w:rFonts w:ascii="Batang" w:hAnsi="Batang" w:eastAsia="Batang" w:cs="Batang"/>
      <w:i w:val="0"/>
      <w:color w:val="000000"/>
      <w:sz w:val="21"/>
      <w:szCs w:val="21"/>
      <w:u w:val="none"/>
    </w:rPr>
  </w:style>
  <w:style w:type="character" w:styleId="1071">
    <w:name w:val="表正文,正文非缩进,特点,缩进,ALT+Z,标题4,四号,正文小标题,段1,正文不缩进,正文顶格悬挂,正文缩进 Char1,正文缩进 Char Char,首行缩进,正文编号,正文（首行缩进两字） Char,正文缩进 Char,正文文字3,正文对齐,identication,水上软件,正文文字 Char,Normal Indent Char,表正文 Char,正文非缩进 Char,特点 Char,标题4 Char Char Char,body text,鋘drad,???änd,图表标题"/>
    <w:next w:val="1071"/>
    <w:link w:val="945"/>
    <w:qFormat/>
    <w:rPr>
      <w:rFonts w:ascii="楷体_GB2312" w:hAnsi="Tahoma" w:eastAsia="宋体"/>
      <w:sz w:val="21"/>
      <w:lang w:val="en-US" w:eastAsia="zh-CN" w:bidi="ar-SA"/>
    </w:rPr>
  </w:style>
  <w:style w:type="character" w:styleId="1072">
    <w:name w:val="font141"/>
    <w:next w:val="1072"/>
    <w:link w:val="945"/>
    <w:rPr>
      <w:rFonts w:ascii="Times New Roman" w:hAnsi="Times New Roman" w:eastAsia="宋体" w:cs="Times New Roman"/>
      <w:i w:val="0"/>
      <w:color w:val="000000"/>
      <w:sz w:val="21"/>
      <w:szCs w:val="21"/>
      <w:u w:val="none"/>
      <w:vertAlign w:val="superscript"/>
    </w:rPr>
  </w:style>
  <w:style w:type="character" w:styleId="1073">
    <w:name w:val="font111"/>
    <w:next w:val="1073"/>
    <w:link w:val="945"/>
    <w:rPr>
      <w:rFonts w:ascii="Times New Roman" w:hAnsi="Times New Roman" w:eastAsia="宋体" w:cs="Times New Roman"/>
      <w:i w:val="0"/>
      <w:color w:val="000000"/>
      <w:sz w:val="21"/>
      <w:szCs w:val="21"/>
      <w:u w:val="none"/>
      <w:vertAlign w:val="subscript"/>
    </w:rPr>
  </w:style>
  <w:style w:type="character" w:styleId="1074">
    <w:name w:val="font41"/>
    <w:next w:val="1074"/>
    <w:link w:val="945"/>
    <w:qFormat/>
    <w:rPr>
      <w:rFonts w:hint="eastAsia" w:ascii="宋体" w:hAnsi="宋体" w:eastAsia="宋体" w:cs="宋体"/>
      <w:color w:val="000000"/>
      <w:sz w:val="18"/>
      <w:szCs w:val="18"/>
      <w:u w:val="none"/>
    </w:rPr>
  </w:style>
  <w:style w:type="paragraph" w:styleId="1075">
    <w:name w:val="xl54"/>
    <w:basedOn w:val="945"/>
    <w:next w:val="1075"/>
    <w:link w:val="94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76">
    <w:name w:val="Char Char Char1 Char Char Char Char"/>
    <w:basedOn w:val="945"/>
    <w:next w:val="1076"/>
    <w:link w:val="945"/>
    <w:pPr>
      <w:jc w:val="left"/>
      <w:spacing w:after="160" w:line="240" w:lineRule="exact"/>
      <w:widowControl/>
    </w:pPr>
    <w:rPr>
      <w:rFonts w:eastAsia="宋体"/>
      <w:sz w:val="24"/>
      <w:szCs w:val="24"/>
    </w:rPr>
  </w:style>
  <w:style w:type="paragraph" w:styleId="1077">
    <w:name w:val="纯文本4"/>
    <w:basedOn w:val="945"/>
    <w:next w:val="1077"/>
    <w:link w:val="945"/>
    <w:qFormat/>
    <w:rPr>
      <w:rFonts w:ascii="宋体" w:hAnsi="Courier New" w:eastAsia="楷体_GB2312"/>
      <w:sz w:val="26"/>
      <w:szCs w:val="20"/>
    </w:rPr>
  </w:style>
  <w:style w:type="paragraph" w:styleId="1078">
    <w:name w:val="Char Char1 Char Char Char Char Char Char Char Char Char Char Char Char Char Char Char Char"/>
    <w:basedOn w:val="945"/>
    <w:next w:val="1078"/>
    <w:link w:val="945"/>
    <w:pPr>
      <w:jc w:val="left"/>
      <w:spacing w:after="160" w:line="240" w:lineRule="exact"/>
      <w:widowControl/>
    </w:pPr>
    <w:rPr>
      <w:rFonts w:ascii="Verdana" w:hAnsi="Verdana" w:eastAsia="宋体"/>
      <w:sz w:val="20"/>
      <w:lang w:eastAsia="en-US"/>
    </w:rPr>
  </w:style>
  <w:style w:type="paragraph" w:styleId="1079">
    <w:name w:val="msolistparagraph"/>
    <w:basedOn w:val="945"/>
    <w:next w:val="1079"/>
    <w:link w:val="945"/>
    <w:qFormat/>
    <w:pPr>
      <w:ind w:firstLine="420"/>
    </w:pPr>
    <w:rPr>
      <w:szCs w:val="21"/>
    </w:rPr>
  </w:style>
  <w:style w:type="paragraph" w:styleId="1080">
    <w:name w:val="xl66"/>
    <w:basedOn w:val="945"/>
    <w:next w:val="1080"/>
    <w:link w:val="94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81">
    <w:name w:val="xl65"/>
    <w:basedOn w:val="945"/>
    <w:next w:val="1081"/>
    <w:link w:val="94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82">
    <w:name w:val="Plain Text"/>
    <w:basedOn w:val="945"/>
    <w:next w:val="1082"/>
    <w:link w:val="945"/>
    <w:rPr>
      <w:rFonts w:ascii="宋体" w:hAnsi="Courier New"/>
      <w:sz w:val="28"/>
    </w:rPr>
  </w:style>
  <w:style w:type="paragraph" w:styleId="1083">
    <w:name w:val="分标题"/>
    <w:basedOn w:val="945"/>
    <w:next w:val="969"/>
    <w:link w:val="945"/>
    <w:pPr>
      <w:ind w:left="567" w:hanging="567"/>
      <w:spacing w:before="120" w:after="120" w:line="360" w:lineRule="exact"/>
      <w:tabs>
        <w:tab w:val="left" w:pos="567" w:leader="none"/>
      </w:tabs>
      <w:outlineLvl w:val="3"/>
    </w:pPr>
    <w:rPr>
      <w:rFonts w:ascii="宋体" w:hAnsi="宋体" w:eastAsia="宋体"/>
      <w:b/>
      <w:sz w:val="24"/>
      <w:szCs w:val="24"/>
    </w:rPr>
  </w:style>
  <w:style w:type="paragraph" w:styleId="1084">
    <w:name w:val="xl47"/>
    <w:basedOn w:val="945"/>
    <w:next w:val="1084"/>
    <w:link w:val="94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085">
    <w:name w:val="纯文本2"/>
    <w:basedOn w:val="945"/>
    <w:next w:val="1085"/>
    <w:link w:val="945"/>
    <w:qFormat/>
    <w:rPr>
      <w:rFonts w:ascii="宋体" w:hAnsi="Courier New"/>
      <w:sz w:val="28"/>
    </w:rPr>
  </w:style>
  <w:style w:type="paragraph" w:styleId="1086">
    <w:name w:val="+正文"/>
    <w:basedOn w:val="945"/>
    <w:next w:val="1086"/>
    <w:link w:val="945"/>
    <w:pPr>
      <w:ind w:firstLine="200"/>
      <w:spacing w:line="360" w:lineRule="auto"/>
    </w:pPr>
    <w:rPr>
      <w:rFonts w:eastAsia="宋体"/>
      <w:sz w:val="24"/>
      <w:szCs w:val="28"/>
    </w:rPr>
  </w:style>
  <w:style w:type="paragraph" w:styleId="1087">
    <w:name w:val="000左齐平"/>
    <w:basedOn w:val="945"/>
    <w:next w:val="1087"/>
    <w:link w:val="945"/>
    <w:qFormat/>
    <w:pPr>
      <w:ind w:firstLine="0"/>
      <w:jc w:val="left"/>
    </w:pPr>
    <w:rPr>
      <w:color w:val="000000"/>
    </w:rPr>
  </w:style>
  <w:style w:type="paragraph" w:styleId="1088">
    <w:name w:val="列表段落"/>
    <w:basedOn w:val="945"/>
    <w:next w:val="1088"/>
    <w:link w:val="945"/>
    <w:qFormat/>
    <w:pPr>
      <w:ind w:firstLine="420"/>
    </w:pPr>
  </w:style>
  <w:style w:type="paragraph" w:styleId="1089">
    <w:name w:val="xl52"/>
    <w:basedOn w:val="945"/>
    <w:next w:val="1089"/>
    <w:link w:val="94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90">
    <w:name w:val="xl62"/>
    <w:basedOn w:val="945"/>
    <w:next w:val="1090"/>
    <w:link w:val="94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091">
    <w:name w:val="并列样式"/>
    <w:basedOn w:val="945"/>
    <w:next w:val="945"/>
    <w:link w:val="945"/>
    <w:pPr>
      <w:ind w:left="839" w:hanging="419"/>
      <w:spacing w:before="120" w:after="120" w:line="360" w:lineRule="exact"/>
      <w:tabs>
        <w:tab w:val="left" w:pos="839" w:leader="none"/>
      </w:tabs>
    </w:pPr>
    <w:rPr>
      <w:rFonts w:eastAsia="宋体"/>
      <w:sz w:val="24"/>
    </w:rPr>
  </w:style>
  <w:style w:type="paragraph" w:styleId="1092">
    <w:name w:val="xl61"/>
    <w:basedOn w:val="945"/>
    <w:next w:val="1092"/>
    <w:link w:val="94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093">
    <w:name w:val="正文 A"/>
    <w:next w:val="1093"/>
    <w:link w:val="945"/>
    <w:qFormat/>
    <w:pPr>
      <w:jc w:val="both"/>
      <w:widowControl w:val="off"/>
      <w:framePr w:wrap="around" w:vAnchor="margin" w:hAnchor="text" w:y="1"/>
    </w:pPr>
    <w:rPr>
      <w:rFonts w:hAnsi="Arial Unicode MS" w:eastAsia="Arial Unicode MS" w:cs="Arial Unicode MS"/>
      <w:color w:val="000000"/>
      <w:sz w:val="21"/>
      <w:szCs w:val="21"/>
      <w:lang w:val="en-US" w:eastAsia="zh-CN" w:bidi="ar-SA"/>
    </w:rPr>
  </w:style>
  <w:style w:type="paragraph" w:styleId="1094">
    <w:name w:val="Char Char1 Char Char Char Char Char Char Char"/>
    <w:basedOn w:val="945"/>
    <w:next w:val="1094"/>
    <w:link w:val="945"/>
  </w:style>
  <w:style w:type="paragraph" w:styleId="1095">
    <w:name w:val="小四 段落 宋体 Char Char Char Char Char Char"/>
    <w:next w:val="1095"/>
    <w:link w:val="945"/>
    <w:pPr>
      <w:ind w:firstLine="480"/>
    </w:pPr>
    <w:rPr>
      <w:rFonts w:ascii="宋体" w:hAnsi="宋体"/>
      <w:lang w:val="en-US" w:eastAsia="zh-CN" w:bidi="ar-SA"/>
    </w:rPr>
  </w:style>
  <w:style w:type="paragraph" w:styleId="1096">
    <w:name w:val="xl45"/>
    <w:basedOn w:val="945"/>
    <w:next w:val="1096"/>
    <w:link w:val="94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97">
    <w:name w:val="xl53"/>
    <w:basedOn w:val="945"/>
    <w:next w:val="1097"/>
    <w:link w:val="94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98">
    <w:name w:val="节标题"/>
    <w:basedOn w:val="945"/>
    <w:next w:val="969"/>
    <w:link w:val="945"/>
    <w:pPr>
      <w:ind w:left="420" w:hanging="420"/>
      <w:spacing w:before="120" w:after="120" w:line="360" w:lineRule="exact"/>
      <w:tabs>
        <w:tab w:val="left" w:pos="420" w:leader="none"/>
      </w:tabs>
      <w:outlineLvl w:val="1"/>
    </w:pPr>
    <w:rPr>
      <w:rFonts w:eastAsia="宋体"/>
      <w:b/>
      <w:bCs/>
      <w:sz w:val="28"/>
    </w:rPr>
  </w:style>
  <w:style w:type="paragraph" w:styleId="1099">
    <w:name w:val="Andy_正文"/>
    <w:basedOn w:val="945"/>
    <w:next w:val="1099"/>
    <w:link w:val="945"/>
    <w:qFormat/>
    <w:pPr>
      <w:ind w:firstLine="480"/>
      <w:spacing w:line="360" w:lineRule="auto"/>
    </w:pPr>
    <w:rPr>
      <w:rFonts w:ascii="Calibri" w:hAnsi="Calibri" w:eastAsia="宋体"/>
      <w:sz w:val="24"/>
      <w:szCs w:val="24"/>
    </w:rPr>
  </w:style>
  <w:style w:type="paragraph" w:styleId="1100">
    <w:name w:val="xl51"/>
    <w:basedOn w:val="945"/>
    <w:next w:val="1100"/>
    <w:link w:val="94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101">
    <w:name w:val="_Style 12"/>
    <w:basedOn w:val="972"/>
    <w:next w:val="1101"/>
    <w:link w:val="945"/>
    <w:pPr>
      <w:jc w:val="left"/>
      <w:spacing w:line="360" w:lineRule="auto"/>
      <w:widowControl/>
    </w:pPr>
    <w:rPr>
      <w:sz w:val="24"/>
    </w:rPr>
  </w:style>
  <w:style w:type="paragraph" w:styleId="1102">
    <w:name w:val="修订"/>
    <w:next w:val="1102"/>
    <w:link w:val="945"/>
    <w:uiPriority w:val="99"/>
    <w:unhideWhenUsed/>
    <w:rPr>
      <w:rFonts w:eastAsia="楷体_GB2312"/>
      <w:sz w:val="26"/>
      <w:lang w:val="en-US" w:eastAsia="zh-CN" w:bidi="ar-SA"/>
    </w:rPr>
  </w:style>
  <w:style w:type="paragraph" w:styleId="1103">
    <w:name w:val="Default"/>
    <w:next w:val="1103"/>
    <w:link w:val="945"/>
    <w:qFormat/>
    <w:pPr>
      <w:widowControl w:val="off"/>
    </w:pPr>
    <w:rPr>
      <w:rFonts w:ascii="宋体" w:hAnsi="Calibri" w:cs="宋体"/>
      <w:color w:val="000000"/>
      <w:sz w:val="24"/>
      <w:szCs w:val="24"/>
      <w:lang w:val="en-US" w:eastAsia="zh-CN" w:bidi="ar-SA"/>
    </w:rPr>
  </w:style>
  <w:style w:type="paragraph" w:styleId="1104">
    <w:name w:val="xl57"/>
    <w:basedOn w:val="945"/>
    <w:next w:val="1104"/>
    <w:link w:val="945"/>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05">
    <w:name w:val="xl49"/>
    <w:basedOn w:val="945"/>
    <w:next w:val="1105"/>
    <w:link w:val="945"/>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106">
    <w:name w:val="Char Char Char"/>
    <w:basedOn w:val="945"/>
    <w:next w:val="1106"/>
    <w:link w:val="945"/>
    <w:rPr>
      <w:rFonts w:ascii="Tahoma" w:hAnsi="Tahoma" w:eastAsia="宋体"/>
      <w:sz w:val="24"/>
    </w:rPr>
  </w:style>
  <w:style w:type="paragraph" w:styleId="1107">
    <w:name w:val="xl59"/>
    <w:basedOn w:val="945"/>
    <w:next w:val="1107"/>
    <w:link w:val="94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08">
    <w:name w:val="xl63"/>
    <w:basedOn w:val="945"/>
    <w:next w:val="1108"/>
    <w:link w:val="94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109">
    <w:name w:val="Char Char Char Char Char Char Char"/>
    <w:basedOn w:val="945"/>
    <w:next w:val="1109"/>
    <w:link w:val="945"/>
    <w:pPr>
      <w:ind w:left="432" w:hanging="432"/>
      <w:tabs>
        <w:tab w:val="left" w:pos="432" w:leader="none"/>
      </w:tabs>
    </w:pPr>
    <w:rPr>
      <w:rFonts w:ascii="Tahoma" w:hAnsi="Tahoma" w:eastAsia="宋体"/>
      <w:sz w:val="24"/>
    </w:rPr>
  </w:style>
  <w:style w:type="paragraph" w:styleId="1110">
    <w:name w:val="font5"/>
    <w:basedOn w:val="945"/>
    <w:next w:val="1110"/>
    <w:link w:val="945"/>
    <w:pPr>
      <w:jc w:val="left"/>
      <w:spacing w:before="100" w:beforeAutospacing="1" w:after="100" w:afterAutospacing="1"/>
      <w:widowControl/>
    </w:pPr>
    <w:rPr>
      <w:rFonts w:hint="eastAsia" w:ascii="宋体" w:hAnsi="宋体" w:eastAsia="宋体"/>
      <w:sz w:val="18"/>
      <w:szCs w:val="18"/>
    </w:rPr>
  </w:style>
  <w:style w:type="paragraph" w:styleId="1111">
    <w:name w:val="Char"/>
    <w:basedOn w:val="945"/>
    <w:next w:val="1111"/>
    <w:link w:val="945"/>
    <w:rPr>
      <w:rFonts w:ascii="Tahoma" w:hAnsi="Tahoma" w:eastAsia="宋体"/>
      <w:sz w:val="24"/>
    </w:rPr>
  </w:style>
  <w:style w:type="paragraph" w:styleId="1112">
    <w:name w:val="Blockquote"/>
    <w:basedOn w:val="945"/>
    <w:next w:val="1112"/>
    <w:link w:val="945"/>
    <w:qFormat/>
    <w:pPr>
      <w:ind w:left="360" w:right="360"/>
      <w:jc w:val="left"/>
      <w:spacing w:before="100" w:after="100"/>
    </w:pPr>
    <w:rPr>
      <w:sz w:val="24"/>
    </w:rPr>
  </w:style>
  <w:style w:type="paragraph" w:styleId="1113">
    <w:name w:val="Char Char Char Char Char Char Char Char Char1 Char"/>
    <w:basedOn w:val="972"/>
    <w:next w:val="1113"/>
    <w:link w:val="945"/>
    <w:pPr>
      <w:spacing w:line="360" w:lineRule="auto"/>
    </w:pPr>
    <w:rPr>
      <w:rFonts w:ascii="Tahoma" w:hAnsi="Tahoma"/>
      <w:sz w:val="24"/>
      <w:szCs w:val="24"/>
    </w:rPr>
  </w:style>
  <w:style w:type="paragraph" w:styleId="1114">
    <w:name w:val="font6"/>
    <w:basedOn w:val="945"/>
    <w:next w:val="1114"/>
    <w:link w:val="945"/>
    <w:pPr>
      <w:jc w:val="left"/>
      <w:spacing w:before="100" w:beforeAutospacing="1" w:after="100" w:afterAutospacing="1"/>
      <w:widowControl/>
    </w:pPr>
    <w:rPr>
      <w:rFonts w:hint="eastAsia" w:ascii="宋体" w:hAnsi="宋体" w:eastAsia="宋体" w:cs="Arial Unicode MS"/>
      <w:b/>
      <w:bCs/>
      <w:sz w:val="18"/>
      <w:szCs w:val="18"/>
    </w:rPr>
  </w:style>
  <w:style w:type="paragraph" w:styleId="1115">
    <w:name w:val="xl46"/>
    <w:basedOn w:val="945"/>
    <w:next w:val="1115"/>
    <w:link w:val="94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16">
    <w:name w:val="xl58"/>
    <w:basedOn w:val="945"/>
    <w:next w:val="1116"/>
    <w:link w:val="94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17">
    <w:name w:val="_Style 1"/>
    <w:basedOn w:val="945"/>
    <w:next w:val="1117"/>
    <w:link w:val="945"/>
    <w:uiPriority w:val="34"/>
    <w:qFormat/>
    <w:pPr>
      <w:ind w:firstLine="420"/>
    </w:pPr>
    <w:rPr>
      <w:rFonts w:ascii="Calibri" w:hAnsi="Calibri"/>
      <w:szCs w:val="22"/>
    </w:rPr>
  </w:style>
  <w:style w:type="paragraph" w:styleId="1118">
    <w:name w:val="xl64"/>
    <w:basedOn w:val="945"/>
    <w:next w:val="1118"/>
    <w:link w:val="94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119">
    <w:name w:val="List Paragraph"/>
    <w:basedOn w:val="945"/>
    <w:next w:val="1119"/>
    <w:link w:val="945"/>
    <w:qFormat/>
    <w:pPr>
      <w:ind w:firstLine="420"/>
    </w:pPr>
  </w:style>
  <w:style w:type="paragraph" w:styleId="1120">
    <w:name w:val="xl55"/>
    <w:basedOn w:val="945"/>
    <w:next w:val="1120"/>
    <w:link w:val="945"/>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21">
    <w:name w:val="xl56"/>
    <w:basedOn w:val="945"/>
    <w:next w:val="1121"/>
    <w:link w:val="94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22">
    <w:name w:val="xl60"/>
    <w:basedOn w:val="945"/>
    <w:next w:val="1122"/>
    <w:link w:val="94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23">
    <w:name w:val="分层标题"/>
    <w:basedOn w:val="945"/>
    <w:next w:val="969"/>
    <w:link w:val="945"/>
    <w:pPr>
      <w:ind w:left="709" w:hanging="709"/>
      <w:spacing w:before="120" w:after="120" w:line="360" w:lineRule="exact"/>
      <w:tabs>
        <w:tab w:val="left" w:pos="1080" w:leader="none"/>
      </w:tabs>
      <w:outlineLvl w:val="4"/>
    </w:pPr>
    <w:rPr>
      <w:rFonts w:eastAsia="宋体"/>
      <w:b/>
      <w:sz w:val="24"/>
      <w:szCs w:val="24"/>
    </w:rPr>
  </w:style>
  <w:style w:type="paragraph" w:styleId="1124">
    <w:name w:val="xl50"/>
    <w:basedOn w:val="945"/>
    <w:next w:val="1124"/>
    <w:link w:val="94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125">
    <w:name w:val="xl48"/>
    <w:basedOn w:val="945"/>
    <w:next w:val="1125"/>
    <w:link w:val="94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126">
    <w:name w:val="正文样式"/>
    <w:basedOn w:val="945"/>
    <w:next w:val="1126"/>
    <w:link w:val="945"/>
    <w:qFormat/>
    <w:pPr>
      <w:ind w:firstLine="584"/>
    </w:pPr>
    <w:rPr>
      <w:rFonts w:ascii="仿宋_GB2312" w:eastAsia="仿宋_GB2312"/>
      <w:spacing w:val="-4"/>
      <w:sz w:val="30"/>
      <w:szCs w:val="30"/>
    </w:rPr>
  </w:style>
  <w:style w:type="paragraph" w:styleId="1127">
    <w:name w:val="纯文本11"/>
    <w:basedOn w:val="945"/>
    <w:next w:val="1127"/>
    <w:link w:val="945"/>
    <w:uiPriority w:val="99"/>
    <w:qFormat/>
    <w:rPr>
      <w:rFonts w:ascii="宋体" w:hAnsi="Courier New" w:eastAsia="宋体"/>
      <w:sz w:val="21"/>
      <w:szCs w:val="22"/>
    </w:rPr>
  </w:style>
  <w:style w:type="paragraph" w:styleId="1128">
    <w:name w:val="首行缩进"/>
    <w:basedOn w:val="945"/>
    <w:next w:val="1128"/>
    <w:link w:val="945"/>
    <w:qFormat/>
    <w:pPr>
      <w:ind w:firstLine="480"/>
    </w:pPr>
    <w:rPr>
      <w:rFonts w:ascii="Times New Roman" w:hAnsi="Times New Roman"/>
      <w:szCs w:val="20"/>
      <w:lang w:val="zh-CN"/>
    </w:rPr>
  </w:style>
  <w:style w:type="paragraph" w:styleId="1129">
    <w:name w:val="默认段落字体 Para Char Char Char Char Char Char Char"/>
    <w:basedOn w:val="945"/>
    <w:next w:val="1129"/>
    <w:link w:val="945"/>
    <w:pPr>
      <w:spacing w:line="360" w:lineRule="auto"/>
    </w:pPr>
    <w:rPr>
      <w:rFonts w:ascii="Tahoma" w:hAnsi="Tahoma" w:eastAsia="宋体"/>
      <w:sz w:val="24"/>
    </w:rPr>
  </w:style>
  <w:style w:type="paragraph" w:styleId="1130">
    <w:name w:val="批注框文本1"/>
    <w:basedOn w:val="945"/>
    <w:next w:val="1130"/>
    <w:link w:val="945"/>
    <w:uiPriority w:val="1668"/>
    <w:semiHidden/>
    <w:qFormat/>
    <w:rPr>
      <w:sz w:val="18"/>
      <w:szCs w:val="18"/>
    </w:rPr>
  </w:style>
  <w:style w:type="paragraph" w:styleId="1131">
    <w:name w:val="p0"/>
    <w:basedOn w:val="945"/>
    <w:next w:val="1131"/>
    <w:link w:val="945"/>
    <w:qFormat/>
    <w:rPr>
      <w:rFonts w:hint="eastAsia"/>
    </w:rPr>
  </w:style>
  <w:style w:type="paragraph" w:styleId="1132">
    <w:name w:val="小四 段落 宋体 Char"/>
    <w:basedOn w:val="968"/>
    <w:next w:val="1132"/>
    <w:link w:val="945"/>
    <w:pPr>
      <w:ind w:left="0" w:right="-33" w:firstLine="480"/>
      <w:jc w:val="left"/>
      <w:spacing w:line="360" w:lineRule="auto"/>
      <w:tabs>
        <w:tab w:val="clear" w:pos="1125" w:leader="none"/>
      </w:tabs>
    </w:pPr>
    <w:rPr>
      <w:sz w:val="24"/>
    </w:rPr>
  </w:style>
  <w:style w:type="character" w:styleId="1133">
    <w:name w:val="NormalCharacter1"/>
    <w:next w:val="1133"/>
    <w:link w:val="1134"/>
    <w:semiHidden/>
    <w:qFormat/>
    <w:rPr>
      <w:sz w:val="20"/>
    </w:rPr>
  </w:style>
  <w:style w:type="paragraph" w:styleId="1134">
    <w:name w:val="UserStyle_4"/>
    <w:basedOn w:val="945"/>
    <w:next w:val="1134"/>
    <w:link w:val="1133"/>
    <w:qFormat/>
    <w:rPr>
      <w:rFonts w:eastAsia="宋体"/>
      <w:sz w:val="20"/>
    </w:rPr>
  </w:style>
  <w:style w:type="paragraph" w:styleId="1135">
    <w:name w:val="纯文本3"/>
    <w:basedOn w:val="945"/>
    <w:next w:val="1135"/>
    <w:link w:val="945"/>
    <w:qFormat/>
    <w:pPr>
      <w:jc w:val="both"/>
      <w:widowControl w:val="off"/>
    </w:pPr>
    <w:rPr>
      <w:rFonts w:ascii="宋体" w:hAnsi="Courier New"/>
      <w:sz w:val="21"/>
    </w:rPr>
  </w:style>
  <w:style w:type="paragraph" w:styleId="1136">
    <w:name w:val="列出段落2"/>
    <w:basedOn w:val="945"/>
    <w:next w:val="1136"/>
    <w:link w:val="945"/>
    <w:uiPriority w:val="34"/>
    <w:qFormat/>
    <w:pPr>
      <w:ind w:firstLine="420"/>
    </w:pPr>
    <w:rPr>
      <w:rFonts w:ascii="宋体" w:hAnsi="宋体"/>
      <w:sz w:val="24"/>
      <w:szCs w:val="24"/>
    </w:rPr>
  </w:style>
  <w:style w:type="paragraph" w:styleId="1137">
    <w:name w:val="表格正文"/>
    <w:next w:val="1137"/>
    <w:link w:val="945"/>
    <w:qFormat/>
    <w:pPr>
      <w:spacing w:before="20" w:after="20"/>
    </w:pPr>
    <w:rPr>
      <w:i/>
      <w:iCs/>
      <w:color w:val="0070c0"/>
      <w:sz w:val="24"/>
      <w:szCs w:val="22"/>
      <w:lang w:val="en-US" w:eastAsia="zh-CN" w:bidi="ar-SA"/>
    </w:rPr>
  </w:style>
  <w:style w:type="paragraph" w:styleId="1138">
    <w:name w:val="A 正文内容"/>
    <w:basedOn w:val="945"/>
    <w:next w:val="1138"/>
    <w:link w:val="945"/>
    <w:qFormat/>
    <w:pPr>
      <w:ind w:firstLine="480"/>
    </w:pPr>
    <w:rPr>
      <w:rFonts w:ascii="宋体" w:hAnsi="宋体"/>
    </w:rPr>
  </w:style>
  <w:style w:type="paragraph" w:styleId="1139">
    <w:name w:val="Table Paragraph"/>
    <w:basedOn w:val="945"/>
    <w:next w:val="1139"/>
    <w:link w:val="945"/>
    <w:uiPriority w:val="1"/>
    <w:qFormat/>
    <w:rPr>
      <w:rFonts w:ascii="仿宋" w:hAnsi="仿宋" w:eastAsia="仿宋" w:cs="仿宋"/>
      <w:lang w:val="zh-CN" w:bidi="zh-CN"/>
    </w:rPr>
  </w:style>
  <w:style w:type="paragraph" w:styleId="1140">
    <w:name w:val="Heading41"/>
    <w:basedOn w:val="945"/>
    <w:next w:val="1141"/>
    <w:link w:val="945"/>
    <w:qFormat/>
    <w:pPr>
      <w:keepLines/>
      <w:keepNext/>
      <w:spacing w:before="120" w:after="120"/>
    </w:pPr>
    <w:rPr>
      <w:rFonts w:ascii="Cambria" w:hAnsi="Cambria" w:eastAsia="华文细黑"/>
      <w:b/>
      <w:sz w:val="28"/>
    </w:rPr>
  </w:style>
  <w:style w:type="paragraph" w:styleId="1141">
    <w:name w:val="NormalIndent1"/>
    <w:basedOn w:val="945"/>
    <w:next w:val="1141"/>
    <w:link w:val="945"/>
    <w:qFormat/>
    <w:pPr>
      <w:ind w:firstLine="420"/>
    </w:pPr>
  </w:style>
  <w:style w:type="table" w:styleId="1142">
    <w:name w:val="网格型1"/>
    <w:basedOn w:val="1143"/>
    <w:next w:val="1142"/>
    <w:link w:val="945"/>
    <w:uiPriority w:val="59"/>
    <w:unhideWhenUsed/>
    <w:qFormat/>
    <w:pPr>
      <w:jc w:val="both"/>
      <w:widowControl w:val="off"/>
    </w:pPr>
    <w:tblPr/>
  </w:style>
  <w:style w:type="table" w:styleId="1143">
    <w:name w:val="普通表格1"/>
    <w:next w:val="1143"/>
    <w:link w:val="945"/>
    <w:uiPriority w:val="99"/>
    <w:unhideWhenUsed/>
    <w:qFormat/>
    <w:tblPr/>
  </w:style>
  <w:style w:type="paragraph" w:styleId="1144">
    <w:name w:val="标题 31"/>
    <w:basedOn w:val="945"/>
    <w:next w:val="945"/>
    <w:link w:val="945"/>
    <w:qFormat/>
    <w:pPr>
      <w:jc w:val="left"/>
      <w:keepLines/>
      <w:keepNext/>
      <w:outlineLvl w:val="2"/>
    </w:pPr>
    <w:rPr>
      <w:b/>
    </w:rPr>
  </w:style>
  <w:style w:type="paragraph" w:styleId="1145">
    <w:name w:val="目录 21"/>
    <w:basedOn w:val="945"/>
    <w:next w:val="945"/>
    <w:link w:val="945"/>
    <w:qFormat/>
    <w:pPr>
      <w:ind w:left="420"/>
    </w:pPr>
  </w:style>
  <w:style w:type="character" w:styleId="1146">
    <w:name w:val="16"/>
    <w:basedOn w:val="955"/>
    <w:next w:val="1146"/>
    <w:link w:val="945"/>
    <w:qFormat/>
    <w:rPr>
      <w:rFonts w:ascii="Times New Roman" w:hAnsi="Times New Roman" w:cs="Times New Roman"/>
      <w:i/>
    </w:rPr>
  </w:style>
  <w:style w:type="character" w:styleId="1147" w:default="1">
    <w:name w:val="Default Paragraph Font"/>
    <w:uiPriority w:val="1"/>
    <w:semiHidden/>
    <w:unhideWhenUsed/>
  </w:style>
  <w:style w:type="numbering" w:styleId="1148" w:default="1">
    <w:name w:val="No List"/>
    <w:uiPriority w:val="99"/>
    <w:semiHidden/>
    <w:unhideWhenUsed/>
  </w:style>
  <w:style w:type="table" w:styleId="114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image" Target="media/image1.png"/><Relationship Id="rId17" Type="http://schemas.openxmlformats.org/officeDocument/2006/relationships/image" Target="media/image2.png"/><Relationship Id="rId18" Type="http://schemas.openxmlformats.org/officeDocument/2006/relationships/image" Target="media/image3.png"/><Relationship Id="rId19" Type="http://schemas.openxmlformats.org/officeDocument/2006/relationships/image" Target="media/image4.png"/><Relationship Id="rId20" Type="http://schemas.openxmlformats.org/officeDocument/2006/relationships/image" Target="media/image5.png"/><Relationship Id="rId21"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dc:creator>
  <cp:lastModifiedBy>沈鹰</cp:lastModifiedBy>
  <cp:revision>6</cp:revision>
  <dcterms:created xsi:type="dcterms:W3CDTF">2023-04-15T01:25:00Z</dcterms:created>
  <dcterms:modified xsi:type="dcterms:W3CDTF">2026-05-06T05:47:31Z</dcterms:modified>
</cp:coreProperties>
</file>